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207D16">
            <w:pPr>
              <w:spacing w:after="120"/>
              <w:jc w:val="left"/>
              <w:rPr>
                <w:rStyle w:val="DocId"/>
              </w:rPr>
            </w:pPr>
            <w:r w:rsidRPr="00371B32">
              <w:fldChar w:fldCharType="begin"/>
            </w:r>
            <w:r w:rsidRPr="00371B32">
              <w:instrText xml:space="preserve"> FILENAME  \* MERGEFORMAT </w:instrText>
            </w:r>
            <w:r w:rsidRPr="00371B32">
              <w:fldChar w:fldCharType="separate"/>
            </w:r>
            <w:r w:rsidR="00AB3A0F" w:rsidRPr="00AB3A0F">
              <w:rPr>
                <w:rStyle w:val="DocId"/>
                <w:noProof/>
              </w:rPr>
              <w:t>EGI-D4.5-v1.0</w:t>
            </w:r>
            <w:r w:rsidRPr="00371B32">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AB3A0F">
              <w:rPr>
                <w:rFonts w:ascii="Times New Roman" w:hAnsi="Times New Roman"/>
              </w:rPr>
              <w:t>07/05/2012</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after="120"/>
              <w:rPr>
                <w:b/>
              </w:rPr>
            </w:pPr>
            <w:r w:rsidRPr="00371B32">
              <w:t>Activity:</w:t>
            </w:r>
          </w:p>
        </w:tc>
        <w:tc>
          <w:tcPr>
            <w:tcW w:w="3827" w:type="dxa"/>
            <w:vAlign w:val="center"/>
          </w:tcPr>
          <w:p w:rsidR="00207D16" w:rsidRPr="00371B32" w:rsidRDefault="007451F2" w:rsidP="00207D16">
            <w:pPr>
              <w:spacing w:after="120"/>
              <w:jc w:val="left"/>
              <w:rPr>
                <w:b/>
                <w:highlight w:val="yellow"/>
              </w:rPr>
            </w:pPr>
            <w:r w:rsidRPr="001A7C62">
              <w:rPr>
                <w:b/>
              </w:rPr>
              <w:t>SA1</w:t>
            </w:r>
          </w:p>
        </w:tc>
      </w:tr>
      <w:tr w:rsidR="00207D16" w:rsidRPr="00371B32">
        <w:trPr>
          <w:cantSplit/>
          <w:jc w:val="center"/>
        </w:trPr>
        <w:tc>
          <w:tcPr>
            <w:tcW w:w="2551" w:type="dxa"/>
            <w:vAlign w:val="center"/>
          </w:tcPr>
          <w:p w:rsidR="00207D16" w:rsidRPr="00371B32" w:rsidRDefault="00207D16">
            <w:pPr>
              <w:pStyle w:val="Header"/>
              <w:spacing w:after="120"/>
            </w:pPr>
            <w:r w:rsidRPr="00371B32">
              <w:t>Lead Partner:</w:t>
            </w:r>
          </w:p>
        </w:tc>
        <w:tc>
          <w:tcPr>
            <w:tcW w:w="3827" w:type="dxa"/>
            <w:vAlign w:val="center"/>
          </w:tcPr>
          <w:p w:rsidR="00207D16" w:rsidRPr="00371B32" w:rsidRDefault="00207D16">
            <w:pPr>
              <w:spacing w:after="120"/>
              <w:jc w:val="left"/>
              <w:rPr>
                <w:b/>
                <w:highlight w:val="yellow"/>
              </w:rPr>
            </w:pPr>
            <w:r w:rsidRPr="001A7C62">
              <w:rPr>
                <w:b/>
              </w:rPr>
              <w:t>EGI.eu</w:t>
            </w:r>
          </w:p>
        </w:tc>
      </w:tr>
      <w:tr w:rsidR="00207D16" w:rsidRPr="00371B32">
        <w:trPr>
          <w:cantSplit/>
          <w:jc w:val="center"/>
        </w:trPr>
        <w:tc>
          <w:tcPr>
            <w:tcW w:w="2551" w:type="dxa"/>
            <w:vAlign w:val="center"/>
          </w:tcPr>
          <w:p w:rsidR="00207D16" w:rsidRPr="00371B32" w:rsidRDefault="00207D16">
            <w:pPr>
              <w:pStyle w:val="Header"/>
              <w:spacing w:after="120"/>
            </w:pPr>
            <w:r w:rsidRPr="00371B32">
              <w:t>Document Status:</w:t>
            </w:r>
          </w:p>
        </w:tc>
        <w:tc>
          <w:tcPr>
            <w:tcW w:w="3827" w:type="dxa"/>
            <w:vAlign w:val="center"/>
          </w:tcPr>
          <w:p w:rsidR="00207D16" w:rsidRPr="00371B32" w:rsidRDefault="007451F2">
            <w:pPr>
              <w:spacing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after="120"/>
            </w:pPr>
            <w:r w:rsidRPr="00371B32">
              <w:t>Dissemination Level:</w:t>
            </w:r>
          </w:p>
        </w:tc>
        <w:tc>
          <w:tcPr>
            <w:tcW w:w="3827" w:type="dxa"/>
            <w:vAlign w:val="center"/>
          </w:tcPr>
          <w:p w:rsidR="00207D16" w:rsidRPr="00371B32" w:rsidRDefault="00207D16">
            <w:pPr>
              <w:spacing w:after="120"/>
              <w:jc w:val="left"/>
              <w:rPr>
                <w:b/>
                <w:highlight w:val="yellow"/>
              </w:rPr>
            </w:pPr>
            <w:r w:rsidRPr="001A7C62">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after="120"/>
            </w:pPr>
            <w:r w:rsidRPr="00371B32">
              <w:t>Document Link:</w:t>
            </w:r>
          </w:p>
        </w:tc>
        <w:tc>
          <w:tcPr>
            <w:tcW w:w="3827" w:type="dxa"/>
            <w:tcBorders>
              <w:bottom w:val="single" w:sz="24" w:space="0" w:color="000080"/>
            </w:tcBorders>
            <w:vAlign w:val="center"/>
          </w:tcPr>
          <w:p w:rsidR="00207D16" w:rsidRPr="00371B32" w:rsidRDefault="00207D16">
            <w:pPr>
              <w:spacing w:after="120"/>
              <w:jc w:val="left"/>
              <w:rPr>
                <w:szCs w:val="22"/>
              </w:rPr>
            </w:pPr>
            <w:r w:rsidRPr="00371B32">
              <w:rPr>
                <w:szCs w:val="22"/>
              </w:rPr>
              <w:t>https://documents.egi.eu/document/</w:t>
            </w:r>
            <w:r w:rsidR="007B1C48">
              <w:rPr>
                <w:szCs w:val="22"/>
              </w:rPr>
              <w:t>1059</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jc w:val="center"/>
            </w:pPr>
            <w:r w:rsidRPr="00371B32">
              <w:rPr>
                <w:u w:val="single"/>
              </w:rPr>
              <w:t>Abstract</w:t>
            </w:r>
          </w:p>
          <w:p w:rsidR="00207D16" w:rsidRPr="00371B32" w:rsidRDefault="00815BBE" w:rsidP="00207D16">
            <w:r>
              <w:t xml:space="preserve">This document provides information on the status of the EGI Resource Infrastructure at the end of PY2. In particular, it describes the status and progress of Resource centres, Resource infrastructure Providers and Operations Centres that are contributing resources to the user community and who are responsible of the daily operations of the infrastructure.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p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rsidR="00207D16" w:rsidRDefault="00312D12" w:rsidP="00207D16">
            <w:pPr>
              <w:pStyle w:val="Header"/>
              <w:spacing w:before="0" w:after="0"/>
              <w:jc w:val="left"/>
            </w:pPr>
            <w:r>
              <w:t>T. Ferrari/EGI.eu</w:t>
            </w:r>
          </w:p>
          <w:p w:rsidR="00312D12" w:rsidRDefault="00312D12" w:rsidP="00207D16">
            <w:pPr>
              <w:pStyle w:val="Header"/>
              <w:spacing w:before="0" w:after="0"/>
              <w:jc w:val="left"/>
            </w:pPr>
            <w:r>
              <w:t>G. Borges/LIP</w:t>
            </w:r>
          </w:p>
          <w:p w:rsidR="00312D12" w:rsidRPr="00371B32" w:rsidRDefault="00312D12" w:rsidP="00207D16">
            <w:pPr>
              <w:pStyle w:val="Header"/>
              <w:spacing w:before="0" w:after="0"/>
              <w:jc w:val="left"/>
            </w:pPr>
            <w:r>
              <w:t>P. Solagna/EGI.eu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proofErr w:type="gramStart"/>
      <w:r w:rsidRPr="00371B32">
        <w:t>:</w:t>
      </w:r>
      <w:bookmarkStart w:id="4" w:name="_Toc105397224"/>
      <w:bookmarkEnd w:id="4"/>
      <w:proofErr w:type="gramEnd"/>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Default="00207D16" w:rsidP="00207D16">
      <w:pPr>
        <w:jc w:val="left"/>
      </w:pPr>
      <w:r w:rsidRPr="00371B32">
        <w:lastRenderedPageBreak/>
        <w:t xml:space="preserve">A complete project glossary is provided at the following page: </w:t>
      </w:r>
      <w:r w:rsidR="0056138A" w:rsidRPr="0056138A">
        <w:t>https://wiki.egi.eu/wiki/Glossary</w:t>
      </w:r>
      <w:r w:rsidRPr="00371B32">
        <w:t xml:space="preserve">.    </w:t>
      </w:r>
    </w:p>
    <w:p w:rsidR="004274C3" w:rsidRDefault="004274C3" w:rsidP="004274C3">
      <w:pPr>
        <w:pStyle w:val="Preface"/>
      </w:pPr>
      <w:r>
        <w:t>Index of Figures</w:t>
      </w:r>
    </w:p>
    <w:bookmarkStart w:id="9" w:name="_GoBack"/>
    <w:bookmarkEnd w:id="9"/>
    <w:p w:rsidR="003D6690" w:rsidRDefault="004274C3">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4172819" w:history="1">
        <w:r w:rsidR="003D6690" w:rsidRPr="0000175F">
          <w:rPr>
            <w:rStyle w:val="Hyperlink"/>
            <w:noProof/>
          </w:rPr>
          <w:t>Figure 1. Number of certified production RCs from 01/09/2009 to 01/03/2012 (data source: GOCDB).</w:t>
        </w:r>
        <w:r w:rsidR="003D6690">
          <w:rPr>
            <w:noProof/>
            <w:webHidden/>
          </w:rPr>
          <w:tab/>
        </w:r>
        <w:r w:rsidR="003D6690">
          <w:rPr>
            <w:noProof/>
            <w:webHidden/>
          </w:rPr>
          <w:fldChar w:fldCharType="begin"/>
        </w:r>
        <w:r w:rsidR="003D6690">
          <w:rPr>
            <w:noProof/>
            <w:webHidden/>
          </w:rPr>
          <w:instrText xml:space="preserve"> PAGEREF _Toc324172819 \h </w:instrText>
        </w:r>
        <w:r w:rsidR="003D6690">
          <w:rPr>
            <w:noProof/>
            <w:webHidden/>
          </w:rPr>
        </w:r>
        <w:r w:rsidR="003D6690">
          <w:rPr>
            <w:noProof/>
            <w:webHidden/>
          </w:rPr>
          <w:fldChar w:fldCharType="separate"/>
        </w:r>
        <w:r w:rsidR="003D6690">
          <w:rPr>
            <w:noProof/>
            <w:webHidden/>
          </w:rPr>
          <w:t>14</w:t>
        </w:r>
        <w:r w:rsidR="003D6690">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0" w:history="1">
        <w:r w:rsidRPr="0000175F">
          <w:rPr>
            <w:rStyle w:val="Hyperlink"/>
            <w:noProof/>
          </w:rPr>
          <w:t>Figure 2. EGI countries hosting certified production Resource Centres from 01/09/2009 to 01/03/2012 (data source: GOCDB).</w:t>
        </w:r>
        <w:r>
          <w:rPr>
            <w:noProof/>
            <w:webHidden/>
          </w:rPr>
          <w:tab/>
        </w:r>
        <w:r>
          <w:rPr>
            <w:noProof/>
            <w:webHidden/>
          </w:rPr>
          <w:fldChar w:fldCharType="begin"/>
        </w:r>
        <w:r>
          <w:rPr>
            <w:noProof/>
            <w:webHidden/>
          </w:rPr>
          <w:instrText xml:space="preserve"> PAGEREF _Toc324172820 \h </w:instrText>
        </w:r>
        <w:r>
          <w:rPr>
            <w:noProof/>
            <w:webHidden/>
          </w:rPr>
        </w:r>
        <w:r>
          <w:rPr>
            <w:noProof/>
            <w:webHidden/>
          </w:rPr>
          <w:fldChar w:fldCharType="separate"/>
        </w:r>
        <w:r>
          <w:rPr>
            <w:noProof/>
            <w:webHidden/>
          </w:rPr>
          <w:t>16</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1" w:history="1">
        <w:r w:rsidRPr="0000175F">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w:t>
        </w:r>
        <w:r>
          <w:rPr>
            <w:noProof/>
            <w:webHidden/>
          </w:rPr>
          <w:tab/>
        </w:r>
        <w:r>
          <w:rPr>
            <w:noProof/>
            <w:webHidden/>
          </w:rPr>
          <w:fldChar w:fldCharType="begin"/>
        </w:r>
        <w:r>
          <w:rPr>
            <w:noProof/>
            <w:webHidden/>
          </w:rPr>
          <w:instrText xml:space="preserve"> PAGEREF _Toc324172821 \h </w:instrText>
        </w:r>
        <w:r>
          <w:rPr>
            <w:noProof/>
            <w:webHidden/>
          </w:rPr>
        </w:r>
        <w:r>
          <w:rPr>
            <w:noProof/>
            <w:webHidden/>
          </w:rPr>
          <w:fldChar w:fldCharType="separate"/>
        </w:r>
        <w:r>
          <w:rPr>
            <w:noProof/>
            <w:webHidden/>
          </w:rPr>
          <w:t>20</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2" w:history="1">
        <w:r w:rsidRPr="0000175F">
          <w:rPr>
            <w:rStyle w:val="Hyperlink"/>
            <w:noProof/>
          </w:rPr>
          <w:t>Figure 4. Distribution of logical cores (blue bar) and HEP SPEC 06 installed capacity (red bar) at the end of PQ7 across EGI Resource infrastructure Providers, including EGI-InSPIRE partners, council members and integrated infrastructures.</w:t>
        </w:r>
        <w:r>
          <w:rPr>
            <w:noProof/>
            <w:webHidden/>
          </w:rPr>
          <w:tab/>
        </w:r>
        <w:r>
          <w:rPr>
            <w:noProof/>
            <w:webHidden/>
          </w:rPr>
          <w:fldChar w:fldCharType="begin"/>
        </w:r>
        <w:r>
          <w:rPr>
            <w:noProof/>
            <w:webHidden/>
          </w:rPr>
          <w:instrText xml:space="preserve"> PAGEREF _Toc324172822 \h </w:instrText>
        </w:r>
        <w:r>
          <w:rPr>
            <w:noProof/>
            <w:webHidden/>
          </w:rPr>
        </w:r>
        <w:r>
          <w:rPr>
            <w:noProof/>
            <w:webHidden/>
          </w:rPr>
          <w:fldChar w:fldCharType="separate"/>
        </w:r>
        <w:r>
          <w:rPr>
            <w:noProof/>
            <w:webHidden/>
          </w:rPr>
          <w:t>20</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3" w:history="1">
        <w:r w:rsidRPr="0000175F">
          <w:rPr>
            <w:rStyle w:val="Hyperlink"/>
            <w:noProof/>
          </w:rPr>
          <w:t>Figure 5. Installed disk capacity in PB across the EGI RPs at the end of PQ7 – red bar – compared to the installed capacity in PQ3 – blue bar (source: Metrics Portal and Gstat).</w:t>
        </w:r>
        <w:r>
          <w:rPr>
            <w:noProof/>
            <w:webHidden/>
          </w:rPr>
          <w:tab/>
        </w:r>
        <w:r>
          <w:rPr>
            <w:noProof/>
            <w:webHidden/>
          </w:rPr>
          <w:fldChar w:fldCharType="begin"/>
        </w:r>
        <w:r>
          <w:rPr>
            <w:noProof/>
            <w:webHidden/>
          </w:rPr>
          <w:instrText xml:space="preserve"> PAGEREF _Toc324172823 \h </w:instrText>
        </w:r>
        <w:r>
          <w:rPr>
            <w:noProof/>
            <w:webHidden/>
          </w:rPr>
        </w:r>
        <w:r>
          <w:rPr>
            <w:noProof/>
            <w:webHidden/>
          </w:rPr>
          <w:fldChar w:fldCharType="separate"/>
        </w:r>
        <w:r>
          <w:rPr>
            <w:noProof/>
            <w:webHidden/>
          </w:rPr>
          <w:t>21</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4" w:history="1">
        <w:r w:rsidRPr="0000175F">
          <w:rPr>
            <w:rStyle w:val="Hyperlink"/>
            <w:noProof/>
          </w:rPr>
          <w:t>Figure 6. Distribution of number Vos per discipline (March 2012, source: Operations Portal).</w:t>
        </w:r>
        <w:r>
          <w:rPr>
            <w:noProof/>
            <w:webHidden/>
          </w:rPr>
          <w:tab/>
        </w:r>
        <w:r>
          <w:rPr>
            <w:noProof/>
            <w:webHidden/>
          </w:rPr>
          <w:fldChar w:fldCharType="begin"/>
        </w:r>
        <w:r>
          <w:rPr>
            <w:noProof/>
            <w:webHidden/>
          </w:rPr>
          <w:instrText xml:space="preserve"> PAGEREF _Toc324172824 \h </w:instrText>
        </w:r>
        <w:r>
          <w:rPr>
            <w:noProof/>
            <w:webHidden/>
          </w:rPr>
        </w:r>
        <w:r>
          <w:rPr>
            <w:noProof/>
            <w:webHidden/>
          </w:rPr>
          <w:fldChar w:fldCharType="separate"/>
        </w:r>
        <w:r>
          <w:rPr>
            <w:noProof/>
            <w:webHidden/>
          </w:rPr>
          <w:t>24</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5" w:history="1">
        <w:r w:rsidRPr="0000175F">
          <w:rPr>
            <w:rStyle w:val="Hyperlink"/>
            <w:noProof/>
          </w:rPr>
          <w:t>Figure 7. Comparison of the VO distribution at the end of March 2011 (blue bars) and at the end of March 2012 (red bars).</w:t>
        </w:r>
        <w:r>
          <w:rPr>
            <w:noProof/>
            <w:webHidden/>
          </w:rPr>
          <w:tab/>
        </w:r>
        <w:r>
          <w:rPr>
            <w:noProof/>
            <w:webHidden/>
          </w:rPr>
          <w:fldChar w:fldCharType="begin"/>
        </w:r>
        <w:r>
          <w:rPr>
            <w:noProof/>
            <w:webHidden/>
          </w:rPr>
          <w:instrText xml:space="preserve"> PAGEREF _Toc324172825 \h </w:instrText>
        </w:r>
        <w:r>
          <w:rPr>
            <w:noProof/>
            <w:webHidden/>
          </w:rPr>
        </w:r>
        <w:r>
          <w:rPr>
            <w:noProof/>
            <w:webHidden/>
          </w:rPr>
          <w:fldChar w:fldCharType="separate"/>
        </w:r>
        <w:r>
          <w:rPr>
            <w:noProof/>
            <w:webHidden/>
          </w:rPr>
          <w:t>24</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6" w:history="1">
        <w:r w:rsidRPr="0000175F">
          <w:rPr>
            <w:rStyle w:val="Hyperlink"/>
            <w:noProof/>
          </w:rPr>
          <w:t>Figure 8. User distribution per discipline (March 2012, source: Operations Portal)</w:t>
        </w:r>
        <w:r>
          <w:rPr>
            <w:noProof/>
            <w:webHidden/>
          </w:rPr>
          <w:tab/>
        </w:r>
        <w:r>
          <w:rPr>
            <w:noProof/>
            <w:webHidden/>
          </w:rPr>
          <w:fldChar w:fldCharType="begin"/>
        </w:r>
        <w:r>
          <w:rPr>
            <w:noProof/>
            <w:webHidden/>
          </w:rPr>
          <w:instrText xml:space="preserve"> PAGEREF _Toc324172826 \h </w:instrText>
        </w:r>
        <w:r>
          <w:rPr>
            <w:noProof/>
            <w:webHidden/>
          </w:rPr>
        </w:r>
        <w:r>
          <w:rPr>
            <w:noProof/>
            <w:webHidden/>
          </w:rPr>
          <w:fldChar w:fldCharType="separate"/>
        </w:r>
        <w:r>
          <w:rPr>
            <w:noProof/>
            <w:webHidden/>
          </w:rPr>
          <w:t>25</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7" w:history="1">
        <w:r w:rsidRPr="0000175F">
          <w:rPr>
            <w:rStyle w:val="Hyperlink"/>
            <w:noProof/>
          </w:rPr>
          <w:t>Figure 9. Comparison of the number of users per discipline in April 2011 (blue bar) and April 2012 (red bar).</w:t>
        </w:r>
        <w:r>
          <w:rPr>
            <w:noProof/>
            <w:webHidden/>
          </w:rPr>
          <w:tab/>
        </w:r>
        <w:r>
          <w:rPr>
            <w:noProof/>
            <w:webHidden/>
          </w:rPr>
          <w:fldChar w:fldCharType="begin"/>
        </w:r>
        <w:r>
          <w:rPr>
            <w:noProof/>
            <w:webHidden/>
          </w:rPr>
          <w:instrText xml:space="preserve"> PAGEREF _Toc324172827 \h </w:instrText>
        </w:r>
        <w:r>
          <w:rPr>
            <w:noProof/>
            <w:webHidden/>
          </w:rPr>
        </w:r>
        <w:r>
          <w:rPr>
            <w:noProof/>
            <w:webHidden/>
          </w:rPr>
          <w:fldChar w:fldCharType="separate"/>
        </w:r>
        <w:r>
          <w:rPr>
            <w:noProof/>
            <w:webHidden/>
          </w:rPr>
          <w:t>25</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8" w:history="1">
        <w:r w:rsidRPr="0000175F">
          <w:rPr>
            <w:rStyle w:val="Hyperlink"/>
            <w:noProof/>
          </w:rPr>
          <w:t>Figure 10. Usage of EGI resources (HEP-SPEC 06 CPU wall clock hours) from the beginning of the project to date - a – and during PY2 - b  (source: accounting portal).</w:t>
        </w:r>
        <w:r>
          <w:rPr>
            <w:noProof/>
            <w:webHidden/>
          </w:rPr>
          <w:tab/>
        </w:r>
        <w:r>
          <w:rPr>
            <w:noProof/>
            <w:webHidden/>
          </w:rPr>
          <w:fldChar w:fldCharType="begin"/>
        </w:r>
        <w:r>
          <w:rPr>
            <w:noProof/>
            <w:webHidden/>
          </w:rPr>
          <w:instrText xml:space="preserve"> PAGEREF _Toc324172828 \h </w:instrText>
        </w:r>
        <w:r>
          <w:rPr>
            <w:noProof/>
            <w:webHidden/>
          </w:rPr>
        </w:r>
        <w:r>
          <w:rPr>
            <w:noProof/>
            <w:webHidden/>
          </w:rPr>
          <w:fldChar w:fldCharType="separate"/>
        </w:r>
        <w:r>
          <w:rPr>
            <w:noProof/>
            <w:webHidden/>
          </w:rPr>
          <w:t>27</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29" w:history="1">
        <w:r w:rsidRPr="0000175F">
          <w:rPr>
            <w:rStyle w:val="Hyperlink"/>
            <w:noProof/>
          </w:rPr>
          <w:t>Figure 11. Used normalized CPU wall clock time (a) and number of jobs done (b) across disciplines during PY2.</w:t>
        </w:r>
        <w:r>
          <w:rPr>
            <w:noProof/>
            <w:webHidden/>
          </w:rPr>
          <w:tab/>
        </w:r>
        <w:r>
          <w:rPr>
            <w:noProof/>
            <w:webHidden/>
          </w:rPr>
          <w:fldChar w:fldCharType="begin"/>
        </w:r>
        <w:r>
          <w:rPr>
            <w:noProof/>
            <w:webHidden/>
          </w:rPr>
          <w:instrText xml:space="preserve"> PAGEREF _Toc324172829 \h </w:instrText>
        </w:r>
        <w:r>
          <w:rPr>
            <w:noProof/>
            <w:webHidden/>
          </w:rPr>
        </w:r>
        <w:r>
          <w:rPr>
            <w:noProof/>
            <w:webHidden/>
          </w:rPr>
          <w:fldChar w:fldCharType="separate"/>
        </w:r>
        <w:r>
          <w:rPr>
            <w:noProof/>
            <w:webHidden/>
          </w:rPr>
          <w:t>29</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0" w:history="1">
        <w:r w:rsidRPr="0000175F">
          <w:rPr>
            <w:rStyle w:val="Hyperlink"/>
            <w:noProof/>
          </w:rPr>
          <w:t>Figure 12. Distribution across EGI Operations Centres of usage of CPU wall clock time (HEP-SPEC 06 hours). HEP usage is displayed in blue and the aggregated usage of non-HEP disciplines is in red from May 2011 to April 2012 (source: accounting portal).</w:t>
        </w:r>
        <w:r>
          <w:rPr>
            <w:noProof/>
            <w:webHidden/>
          </w:rPr>
          <w:tab/>
        </w:r>
        <w:r>
          <w:rPr>
            <w:noProof/>
            <w:webHidden/>
          </w:rPr>
          <w:fldChar w:fldCharType="begin"/>
        </w:r>
        <w:r>
          <w:rPr>
            <w:noProof/>
            <w:webHidden/>
          </w:rPr>
          <w:instrText xml:space="preserve"> PAGEREF _Toc324172830 \h </w:instrText>
        </w:r>
        <w:r>
          <w:rPr>
            <w:noProof/>
            <w:webHidden/>
          </w:rPr>
        </w:r>
        <w:r>
          <w:rPr>
            <w:noProof/>
            <w:webHidden/>
          </w:rPr>
          <w:fldChar w:fldCharType="separate"/>
        </w:r>
        <w:r>
          <w:rPr>
            <w:noProof/>
            <w:webHidden/>
          </w:rPr>
          <w:t>31</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1" w:history="1">
        <w:r w:rsidRPr="0000175F">
          <w:rPr>
            <w:rStyle w:val="Hyperlink"/>
            <w:noProof/>
          </w:rPr>
          <w:t>Figure 13. Distribution across EGI Operations Centres of aggregated usage of non-HEP disciplines (CPU wall clock time in HEP-SPEC 06 hours) from May 2011 to April 2012 (source: accounting portal).</w:t>
        </w:r>
        <w:r>
          <w:rPr>
            <w:noProof/>
            <w:webHidden/>
          </w:rPr>
          <w:tab/>
        </w:r>
        <w:r>
          <w:rPr>
            <w:noProof/>
            <w:webHidden/>
          </w:rPr>
          <w:fldChar w:fldCharType="begin"/>
        </w:r>
        <w:r>
          <w:rPr>
            <w:noProof/>
            <w:webHidden/>
          </w:rPr>
          <w:instrText xml:space="preserve"> PAGEREF _Toc324172831 \h </w:instrText>
        </w:r>
        <w:r>
          <w:rPr>
            <w:noProof/>
            <w:webHidden/>
          </w:rPr>
        </w:r>
        <w:r>
          <w:rPr>
            <w:noProof/>
            <w:webHidden/>
          </w:rPr>
          <w:fldChar w:fldCharType="separate"/>
        </w:r>
        <w:r>
          <w:rPr>
            <w:noProof/>
            <w:webHidden/>
          </w:rPr>
          <w:t>32</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2" w:history="1">
        <w:r w:rsidRPr="0000175F">
          <w:rPr>
            <w:rStyle w:val="Hyperlink"/>
            <w:noProof/>
          </w:rPr>
          <w:t>Figure 14. Distribution of resource usage (%) across HEP and non-HEP disciplines. Usage is estimated as normalized CPU wall clock time (HEP-SPEC 06 hours) from May 2011 to April 2012 (source: accounting portal).</w:t>
        </w:r>
        <w:r>
          <w:rPr>
            <w:noProof/>
            <w:webHidden/>
          </w:rPr>
          <w:tab/>
        </w:r>
        <w:r>
          <w:rPr>
            <w:noProof/>
            <w:webHidden/>
          </w:rPr>
          <w:fldChar w:fldCharType="begin"/>
        </w:r>
        <w:r>
          <w:rPr>
            <w:noProof/>
            <w:webHidden/>
          </w:rPr>
          <w:instrText xml:space="preserve"> PAGEREF _Toc324172832 \h </w:instrText>
        </w:r>
        <w:r>
          <w:rPr>
            <w:noProof/>
            <w:webHidden/>
          </w:rPr>
        </w:r>
        <w:r>
          <w:rPr>
            <w:noProof/>
            <w:webHidden/>
          </w:rPr>
          <w:fldChar w:fldCharType="separate"/>
        </w:r>
        <w:r>
          <w:rPr>
            <w:noProof/>
            <w:webHidden/>
          </w:rPr>
          <w:t>32</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3" w:history="1">
        <w:r w:rsidRPr="0000175F">
          <w:rPr>
            <w:rStyle w:val="Hyperlink"/>
            <w:noProof/>
          </w:rPr>
          <w:t>Figure 15. Classification of VO resource utilization per activity level (Low – red, Medium – Green, High – blue) from May 2008 (beginning of EGEE-III project to March 2012).</w:t>
        </w:r>
        <w:r>
          <w:rPr>
            <w:noProof/>
            <w:webHidden/>
          </w:rPr>
          <w:tab/>
        </w:r>
        <w:r>
          <w:rPr>
            <w:noProof/>
            <w:webHidden/>
          </w:rPr>
          <w:fldChar w:fldCharType="begin"/>
        </w:r>
        <w:r>
          <w:rPr>
            <w:noProof/>
            <w:webHidden/>
          </w:rPr>
          <w:instrText xml:space="preserve"> PAGEREF _Toc324172833 \h </w:instrText>
        </w:r>
        <w:r>
          <w:rPr>
            <w:noProof/>
            <w:webHidden/>
          </w:rPr>
        </w:r>
        <w:r>
          <w:rPr>
            <w:noProof/>
            <w:webHidden/>
          </w:rPr>
          <w:fldChar w:fldCharType="separate"/>
        </w:r>
        <w:r>
          <w:rPr>
            <w:noProof/>
            <w:webHidden/>
          </w:rPr>
          <w:t>33</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4" w:history="1">
        <w:r w:rsidRPr="0000175F">
          <w:rPr>
            <w:rStyle w:val="Hyperlink"/>
            <w:noProof/>
          </w:rPr>
          <w:t>Figure 16. Quarterly availability and reliability of resource centres averaged across EGI from May 2010 to end of PQ7.</w:t>
        </w:r>
        <w:r>
          <w:rPr>
            <w:noProof/>
            <w:webHidden/>
          </w:rPr>
          <w:tab/>
        </w:r>
        <w:r>
          <w:rPr>
            <w:noProof/>
            <w:webHidden/>
          </w:rPr>
          <w:fldChar w:fldCharType="begin"/>
        </w:r>
        <w:r>
          <w:rPr>
            <w:noProof/>
            <w:webHidden/>
          </w:rPr>
          <w:instrText xml:space="preserve"> PAGEREF _Toc324172834 \h </w:instrText>
        </w:r>
        <w:r>
          <w:rPr>
            <w:noProof/>
            <w:webHidden/>
          </w:rPr>
        </w:r>
        <w:r>
          <w:rPr>
            <w:noProof/>
            <w:webHidden/>
          </w:rPr>
          <w:fldChar w:fldCharType="separate"/>
        </w:r>
        <w:r>
          <w:rPr>
            <w:noProof/>
            <w:webHidden/>
          </w:rPr>
          <w:t>36</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5" w:history="1">
        <w:r w:rsidRPr="0000175F">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Pr>
            <w:noProof/>
            <w:webHidden/>
          </w:rPr>
          <w:tab/>
        </w:r>
        <w:r>
          <w:rPr>
            <w:noProof/>
            <w:webHidden/>
          </w:rPr>
          <w:fldChar w:fldCharType="begin"/>
        </w:r>
        <w:r>
          <w:rPr>
            <w:noProof/>
            <w:webHidden/>
          </w:rPr>
          <w:instrText xml:space="preserve"> PAGEREF _Toc324172835 \h </w:instrText>
        </w:r>
        <w:r>
          <w:rPr>
            <w:noProof/>
            <w:webHidden/>
          </w:rPr>
        </w:r>
        <w:r>
          <w:rPr>
            <w:noProof/>
            <w:webHidden/>
          </w:rPr>
          <w:fldChar w:fldCharType="separate"/>
        </w:r>
        <w:r>
          <w:rPr>
            <w:noProof/>
            <w:webHidden/>
          </w:rPr>
          <w:t>37</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6" w:history="1">
        <w:r w:rsidRPr="0000175F">
          <w:rPr>
            <w:rStyle w:val="Hyperlink"/>
            <w:noProof/>
          </w:rPr>
          <w:t>Figure 18. ROD average monthly workload (from PQ5 to PQ7).</w:t>
        </w:r>
        <w:r>
          <w:rPr>
            <w:noProof/>
            <w:webHidden/>
          </w:rPr>
          <w:tab/>
        </w:r>
        <w:r>
          <w:rPr>
            <w:noProof/>
            <w:webHidden/>
          </w:rPr>
          <w:fldChar w:fldCharType="begin"/>
        </w:r>
        <w:r>
          <w:rPr>
            <w:noProof/>
            <w:webHidden/>
          </w:rPr>
          <w:instrText xml:space="preserve"> PAGEREF _Toc324172836 \h </w:instrText>
        </w:r>
        <w:r>
          <w:rPr>
            <w:noProof/>
            <w:webHidden/>
          </w:rPr>
        </w:r>
        <w:r>
          <w:rPr>
            <w:noProof/>
            <w:webHidden/>
          </w:rPr>
          <w:fldChar w:fldCharType="separate"/>
        </w:r>
        <w:r>
          <w:rPr>
            <w:noProof/>
            <w:webHidden/>
          </w:rPr>
          <w:t>39</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7" w:history="1">
        <w:r w:rsidRPr="0000175F">
          <w:rPr>
            <w:rStyle w:val="Hyperlink"/>
            <w:noProof/>
          </w:rPr>
          <w:t>Figure 19. ROD quality metric (monthly average from PQ5 to PQ7).</w:t>
        </w:r>
        <w:r>
          <w:rPr>
            <w:noProof/>
            <w:webHidden/>
          </w:rPr>
          <w:tab/>
        </w:r>
        <w:r>
          <w:rPr>
            <w:noProof/>
            <w:webHidden/>
          </w:rPr>
          <w:fldChar w:fldCharType="begin"/>
        </w:r>
        <w:r>
          <w:rPr>
            <w:noProof/>
            <w:webHidden/>
          </w:rPr>
          <w:instrText xml:space="preserve"> PAGEREF _Toc324172837 \h </w:instrText>
        </w:r>
        <w:r>
          <w:rPr>
            <w:noProof/>
            <w:webHidden/>
          </w:rPr>
        </w:r>
        <w:r>
          <w:rPr>
            <w:noProof/>
            <w:webHidden/>
          </w:rPr>
          <w:fldChar w:fldCharType="separate"/>
        </w:r>
        <w:r>
          <w:rPr>
            <w:noProof/>
            <w:webHidden/>
          </w:rPr>
          <w:t>39</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8" w:history="1">
        <w:r w:rsidRPr="0000175F">
          <w:rPr>
            <w:rStyle w:val="Hyperlink"/>
            <w:noProof/>
          </w:rPr>
          <w:t>Figure 20, deployement of the four reference grid middlware stacks across the EGI-InSPIRE operatiosn centres, March 2012 (source GOCDB)</w:t>
        </w:r>
        <w:r>
          <w:rPr>
            <w:noProof/>
            <w:webHidden/>
          </w:rPr>
          <w:tab/>
        </w:r>
        <w:r>
          <w:rPr>
            <w:noProof/>
            <w:webHidden/>
          </w:rPr>
          <w:fldChar w:fldCharType="begin"/>
        </w:r>
        <w:r>
          <w:rPr>
            <w:noProof/>
            <w:webHidden/>
          </w:rPr>
          <w:instrText xml:space="preserve"> PAGEREF _Toc324172838 \h </w:instrText>
        </w:r>
        <w:r>
          <w:rPr>
            <w:noProof/>
            <w:webHidden/>
          </w:rPr>
        </w:r>
        <w:r>
          <w:rPr>
            <w:noProof/>
            <w:webHidden/>
          </w:rPr>
          <w:fldChar w:fldCharType="separate"/>
        </w:r>
        <w:r>
          <w:rPr>
            <w:noProof/>
            <w:webHidden/>
          </w:rPr>
          <w:t>44</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39" w:history="1">
        <w:r w:rsidRPr="0000175F">
          <w:rPr>
            <w:rStyle w:val="Hyperlink"/>
            <w:noProof/>
          </w:rPr>
          <w:t>Figure 21, Number of instances of the different implementations of the compute capability, across the EGI_InSPIRE partners and the integrated Resource infrastructure Providers, March 2012 (source: GOCDB)</w:t>
        </w:r>
        <w:r>
          <w:rPr>
            <w:noProof/>
            <w:webHidden/>
          </w:rPr>
          <w:tab/>
        </w:r>
        <w:r>
          <w:rPr>
            <w:noProof/>
            <w:webHidden/>
          </w:rPr>
          <w:fldChar w:fldCharType="begin"/>
        </w:r>
        <w:r>
          <w:rPr>
            <w:noProof/>
            <w:webHidden/>
          </w:rPr>
          <w:instrText xml:space="preserve"> PAGEREF _Toc324172839 \h </w:instrText>
        </w:r>
        <w:r>
          <w:rPr>
            <w:noProof/>
            <w:webHidden/>
          </w:rPr>
        </w:r>
        <w:r>
          <w:rPr>
            <w:noProof/>
            <w:webHidden/>
          </w:rPr>
          <w:fldChar w:fldCharType="separate"/>
        </w:r>
        <w:r>
          <w:rPr>
            <w:noProof/>
            <w:webHidden/>
          </w:rPr>
          <w:t>45</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40" w:history="1">
        <w:r w:rsidRPr="0000175F">
          <w:rPr>
            <w:rStyle w:val="Hyperlink"/>
            <w:noProof/>
          </w:rPr>
          <w:t>Figure 22. Deployment of the different (gLite and EMI) releases for the services: WN, CREAM, WMS, LFC and DPM, March 2012 (source: information discovery system).</w:t>
        </w:r>
        <w:r>
          <w:rPr>
            <w:noProof/>
            <w:webHidden/>
          </w:rPr>
          <w:tab/>
        </w:r>
        <w:r>
          <w:rPr>
            <w:noProof/>
            <w:webHidden/>
          </w:rPr>
          <w:fldChar w:fldCharType="begin"/>
        </w:r>
        <w:r>
          <w:rPr>
            <w:noProof/>
            <w:webHidden/>
          </w:rPr>
          <w:instrText xml:space="preserve"> PAGEREF _Toc324172840 \h </w:instrText>
        </w:r>
        <w:r>
          <w:rPr>
            <w:noProof/>
            <w:webHidden/>
          </w:rPr>
        </w:r>
        <w:r>
          <w:rPr>
            <w:noProof/>
            <w:webHidden/>
          </w:rPr>
          <w:fldChar w:fldCharType="separate"/>
        </w:r>
        <w:r>
          <w:rPr>
            <w:noProof/>
            <w:webHidden/>
          </w:rPr>
          <w:t>47</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41" w:history="1">
        <w:r w:rsidRPr="0000175F">
          <w:rPr>
            <w:rStyle w:val="Hyperlink"/>
            <w:noProof/>
          </w:rPr>
          <w:t>Figure 23, Number of core services instances deployed within the EGI-InSPIRE integrated infrastructure.  Where not specified, source: information system (March 2012)</w:t>
        </w:r>
        <w:r>
          <w:rPr>
            <w:noProof/>
            <w:webHidden/>
          </w:rPr>
          <w:tab/>
        </w:r>
        <w:r>
          <w:rPr>
            <w:noProof/>
            <w:webHidden/>
          </w:rPr>
          <w:fldChar w:fldCharType="begin"/>
        </w:r>
        <w:r>
          <w:rPr>
            <w:noProof/>
            <w:webHidden/>
          </w:rPr>
          <w:instrText xml:space="preserve"> PAGEREF _Toc324172841 \h </w:instrText>
        </w:r>
        <w:r>
          <w:rPr>
            <w:noProof/>
            <w:webHidden/>
          </w:rPr>
        </w:r>
        <w:r>
          <w:rPr>
            <w:noProof/>
            <w:webHidden/>
          </w:rPr>
          <w:fldChar w:fldCharType="separate"/>
        </w:r>
        <w:r>
          <w:rPr>
            <w:noProof/>
            <w:webHidden/>
          </w:rPr>
          <w:t>50</w:t>
        </w:r>
        <w:r>
          <w:rPr>
            <w:noProof/>
            <w:webHidden/>
          </w:rPr>
          <w:fldChar w:fldCharType="end"/>
        </w:r>
      </w:hyperlink>
    </w:p>
    <w:p w:rsidR="003D6690" w:rsidRDefault="003D6690">
      <w:pPr>
        <w:pStyle w:val="TableofFigures"/>
        <w:tabs>
          <w:tab w:val="right" w:leader="dot" w:pos="9054"/>
        </w:tabs>
        <w:rPr>
          <w:rFonts w:asciiTheme="minorHAnsi" w:eastAsiaTheme="minorEastAsia" w:hAnsiTheme="minorHAnsi" w:cstheme="minorBidi"/>
          <w:noProof/>
          <w:szCs w:val="22"/>
          <w:lang w:eastAsia="en-GB"/>
        </w:rPr>
      </w:pPr>
      <w:hyperlink w:anchor="_Toc324172842" w:history="1">
        <w:r w:rsidRPr="0000175F">
          <w:rPr>
            <w:rStyle w:val="Hyperlink"/>
            <w:noProof/>
          </w:rPr>
          <w:t>Figure 24. Number of Staged Rollout tests performed from PQ1 to PQ8 by NGIs/EIROs.</w:t>
        </w:r>
        <w:r>
          <w:rPr>
            <w:noProof/>
            <w:webHidden/>
          </w:rPr>
          <w:tab/>
        </w:r>
        <w:r>
          <w:rPr>
            <w:noProof/>
            <w:webHidden/>
          </w:rPr>
          <w:fldChar w:fldCharType="begin"/>
        </w:r>
        <w:r>
          <w:rPr>
            <w:noProof/>
            <w:webHidden/>
          </w:rPr>
          <w:instrText xml:space="preserve"> PAGEREF _Toc324172842 \h </w:instrText>
        </w:r>
        <w:r>
          <w:rPr>
            <w:noProof/>
            <w:webHidden/>
          </w:rPr>
        </w:r>
        <w:r>
          <w:rPr>
            <w:noProof/>
            <w:webHidden/>
          </w:rPr>
          <w:fldChar w:fldCharType="separate"/>
        </w:r>
        <w:r>
          <w:rPr>
            <w:noProof/>
            <w:webHidden/>
          </w:rPr>
          <w:t>52</w:t>
        </w:r>
        <w:r>
          <w:rPr>
            <w:noProof/>
            <w:webHidden/>
          </w:rPr>
          <w:fldChar w:fldCharType="end"/>
        </w:r>
      </w:hyperlink>
    </w:p>
    <w:p w:rsidR="004274C3" w:rsidRPr="004274C3" w:rsidRDefault="004274C3" w:rsidP="004274C3">
      <w:r>
        <w:fldChar w:fldCharType="end"/>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F65D34">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F65D34">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F65D34">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F65D34">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F65D34">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F65D34">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D3596" w:rsidP="00207D16">
      <w:pPr>
        <w:suppressAutoHyphens w:val="0"/>
        <w:spacing w:before="0" w:after="0"/>
        <w:jc w:val="left"/>
        <w:rPr>
          <w:szCs w:val="22"/>
          <w:lang w:val="en-US"/>
        </w:rPr>
      </w:pPr>
      <w:bookmarkStart w:id="10" w:name="_Toc264392864"/>
      <w:r>
        <w:rPr>
          <w:szCs w:val="22"/>
          <w:lang w:val="en-US"/>
        </w:rPr>
        <w:br w:type="page"/>
      </w:r>
    </w:p>
    <w:p w:rsidR="00207D16" w:rsidRPr="00371B32" w:rsidRDefault="00207D16" w:rsidP="00207D16">
      <w:pPr>
        <w:pStyle w:val="Preface"/>
      </w:pPr>
      <w:r w:rsidRPr="00371B32">
        <w:lastRenderedPageBreak/>
        <w:t>EXECUTIVE SUMMARY</w:t>
      </w:r>
      <w:bookmarkEnd w:id="10"/>
    </w:p>
    <w:p w:rsidR="009B72C6" w:rsidRDefault="009B72C6" w:rsidP="009B72C6">
      <w:r>
        <w:t xml:space="preserve">The total number of Resource Centres (RCs) in March 2011 amounts to 352 instances, of which: 326 are contributed by European NGIs/EIROs that are EGI-InSPIRE partners or Council members and 26 by integrated Resource infrastructure Provides (RPs) namely: Canada, Latin America – Brazil, Chile, Colombia and Mexico, and </w:t>
      </w:r>
      <w:proofErr w:type="spellStart"/>
      <w:r>
        <w:t>Iniciativa</w:t>
      </w:r>
      <w:proofErr w:type="spellEnd"/>
      <w:r>
        <w:t xml:space="preserve"> de Grid de America Latina - Caribe – Argentina, Brazil, Chile, Venezuela). Of these 326 RCs, 27 are contributed by Asia Pacific NGIs. The number of Resource Centres has been increasing at a lower speed since PQ2: while PY1 was characterized by the expansion of the infrastructure in the Baltic region, Latin America and Asia Pacific, PY2 was stable, and in PY3 further expansions will be mainly driven by the integration of new providers or by the integration of new software platforms. </w:t>
      </w:r>
    </w:p>
    <w:p w:rsidR="009B72C6" w:rsidRDefault="009B72C6" w:rsidP="009B72C6">
      <w:r>
        <w:t xml:space="preserve">In PY2 two new RPs got engaged with EGI by signing a Resource infrastructure Provider MoU: the South African Grid Initiative and the Ukrainian National Grid. In March 2012 EGI comprises resources provided across 56 countries and one </w:t>
      </w:r>
      <w:r w:rsidRPr="006B4B32">
        <w:rPr>
          <w:szCs w:val="22"/>
        </w:rPr>
        <w:t xml:space="preserve">European Intergovernmental Research Institute - </w:t>
      </w:r>
      <w:r>
        <w:t>CERN. 12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p>
    <w:p w:rsidR="007F3EEF" w:rsidRDefault="007F3EEF" w:rsidP="007F3EEF">
      <w:r>
        <w:t>EGI currently comprehends 27 national operations centres and 9 federated operations centres encompassing multiple NGIs. The existing federated centres in Europe (IberGrid, NGI_NL and NGI_IT) 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A new operations centre was created in Finland (NGI_FI) in June 2011. Part of the Finnish resources is operated by NGI_NDGF and another set of sites by NGI_FI. Two new additional NGIs were rolled to production: NGI_IE in June 2011 and NGI_UK in November 2011.</w:t>
      </w:r>
    </w:p>
    <w:p w:rsidR="00B16FA1" w:rsidRDefault="007F3EEF" w:rsidP="00B16FA1">
      <w:r>
        <w:t>At the end of PQ7 the total amount of CPU cores contributed by EGI-InSPIRE partners and RPs council members, amounted to 270,800 and 2.96 Million HEP-SPEC 06. The contributed compute capacity increase significantly: the number of CPU cores increased by 30.7% since March 2011, while the installed capacity in HEP-SPEC 06 increased by 49.5% thus largely exceeding the expected targets for PY2. Storage capacity also increase</w:t>
      </w:r>
      <w:r w:rsidR="00EA0176">
        <w:t>d</w:t>
      </w:r>
      <w:r>
        <w:t xml:space="preserve"> considerably: the total amount of reported installed disk capacity amounts to 139 PB (+31.4% yearly increase), while the tape capacity amounts to 134.3</w:t>
      </w:r>
      <w:r w:rsidRPr="006B4B32">
        <w:t xml:space="preserve"> PB </w:t>
      </w:r>
      <w:r>
        <w:t>(+50% yearly increase).</w:t>
      </w:r>
      <w:r w:rsidR="00B16FA1">
        <w:t xml:space="preserve"> </w:t>
      </w:r>
    </w:p>
    <w:p w:rsidR="007F3EEF" w:rsidRDefault="00B16FA1" w:rsidP="009B72C6">
      <w:r>
        <w:t>HPC integration activities focused on the objective of supporting loosely and tightly coupled multi-scale simulations across EGI and PRACE resources. Pilot activities were carried out in collaboration with the MAPPER project. A joint MAPPER-EGI-PRACE task force helped with the operational integration of the MAPPER software platform.</w:t>
      </w:r>
    </w:p>
    <w:p w:rsidR="00F82514" w:rsidRDefault="00F82514" w:rsidP="00F82514">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r>
        <w:rPr>
          <w:szCs w:val="22"/>
        </w:rPr>
        <w:t xml:space="preserve"> </w:t>
      </w:r>
      <w:r>
        <w:t xml:space="preserve">The disciplines which recorded the larger number of VOs during PY2 are in decreasing order: High-Energy Physics (+23.0% , with +39.25% of new users registered), Others (+17.7, with +19.41% of new users), Multidisciplinary VOs (+17.% VOs and +15.26% users), Infrastructure (+12.8 VOs and +2.95% users), Astronomy Astrophysics and </w:t>
      </w:r>
      <w:proofErr w:type="spellStart"/>
      <w:r>
        <w:t>Astro</w:t>
      </w:r>
      <w:proofErr w:type="spellEnd"/>
      <w:r>
        <w:t>-particle Physics (+11.9% VOs and +12.51% users), Life Sciences (+8% VOs and + 5.61% users), Earth Sciences (+5.3% VOs and +1.55% users), Computer Science and Mathematics (+6% VOs and +0.20% users), Computational Chemistry (+2.2 VOs and + 2.91% users) and Fusion (0.9% VOs and +0.46% users).</w:t>
      </w:r>
    </w:p>
    <w:p w:rsidR="00F05EEB" w:rsidRDefault="00F05EEB" w:rsidP="007D683E">
      <w:pPr>
        <w:rPr>
          <w:noProof/>
          <w:lang w:eastAsia="en-GB"/>
        </w:rPr>
      </w:pPr>
      <w:r w:rsidRPr="006B4B32">
        <w:rPr>
          <w:rFonts w:eastAsia="Cambria"/>
          <w:lang w:eastAsia="en-GB"/>
        </w:rPr>
        <w:lastRenderedPageBreak/>
        <w:t xml:space="preserve">The </w:t>
      </w:r>
      <w:r w:rsidR="00EA0176">
        <w:rPr>
          <w:rFonts w:eastAsia="Cambria"/>
          <w:lang w:eastAsia="en-GB"/>
        </w:rPr>
        <w:t xml:space="preserve">PY2 </w:t>
      </w:r>
      <w:r>
        <w:rPr>
          <w:rFonts w:eastAsia="Cambria"/>
          <w:lang w:eastAsia="en-GB"/>
        </w:rPr>
        <w:t>overall quantity of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corresponding amount of consumed resources consumed during PY1 </w:t>
      </w:r>
      <w:r w:rsidR="00EA0176">
        <w:rPr>
          <w:rFonts w:eastAsia="Cambria"/>
          <w:lang w:eastAsia="en-GB"/>
        </w:rPr>
        <w:t>is</w:t>
      </w:r>
      <w:r>
        <w:rPr>
          <w:rFonts w:eastAsia="Cambria"/>
          <w:lang w:eastAsia="en-GB"/>
        </w:rPr>
        <w:t xml:space="preserve">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Pr>
          <w:rFonts w:eastAsia="Cambria"/>
          <w:lang w:eastAsia="en-GB"/>
        </w:rPr>
        <w:t>). The PY2 workload was generated by 492.5 Million jobs</w:t>
      </w:r>
      <w:r w:rsidR="00EA0176">
        <w:rPr>
          <w:rFonts w:eastAsia="Cambria"/>
          <w:lang w:eastAsia="en-GB"/>
        </w:rPr>
        <w:t xml:space="preserve"> </w:t>
      </w:r>
      <w:proofErr w:type="gramStart"/>
      <w:r w:rsidR="00EA0176">
        <w:rPr>
          <w:rFonts w:eastAsia="Cambria"/>
          <w:lang w:eastAsia="en-GB"/>
        </w:rPr>
        <w:t>(</w:t>
      </w:r>
      <w:r>
        <w:rPr>
          <w:rFonts w:eastAsia="Cambria"/>
          <w:lang w:eastAsia="en-GB"/>
        </w:rPr>
        <w:t>1.35 Million Job/day</w:t>
      </w:r>
      <w:r w:rsidR="00EA0176">
        <w:rPr>
          <w:rFonts w:eastAsia="Cambria"/>
          <w:lang w:eastAsia="en-GB"/>
        </w:rPr>
        <w:t xml:space="preserve"> on average)</w:t>
      </w:r>
      <w:proofErr w:type="gramEnd"/>
      <w:r>
        <w:rPr>
          <w:rFonts w:eastAsia="Cambria"/>
          <w:lang w:eastAsia="en-GB"/>
        </w:rPr>
        <w:t>.</w:t>
      </w:r>
    </w:p>
    <w:p w:rsidR="00F05EEB" w:rsidRDefault="007D683E" w:rsidP="007D683E">
      <w:pPr>
        <w:rPr>
          <w:noProof/>
          <w:lang w:eastAsia="en-GB"/>
        </w:rPr>
      </w:pPr>
      <w:r>
        <w:rPr>
          <w:noProof/>
          <w:lang w:eastAsia="en-GB"/>
        </w:rPr>
        <w:t xml:space="preserve">Overall resource utilization has been </w:t>
      </w:r>
      <w:r w:rsidR="00EA0176">
        <w:rPr>
          <w:noProof/>
          <w:lang w:eastAsia="en-GB"/>
        </w:rPr>
        <w:t>satisfactorily progressing</w:t>
      </w:r>
      <w:r>
        <w:rPr>
          <w:noProof/>
          <w:lang w:eastAsia="en-GB"/>
        </w:rPr>
        <w:t xml:space="preserve"> confirming the trend</w:t>
      </w:r>
      <w:r w:rsidR="00FB1A3C">
        <w:rPr>
          <w:noProof/>
          <w:lang w:eastAsia="en-GB"/>
        </w:rPr>
        <w:t>s</w:t>
      </w:r>
      <w:r>
        <w:rPr>
          <w:noProof/>
          <w:lang w:eastAsia="en-GB"/>
        </w:rPr>
        <w:t xml:space="preserve"> of PY1. The yearly increase of the total number of jobs executed in the infrastructure in the period May 2011-April 2012 amounts to +46.42% of the yearly job workload done from May 2010 to April 2011.</w:t>
      </w:r>
      <w:r w:rsidR="00F05EEB">
        <w:rPr>
          <w:noProof/>
          <w:lang w:eastAsia="en-GB"/>
        </w:rPr>
        <w:t xml:space="preserve"> </w:t>
      </w:r>
      <w:r>
        <w:rPr>
          <w:noProof/>
          <w:lang w:eastAsia="en-GB"/>
        </w:rPr>
        <w:t xml:space="preserve">The increase is even higher  if looking to the CPU time consumed: the normalized CPU wallclock time (HEP-SPEC06 hours) from May 2011 to April 2012 </w:t>
      </w:r>
      <w:r w:rsidRPr="00224E68">
        <w:rPr>
          <w:noProof/>
          <w:lang w:eastAsia="en-GB"/>
        </w:rPr>
        <w:t>amounts to</w:t>
      </w:r>
      <w:r>
        <w:rPr>
          <w:noProof/>
          <w:lang w:eastAsia="en-GB"/>
        </w:rPr>
        <w:t xml:space="preserve"> +52.91% of the same amount </w:t>
      </w:r>
      <w:r w:rsidR="00EA0176">
        <w:rPr>
          <w:noProof/>
          <w:lang w:eastAsia="en-GB"/>
        </w:rPr>
        <w:t>during May 2010 –</w:t>
      </w:r>
      <w:r>
        <w:rPr>
          <w:noProof/>
          <w:lang w:eastAsia="en-GB"/>
        </w:rPr>
        <w:t xml:space="preserve"> April 2011. </w:t>
      </w:r>
    </w:p>
    <w:p w:rsidR="007D683E" w:rsidRDefault="007D683E" w:rsidP="007D683E">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w:t>
      </w:r>
      <w:r w:rsidR="009C2E5B">
        <w:t>the</w:t>
      </w:r>
      <w:r>
        <w:t xml:space="preserve"> used normalized CPU wall time increased from 91.13% (April 2011) to 93.60% (April 2012) of the overall amount</w:t>
      </w:r>
      <w:r w:rsidR="009C2E5B">
        <w:t xml:space="preserve"> of EGI resources used</w:t>
      </w:r>
      <w:r>
        <w:t>. In particular, the used normalized CPU wall time yearly increase</w:t>
      </w:r>
      <w:r w:rsidR="009C2E5B">
        <w:t>d</w:t>
      </w:r>
      <w:r>
        <w:t xml:space="preserve"> </w:t>
      </w:r>
      <w:r w:rsidR="009C2E5B">
        <w:t>by</w:t>
      </w:r>
      <w:r>
        <w:t xml:space="preserve"> +48.82%, while the job rate yearly increase</w:t>
      </w:r>
      <w:r w:rsidR="009C2E5B">
        <w:t>d</w:t>
      </w:r>
      <w:r>
        <w:t xml:space="preserve"> </w:t>
      </w:r>
      <w:r w:rsidR="009C2E5B">
        <w:t>by</w:t>
      </w:r>
      <w:r>
        <w:t xml:space="preserve"> +57.06%. Astronomy Astrophysics and </w:t>
      </w:r>
      <w:proofErr w:type="spellStart"/>
      <w:r>
        <w:t>Astro</w:t>
      </w:r>
      <w:proofErr w:type="spellEnd"/>
      <w:r>
        <w:t>-particle Physics are the second community in terms of used normalized CPU wall clock time, which now amounts to 2.25% of the overall EGI used CPU wall clock time, showing a +117.79% yearly increase from April 2011. Life Sciences are the third community for usage (1.30% of the overall EGI used normalized CPU time).</w:t>
      </w:r>
    </w:p>
    <w:p w:rsidR="00777FA7" w:rsidRDefault="00777FA7" w:rsidP="007D683E">
      <w:pPr>
        <w:rPr>
          <w:rFonts w:eastAsia="Cambria"/>
          <w:lang w:eastAsia="en-GB"/>
        </w:rPr>
      </w:pPr>
      <w:r>
        <w:rPr>
          <w:rFonts w:eastAsia="Cambria"/>
          <w:lang w:eastAsia="en-GB"/>
        </w:rPr>
        <w:t xml:space="preserve">Usage distribution naturally reflects availability of installed </w:t>
      </w:r>
      <w:r w:rsidR="00DE6338">
        <w:rPr>
          <w:rFonts w:eastAsia="Cambria"/>
          <w:lang w:eastAsia="en-GB"/>
        </w:rPr>
        <w:t>capacity;</w:t>
      </w:r>
      <w:r>
        <w:rPr>
          <w:rFonts w:eastAsia="Cambria"/>
          <w:lang w:eastAsia="en-GB"/>
        </w:rPr>
        <w:t xml:space="preserve"> however the level of multidisciplinary support varies considerably across the infrastructures. NGI_IT is the infrastructure with the largest absolute amount of resources used by non-HEP communities </w:t>
      </w:r>
      <w:r w:rsidR="00DE6338">
        <w:rPr>
          <w:rFonts w:eastAsia="Cambria"/>
          <w:lang w:eastAsia="en-GB"/>
        </w:rPr>
        <w:t>(</w:t>
      </w:r>
      <w:r>
        <w:rPr>
          <w:rFonts w:eastAsia="Cambria"/>
          <w:lang w:eastAsia="en-GB"/>
        </w:rPr>
        <w:t>more than 128 Million hours used</w:t>
      </w:r>
      <w:r w:rsidR="00DE6338">
        <w:rPr>
          <w:rFonts w:eastAsia="Cambria"/>
          <w:lang w:eastAsia="en-GB"/>
        </w:rPr>
        <w:t>)</w:t>
      </w:r>
      <w:r>
        <w:rPr>
          <w:rFonts w:eastAsia="Cambria"/>
          <w:lang w:eastAsia="en-GB"/>
        </w:rPr>
        <w:t>.</w:t>
      </w:r>
      <w:r w:rsidR="000542F5">
        <w:rPr>
          <w:rFonts w:eastAsia="Cambria"/>
          <w:lang w:eastAsia="en-GB"/>
        </w:rPr>
        <w:t xml:space="preserve"> HEP </w:t>
      </w:r>
      <w:r w:rsidR="00DE6338">
        <w:rPr>
          <w:rFonts w:eastAsia="Cambria"/>
          <w:lang w:eastAsia="en-GB"/>
        </w:rPr>
        <w:t xml:space="preserve">usage </w:t>
      </w:r>
      <w:r w:rsidR="000542F5">
        <w:rPr>
          <w:rFonts w:eastAsia="Cambria"/>
          <w:lang w:eastAsia="en-GB"/>
        </w:rPr>
        <w:t>is dominant in large resource infrastructures, while support of other disciplines dominates in Latin America and several countries in Eastern Europe</w:t>
      </w:r>
      <w:r w:rsidR="00DE6338">
        <w:rPr>
          <w:rFonts w:eastAsia="Cambria"/>
          <w:lang w:eastAsia="en-GB"/>
        </w:rPr>
        <w:t>, where in</w:t>
      </w:r>
      <w:r w:rsidR="000542F5">
        <w:rPr>
          <w:rFonts w:eastAsia="Cambria"/>
          <w:lang w:eastAsia="en-GB"/>
        </w:rPr>
        <w:t xml:space="preserve"> some cases it equals</w:t>
      </w:r>
      <w:r w:rsidR="00DE6338">
        <w:rPr>
          <w:rFonts w:eastAsia="Cambria"/>
          <w:lang w:eastAsia="en-GB"/>
        </w:rPr>
        <w:t xml:space="preserve"> to</w:t>
      </w:r>
      <w:r w:rsidR="000542F5">
        <w:rPr>
          <w:rFonts w:eastAsia="Cambria"/>
          <w:lang w:eastAsia="en-GB"/>
        </w:rPr>
        <w:t xml:space="preserve"> 100% of the entire </w:t>
      </w:r>
      <w:r w:rsidR="00DE6338">
        <w:rPr>
          <w:rFonts w:eastAsia="Cambria"/>
          <w:lang w:eastAsia="en-GB"/>
        </w:rPr>
        <w:t>amount of used</w:t>
      </w:r>
      <w:r w:rsidR="000542F5">
        <w:rPr>
          <w:rFonts w:eastAsia="Cambria"/>
          <w:lang w:eastAsia="en-GB"/>
        </w:rPr>
        <w:t xml:space="preserve"> resources.</w:t>
      </w:r>
    </w:p>
    <w:p w:rsidR="00A66C66" w:rsidRDefault="00A66C66" w:rsidP="007D683E">
      <w:r>
        <w:t xml:space="preserve">Despite of the large number of registered VOs, the number of “active” ones is a significantly smaller fraction. At the end of PQ7, 56 active VOs were reported by the Accounting Portal, of which </w:t>
      </w:r>
      <w:r w:rsidRPr="00AA763F">
        <w:t>8</w:t>
      </w:r>
      <w:r>
        <w:t xml:space="preserve"> featuring low activity, </w:t>
      </w:r>
      <w:r w:rsidRPr="00AA763F">
        <w:t>23</w:t>
      </w:r>
      <w:r>
        <w:t xml:space="preserve"> medium and </w:t>
      </w:r>
      <w:r w:rsidRPr="00AA763F">
        <w:t>25</w:t>
      </w:r>
      <w:r>
        <w:t xml:space="preserve"> high.</w:t>
      </w:r>
      <w:r w:rsidRPr="00A66C66">
        <w:t xml:space="preserve"> </w:t>
      </w:r>
      <w:r>
        <w:t>A short-term increase in the number of active VOs was observed starting in October 2009. This increase</w:t>
      </w:r>
      <w:r w:rsidR="004714BE">
        <w:t xml:space="preserve">, terminated </w:t>
      </w:r>
      <w:r>
        <w:t xml:space="preserve">in April 2010, was followed by </w:t>
      </w:r>
      <w:r w:rsidR="00CE555D">
        <w:t xml:space="preserve">a </w:t>
      </w:r>
      <w:r>
        <w:t>progressive decrease that affected</w:t>
      </w:r>
      <w:r w:rsidR="004714BE">
        <w:t xml:space="preserve"> the Low Activity category</w:t>
      </w:r>
      <w:r>
        <w:t>, which presumably includes new user communities in their initial pilot activities.</w:t>
      </w:r>
      <w:r w:rsidR="004714BE">
        <w:t xml:space="preserve"> In order to address this problem, the long-term EGI strategy aims at extending the current user base by facilitating the deployment of heterogeneous application platforms and by embracing cloud provisioning models.</w:t>
      </w:r>
    </w:p>
    <w:p w:rsidR="002878C1" w:rsidRDefault="002878C1" w:rsidP="002878C1">
      <w:pPr>
        <w:rPr>
          <w:rStyle w:val="st"/>
        </w:rPr>
      </w:pPr>
      <w:r>
        <w:t xml:space="preserve">Availability/Reliability averaged per quarter across the whole infrastructure have been both steadily increasing from 2008 by approximately 1% per year, moving from 91.9%/93.3% during May 2009 - April 2010 (last year of EGEE-III), to 94.50%/95.42% during May 2011 – March 2012 (second year of EGI-InSPIRE). Several NGIs already integrated </w:t>
      </w:r>
      <w:r w:rsidR="00CE555D">
        <w:t>in</w:t>
      </w:r>
      <w:r>
        <w:t xml:space="preserve"> PY1</w:t>
      </w:r>
      <w:r w:rsidR="00CE555D">
        <w:t>,</w:t>
      </w:r>
      <w:r>
        <w:t xml:space="preserve"> were affected by periodic performance instabilit</w:t>
      </w:r>
      <w:r>
        <w:rPr>
          <w:rStyle w:val="st"/>
        </w:rPr>
        <w:t xml:space="preserve">y because of lack of expertise in technical services deployed. A support action was kicked off </w:t>
      </w:r>
      <w:r w:rsidR="00C95A7B">
        <w:rPr>
          <w:rStyle w:val="st"/>
        </w:rPr>
        <w:t xml:space="preserve">in PQ6 </w:t>
      </w:r>
      <w:r>
        <w:rPr>
          <w:rStyle w:val="st"/>
        </w:rPr>
        <w:t xml:space="preserve">in collaboration with the Greek JRU to technically support those </w:t>
      </w:r>
      <w:r w:rsidR="00CE555D">
        <w:rPr>
          <w:rStyle w:val="st"/>
        </w:rPr>
        <w:t>infrastructures</w:t>
      </w:r>
      <w:r>
        <w:rPr>
          <w:rStyle w:val="st"/>
        </w:rPr>
        <w:t xml:space="preserve">. </w:t>
      </w:r>
    </w:p>
    <w:p w:rsidR="002878C1" w:rsidRDefault="002878C1" w:rsidP="002878C1">
      <w:r>
        <w:t xml:space="preserve">In September 2011 the performance measurement framework was extended to include the core grid services operated by the NGIs and accredited by them to provide access </w:t>
      </w:r>
      <w:r w:rsidR="00CE555D">
        <w:t xml:space="preserve">to </w:t>
      </w:r>
      <w:r>
        <w:t>distributed resources. RP performance is now reported monthly. Purpose of this reporting is to check the availability and reliability of core services operated by NGIs and EIROs, which is typically highly critical as these services provide access to RC services</w:t>
      </w:r>
      <w:r w:rsidR="00A9017F">
        <w:t>.</w:t>
      </w:r>
    </w:p>
    <w:p w:rsidR="007D683E" w:rsidRDefault="00A9017F" w:rsidP="007D683E">
      <w:r>
        <w:t>The</w:t>
      </w:r>
      <w:r>
        <w:rPr>
          <w:rFonts w:eastAsia="Calibri"/>
        </w:rPr>
        <w:t xml:space="preserve"> EGI </w:t>
      </w:r>
      <w:r>
        <w:t>VO</w:t>
      </w:r>
      <w:r>
        <w:rPr>
          <w:rFonts w:eastAsia="Calibri"/>
        </w:rPr>
        <w:t xml:space="preserve"> </w:t>
      </w:r>
      <w:r>
        <w:t>Services</w:t>
      </w:r>
      <w:r>
        <w:rPr>
          <w:rFonts w:eastAsia="Calibri"/>
        </w:rPr>
        <w:t xml:space="preserve"> – defined at the beginning of EGI-InSPIRE as part of NA3 and migrated to SA1</w:t>
      </w:r>
      <w:r w:rsidR="00CE555D">
        <w:rPr>
          <w:rFonts w:eastAsia="Calibri"/>
        </w:rPr>
        <w:t xml:space="preserve"> during PY2 </w:t>
      </w:r>
      <w:r>
        <w:rPr>
          <w:rFonts w:eastAsia="Calibri"/>
        </w:rPr>
        <w:t xml:space="preserve">– aim </w:t>
      </w:r>
      <w:r>
        <w:t>at</w:t>
      </w:r>
      <w:r>
        <w:rPr>
          <w:rFonts w:eastAsia="Calibri"/>
        </w:rPr>
        <w:t xml:space="preserve"> </w:t>
      </w:r>
      <w:r>
        <w:t>supporting</w:t>
      </w:r>
      <w:r>
        <w:rPr>
          <w:rFonts w:eastAsia="Calibri"/>
        </w:rPr>
        <w:t xml:space="preserve"> </w:t>
      </w:r>
      <w:r>
        <w:t>VOs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 xml:space="preserve">resources, </w:t>
      </w:r>
      <w:r>
        <w:lastRenderedPageBreak/>
        <w:t>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 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w:t>
      </w:r>
    </w:p>
    <w:p w:rsidR="005D53DD" w:rsidRDefault="00A9017F" w:rsidP="007D683E">
      <w:r>
        <w:t>The number of operated software platforms was increased from three at the end of PY1 to five in PY2.</w:t>
      </w:r>
      <w:r w:rsidR="00B4432F">
        <w:t xml:space="preserve"> </w:t>
      </w:r>
      <w:r>
        <w:t xml:space="preserve">Currently the grid middleware stacks fully deployed in the infrastructure are: ARC, gLite, GLOBUS, and UNICORE. </w:t>
      </w:r>
      <w:proofErr w:type="gramStart"/>
      <w:r w:rsidR="00B4432F">
        <w:t>gLite</w:t>
      </w:r>
      <w:proofErr w:type="gramEnd"/>
      <w:r w:rsidR="00B4432F">
        <w:t xml:space="preserve"> is the most</w:t>
      </w:r>
      <w:r w:rsidR="00CE555D">
        <w:t>ly</w:t>
      </w:r>
      <w:r w:rsidR="00B4432F">
        <w:t xml:space="preserve"> deployed middleware, but the number of operations centres supporting non-gLite stacks slightly increased during PY2. A</w:t>
      </w:r>
      <w:r w:rsidR="00CE555D">
        <w:t xml:space="preserve"> gLite 3.1 </w:t>
      </w:r>
      <w:r w:rsidR="00B4432F">
        <w:t xml:space="preserve">end of life plan </w:t>
      </w:r>
      <w:r w:rsidR="00CE555D">
        <w:t xml:space="preserve">also including a </w:t>
      </w:r>
      <w:r w:rsidR="00B4432F">
        <w:t xml:space="preserve">few other </w:t>
      </w:r>
      <w:proofErr w:type="gramStart"/>
      <w:r w:rsidR="00B4432F">
        <w:t>products,</w:t>
      </w:r>
      <w:proofErr w:type="gramEnd"/>
      <w:r w:rsidR="00B4432F">
        <w:t xml:space="preserve"> was defined in February 2012. The support calendar of gLite 3.2 – which reached end of life in April 2012 – will be discussed in May 2012.</w:t>
      </w:r>
      <w:r w:rsidR="005D53DD">
        <w:t xml:space="preserve"> The update of the EMI 1 release depends on the service and the new features released with the products.</w:t>
      </w:r>
    </w:p>
    <w:p w:rsidR="006425FC" w:rsidRDefault="00CE555D" w:rsidP="007D683E">
      <w:r>
        <w:t xml:space="preserve">The </w:t>
      </w:r>
      <w:r w:rsidR="005D53DD">
        <w:t>EGI integrated infrastructure comprehends 359 core services: 64 VOMS instances, 150 WMS, 41 LFC and 104 Top-BDII.</w:t>
      </w:r>
    </w:p>
    <w:p w:rsidR="00F82514" w:rsidRPr="006425FC" w:rsidRDefault="006425FC" w:rsidP="009B72C6">
      <w:r>
        <w:t>The Staged Rollout activities performed by SA1 consolidated in PY2 and are now clearly perceived as EGI added value to the software provided by mainstream technology providers. The largest number of products was tested in PQ5 in preparation to the release of UMD 1.0 (81 tests in total resulting in 2 products rejected). This number was gradually reduced in the following quarters, as subsequent UMD updates only included a subset of products being updated. The number of participating Early Adopters has been progressively increasing to test a growing set of products from EMI, IGE and EGI-InSPIRE JRA1 (operational tools)</w:t>
      </w:r>
      <w:r w:rsidR="00477985">
        <w:t>. Staged Rollout</w:t>
      </w:r>
      <w:r>
        <w:t xml:space="preserve"> </w:t>
      </w:r>
      <w:r w:rsidR="00477985">
        <w:t>is a community effort currently contributed by</w:t>
      </w:r>
      <w:r>
        <w:t xml:space="preserve"> 56 </w:t>
      </w:r>
      <w:r w:rsidR="00477985">
        <w:t xml:space="preserve">distributed </w:t>
      </w:r>
      <w:r>
        <w:t>teams</w:t>
      </w:r>
      <w:r w:rsidR="00477985">
        <w:t>.</w:t>
      </w:r>
    </w:p>
    <w:p w:rsidR="009B72C6" w:rsidRPr="009B72C6" w:rsidRDefault="009B72C6" w:rsidP="009B72C6"/>
    <w:p w:rsidR="00207D16" w:rsidRPr="00371B32" w:rsidRDefault="00207D16" w:rsidP="00207D16">
      <w:pPr>
        <w:rPr>
          <w:sz w:val="24"/>
        </w:rPr>
      </w:pPr>
    </w:p>
    <w:p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AB3A0F"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AB3A0F" w:rsidRPr="00F233C7">
        <w:rPr>
          <w:rFonts w:ascii="Times New Roman" w:hAnsi="Times New Roman"/>
          <w:noProof/>
        </w:rPr>
        <w:t>1</w:t>
      </w:r>
      <w:r w:rsidR="00AB3A0F">
        <w:rPr>
          <w:rFonts w:asciiTheme="minorHAnsi" w:eastAsiaTheme="minorEastAsia" w:hAnsiTheme="minorHAnsi" w:cstheme="minorBidi"/>
          <w:b w:val="0"/>
          <w:caps w:val="0"/>
          <w:noProof/>
          <w:sz w:val="22"/>
          <w:szCs w:val="22"/>
          <w:lang w:eastAsia="en-GB"/>
        </w:rPr>
        <w:tab/>
      </w:r>
      <w:r w:rsidR="00AB3A0F" w:rsidRPr="00F233C7">
        <w:rPr>
          <w:rFonts w:ascii="Times New Roman" w:hAnsi="Times New Roman"/>
          <w:noProof/>
        </w:rPr>
        <w:t>Introduction</w:t>
      </w:r>
      <w:r w:rsidR="00AB3A0F">
        <w:rPr>
          <w:noProof/>
        </w:rPr>
        <w:tab/>
      </w:r>
      <w:r w:rsidR="00AB3A0F">
        <w:rPr>
          <w:noProof/>
        </w:rPr>
        <w:fldChar w:fldCharType="begin"/>
      </w:r>
      <w:r w:rsidR="00AB3A0F">
        <w:rPr>
          <w:noProof/>
        </w:rPr>
        <w:instrText xml:space="preserve"> PAGEREF _Toc324172732 \h </w:instrText>
      </w:r>
      <w:r w:rsidR="00AB3A0F">
        <w:rPr>
          <w:noProof/>
        </w:rPr>
      </w:r>
      <w:r w:rsidR="00AB3A0F">
        <w:rPr>
          <w:noProof/>
        </w:rPr>
        <w:fldChar w:fldCharType="separate"/>
      </w:r>
      <w:r w:rsidR="00AB3A0F">
        <w:rPr>
          <w:noProof/>
        </w:rPr>
        <w:t>11</w:t>
      </w:r>
      <w:r w:rsidR="00AB3A0F">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sidRPr="00F233C7">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F233C7">
        <w:rPr>
          <w:rFonts w:ascii="Times New Roman" w:hAnsi="Times New Roman"/>
          <w:noProof/>
        </w:rPr>
        <w:t>Resource Infrastructure</w:t>
      </w:r>
      <w:r>
        <w:rPr>
          <w:noProof/>
        </w:rPr>
        <w:tab/>
      </w:r>
      <w:r>
        <w:rPr>
          <w:noProof/>
        </w:rPr>
        <w:fldChar w:fldCharType="begin"/>
      </w:r>
      <w:r>
        <w:rPr>
          <w:noProof/>
        </w:rPr>
        <w:instrText xml:space="preserve"> PAGEREF _Toc324172733 \h </w:instrText>
      </w:r>
      <w:r>
        <w:rPr>
          <w:noProof/>
        </w:rPr>
      </w:r>
      <w:r>
        <w:rPr>
          <w:noProof/>
        </w:rPr>
        <w:fldChar w:fldCharType="separate"/>
      </w:r>
      <w:r>
        <w:rPr>
          <w:noProof/>
        </w:rPr>
        <w:t>13</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_Toc324172734 \h </w:instrText>
      </w:r>
      <w:r>
        <w:rPr>
          <w:noProof/>
        </w:rPr>
      </w:r>
      <w:r>
        <w:rPr>
          <w:noProof/>
        </w:rPr>
        <w:fldChar w:fldCharType="separate"/>
      </w:r>
      <w:r>
        <w:rPr>
          <w:noProof/>
        </w:rPr>
        <w:t>13</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_Toc324172735 \h </w:instrText>
      </w:r>
      <w:r>
        <w:rPr>
          <w:noProof/>
        </w:rPr>
      </w:r>
      <w:r>
        <w:rPr>
          <w:noProof/>
        </w:rPr>
        <w:fldChar w:fldCharType="separate"/>
      </w:r>
      <w:r>
        <w:rPr>
          <w:noProof/>
        </w:rPr>
        <w:t>14</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_Toc324172736 \h </w:instrText>
      </w:r>
      <w:r>
        <w:rPr>
          <w:noProof/>
        </w:rPr>
      </w:r>
      <w:r>
        <w:rPr>
          <w:noProof/>
        </w:rPr>
        <w:fldChar w:fldCharType="separate"/>
      </w:r>
      <w:r>
        <w:rPr>
          <w:noProof/>
        </w:rPr>
        <w:t>18</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_Toc324172737 \h </w:instrText>
      </w:r>
      <w:r>
        <w:rPr>
          <w:noProof/>
        </w:rPr>
      </w:r>
      <w:r>
        <w:rPr>
          <w:noProof/>
        </w:rPr>
        <w:fldChar w:fldCharType="separate"/>
      </w:r>
      <w:r>
        <w:rPr>
          <w:noProof/>
        </w:rPr>
        <w:t>19</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_Toc324172738 \h </w:instrText>
      </w:r>
      <w:r>
        <w:rPr>
          <w:noProof/>
        </w:rPr>
      </w:r>
      <w:r>
        <w:rPr>
          <w:noProof/>
        </w:rPr>
        <w:fldChar w:fldCharType="separate"/>
      </w:r>
      <w:r>
        <w:rPr>
          <w:noProof/>
        </w:rPr>
        <w:t>19</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_Toc324172739 \h </w:instrText>
      </w:r>
      <w:r>
        <w:rPr>
          <w:noProof/>
        </w:rPr>
      </w:r>
      <w:r>
        <w:rPr>
          <w:noProof/>
        </w:rPr>
        <w:fldChar w:fldCharType="separate"/>
      </w:r>
      <w:r>
        <w:rPr>
          <w:noProof/>
        </w:rPr>
        <w:t>21</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_Toc324172740 \h </w:instrText>
      </w:r>
      <w:r>
        <w:rPr>
          <w:noProof/>
        </w:rPr>
      </w:r>
      <w:r>
        <w:rPr>
          <w:noProof/>
        </w:rPr>
        <w:fldChar w:fldCharType="separate"/>
      </w:r>
      <w:r>
        <w:rPr>
          <w:noProof/>
        </w:rPr>
        <w:t>21</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_Toc324172741 \h </w:instrText>
      </w:r>
      <w:r>
        <w:rPr>
          <w:noProof/>
        </w:rPr>
      </w:r>
      <w:r>
        <w:rPr>
          <w:noProof/>
        </w:rPr>
        <w:fldChar w:fldCharType="separate"/>
      </w:r>
      <w:r>
        <w:rPr>
          <w:noProof/>
        </w:rPr>
        <w:t>23</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_Toc324172742 \h </w:instrText>
      </w:r>
      <w:r>
        <w:rPr>
          <w:noProof/>
        </w:rPr>
      </w:r>
      <w:r>
        <w:rPr>
          <w:noProof/>
        </w:rPr>
        <w:fldChar w:fldCharType="separate"/>
      </w:r>
      <w:r>
        <w:rPr>
          <w:noProof/>
        </w:rPr>
        <w:t>23</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_Toc324172743 \h </w:instrText>
      </w:r>
      <w:r>
        <w:rPr>
          <w:noProof/>
        </w:rPr>
      </w:r>
      <w:r>
        <w:rPr>
          <w:noProof/>
        </w:rPr>
        <w:fldChar w:fldCharType="separate"/>
      </w:r>
      <w:r>
        <w:rPr>
          <w:noProof/>
        </w:rPr>
        <w:t>24</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_Toc324172744 \h </w:instrText>
      </w:r>
      <w:r>
        <w:rPr>
          <w:noProof/>
        </w:rPr>
      </w:r>
      <w:r>
        <w:rPr>
          <w:noProof/>
        </w:rPr>
        <w:fldChar w:fldCharType="separate"/>
      </w:r>
      <w:r>
        <w:rPr>
          <w:noProof/>
        </w:rPr>
        <w:t>26</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_Toc324172745 \h </w:instrText>
      </w:r>
      <w:r>
        <w:rPr>
          <w:noProof/>
        </w:rPr>
      </w:r>
      <w:r>
        <w:rPr>
          <w:noProof/>
        </w:rPr>
        <w:fldChar w:fldCharType="separate"/>
      </w:r>
      <w:r>
        <w:rPr>
          <w:noProof/>
        </w:rPr>
        <w:t>30</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_Toc324172746 \h </w:instrText>
      </w:r>
      <w:r>
        <w:rPr>
          <w:noProof/>
        </w:rPr>
      </w:r>
      <w:r>
        <w:rPr>
          <w:noProof/>
        </w:rPr>
        <w:fldChar w:fldCharType="separate"/>
      </w:r>
      <w:r>
        <w:rPr>
          <w:noProof/>
        </w:rPr>
        <w:t>33</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_Toc324172747 \h </w:instrText>
      </w:r>
      <w:r>
        <w:rPr>
          <w:noProof/>
        </w:rPr>
      </w:r>
      <w:r>
        <w:rPr>
          <w:noProof/>
        </w:rPr>
        <w:fldChar w:fldCharType="separate"/>
      </w:r>
      <w:r>
        <w:rPr>
          <w:noProof/>
        </w:rPr>
        <w:t>34</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_Toc324172748 \h </w:instrText>
      </w:r>
      <w:r>
        <w:rPr>
          <w:noProof/>
        </w:rPr>
      </w:r>
      <w:r>
        <w:rPr>
          <w:noProof/>
        </w:rPr>
        <w:fldChar w:fldCharType="separate"/>
      </w:r>
      <w:r>
        <w:rPr>
          <w:noProof/>
        </w:rPr>
        <w:t>34</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_Toc324172749 \h </w:instrText>
      </w:r>
      <w:r>
        <w:rPr>
          <w:noProof/>
        </w:rPr>
      </w:r>
      <w:r>
        <w:rPr>
          <w:noProof/>
        </w:rPr>
        <w:fldChar w:fldCharType="separate"/>
      </w:r>
      <w:r>
        <w:rPr>
          <w:noProof/>
        </w:rPr>
        <w:t>34</w:t>
      </w:r>
      <w:r>
        <w:rPr>
          <w:noProof/>
        </w:rPr>
        <w:fldChar w:fldCharType="end"/>
      </w:r>
    </w:p>
    <w:p w:rsidR="00AB3A0F" w:rsidRDefault="00AB3A0F">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_Toc324172750 \h </w:instrText>
      </w:r>
      <w:r>
        <w:rPr>
          <w:noProof/>
        </w:rPr>
      </w:r>
      <w:r>
        <w:rPr>
          <w:noProof/>
        </w:rPr>
        <w:fldChar w:fldCharType="separate"/>
      </w:r>
      <w:r>
        <w:rPr>
          <w:noProof/>
        </w:rPr>
        <w:t>34</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_Toc324172751 \h </w:instrText>
      </w:r>
      <w:r>
        <w:rPr>
          <w:noProof/>
        </w:rPr>
      </w:r>
      <w:r>
        <w:rPr>
          <w:noProof/>
        </w:rPr>
        <w:fldChar w:fldCharType="separate"/>
      </w:r>
      <w:r>
        <w:rPr>
          <w:noProof/>
        </w:rPr>
        <w:t>36</w:t>
      </w:r>
      <w:r>
        <w:rPr>
          <w:noProof/>
        </w:rPr>
        <w:fldChar w:fldCharType="end"/>
      </w:r>
    </w:p>
    <w:p w:rsidR="00AB3A0F" w:rsidRDefault="00AB3A0F">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_Toc324172752 \h </w:instrText>
      </w:r>
      <w:r>
        <w:rPr>
          <w:noProof/>
        </w:rPr>
      </w:r>
      <w:r>
        <w:rPr>
          <w:noProof/>
        </w:rPr>
        <w:fldChar w:fldCharType="separate"/>
      </w:r>
      <w:r>
        <w:rPr>
          <w:noProof/>
        </w:rPr>
        <w:t>37</w:t>
      </w:r>
      <w:r>
        <w:rPr>
          <w:noProof/>
        </w:rPr>
        <w:fldChar w:fldCharType="end"/>
      </w:r>
    </w:p>
    <w:p w:rsidR="00AB3A0F" w:rsidRDefault="00AB3A0F">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_Toc324172753 \h </w:instrText>
      </w:r>
      <w:r>
        <w:rPr>
          <w:noProof/>
        </w:rPr>
      </w:r>
      <w:r>
        <w:rPr>
          <w:noProof/>
        </w:rPr>
        <w:fldChar w:fldCharType="separate"/>
      </w:r>
      <w:r>
        <w:rPr>
          <w:noProof/>
        </w:rPr>
        <w:t>38</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_Toc324172754 \h </w:instrText>
      </w:r>
      <w:r>
        <w:rPr>
          <w:noProof/>
        </w:rPr>
      </w:r>
      <w:r>
        <w:rPr>
          <w:noProof/>
        </w:rPr>
        <w:fldChar w:fldCharType="separate"/>
      </w:r>
      <w:r>
        <w:rPr>
          <w:noProof/>
        </w:rPr>
        <w:t>40</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_Toc324172755 \h </w:instrText>
      </w:r>
      <w:r>
        <w:rPr>
          <w:noProof/>
        </w:rPr>
      </w:r>
      <w:r>
        <w:rPr>
          <w:noProof/>
        </w:rPr>
        <w:fldChar w:fldCharType="separate"/>
      </w:r>
      <w:r>
        <w:rPr>
          <w:noProof/>
        </w:rPr>
        <w:t>41</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sidRPr="00F233C7">
        <w:rPr>
          <w:rFonts w:eastAsia="Calibri"/>
          <w:noProof/>
        </w:rPr>
        <w:t>7.1</w:t>
      </w:r>
      <w:r>
        <w:rPr>
          <w:rFonts w:asciiTheme="minorHAnsi" w:eastAsiaTheme="minorEastAsia" w:hAnsiTheme="minorHAnsi" w:cstheme="minorBidi"/>
          <w:b w:val="0"/>
          <w:noProof/>
          <w:lang w:eastAsia="en-GB"/>
        </w:rPr>
        <w:tab/>
      </w:r>
      <w:r w:rsidRPr="00F233C7">
        <w:rPr>
          <w:rFonts w:eastAsia="Calibri"/>
          <w:noProof/>
        </w:rPr>
        <w:t>Status</w:t>
      </w:r>
      <w:r>
        <w:rPr>
          <w:noProof/>
        </w:rPr>
        <w:tab/>
      </w:r>
      <w:r>
        <w:rPr>
          <w:noProof/>
        </w:rPr>
        <w:fldChar w:fldCharType="begin"/>
      </w:r>
      <w:r>
        <w:rPr>
          <w:noProof/>
        </w:rPr>
        <w:instrText xml:space="preserve"> PAGEREF _Toc324172756 \h </w:instrText>
      </w:r>
      <w:r>
        <w:rPr>
          <w:noProof/>
        </w:rPr>
      </w:r>
      <w:r>
        <w:rPr>
          <w:noProof/>
        </w:rPr>
        <w:fldChar w:fldCharType="separate"/>
      </w:r>
      <w:r>
        <w:rPr>
          <w:noProof/>
        </w:rPr>
        <w:t>41</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sidRPr="00F233C7">
        <w:rPr>
          <w:rFonts w:eastAsia="Calibri"/>
          <w:noProof/>
        </w:rPr>
        <w:t>7.2</w:t>
      </w:r>
      <w:r>
        <w:rPr>
          <w:rFonts w:asciiTheme="minorHAnsi" w:eastAsiaTheme="minorEastAsia" w:hAnsiTheme="minorHAnsi" w:cstheme="minorBidi"/>
          <w:b w:val="0"/>
          <w:noProof/>
          <w:lang w:eastAsia="en-GB"/>
        </w:rPr>
        <w:tab/>
      </w:r>
      <w:r w:rsidRPr="00F233C7">
        <w:rPr>
          <w:rFonts w:eastAsia="Calibri"/>
          <w:noProof/>
        </w:rPr>
        <w:t>Utilization</w:t>
      </w:r>
      <w:r>
        <w:rPr>
          <w:noProof/>
        </w:rPr>
        <w:tab/>
      </w:r>
      <w:r>
        <w:rPr>
          <w:noProof/>
        </w:rPr>
        <w:fldChar w:fldCharType="begin"/>
      </w:r>
      <w:r>
        <w:rPr>
          <w:noProof/>
        </w:rPr>
        <w:instrText xml:space="preserve"> PAGEREF _Toc324172757 \h </w:instrText>
      </w:r>
      <w:r>
        <w:rPr>
          <w:noProof/>
        </w:rPr>
      </w:r>
      <w:r>
        <w:rPr>
          <w:noProof/>
        </w:rPr>
        <w:fldChar w:fldCharType="separate"/>
      </w:r>
      <w:r>
        <w:rPr>
          <w:noProof/>
        </w:rPr>
        <w:t>42</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_Toc324172758 \h </w:instrText>
      </w:r>
      <w:r>
        <w:rPr>
          <w:noProof/>
        </w:rPr>
      </w:r>
      <w:r>
        <w:rPr>
          <w:noProof/>
        </w:rPr>
        <w:fldChar w:fldCharType="separate"/>
      </w:r>
      <w:r>
        <w:rPr>
          <w:noProof/>
        </w:rPr>
        <w:t>43</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_Toc324172759 \h </w:instrText>
      </w:r>
      <w:r>
        <w:rPr>
          <w:noProof/>
        </w:rPr>
      </w:r>
      <w:r>
        <w:rPr>
          <w:noProof/>
        </w:rPr>
        <w:fldChar w:fldCharType="separate"/>
      </w:r>
      <w:r>
        <w:rPr>
          <w:noProof/>
        </w:rPr>
        <w:t>43</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_Toc324172760 \h </w:instrText>
      </w:r>
      <w:r>
        <w:rPr>
          <w:noProof/>
        </w:rPr>
      </w:r>
      <w:r>
        <w:rPr>
          <w:noProof/>
        </w:rPr>
        <w:fldChar w:fldCharType="separate"/>
      </w:r>
      <w:r>
        <w:rPr>
          <w:noProof/>
        </w:rPr>
        <w:t>45</w:t>
      </w:r>
      <w:r>
        <w:rPr>
          <w:noProof/>
        </w:rPr>
        <w:fldChar w:fldCharType="end"/>
      </w:r>
    </w:p>
    <w:p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sidRPr="00F233C7">
        <w:rPr>
          <w:b w:val="0"/>
          <w:noProof/>
        </w:rPr>
        <w:t>8.3</w:t>
      </w:r>
      <w:r>
        <w:rPr>
          <w:rFonts w:asciiTheme="minorHAnsi" w:eastAsiaTheme="minorEastAsia" w:hAnsiTheme="minorHAnsi" w:cstheme="minorBidi"/>
          <w:b w:val="0"/>
          <w:noProof/>
          <w:lang w:eastAsia="en-GB"/>
        </w:rPr>
        <w:tab/>
      </w:r>
      <w:r w:rsidRPr="00F233C7">
        <w:rPr>
          <w:b w:val="0"/>
          <w:noProof/>
        </w:rPr>
        <w:t>Core Middleware Services</w:t>
      </w:r>
      <w:r>
        <w:rPr>
          <w:noProof/>
        </w:rPr>
        <w:tab/>
      </w:r>
      <w:r>
        <w:rPr>
          <w:noProof/>
        </w:rPr>
        <w:fldChar w:fldCharType="begin"/>
      </w:r>
      <w:r>
        <w:rPr>
          <w:noProof/>
        </w:rPr>
        <w:instrText xml:space="preserve"> PAGEREF _Toc324172761 \h </w:instrText>
      </w:r>
      <w:r>
        <w:rPr>
          <w:noProof/>
        </w:rPr>
      </w:r>
      <w:r>
        <w:rPr>
          <w:noProof/>
        </w:rPr>
        <w:fldChar w:fldCharType="separate"/>
      </w:r>
      <w:r>
        <w:rPr>
          <w:noProof/>
        </w:rPr>
        <w:t>47</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_Toc324172762 \h </w:instrText>
      </w:r>
      <w:r>
        <w:rPr>
          <w:noProof/>
        </w:rPr>
      </w:r>
      <w:r>
        <w:rPr>
          <w:noProof/>
        </w:rPr>
        <w:fldChar w:fldCharType="separate"/>
      </w:r>
      <w:r>
        <w:rPr>
          <w:noProof/>
        </w:rPr>
        <w:t>51</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_Toc324172763 \h </w:instrText>
      </w:r>
      <w:r>
        <w:rPr>
          <w:noProof/>
        </w:rPr>
      </w:r>
      <w:r>
        <w:rPr>
          <w:noProof/>
        </w:rPr>
        <w:fldChar w:fldCharType="separate"/>
      </w:r>
      <w:r>
        <w:rPr>
          <w:noProof/>
        </w:rPr>
        <w:t>53</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_Toc324172764 \h </w:instrText>
      </w:r>
      <w:r>
        <w:rPr>
          <w:noProof/>
        </w:rPr>
      </w:r>
      <w:r>
        <w:rPr>
          <w:noProof/>
        </w:rPr>
        <w:fldChar w:fldCharType="separate"/>
      </w:r>
      <w:r>
        <w:rPr>
          <w:noProof/>
        </w:rPr>
        <w:t>55</w:t>
      </w:r>
      <w:r>
        <w:rPr>
          <w:noProof/>
        </w:rPr>
        <w:fldChar w:fldCharType="end"/>
      </w:r>
    </w:p>
    <w:p w:rsidR="00AB3A0F" w:rsidRDefault="00AB3A0F">
      <w:pPr>
        <w:pStyle w:val="TOC1"/>
        <w:rPr>
          <w:rFonts w:asciiTheme="minorHAnsi" w:eastAsiaTheme="minorEastAsia" w:hAnsiTheme="minorHAnsi" w:cstheme="minorBidi"/>
          <w:b w:val="0"/>
          <w:caps w:val="0"/>
          <w:noProof/>
          <w:sz w:val="22"/>
          <w:szCs w:val="22"/>
          <w:lang w:eastAsia="en-GB"/>
        </w:rPr>
      </w:pPr>
      <w:r w:rsidRPr="00F233C7">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F233C7">
        <w:rPr>
          <w:rFonts w:eastAsia="Cambria"/>
          <w:noProof/>
          <w:lang w:val="en-US" w:eastAsia="en-US"/>
        </w:rPr>
        <w:t>Annex I. VO Distribution per discipline</w:t>
      </w:r>
      <w:r>
        <w:rPr>
          <w:noProof/>
        </w:rPr>
        <w:tab/>
      </w:r>
      <w:r>
        <w:rPr>
          <w:noProof/>
        </w:rPr>
        <w:fldChar w:fldCharType="begin"/>
      </w:r>
      <w:r>
        <w:rPr>
          <w:noProof/>
        </w:rPr>
        <w:instrText xml:space="preserve"> PAGEREF _Toc324172765 \h </w:instrText>
      </w:r>
      <w:r>
        <w:rPr>
          <w:noProof/>
        </w:rPr>
      </w:r>
      <w:r>
        <w:rPr>
          <w:noProof/>
        </w:rPr>
        <w:fldChar w:fldCharType="separate"/>
      </w:r>
      <w:r>
        <w:rPr>
          <w:noProof/>
        </w:rPr>
        <w:t>57</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12.1</w:t>
      </w:r>
      <w:r>
        <w:rPr>
          <w:rFonts w:asciiTheme="minorHAnsi" w:eastAsiaTheme="minorEastAsia" w:hAnsiTheme="minorHAnsi" w:cstheme="minorBidi"/>
          <w:b w:val="0"/>
          <w:noProof/>
          <w:lang w:eastAsia="en-GB"/>
        </w:rPr>
        <w:tab/>
      </w:r>
      <w:r w:rsidRPr="00F233C7">
        <w:rPr>
          <w:rFonts w:eastAsia="Cambria"/>
          <w:noProof/>
          <w:lang w:val="en-US" w:eastAsia="en-US"/>
        </w:rPr>
        <w:t>Astronomy Astrophysics and Astro-particle Physics</w:t>
      </w:r>
      <w:r>
        <w:rPr>
          <w:noProof/>
        </w:rPr>
        <w:tab/>
      </w:r>
      <w:r>
        <w:rPr>
          <w:noProof/>
        </w:rPr>
        <w:fldChar w:fldCharType="begin"/>
      </w:r>
      <w:r>
        <w:rPr>
          <w:noProof/>
        </w:rPr>
        <w:instrText xml:space="preserve"> PAGEREF _Toc324172766 \h </w:instrText>
      </w:r>
      <w:r>
        <w:rPr>
          <w:noProof/>
        </w:rPr>
      </w:r>
      <w:r>
        <w:rPr>
          <w:noProof/>
        </w:rPr>
        <w:fldChar w:fldCharType="separate"/>
      </w:r>
      <w:r>
        <w:rPr>
          <w:noProof/>
        </w:rPr>
        <w:t>57</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12.2</w:t>
      </w:r>
      <w:r>
        <w:rPr>
          <w:rFonts w:asciiTheme="minorHAnsi" w:eastAsiaTheme="minorEastAsia" w:hAnsiTheme="minorHAnsi" w:cstheme="minorBidi"/>
          <w:b w:val="0"/>
          <w:noProof/>
          <w:lang w:eastAsia="en-GB"/>
        </w:rPr>
        <w:tab/>
      </w:r>
      <w:r w:rsidRPr="00F233C7">
        <w:rPr>
          <w:rFonts w:eastAsia="Cambria"/>
          <w:noProof/>
          <w:lang w:val="en-US" w:eastAsia="en-US"/>
        </w:rPr>
        <w:t>Computer Science and Mathematics</w:t>
      </w:r>
      <w:r>
        <w:rPr>
          <w:noProof/>
        </w:rPr>
        <w:tab/>
      </w:r>
      <w:r>
        <w:rPr>
          <w:noProof/>
        </w:rPr>
        <w:fldChar w:fldCharType="begin"/>
      </w:r>
      <w:r>
        <w:rPr>
          <w:noProof/>
        </w:rPr>
        <w:instrText xml:space="preserve"> PAGEREF _Toc324172767 \h </w:instrText>
      </w:r>
      <w:r>
        <w:rPr>
          <w:noProof/>
        </w:rPr>
      </w:r>
      <w:r>
        <w:rPr>
          <w:noProof/>
        </w:rPr>
        <w:fldChar w:fldCharType="separate"/>
      </w:r>
      <w:r>
        <w:rPr>
          <w:noProof/>
        </w:rPr>
        <w:t>57</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12.3</w:t>
      </w:r>
      <w:r>
        <w:rPr>
          <w:rFonts w:asciiTheme="minorHAnsi" w:eastAsiaTheme="minorEastAsia" w:hAnsiTheme="minorHAnsi" w:cstheme="minorBidi"/>
          <w:b w:val="0"/>
          <w:noProof/>
          <w:lang w:eastAsia="en-GB"/>
        </w:rPr>
        <w:tab/>
      </w:r>
      <w:r w:rsidRPr="00F233C7">
        <w:rPr>
          <w:rFonts w:eastAsia="Cambria"/>
          <w:noProof/>
          <w:lang w:val="en-US" w:eastAsia="en-US"/>
        </w:rPr>
        <w:t>Earth Sciences</w:t>
      </w:r>
      <w:r>
        <w:rPr>
          <w:noProof/>
        </w:rPr>
        <w:tab/>
      </w:r>
      <w:r>
        <w:rPr>
          <w:noProof/>
        </w:rPr>
        <w:fldChar w:fldCharType="begin"/>
      </w:r>
      <w:r>
        <w:rPr>
          <w:noProof/>
        </w:rPr>
        <w:instrText xml:space="preserve"> PAGEREF _Toc324172768 \h </w:instrText>
      </w:r>
      <w:r>
        <w:rPr>
          <w:noProof/>
        </w:rPr>
      </w:r>
      <w:r>
        <w:rPr>
          <w:noProof/>
        </w:rPr>
        <w:fldChar w:fldCharType="separate"/>
      </w:r>
      <w:r>
        <w:rPr>
          <w:noProof/>
        </w:rPr>
        <w:t>58</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lastRenderedPageBreak/>
        <w:t>12.4</w:t>
      </w:r>
      <w:r>
        <w:rPr>
          <w:rFonts w:asciiTheme="minorHAnsi" w:eastAsiaTheme="minorEastAsia" w:hAnsiTheme="minorHAnsi" w:cstheme="minorBidi"/>
          <w:b w:val="0"/>
          <w:noProof/>
          <w:lang w:eastAsia="en-GB"/>
        </w:rPr>
        <w:tab/>
      </w:r>
      <w:r w:rsidRPr="00F233C7">
        <w:rPr>
          <w:rFonts w:eastAsia="Cambria"/>
          <w:noProof/>
          <w:lang w:val="en-US" w:eastAsia="en-US"/>
        </w:rPr>
        <w:t>Fusion</w:t>
      </w:r>
      <w:r>
        <w:rPr>
          <w:noProof/>
        </w:rPr>
        <w:tab/>
      </w:r>
      <w:r>
        <w:rPr>
          <w:noProof/>
        </w:rPr>
        <w:fldChar w:fldCharType="begin"/>
      </w:r>
      <w:r>
        <w:rPr>
          <w:noProof/>
        </w:rPr>
        <w:instrText xml:space="preserve"> PAGEREF _Toc324172769 \h </w:instrText>
      </w:r>
      <w:r>
        <w:rPr>
          <w:noProof/>
        </w:rPr>
      </w:r>
      <w:r>
        <w:rPr>
          <w:noProof/>
        </w:rPr>
        <w:fldChar w:fldCharType="separate"/>
      </w:r>
      <w:r>
        <w:rPr>
          <w:noProof/>
        </w:rPr>
        <w:t>58</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12.5</w:t>
      </w:r>
      <w:r>
        <w:rPr>
          <w:rFonts w:asciiTheme="minorHAnsi" w:eastAsiaTheme="minorEastAsia" w:hAnsiTheme="minorHAnsi" w:cstheme="minorBidi"/>
          <w:b w:val="0"/>
          <w:noProof/>
          <w:lang w:eastAsia="en-GB"/>
        </w:rPr>
        <w:tab/>
      </w:r>
      <w:r w:rsidRPr="00F233C7">
        <w:rPr>
          <w:rFonts w:eastAsia="Cambria"/>
          <w:noProof/>
          <w:lang w:val="en-US" w:eastAsia="en-US"/>
        </w:rPr>
        <w:t>High Energy Physics</w:t>
      </w:r>
      <w:r>
        <w:rPr>
          <w:noProof/>
        </w:rPr>
        <w:tab/>
      </w:r>
      <w:r>
        <w:rPr>
          <w:noProof/>
        </w:rPr>
        <w:fldChar w:fldCharType="begin"/>
      </w:r>
      <w:r>
        <w:rPr>
          <w:noProof/>
        </w:rPr>
        <w:instrText xml:space="preserve"> PAGEREF _Toc324172770 \h </w:instrText>
      </w:r>
      <w:r>
        <w:rPr>
          <w:noProof/>
        </w:rPr>
      </w:r>
      <w:r>
        <w:rPr>
          <w:noProof/>
        </w:rPr>
        <w:fldChar w:fldCharType="separate"/>
      </w:r>
      <w:r>
        <w:rPr>
          <w:noProof/>
        </w:rPr>
        <w:t>59</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12.6</w:t>
      </w:r>
      <w:r>
        <w:rPr>
          <w:rFonts w:asciiTheme="minorHAnsi" w:eastAsiaTheme="minorEastAsia" w:hAnsiTheme="minorHAnsi" w:cstheme="minorBidi"/>
          <w:b w:val="0"/>
          <w:noProof/>
          <w:lang w:eastAsia="en-GB"/>
        </w:rPr>
        <w:tab/>
      </w:r>
      <w:r w:rsidRPr="00F233C7">
        <w:rPr>
          <w:rFonts w:eastAsia="Cambria"/>
          <w:noProof/>
          <w:lang w:val="en-US" w:eastAsia="en-US"/>
        </w:rPr>
        <w:t>Infrastructure</w:t>
      </w:r>
      <w:r>
        <w:rPr>
          <w:noProof/>
        </w:rPr>
        <w:tab/>
      </w:r>
      <w:r>
        <w:rPr>
          <w:noProof/>
        </w:rPr>
        <w:fldChar w:fldCharType="begin"/>
      </w:r>
      <w:r>
        <w:rPr>
          <w:noProof/>
        </w:rPr>
        <w:instrText xml:space="preserve"> PAGEREF _Toc324172771 \h </w:instrText>
      </w:r>
      <w:r>
        <w:rPr>
          <w:noProof/>
        </w:rPr>
      </w:r>
      <w:r>
        <w:rPr>
          <w:noProof/>
        </w:rPr>
        <w:fldChar w:fldCharType="separate"/>
      </w:r>
      <w:r>
        <w:rPr>
          <w:noProof/>
        </w:rPr>
        <w:t>59</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12.7</w:t>
      </w:r>
      <w:r>
        <w:rPr>
          <w:rFonts w:asciiTheme="minorHAnsi" w:eastAsiaTheme="minorEastAsia" w:hAnsiTheme="minorHAnsi" w:cstheme="minorBidi"/>
          <w:b w:val="0"/>
          <w:noProof/>
          <w:lang w:eastAsia="en-GB"/>
        </w:rPr>
        <w:tab/>
      </w:r>
      <w:r w:rsidRPr="00F233C7">
        <w:rPr>
          <w:rFonts w:eastAsia="Cambria"/>
          <w:noProof/>
          <w:lang w:val="en-US" w:eastAsia="en-US"/>
        </w:rPr>
        <w:t>Life Sciences</w:t>
      </w:r>
      <w:r>
        <w:rPr>
          <w:noProof/>
        </w:rPr>
        <w:tab/>
      </w:r>
      <w:r>
        <w:rPr>
          <w:noProof/>
        </w:rPr>
        <w:fldChar w:fldCharType="begin"/>
      </w:r>
      <w:r>
        <w:rPr>
          <w:noProof/>
        </w:rPr>
        <w:instrText xml:space="preserve"> PAGEREF _Toc324172772 \h </w:instrText>
      </w:r>
      <w:r>
        <w:rPr>
          <w:noProof/>
        </w:rPr>
      </w:r>
      <w:r>
        <w:rPr>
          <w:noProof/>
        </w:rPr>
        <w:fldChar w:fldCharType="separate"/>
      </w:r>
      <w:r>
        <w:rPr>
          <w:noProof/>
        </w:rPr>
        <w:t>60</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12.8</w:t>
      </w:r>
      <w:r>
        <w:rPr>
          <w:rFonts w:asciiTheme="minorHAnsi" w:eastAsiaTheme="minorEastAsia" w:hAnsiTheme="minorHAnsi" w:cstheme="minorBidi"/>
          <w:b w:val="0"/>
          <w:noProof/>
          <w:lang w:eastAsia="en-GB"/>
        </w:rPr>
        <w:tab/>
      </w:r>
      <w:r w:rsidRPr="00F233C7">
        <w:rPr>
          <w:rFonts w:eastAsia="Cambria"/>
          <w:noProof/>
          <w:lang w:val="en-US" w:eastAsia="en-US"/>
        </w:rPr>
        <w:t>Multidisciplinary VOs</w:t>
      </w:r>
      <w:r>
        <w:rPr>
          <w:noProof/>
        </w:rPr>
        <w:tab/>
      </w:r>
      <w:r>
        <w:rPr>
          <w:noProof/>
        </w:rPr>
        <w:fldChar w:fldCharType="begin"/>
      </w:r>
      <w:r>
        <w:rPr>
          <w:noProof/>
        </w:rPr>
        <w:instrText xml:space="preserve"> PAGEREF _Toc324172773 \h </w:instrText>
      </w:r>
      <w:r>
        <w:rPr>
          <w:noProof/>
        </w:rPr>
      </w:r>
      <w:r>
        <w:rPr>
          <w:noProof/>
        </w:rPr>
        <w:fldChar w:fldCharType="separate"/>
      </w:r>
      <w:r>
        <w:rPr>
          <w:noProof/>
        </w:rPr>
        <w:t>60</w:t>
      </w:r>
      <w:r>
        <w:rPr>
          <w:noProof/>
        </w:rPr>
        <w:fldChar w:fldCharType="end"/>
      </w:r>
    </w:p>
    <w:p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12.9</w:t>
      </w:r>
      <w:r>
        <w:rPr>
          <w:rFonts w:asciiTheme="minorHAnsi" w:eastAsiaTheme="minorEastAsia" w:hAnsiTheme="minorHAnsi" w:cstheme="minorBidi"/>
          <w:b w:val="0"/>
          <w:noProof/>
          <w:lang w:eastAsia="en-GB"/>
        </w:rPr>
        <w:tab/>
      </w:r>
      <w:r w:rsidRPr="00F233C7">
        <w:rPr>
          <w:rFonts w:eastAsia="Cambria"/>
          <w:noProof/>
          <w:lang w:val="en-US" w:eastAsia="en-US"/>
        </w:rPr>
        <w:t>Other Disciplines</w:t>
      </w:r>
      <w:r>
        <w:rPr>
          <w:noProof/>
        </w:rPr>
        <w:tab/>
      </w:r>
      <w:r>
        <w:rPr>
          <w:noProof/>
        </w:rPr>
        <w:fldChar w:fldCharType="begin"/>
      </w:r>
      <w:r>
        <w:rPr>
          <w:noProof/>
        </w:rPr>
        <w:instrText xml:space="preserve"> PAGEREF _Toc324172774 \h </w:instrText>
      </w:r>
      <w:r>
        <w:rPr>
          <w:noProof/>
        </w:rPr>
      </w:r>
      <w:r>
        <w:rPr>
          <w:noProof/>
        </w:rPr>
        <w:fldChar w:fldCharType="separate"/>
      </w:r>
      <w:r>
        <w:rPr>
          <w:noProof/>
        </w:rPr>
        <w:t>61</w:t>
      </w:r>
      <w:r>
        <w:rPr>
          <w:noProof/>
        </w:rPr>
        <w:fldChar w:fldCharType="end"/>
      </w:r>
    </w:p>
    <w:p w:rsidR="00207D16" w:rsidRPr="00371B32" w:rsidRDefault="00207D16" w:rsidP="00207D16">
      <w:r w:rsidRPr="00371B32">
        <w:rPr>
          <w:b/>
          <w:caps/>
          <w:sz w:val="24"/>
          <w:szCs w:val="24"/>
        </w:rPr>
        <w:fldChar w:fldCharType="end"/>
      </w:r>
    </w:p>
    <w:p w:rsidR="00207D16" w:rsidRPr="00371B32" w:rsidRDefault="00207D16" w:rsidP="00207D16">
      <w:pPr>
        <w:pStyle w:val="Heading1"/>
        <w:rPr>
          <w:rFonts w:ascii="Times New Roman" w:hAnsi="Times New Roman"/>
        </w:rPr>
      </w:pPr>
      <w:bookmarkStart w:id="11" w:name="_Toc324172732"/>
      <w:r w:rsidRPr="00371B32">
        <w:rPr>
          <w:rFonts w:ascii="Times New Roman" w:hAnsi="Times New Roman"/>
        </w:rPr>
        <w:lastRenderedPageBreak/>
        <w:t>Introduction</w:t>
      </w:r>
      <w:bookmarkEnd w:id="11"/>
    </w:p>
    <w:p w:rsidR="009B1455" w:rsidRDefault="008F18AA" w:rsidP="00207D16">
      <w:r>
        <w:t xml:space="preserve">This document illustrates the status and progress of the EGI production infrastructure and of the Staged Rollout infrastructure at the end of PY2. The current status of Resource Centres (RCs), Resource infrastructure Providers (RPs) and of the Operations Centres is show in </w:t>
      </w:r>
      <w:r>
        <w:fldChar w:fldCharType="begin"/>
      </w:r>
      <w:r>
        <w:instrText xml:space="preserve"> REF _Ref324140709 \r \h </w:instrText>
      </w:r>
      <w:r>
        <w:fldChar w:fldCharType="separate"/>
      </w:r>
      <w:r w:rsidR="00AB3A0F">
        <w:t>2</w:t>
      </w:r>
      <w:r>
        <w:fldChar w:fldCharType="end"/>
      </w:r>
      <w:r>
        <w:t xml:space="preserve">. The amount of installed capacity being operated, the status and trends of the existing EGI user community, and their infrastructure usage are illustrated in Sections </w:t>
      </w:r>
      <w:r>
        <w:fldChar w:fldCharType="begin"/>
      </w:r>
      <w:r>
        <w:instrText xml:space="preserve"> REF _Ref323914572 \r \h </w:instrText>
      </w:r>
      <w:r>
        <w:fldChar w:fldCharType="separate"/>
      </w:r>
      <w:r w:rsidR="00AB3A0F">
        <w:t>3</w:t>
      </w:r>
      <w:r>
        <w:fldChar w:fldCharType="end"/>
      </w:r>
      <w:r>
        <w:t xml:space="preserve">, </w:t>
      </w:r>
      <w:r>
        <w:fldChar w:fldCharType="begin"/>
      </w:r>
      <w:r>
        <w:instrText xml:space="preserve"> REF _Ref324140538 \r \h </w:instrText>
      </w:r>
      <w:r>
        <w:fldChar w:fldCharType="separate"/>
      </w:r>
      <w:r w:rsidR="00AB3A0F">
        <w:t>4</w:t>
      </w:r>
      <w:r>
        <w:fldChar w:fldCharType="end"/>
      </w:r>
      <w:r>
        <w:t xml:space="preserve"> and </w:t>
      </w:r>
      <w:r>
        <w:fldChar w:fldCharType="begin"/>
      </w:r>
      <w:r>
        <w:instrText xml:space="preserve"> REF _Ref324140541 \r \h </w:instrText>
      </w:r>
      <w:r>
        <w:fldChar w:fldCharType="separate"/>
      </w:r>
      <w:r w:rsidR="00AB3A0F">
        <w:t>5</w:t>
      </w:r>
      <w:r>
        <w:fldChar w:fldCharType="end"/>
      </w:r>
      <w:r>
        <w:t xml:space="preserve"> respectively. Section </w:t>
      </w:r>
      <w:r>
        <w:fldChar w:fldCharType="begin"/>
      </w:r>
      <w:r>
        <w:instrText xml:space="preserve"> REF _Ref324140773 \r \h </w:instrText>
      </w:r>
      <w:r>
        <w:fldChar w:fldCharType="separate"/>
      </w:r>
      <w:r w:rsidR="00AB3A0F">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AB3A0F">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AB3A0F">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AB3A0F">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AB3A0F">
        <w:t>10</w:t>
      </w:r>
      <w:r w:rsidR="009B1455">
        <w:fldChar w:fldCharType="end"/>
      </w:r>
      <w:r w:rsidR="009B1455">
        <w:t xml:space="preserve"> summarises the progress made in operations during PY2 to meet the project requirements and concludes the document.</w:t>
      </w:r>
    </w:p>
    <w:p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rsidR="00D4099D" w:rsidRDefault="00D4099D" w:rsidP="00F65D34">
      <w:pPr>
        <w:numPr>
          <w:ilvl w:val="0"/>
          <w:numId w:val="13"/>
        </w:numPr>
      </w:pPr>
      <w:r>
        <w:t xml:space="preserve">The EGI operations service catalogue and the set of operational procedures and activities are described in the </w:t>
      </w:r>
      <w:r w:rsidRPr="00D4099D">
        <w:t>EGI Operations Architecture: Grid Service Management Best Practices</w:t>
      </w:r>
      <w:r>
        <w:t xml:space="preserve"> [D4.3].  </w:t>
      </w:r>
    </w:p>
    <w:p w:rsidR="000314DA" w:rsidRDefault="009B1455" w:rsidP="00F65D34">
      <w:pPr>
        <w:numPr>
          <w:ilvl w:val="0"/>
          <w:numId w:val="13"/>
        </w:numPr>
      </w:pPr>
      <w:r>
        <w:t>The central operational tools provided by EGI.eu</w:t>
      </w:r>
      <w:r w:rsidR="00522571">
        <w:t xml:space="preserve"> and the status assessment of EGI operational Global Tasks,</w:t>
      </w:r>
      <w:r>
        <w:t xml:space="preserve"> are not part of this deliverable. Information is provided </w:t>
      </w:r>
      <w:r w:rsidR="00621C69">
        <w:t xml:space="preserve">instead </w:t>
      </w:r>
      <w:r>
        <w:t xml:space="preserve">by the </w:t>
      </w:r>
      <w:r w:rsidR="00621C69">
        <w:t>EGI Globa</w:t>
      </w:r>
      <w:r w:rsidR="00D4099D">
        <w:t>l Task Review [MS115</w:t>
      </w:r>
      <w:r w:rsidR="00621C69">
        <w:t>]</w:t>
      </w:r>
      <w:r w:rsidR="00D4099D">
        <w:t xml:space="preserve">, while information about the related development activities </w:t>
      </w:r>
      <w:r w:rsidR="006D6F41">
        <w:t>is</w:t>
      </w:r>
      <w:r w:rsidR="00D4099D">
        <w:t xml:space="preserve"> available in the Annual Report on Operational Tool Maintenance [D7.2]</w:t>
      </w:r>
      <w:r w:rsidR="000314DA">
        <w:t>.</w:t>
      </w:r>
      <w:r w:rsidR="00522571">
        <w:t xml:space="preserve"> Feedback about the operations global services provided by </w:t>
      </w:r>
      <w:proofErr w:type="gramStart"/>
      <w:r w:rsidR="00522571">
        <w:t>EGI</w:t>
      </w:r>
      <w:r w:rsidR="000617B1">
        <w:t>,</w:t>
      </w:r>
      <w:proofErr w:type="gramEnd"/>
      <w:r w:rsidR="00522571">
        <w:t xml:space="preserve"> was gathered from NGIs </w:t>
      </w:r>
      <w:r w:rsidR="000617B1">
        <w:t>in January and results are available on-line</w:t>
      </w:r>
      <w:r w:rsidR="000617B1">
        <w:rPr>
          <w:rStyle w:val="FootnoteReference"/>
        </w:rPr>
        <w:footnoteReference w:id="1"/>
      </w:r>
      <w:r w:rsidR="000617B1">
        <w:t>.</w:t>
      </w:r>
    </w:p>
    <w:p w:rsidR="00522571" w:rsidRDefault="00522571" w:rsidP="00F65D34">
      <w:pPr>
        <w:numPr>
          <w:ilvl w:val="0"/>
          <w:numId w:val="13"/>
        </w:numPr>
      </w:pPr>
      <w:r>
        <w:t xml:space="preserve">Progress of NGI operational activities is documented in the NGI International Task Review [MS116]. </w:t>
      </w:r>
    </w:p>
    <w:p w:rsidR="006D6F41" w:rsidRDefault="006D6F41" w:rsidP="00F65D34">
      <w:pPr>
        <w:numPr>
          <w:ilvl w:val="0"/>
          <w:numId w:val="13"/>
        </w:numPr>
      </w:pPr>
      <w:r w:rsidRPr="006D6F41">
        <w:t>Security in the EGI infrastructure</w:t>
      </w:r>
      <w:r>
        <w:t xml:space="preserve">, its </w:t>
      </w:r>
      <w:r w:rsidRPr="006D6F41">
        <w:t xml:space="preserve">scope and aims, </w:t>
      </w:r>
      <w:r>
        <w:t>and</w:t>
      </w:r>
      <w:r w:rsidRPr="006D6F41">
        <w:t xml:space="preserve"> the assets that EGI security seeks to protect</w:t>
      </w:r>
      <w:r>
        <w:t xml:space="preserve"> are described in the </w:t>
      </w:r>
      <w:r w:rsidRPr="006D6F41">
        <w:t>Security Risk Assessment of the EGI Infrastructure</w:t>
      </w:r>
      <w:r>
        <w:t xml:space="preserve"> [D4.4]</w:t>
      </w:r>
      <w:r w:rsidRPr="006D6F41">
        <w:t xml:space="preserve">. The work of the various </w:t>
      </w:r>
      <w:proofErr w:type="gramStart"/>
      <w:r w:rsidRPr="006D6F41">
        <w:t>security</w:t>
      </w:r>
      <w:proofErr w:type="gramEnd"/>
      <w:r w:rsidRPr="006D6F41">
        <w:t xml:space="preserve">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rsidR="00D4099D" w:rsidRDefault="006D6F41" w:rsidP="00F65D34">
      <w:pPr>
        <w:numPr>
          <w:ilvl w:val="0"/>
          <w:numId w:val="13"/>
        </w:numPr>
      </w:pPr>
      <w:r>
        <w:t xml:space="preserve">The evolution of the EGI Operational Service Agreement framework including the reporting system needed to produce monthly reports in detailed in the </w:t>
      </w:r>
      <w:r w:rsidRPr="006D6F41">
        <w:t>Operational Level Agreements (OLAs) within the EGI production infrastructure</w:t>
      </w:r>
      <w:r w:rsidR="00522571">
        <w:t xml:space="preserve"> [MS418].</w:t>
      </w:r>
    </w:p>
    <w:p w:rsidR="008F18AA" w:rsidRPr="00371B32" w:rsidRDefault="00522571" w:rsidP="00F65D34">
      <w:pPr>
        <w:numPr>
          <w:ilvl w:val="0"/>
          <w:numId w:val="13"/>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rsidR="00207D16" w:rsidRPr="00371B32" w:rsidRDefault="00207D16" w:rsidP="00207D16"/>
    <w:p w:rsidR="00207D16" w:rsidRPr="00371B32" w:rsidRDefault="005C73D3" w:rsidP="00207D16">
      <w:pPr>
        <w:pStyle w:val="Heading1"/>
        <w:rPr>
          <w:rFonts w:ascii="Times New Roman" w:hAnsi="Times New Roman"/>
        </w:rPr>
      </w:pPr>
      <w:bookmarkStart w:id="12" w:name="_Ref324140709"/>
      <w:bookmarkStart w:id="13" w:name="_Toc324172733"/>
      <w:r>
        <w:rPr>
          <w:rFonts w:ascii="Times New Roman" w:hAnsi="Times New Roman"/>
        </w:rPr>
        <w:lastRenderedPageBreak/>
        <w:t>Resource Infrastructure</w:t>
      </w:r>
      <w:bookmarkEnd w:id="12"/>
      <w:bookmarkEnd w:id="13"/>
    </w:p>
    <w:p w:rsidR="00207D16" w:rsidRPr="00371B32" w:rsidRDefault="00870D46" w:rsidP="00207D16">
      <w:r>
        <w:t>The resource infrastructure of EGI, encompassing Resource Centres (RCs), Resource infrastructure Providers (RPs) and the Operations Centres responsible of providing operational services to the community are described in this section.</w:t>
      </w:r>
    </w:p>
    <w:p w:rsidR="00207D16" w:rsidRDefault="005C73D3" w:rsidP="005C73D3">
      <w:pPr>
        <w:pStyle w:val="Heading2"/>
      </w:pPr>
      <w:bookmarkStart w:id="14" w:name="_Toc324172734"/>
      <w:r>
        <w:t>Resource Centres</w:t>
      </w:r>
      <w:bookmarkEnd w:id="14"/>
    </w:p>
    <w:p w:rsidR="00870D46" w:rsidRPr="00870D46" w:rsidRDefault="00870D46" w:rsidP="00870D46">
      <w:r>
        <w:t xml:space="preserve">The Resource Centre is defined to be the smallest resource administration domain in an </w:t>
      </w:r>
      <w:r w:rsidRPr="00870D46">
        <w:t>e-Infrastructure</w:t>
      </w:r>
      <w:r>
        <w:t xml:space="preserve">. It can be either localised or geographically distributed. It provides a minimum set of local or remote </w:t>
      </w:r>
      <w:r w:rsidRPr="00870D46">
        <w:t>IT Services</w:t>
      </w:r>
      <w:r>
        <w:t xml:space="preserve"> compliant to well-defined </w:t>
      </w:r>
      <w:r w:rsidRPr="00870D46">
        <w:t>IT Capabilities</w:t>
      </w:r>
      <w:r>
        <w:t xml:space="preserve"> necessary to make resources accessible to </w:t>
      </w:r>
      <w:r w:rsidRPr="00870D46">
        <w:t>Users</w:t>
      </w:r>
      <w:r>
        <w:t xml:space="preserve">. Access is granted by exposing common interfaces to </w:t>
      </w:r>
      <w:r w:rsidRPr="00870D46">
        <w:t>Users</w:t>
      </w:r>
      <w:r>
        <w:t xml:space="preserve"> [GLO].</w:t>
      </w:r>
    </w:p>
    <w:p w:rsidR="006F7826" w:rsidRPr="008570B5" w:rsidRDefault="006F7826" w:rsidP="006F7826">
      <w:pPr>
        <w:pStyle w:val="Caption"/>
        <w:jc w:val="center"/>
      </w:pPr>
      <w:bookmarkStart w:id="15" w:name="_Ref319966030"/>
      <w:proofErr w:type="gramStart"/>
      <w:r>
        <w:t xml:space="preserve">Table </w:t>
      </w:r>
      <w:r>
        <w:fldChar w:fldCharType="begin"/>
      </w:r>
      <w:r>
        <w:instrText xml:space="preserve"> SEQ Table \* ARABIC </w:instrText>
      </w:r>
      <w:r>
        <w:fldChar w:fldCharType="separate"/>
      </w:r>
      <w:r w:rsidR="00AB3A0F">
        <w:rPr>
          <w:noProof/>
        </w:rPr>
        <w:t>1</w:t>
      </w:r>
      <w:r>
        <w:fldChar w:fldCharType="end"/>
      </w:r>
      <w:bookmarkEnd w:id="15"/>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rsidTr="00A156C9">
        <w:trPr>
          <w:jc w:val="center"/>
        </w:trPr>
        <w:tc>
          <w:tcPr>
            <w:tcW w:w="0" w:type="auto"/>
            <w:tcBorders>
              <w:bottom w:val="single" w:sz="4" w:space="0" w:color="auto"/>
            </w:tcBorders>
            <w:shd w:val="clear" w:color="auto" w:fill="D9D9D9"/>
            <w:vAlign w:val="center"/>
          </w:tcPr>
          <w:p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rsidR="006F7826" w:rsidRPr="006B4B32" w:rsidRDefault="006F7826" w:rsidP="001D7B2E">
            <w:pPr>
              <w:jc w:val="center"/>
              <w:rPr>
                <w:b/>
                <w:sz w:val="18"/>
                <w:szCs w:val="18"/>
              </w:rPr>
            </w:pPr>
            <w:r>
              <w:rPr>
                <w:b/>
                <w:sz w:val="18"/>
                <w:szCs w:val="18"/>
              </w:rPr>
              <w:t xml:space="preserve">Number of RCs </w:t>
            </w:r>
          </w:p>
        </w:tc>
      </w:tr>
      <w:tr w:rsidR="006F7826" w:rsidRPr="006B4B32" w:rsidTr="00A156C9">
        <w:trPr>
          <w:jc w:val="center"/>
        </w:trPr>
        <w:tc>
          <w:tcPr>
            <w:tcW w:w="0" w:type="auto"/>
            <w:shd w:val="clear" w:color="auto" w:fill="F2F2F2"/>
            <w:vAlign w:val="center"/>
          </w:tcPr>
          <w:p w:rsidR="006F7826" w:rsidRPr="006B4B32" w:rsidRDefault="006F7826" w:rsidP="00A156C9">
            <w:pPr>
              <w:jc w:val="center"/>
              <w:rPr>
                <w:sz w:val="18"/>
                <w:szCs w:val="18"/>
              </w:rPr>
            </w:pPr>
            <w:r>
              <w:rPr>
                <w:sz w:val="18"/>
                <w:szCs w:val="18"/>
              </w:rPr>
              <w:t>EGI-InSPIRE Partners and NGI Council Members/PY2 Target</w:t>
            </w:r>
          </w:p>
        </w:tc>
        <w:tc>
          <w:tcPr>
            <w:tcW w:w="0" w:type="auto"/>
            <w:shd w:val="clear" w:color="auto" w:fill="auto"/>
            <w:vAlign w:val="center"/>
          </w:tcPr>
          <w:p w:rsidR="006F7826" w:rsidRDefault="006F7826" w:rsidP="00A156C9">
            <w:pPr>
              <w:jc w:val="center"/>
              <w:rPr>
                <w:sz w:val="18"/>
                <w:szCs w:val="18"/>
              </w:rPr>
            </w:pPr>
            <w:r>
              <w:rPr>
                <w:sz w:val="18"/>
                <w:szCs w:val="18"/>
              </w:rPr>
              <w:t>326/330</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non-European EGI-InSPIRE Partners</w:t>
            </w:r>
          </w:p>
        </w:tc>
        <w:tc>
          <w:tcPr>
            <w:tcW w:w="0" w:type="auto"/>
            <w:shd w:val="clear" w:color="auto" w:fill="auto"/>
            <w:vAlign w:val="center"/>
          </w:tcPr>
          <w:p w:rsidR="006F7826" w:rsidRDefault="006F7826" w:rsidP="00A156C9">
            <w:pPr>
              <w:jc w:val="center"/>
              <w:rPr>
                <w:sz w:val="18"/>
                <w:szCs w:val="18"/>
              </w:rPr>
            </w:pPr>
            <w:r>
              <w:rPr>
                <w:sz w:val="18"/>
                <w:szCs w:val="18"/>
              </w:rPr>
              <w:t>27</w:t>
            </w:r>
          </w:p>
        </w:tc>
      </w:tr>
      <w:tr w:rsidR="006F7826" w:rsidRPr="006B4B32" w:rsidTr="00A156C9">
        <w:trPr>
          <w:jc w:val="center"/>
        </w:trPr>
        <w:tc>
          <w:tcPr>
            <w:tcW w:w="0" w:type="auto"/>
            <w:shd w:val="clear" w:color="auto" w:fill="F2F2F2"/>
            <w:vAlign w:val="center"/>
          </w:tcPr>
          <w:p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rsidR="006F7826" w:rsidRDefault="006F7826" w:rsidP="00A156C9">
            <w:pPr>
              <w:jc w:val="center"/>
              <w:rPr>
                <w:sz w:val="18"/>
                <w:szCs w:val="18"/>
              </w:rPr>
            </w:pPr>
            <w:r>
              <w:rPr>
                <w:sz w:val="18"/>
                <w:szCs w:val="18"/>
              </w:rPr>
              <w:t>26</w:t>
            </w:r>
          </w:p>
        </w:tc>
      </w:tr>
      <w:tr w:rsidR="006F7826" w:rsidRPr="006B4B32" w:rsidTr="00A156C9">
        <w:trPr>
          <w:jc w:val="center"/>
        </w:trPr>
        <w:tc>
          <w:tcPr>
            <w:tcW w:w="0" w:type="auto"/>
            <w:shd w:val="clear" w:color="auto" w:fill="F2F2F2"/>
            <w:vAlign w:val="center"/>
          </w:tcPr>
          <w:p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rsidR="006F7826" w:rsidRPr="006F7826" w:rsidRDefault="006F7826" w:rsidP="00A156C9">
            <w:pPr>
              <w:jc w:val="center"/>
              <w:rPr>
                <w:b/>
                <w:sz w:val="18"/>
                <w:szCs w:val="18"/>
              </w:rPr>
            </w:pPr>
            <w:r w:rsidRPr="006F7826">
              <w:rPr>
                <w:b/>
                <w:sz w:val="18"/>
                <w:szCs w:val="18"/>
              </w:rPr>
              <w:t>352</w:t>
            </w:r>
          </w:p>
        </w:tc>
      </w:tr>
    </w:tbl>
    <w:p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EGI-InSPIRE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Argentina, Brazil, Chile, Venezuela).</w:t>
      </w:r>
    </w:p>
    <w:p w:rsidR="00F12A75" w:rsidRDefault="00F12A75" w:rsidP="008A7EA5">
      <w:r>
        <w:t>Of the 326 RCs mentioned above, 27 are contributed by Asia Pacific NGIs.</w:t>
      </w:r>
    </w:p>
    <w:p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to suspension because of insufficient performance. </w:t>
      </w:r>
    </w:p>
    <w:p w:rsidR="003C0741" w:rsidRDefault="002C4E7A" w:rsidP="006F7826">
      <w:r>
        <w:t xml:space="preserve">The total amount 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AB3A0F">
        <w:t xml:space="preserve">Figure </w:t>
      </w:r>
      <w:r w:rsidR="00AB3A0F">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rsidR="006F7826" w:rsidRDefault="005C3321" w:rsidP="006F7826">
      <w:r>
        <w:t xml:space="preserve">From PY3 further expansions will be driven mainly driven by </w:t>
      </w:r>
      <w:r w:rsidR="009B72C6">
        <w:t xml:space="preserve">the </w:t>
      </w:r>
      <w:r>
        <w:t>integration of new providers</w:t>
      </w:r>
      <w:r w:rsidR="009B72C6">
        <w:t xml:space="preserve"> </w:t>
      </w:r>
      <w:r w:rsidR="00063388">
        <w:t>and</w:t>
      </w:r>
      <w:r w:rsidR="009B72C6">
        <w:t xml:space="preserve"> the capability </w:t>
      </w:r>
      <w:r w:rsidR="00063388">
        <w:t>of integrating</w:t>
      </w:r>
      <w:r>
        <w:t xml:space="preserve"> new software platforms.</w:t>
      </w:r>
      <w:r w:rsidR="003C0741">
        <w:t xml:space="preserve"> </w:t>
      </w:r>
      <w:r w:rsidR="000662CB">
        <w:t>In PY2 two new RPs got engaged with EGI by signing a Resource infrastructure Provider MoU:</w:t>
      </w:r>
      <w:r w:rsidR="00883601">
        <w:t xml:space="preserve"> </w:t>
      </w:r>
      <w:r w:rsidR="002F63F4">
        <w:t xml:space="preserve">the South African Grid Initiative [SAG] and the </w:t>
      </w:r>
      <w:r w:rsidR="00883601">
        <w:t>Ukrainian National Grid [UNG]</w:t>
      </w:r>
      <w:r w:rsidR="002F63F4">
        <w:t>. An expansion of the number of RCs is expected in PY3 in those two areas.</w:t>
      </w:r>
      <w:r w:rsidR="000662CB">
        <w:t xml:space="preserve"> </w:t>
      </w:r>
    </w:p>
    <w:p w:rsidR="006375E7" w:rsidRPr="006F7826" w:rsidRDefault="006375E7" w:rsidP="006F7826">
      <w:r>
        <w:t>GOCDB was used to extract information about the number of certified production RCs.</w:t>
      </w:r>
    </w:p>
    <w:p w:rsidR="009D35F1" w:rsidRDefault="00043028" w:rsidP="00835ADE">
      <w:pPr>
        <w:jc w:val="center"/>
        <w:rPr>
          <w:noProof/>
          <w:lang w:eastAsia="en-GB"/>
        </w:rPr>
      </w:pPr>
      <w:r>
        <w:rPr>
          <w:noProof/>
          <w:lang w:eastAsia="en-GB"/>
        </w:rPr>
        <w:lastRenderedPageBreak/>
        <w:drawing>
          <wp:inline distT="0" distB="0" distL="0" distR="0" wp14:anchorId="65554DDE" wp14:editId="149937EF">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rsidR="005A6941" w:rsidRPr="005A6941" w:rsidRDefault="00D60112" w:rsidP="002B30AD">
      <w:pPr>
        <w:pStyle w:val="Caption"/>
        <w:jc w:val="center"/>
      </w:pPr>
      <w:bookmarkStart w:id="16" w:name="_Ref319915222"/>
      <w:bookmarkStart w:id="17" w:name="_Toc324172819"/>
      <w:proofErr w:type="gramStart"/>
      <w:r>
        <w:t xml:space="preserve">Figure </w:t>
      </w:r>
      <w:r>
        <w:fldChar w:fldCharType="begin"/>
      </w:r>
      <w:r>
        <w:instrText xml:space="preserve"> SEQ Figure \* ARABIC </w:instrText>
      </w:r>
      <w:r>
        <w:fldChar w:fldCharType="separate"/>
      </w:r>
      <w:r w:rsidR="00AB3A0F">
        <w:rPr>
          <w:noProof/>
        </w:rPr>
        <w:t>1</w:t>
      </w:r>
      <w:r>
        <w:fldChar w:fldCharType="end"/>
      </w:r>
      <w:bookmarkEnd w:id="16"/>
      <w:r>
        <w:t>.</w:t>
      </w:r>
      <w:proofErr w:type="gramEnd"/>
      <w:r>
        <w:t xml:space="preserve"> </w:t>
      </w:r>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17"/>
    </w:p>
    <w:p w:rsidR="005C73D3" w:rsidRDefault="00BA0043" w:rsidP="005C73D3">
      <w:pPr>
        <w:pStyle w:val="Heading2"/>
        <w:rPr>
          <w:noProof/>
          <w:lang w:eastAsia="en-GB"/>
        </w:rPr>
      </w:pPr>
      <w:bookmarkStart w:id="18" w:name="_Toc324172735"/>
      <w:r>
        <w:t>Resource infrastructure Providers</w:t>
      </w:r>
      <w:bookmarkEnd w:id="18"/>
    </w:p>
    <w:p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 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rsidR="00897038" w:rsidRDefault="00897038" w:rsidP="00897038">
      <w:r>
        <w:t xml:space="preserve">In </w:t>
      </w:r>
      <w:r w:rsidR="003D6E91">
        <w:t>42</w:t>
      </w:r>
      <w:r>
        <w:t xml:space="preserve"> countries resources are directly contributed by EGI-InSPIRE partners</w:t>
      </w:r>
      <w:r w:rsidR="004B181C">
        <w:t xml:space="preserve"> or RPs that are Council members</w:t>
      </w:r>
      <w:r>
        <w:t>. On the other hand, 1</w:t>
      </w:r>
      <w:r w:rsidR="003D6E91">
        <w:t>2</w:t>
      </w:r>
      <w:r w:rsidRPr="006B4B32">
        <w:t xml:space="preserve"> </w:t>
      </w:r>
      <w:r>
        <w:t xml:space="preserve">countries contribute resources </w:t>
      </w:r>
      <w:r w:rsidRPr="006B4B32">
        <w:t>through Resource Infrastructure</w:t>
      </w:r>
      <w:r>
        <w:t xml:space="preserve"> Provider</w:t>
      </w:r>
      <w:r w:rsidRPr="006B4B32">
        <w:t>s that are non-EGI-InSPIRE partners but are fully integrated with the EGI Services Infrastructure.</w:t>
      </w:r>
    </w:p>
    <w:p w:rsidR="00897038" w:rsidRDefault="004B181C" w:rsidP="00F65D34">
      <w:pPr>
        <w:numPr>
          <w:ilvl w:val="0"/>
          <w:numId w:val="4"/>
        </w:numPr>
      </w:pPr>
      <w:r>
        <w:t xml:space="preserve">India, </w:t>
      </w:r>
      <w:r w:rsidR="00897038" w:rsidRPr="006B4B32">
        <w:t xml:space="preserve">Pakistan and New Zealand (Asia Pacific Federation); </w:t>
      </w:r>
    </w:p>
    <w:p w:rsidR="00897038" w:rsidRDefault="00897038" w:rsidP="00F65D34">
      <w:pPr>
        <w:numPr>
          <w:ilvl w:val="0"/>
          <w:numId w:val="4"/>
        </w:numPr>
      </w:pPr>
      <w:r w:rsidRPr="006B4B32">
        <w:t xml:space="preserve">Austria </w:t>
      </w:r>
      <w:r>
        <w:t>(Italian Federation): operations support of Austrian RCs moved from NGI_NDGF to NGI_IT during PY2</w:t>
      </w:r>
      <w:r w:rsidR="004B181C">
        <w:t>;</w:t>
      </w:r>
    </w:p>
    <w:p w:rsidR="00897038" w:rsidRDefault="00897038" w:rsidP="00F65D34">
      <w:pPr>
        <w:numPr>
          <w:ilvl w:val="0"/>
          <w:numId w:val="4"/>
        </w:numPr>
      </w:pPr>
      <w:r>
        <w:lastRenderedPageBreak/>
        <w:t xml:space="preserve">Argentina, Brazil, Chile, </w:t>
      </w:r>
      <w:r w:rsidRPr="006B4B32">
        <w:t>and Venezuela (</w:t>
      </w:r>
      <w:r>
        <w:t>IGALC</w:t>
      </w:r>
      <w:r w:rsidRPr="006B4B32">
        <w:t xml:space="preserve">); </w:t>
      </w:r>
    </w:p>
    <w:p w:rsidR="00897038" w:rsidRDefault="00897038" w:rsidP="00F65D34">
      <w:pPr>
        <w:numPr>
          <w:ilvl w:val="0"/>
          <w:numId w:val="4"/>
        </w:numPr>
      </w:pPr>
      <w:r w:rsidRPr="006B4B32">
        <w:t xml:space="preserve">Canada (Canada Federation); </w:t>
      </w:r>
    </w:p>
    <w:p w:rsidR="00897038" w:rsidRDefault="00897038" w:rsidP="00F65D34">
      <w:pPr>
        <w:numPr>
          <w:ilvl w:val="0"/>
          <w:numId w:val="4"/>
        </w:numPr>
      </w:pPr>
      <w:r w:rsidRPr="006B4B32">
        <w:t>Brazil, Chile, Colombia and Mexico (Latin Am</w:t>
      </w:r>
      <w:r w:rsidR="004B181C">
        <w:t>erica Federation);</w:t>
      </w:r>
    </w:p>
    <w:p w:rsidR="004B181C" w:rsidRDefault="004B181C" w:rsidP="00F65D34">
      <w:pPr>
        <w:numPr>
          <w:ilvl w:val="0"/>
          <w:numId w:val="4"/>
        </w:numPr>
      </w:pPr>
      <w:r>
        <w:t>Ukraine (Russian Federation).</w:t>
      </w:r>
    </w:p>
    <w:p w:rsidR="00AB3A0F" w:rsidRDefault="003D6E91" w:rsidP="009B72C6">
      <w:r>
        <w:t xml:space="preserve">The distribution of RCs per country and per Operations Centres is </w:t>
      </w:r>
      <w:r w:rsidR="009429AD">
        <w:t>reported</w:t>
      </w:r>
      <w:r>
        <w:t xml:space="preserve"> in </w:t>
      </w:r>
      <w:r>
        <w:fldChar w:fldCharType="begin"/>
      </w:r>
      <w:r>
        <w:instrText xml:space="preserve"> REF _Ref319966076 \h </w:instrText>
      </w:r>
      <w:r>
        <w:fldChar w:fldCharType="separate"/>
      </w:r>
    </w:p>
    <w:p w:rsidR="00AB3A0F" w:rsidRDefault="00AB3A0F"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rsidRPr="002B30AD">
        <w:rPr>
          <w:b/>
        </w:rPr>
        <w:t xml:space="preserve">Figure </w:t>
      </w:r>
      <w:r>
        <w:rPr>
          <w:b/>
          <w:noProof/>
        </w:rPr>
        <w:t>2</w:t>
      </w:r>
      <w:r>
        <w:t>.</w:t>
      </w:r>
    </w:p>
    <w:p w:rsidR="00AB3A0F" w:rsidRDefault="00AB3A0F" w:rsidP="00CC4AE4">
      <w:r>
        <w:t>In March 2012</w:t>
      </w:r>
      <w:r w:rsidRPr="006B4B32">
        <w:t xml:space="preserve">, EGI-InSPIRE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rsidR="00AB3A0F" w:rsidRDefault="00AB3A0F" w:rsidP="00CC4AE4">
      <w:pPr>
        <w:rPr>
          <w:noProof/>
          <w:lang w:eastAsia="en-GB"/>
        </w:rPr>
      </w:pPr>
      <w:r>
        <w:rPr>
          <w:noProof/>
          <w:lang w:eastAsia="en-GB"/>
        </w:rPr>
        <w:drawing>
          <wp:inline distT="0" distB="0" distL="0" distR="0" wp14:anchorId="239F00D7" wp14:editId="25F00D87">
            <wp:extent cx="5557520" cy="3637280"/>
            <wp:effectExtent l="0" t="0" r="508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AB3A0F" w:rsidRPr="002B30AD" w:rsidRDefault="00AB3A0F" w:rsidP="00CC4AE4">
      <w:pPr>
        <w:jc w:val="center"/>
        <w:rPr>
          <w:b/>
        </w:rPr>
      </w:pPr>
      <w:proofErr w:type="gramStart"/>
      <w:r w:rsidRPr="002B30AD">
        <w:rPr>
          <w:b/>
        </w:rPr>
        <w:t xml:space="preserve">Figure </w:t>
      </w:r>
      <w:r>
        <w:rPr>
          <w:b/>
          <w:noProof/>
        </w:rPr>
        <w:t>2</w:t>
      </w:r>
      <w:r w:rsidRPr="002B30AD">
        <w:rPr>
          <w:b/>
        </w:rPr>
        <w:t>.</w:t>
      </w:r>
      <w:proofErr w:type="gramEnd"/>
      <w:r w:rsidRPr="002B30AD">
        <w:rPr>
          <w:b/>
        </w:rPr>
        <w:t xml:space="preserve"> EGI countries hosting certified production Resource Centres from 01/09/2009 to 01/03/2012 (data source: GOCDB).</w:t>
      </w:r>
    </w:p>
    <w:p w:rsidR="009B72C6" w:rsidRDefault="00AB3A0F" w:rsidP="009B72C6">
      <w:r>
        <w:br w:type="page"/>
      </w:r>
      <w:proofErr w:type="gramStart"/>
      <w:r w:rsidRPr="00361543">
        <w:rPr>
          <w:b/>
        </w:rPr>
        <w:lastRenderedPageBreak/>
        <w:t xml:space="preserve">Table </w:t>
      </w:r>
      <w:r>
        <w:rPr>
          <w:b/>
          <w:noProof/>
        </w:rPr>
        <w:t>2</w:t>
      </w:r>
      <w:r w:rsidR="003D6E91">
        <w:fldChar w:fldCharType="end"/>
      </w:r>
      <w:r w:rsidR="003D6E91">
        <w:t>.</w:t>
      </w:r>
      <w:bookmarkStart w:id="19" w:name="_Ref319966076"/>
      <w:proofErr w:type="gramEnd"/>
    </w:p>
    <w:p w:rsidR="00CC4AE4" w:rsidRDefault="00CC4AE4"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fldChar w:fldCharType="begin"/>
      </w:r>
      <w:r>
        <w:instrText xml:space="preserve"> REF _Ref319966492 \h </w:instrText>
      </w:r>
      <w:r>
        <w:fldChar w:fldCharType="separate"/>
      </w:r>
      <w:r w:rsidR="00AB3A0F" w:rsidRPr="002B30AD">
        <w:rPr>
          <w:b/>
        </w:rPr>
        <w:t xml:space="preserve">Figure </w:t>
      </w:r>
      <w:r w:rsidR="00AB3A0F">
        <w:rPr>
          <w:b/>
          <w:noProof/>
        </w:rPr>
        <w:t>2</w:t>
      </w:r>
      <w:r>
        <w:fldChar w:fldCharType="end"/>
      </w:r>
      <w:r>
        <w:t>.</w:t>
      </w:r>
    </w:p>
    <w:p w:rsidR="00CC4AE4" w:rsidRDefault="00CC4AE4" w:rsidP="00CC4AE4">
      <w:r>
        <w:t>In March 2012</w:t>
      </w:r>
      <w:r w:rsidRPr="006B4B32">
        <w:t xml:space="preserve">, EGI-InSPIRE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rsidR="00CC4AE4" w:rsidRDefault="00043028" w:rsidP="00CC4AE4">
      <w:pPr>
        <w:rPr>
          <w:noProof/>
          <w:lang w:eastAsia="en-GB"/>
        </w:rPr>
      </w:pPr>
      <w:r>
        <w:rPr>
          <w:noProof/>
          <w:lang w:eastAsia="en-GB"/>
        </w:rPr>
        <w:drawing>
          <wp:inline distT="0" distB="0" distL="0" distR="0" wp14:anchorId="239F00D7" wp14:editId="25F00D87">
            <wp:extent cx="5557520" cy="3637280"/>
            <wp:effectExtent l="0" t="0" r="508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rsidR="00CC4AE4" w:rsidRPr="007A05C7" w:rsidRDefault="00CC4AE4" w:rsidP="00CC4AE4">
      <w:pPr>
        <w:jc w:val="center"/>
      </w:pPr>
      <w:bookmarkStart w:id="20" w:name="_Ref319966492"/>
      <w:bookmarkStart w:id="21" w:name="_Toc324172820"/>
      <w:proofErr w:type="gramStart"/>
      <w:r w:rsidRPr="007A05C7">
        <w:t xml:space="preserve">Figure </w:t>
      </w:r>
      <w:r w:rsidRPr="007A05C7">
        <w:fldChar w:fldCharType="begin"/>
      </w:r>
      <w:r w:rsidRPr="007A05C7">
        <w:instrText xml:space="preserve"> SEQ Figure \* ARABIC </w:instrText>
      </w:r>
      <w:r w:rsidRPr="007A05C7">
        <w:fldChar w:fldCharType="separate"/>
      </w:r>
      <w:r w:rsidR="00AB3A0F" w:rsidRPr="007A05C7">
        <w:rPr>
          <w:noProof/>
        </w:rPr>
        <w:t>2</w:t>
      </w:r>
      <w:r w:rsidRPr="007A05C7">
        <w:fldChar w:fldCharType="end"/>
      </w:r>
      <w:bookmarkEnd w:id="20"/>
      <w:r w:rsidRPr="007A05C7">
        <w:t>.</w:t>
      </w:r>
      <w:proofErr w:type="gramEnd"/>
      <w:r w:rsidRPr="007A05C7">
        <w:t xml:space="preserve"> EGI countries hosting certified production Resource Centres from 01/09/2009 to 01/03/2012 (data source: GOCDB).</w:t>
      </w:r>
      <w:bookmarkEnd w:id="21"/>
    </w:p>
    <w:p w:rsidR="009429AD" w:rsidRDefault="0078439B" w:rsidP="009B72C6">
      <w:r>
        <w:br w:type="page"/>
      </w:r>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AB3A0F">
        <w:rPr>
          <w:b/>
          <w:noProof/>
        </w:rPr>
        <w:t>2</w:t>
      </w:r>
      <w:r w:rsidR="00BB23C2" w:rsidRPr="00361543">
        <w:rPr>
          <w:b/>
        </w:rPr>
        <w:fldChar w:fldCharType="end"/>
      </w:r>
      <w:bookmarkEnd w:id="19"/>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9429AD" w:rsidRPr="00361543">
        <w:rPr>
          <w:b/>
        </w:rPr>
        <w:t xml:space="preserve"> Philippines currently do not contribute resources.</w:t>
      </w:r>
      <w:r w:rsidR="00BB23C2" w:rsidRPr="00361543">
        <w:rPr>
          <w:b/>
        </w:rPr>
        <w:t xml:space="preserve"> Data source: GOCDB</w:t>
      </w:r>
      <w:r w:rsidR="00BB23C2">
        <w:t>.</w:t>
      </w:r>
      <w:r w:rsidR="002173BD" w:rsidRPr="002173BD">
        <w:t xml:space="preserve"> </w:t>
      </w:r>
    </w:p>
    <w:p w:rsidR="0044280E" w:rsidRDefault="0044280E" w:rsidP="003964F9">
      <w:pPr>
        <w:pStyle w:val="Caption"/>
      </w:pPr>
      <w:r>
        <w:t>I = Integrated, EP = European Partner, P = non-European partner, C = only Council member</w:t>
      </w:r>
    </w:p>
    <w:p w:rsidR="0044280E" w:rsidRDefault="0044280E" w:rsidP="009429AD">
      <w:pPr>
        <w:pStyle w:val="Caption"/>
        <w:tabs>
          <w:tab w:val="left" w:pos="6946"/>
        </w:tabs>
        <w:jc w:val="center"/>
      </w:pPr>
    </w:p>
    <w:p w:rsidR="009429AD" w:rsidRPr="009429AD" w:rsidRDefault="00043028" w:rsidP="009429AD">
      <w:pPr>
        <w:jc w:val="center"/>
      </w:pPr>
      <w:r>
        <w:rPr>
          <w:noProof/>
          <w:lang w:eastAsia="en-GB"/>
        </w:rPr>
        <w:drawing>
          <wp:inline distT="0" distB="0" distL="0" distR="0" wp14:anchorId="0543AA38" wp14:editId="0FE5E656">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rsidR="009818E6" w:rsidRDefault="009818E6" w:rsidP="009818E6">
      <w:pPr>
        <w:pStyle w:val="Heading2"/>
      </w:pPr>
      <w:bookmarkStart w:id="22" w:name="_Toc324172736"/>
      <w:r>
        <w:lastRenderedPageBreak/>
        <w:t>Operations Centres</w:t>
      </w:r>
      <w:bookmarkEnd w:id="22"/>
    </w:p>
    <w:p w:rsidR="00870D46" w:rsidRDefault="00870D46" w:rsidP="002172EB">
      <w:r>
        <w:t>The Oper</w:t>
      </w:r>
      <w:r w:rsidR="00AC3FB7">
        <w:t>ations Centre is defined to be a</w:t>
      </w:r>
      <w:r>
        <w:t xml:space="preserve"> centre offering operations services on behalf of the </w:t>
      </w:r>
      <w:r w:rsidRPr="00AC3FB7">
        <w:t>Resource Infrastructure Provider</w:t>
      </w:r>
      <w:r w:rsidR="00AC3FB7">
        <w:t xml:space="preserve"> [GLO]</w:t>
      </w:r>
      <w:r>
        <w:t>.</w:t>
      </w:r>
    </w:p>
    <w:p w:rsidR="001058E2" w:rsidRDefault="00312231" w:rsidP="002172EB">
      <w:r>
        <w:t xml:space="preserve">EGI currently comprehends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AB3A0F">
        <w:t xml:space="preserve">Table </w:t>
      </w:r>
      <w:r w:rsidR="00AB3A0F">
        <w:rPr>
          <w:noProof/>
        </w:rPr>
        <w:t>3</w:t>
      </w:r>
      <w:r w:rsidR="00C70ABF">
        <w:fldChar w:fldCharType="end"/>
      </w:r>
      <w:r w:rsidR="00C70ABF">
        <w:t>)</w:t>
      </w:r>
      <w:r w:rsidR="0048514C">
        <w:t xml:space="preserve">. </w:t>
      </w:r>
      <w:r w:rsidR="001058E2">
        <w:t xml:space="preserve">The existing federated centres in Europe (IberGrid, NGI_NL and NGI_IT) </w:t>
      </w:r>
      <w:r w:rsidR="00AD48D5">
        <w:t xml:space="preserve">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w:t>
      </w:r>
    </w:p>
    <w:p w:rsidR="00312231" w:rsidRDefault="004F2CF1" w:rsidP="002172EB">
      <w:r>
        <w:t>A new</w:t>
      </w:r>
      <w:r w:rsidR="0048514C">
        <w:t xml:space="preserve"> operations centre was created in Finland (NGI_FI) in June 2011. Part of the Finnish resources is operated by NGI_NDGF and another set of sites by NGI_FI. </w:t>
      </w:r>
    </w:p>
    <w:p w:rsidR="0048514C" w:rsidRDefault="0048514C" w:rsidP="002172EB">
      <w:r>
        <w:t>Two new additional NGIs were rolled to production: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rsidR="00312231" w:rsidRDefault="0048514C" w:rsidP="002172EB">
      <w:r>
        <w:t xml:space="preserve">Finally, in November 2011 the operations of Austrian sites </w:t>
      </w:r>
      <w:r w:rsidR="004F2CF1">
        <w:t>were</w:t>
      </w:r>
      <w:r>
        <w:t xml:space="preserve"> handed off by NGI_NDGF to NGI_IT.</w:t>
      </w:r>
      <w:r w:rsidR="006578D7">
        <w:t xml:space="preserve"> </w:t>
      </w:r>
      <w:r w:rsidR="004F2CF1">
        <w:t>Two new Resource infrastructure Provider MoUs were agreed in PY2, and these will result in the certification of two new operations centres (</w:t>
      </w:r>
      <w:r w:rsidR="002172EB">
        <w:t>NGI_UA and NGI_ZA</w:t>
      </w:r>
      <w:r w:rsidR="004F2CF1">
        <w:t>) which are expected to be certified in PY3.</w:t>
      </w:r>
      <w:r w:rsidR="002172EB">
        <w:t xml:space="preserve"> </w:t>
      </w:r>
      <w:r w:rsidR="001058E2">
        <w:t xml:space="preserve">The transition of EGEE legacy ROCs to NGIs was completed in PY2. </w:t>
      </w:r>
    </w:p>
    <w:p w:rsidR="00162C97" w:rsidRPr="002172EB" w:rsidRDefault="00162C97" w:rsidP="007F3EEF">
      <w:pPr>
        <w:pStyle w:val="Caption"/>
        <w:jc w:val="center"/>
      </w:pPr>
      <w:bookmarkStart w:id="23" w:name="_Ref320105673"/>
      <w:proofErr w:type="gramStart"/>
      <w:r>
        <w:t xml:space="preserve">Table </w:t>
      </w:r>
      <w:r>
        <w:fldChar w:fldCharType="begin"/>
      </w:r>
      <w:r>
        <w:instrText xml:space="preserve"> SEQ Table \* ARABIC </w:instrText>
      </w:r>
      <w:r>
        <w:fldChar w:fldCharType="separate"/>
      </w:r>
      <w:r w:rsidR="00AB3A0F">
        <w:rPr>
          <w:noProof/>
        </w:rPr>
        <w:t>3</w:t>
      </w:r>
      <w:r>
        <w:fldChar w:fldCharType="end"/>
      </w:r>
      <w:bookmarkEnd w:id="23"/>
      <w:r>
        <w:t>.</w:t>
      </w:r>
      <w:proofErr w:type="gramEnd"/>
      <w:r>
        <w:t xml:space="preserve"> List of EGI federated Operations Centres</w:t>
      </w:r>
    </w:p>
    <w:tbl>
      <w:tblPr>
        <w:tblpPr w:leftFromText="180" w:rightFromText="180" w:vertAnchor="text" w:horzAnchor="page"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578D7" w:rsidRPr="00312231" w:rsidTr="006578D7">
        <w:tc>
          <w:tcPr>
            <w:tcW w:w="2235" w:type="dxa"/>
            <w:shd w:val="clear" w:color="auto" w:fill="F2F2F2"/>
          </w:tcPr>
          <w:p w:rsidR="006578D7" w:rsidRPr="00312231" w:rsidRDefault="006578D7" w:rsidP="00A156C9">
            <w:pPr>
              <w:jc w:val="center"/>
              <w:rPr>
                <w:b/>
                <w:sz w:val="16"/>
                <w:szCs w:val="16"/>
              </w:rPr>
            </w:pPr>
            <w:r w:rsidRPr="00312231">
              <w:rPr>
                <w:b/>
                <w:sz w:val="16"/>
                <w:szCs w:val="16"/>
              </w:rPr>
              <w:t>Federated operations centres</w:t>
            </w:r>
          </w:p>
        </w:tc>
        <w:tc>
          <w:tcPr>
            <w:tcW w:w="2048" w:type="dxa"/>
            <w:shd w:val="clear" w:color="auto" w:fill="F2F2F2"/>
          </w:tcPr>
          <w:p w:rsidR="006578D7" w:rsidRPr="00312231" w:rsidRDefault="006578D7" w:rsidP="00A156C9">
            <w:pPr>
              <w:jc w:val="center"/>
              <w:rPr>
                <w:b/>
                <w:sz w:val="16"/>
                <w:szCs w:val="16"/>
              </w:rPr>
            </w:pPr>
            <w:r w:rsidRPr="00312231">
              <w:rPr>
                <w:b/>
                <w:sz w:val="16"/>
                <w:szCs w:val="16"/>
              </w:rPr>
              <w:t>Member countries</w:t>
            </w:r>
          </w:p>
        </w:tc>
        <w:tc>
          <w:tcPr>
            <w:tcW w:w="4614" w:type="dxa"/>
            <w:shd w:val="clear" w:color="auto" w:fill="F2F2F2"/>
          </w:tcPr>
          <w:p w:rsidR="006578D7" w:rsidRPr="00312231" w:rsidRDefault="006578D7" w:rsidP="00A156C9">
            <w:pPr>
              <w:jc w:val="center"/>
              <w:rPr>
                <w:b/>
                <w:sz w:val="16"/>
                <w:szCs w:val="16"/>
              </w:rPr>
            </w:pPr>
            <w:r w:rsidRPr="00312231">
              <w:rPr>
                <w:b/>
                <w:sz w:val="16"/>
                <w:szCs w:val="16"/>
              </w:rPr>
              <w:t>Comments</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Asia Pacific</w:t>
            </w:r>
          </w:p>
        </w:tc>
        <w:tc>
          <w:tcPr>
            <w:tcW w:w="2048" w:type="dxa"/>
            <w:shd w:val="clear" w:color="auto" w:fill="auto"/>
          </w:tcPr>
          <w:p w:rsidR="006578D7" w:rsidRPr="00312231" w:rsidRDefault="006578D7" w:rsidP="008B1A2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rsidR="006578D7" w:rsidRPr="00312231" w:rsidRDefault="006578D7" w:rsidP="00A156C9">
            <w:pPr>
              <w:jc w:val="left"/>
              <w:rPr>
                <w:sz w:val="16"/>
                <w:szCs w:val="16"/>
              </w:rPr>
            </w:pPr>
            <w:r w:rsidRPr="00312231">
              <w:rPr>
                <w:sz w:val="16"/>
                <w:szCs w:val="16"/>
              </w:rPr>
              <w:t xml:space="preserve">Philippines is affiliated to the Asia Pacific operations centre, </w:t>
            </w:r>
            <w:r>
              <w:rPr>
                <w:sz w:val="16"/>
                <w:szCs w:val="16"/>
              </w:rPr>
              <w:t>the status of site</w:t>
            </w:r>
            <w:r w:rsidRPr="00312231">
              <w:rPr>
                <w:sz w:val="16"/>
                <w:szCs w:val="16"/>
              </w:rPr>
              <w:t xml:space="preserve"> </w:t>
            </w:r>
            <w:r>
              <w:t xml:space="preserve"> </w:t>
            </w:r>
            <w:r w:rsidRPr="003132EE">
              <w:rPr>
                <w:sz w:val="16"/>
                <w:szCs w:val="16"/>
              </w:rPr>
              <w:t>PH-ASTI-LIKNAYAN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Canada</w:t>
            </w:r>
          </w:p>
        </w:tc>
        <w:tc>
          <w:tcPr>
            <w:tcW w:w="2048" w:type="dxa"/>
            <w:shd w:val="clear" w:color="auto" w:fill="auto"/>
          </w:tcPr>
          <w:p w:rsidR="006578D7" w:rsidRPr="00312231" w:rsidRDefault="006578D7" w:rsidP="008B1A2E">
            <w:pPr>
              <w:jc w:val="left"/>
              <w:rPr>
                <w:sz w:val="16"/>
                <w:szCs w:val="16"/>
              </w:rPr>
            </w:pPr>
            <w:r w:rsidRPr="00312231">
              <w:rPr>
                <w:sz w:val="16"/>
                <w:szCs w:val="16"/>
              </w:rPr>
              <w:t>Canada, China</w:t>
            </w:r>
          </w:p>
        </w:tc>
        <w:tc>
          <w:tcPr>
            <w:tcW w:w="4614" w:type="dxa"/>
            <w:shd w:val="clear" w:color="auto" w:fill="auto"/>
          </w:tcPr>
          <w:p w:rsidR="006578D7" w:rsidRPr="00312231" w:rsidRDefault="006578D7" w:rsidP="00A156C9">
            <w:pPr>
              <w:jc w:val="center"/>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IberGrid</w:t>
            </w:r>
          </w:p>
        </w:tc>
        <w:tc>
          <w:tcPr>
            <w:tcW w:w="2048" w:type="dxa"/>
            <w:shd w:val="clear" w:color="auto" w:fill="auto"/>
          </w:tcPr>
          <w:p w:rsidR="006578D7" w:rsidRPr="00312231" w:rsidRDefault="006578D7" w:rsidP="008B1A2E">
            <w:pPr>
              <w:jc w:val="left"/>
              <w:rPr>
                <w:sz w:val="16"/>
                <w:szCs w:val="16"/>
              </w:rPr>
            </w:pPr>
            <w:r w:rsidRPr="00312231">
              <w:rPr>
                <w:sz w:val="16"/>
                <w:szCs w:val="16"/>
              </w:rPr>
              <w:t>Portugal, Spain</w:t>
            </w:r>
          </w:p>
        </w:tc>
        <w:tc>
          <w:tcPr>
            <w:tcW w:w="4614" w:type="dxa"/>
            <w:shd w:val="clear" w:color="auto" w:fill="auto"/>
          </w:tcPr>
          <w:p w:rsidR="006578D7" w:rsidRPr="00312231" w:rsidRDefault="006578D7" w:rsidP="00A156C9">
            <w:pPr>
              <w:jc w:val="center"/>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rsidR="006578D7" w:rsidRPr="00312231" w:rsidRDefault="006578D7" w:rsidP="008B1A2E">
            <w:pPr>
              <w:jc w:val="left"/>
              <w:rPr>
                <w:sz w:val="16"/>
                <w:szCs w:val="16"/>
              </w:rPr>
            </w:pPr>
            <w:r w:rsidRPr="00312231">
              <w:rPr>
                <w:sz w:val="16"/>
                <w:szCs w:val="16"/>
              </w:rPr>
              <w:t>Argentina, Brazil, Chile, Venezuela</w:t>
            </w:r>
          </w:p>
        </w:tc>
        <w:tc>
          <w:tcPr>
            <w:tcW w:w="4614" w:type="dxa"/>
            <w:shd w:val="clear" w:color="auto" w:fill="auto"/>
          </w:tcPr>
          <w:p w:rsidR="006578D7" w:rsidRPr="00312231" w:rsidRDefault="006578D7" w:rsidP="00A71BDD">
            <w:pPr>
              <w:jc w:val="left"/>
              <w:rPr>
                <w:sz w:val="16"/>
                <w:szCs w:val="16"/>
              </w:rPr>
            </w:pPr>
            <w:r>
              <w:rPr>
                <w:sz w:val="16"/>
                <w:szCs w:val="16"/>
              </w:rPr>
              <w:t>Argentina whose site was certified in PQ2, has been stably running in production since</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Latin America (ROC_LA)</w:t>
            </w:r>
          </w:p>
        </w:tc>
        <w:tc>
          <w:tcPr>
            <w:tcW w:w="2048" w:type="dxa"/>
            <w:shd w:val="clear" w:color="auto" w:fill="auto"/>
          </w:tcPr>
          <w:p w:rsidR="006578D7" w:rsidRPr="00312231" w:rsidRDefault="006578D7" w:rsidP="008B1A2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Italy (NGI_IT)</w:t>
            </w:r>
          </w:p>
        </w:tc>
        <w:tc>
          <w:tcPr>
            <w:tcW w:w="2048" w:type="dxa"/>
            <w:shd w:val="clear" w:color="auto" w:fill="auto"/>
          </w:tcPr>
          <w:p w:rsidR="006578D7" w:rsidRPr="00312231" w:rsidRDefault="006578D7" w:rsidP="008B1A2E">
            <w:pPr>
              <w:jc w:val="left"/>
              <w:rPr>
                <w:sz w:val="16"/>
                <w:szCs w:val="16"/>
              </w:rPr>
            </w:pPr>
            <w:r w:rsidRPr="00312231">
              <w:rPr>
                <w:sz w:val="16"/>
                <w:szCs w:val="16"/>
              </w:rPr>
              <w:t>Austria, Italia</w:t>
            </w:r>
          </w:p>
        </w:tc>
        <w:tc>
          <w:tcPr>
            <w:tcW w:w="4614" w:type="dxa"/>
            <w:shd w:val="clear" w:color="auto" w:fill="auto"/>
          </w:tcPr>
          <w:p w:rsidR="006578D7" w:rsidRPr="00312231" w:rsidRDefault="006578D7" w:rsidP="00A71BDD">
            <w:pPr>
              <w:jc w:val="left"/>
              <w:rPr>
                <w:sz w:val="16"/>
                <w:szCs w:val="16"/>
              </w:rPr>
            </w:pPr>
            <w:r>
              <w:rPr>
                <w:sz w:val="16"/>
                <w:szCs w:val="16"/>
              </w:rPr>
              <w:t>Operations of Austrian sites provided by NGI_IT since November 2011</w:t>
            </w: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Nordic countries and Baltic region (NGI_NDGF)</w:t>
            </w:r>
          </w:p>
        </w:tc>
        <w:tc>
          <w:tcPr>
            <w:tcW w:w="2048" w:type="dxa"/>
            <w:shd w:val="clear" w:color="auto" w:fill="auto"/>
          </w:tcPr>
          <w:p w:rsidR="006578D7" w:rsidRPr="00312231" w:rsidRDefault="006578D7" w:rsidP="008B1A2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Netherlands (NGI_NL)</w:t>
            </w:r>
          </w:p>
        </w:tc>
        <w:tc>
          <w:tcPr>
            <w:tcW w:w="2048" w:type="dxa"/>
            <w:shd w:val="clear" w:color="auto" w:fill="auto"/>
          </w:tcPr>
          <w:p w:rsidR="006578D7" w:rsidRPr="00312231" w:rsidRDefault="006578D7" w:rsidP="008B1A2E">
            <w:pPr>
              <w:jc w:val="left"/>
              <w:rPr>
                <w:sz w:val="16"/>
                <w:szCs w:val="16"/>
              </w:rPr>
            </w:pPr>
            <w:r w:rsidRPr="00312231">
              <w:rPr>
                <w:sz w:val="16"/>
                <w:szCs w:val="16"/>
              </w:rPr>
              <w:t>Belgium, Netherlands</w:t>
            </w:r>
          </w:p>
        </w:tc>
        <w:tc>
          <w:tcPr>
            <w:tcW w:w="4614" w:type="dxa"/>
            <w:shd w:val="clear" w:color="auto" w:fill="auto"/>
          </w:tcPr>
          <w:p w:rsidR="006578D7" w:rsidRPr="00312231" w:rsidRDefault="006578D7" w:rsidP="00A71BDD">
            <w:pPr>
              <w:jc w:val="left"/>
              <w:rPr>
                <w:sz w:val="16"/>
                <w:szCs w:val="16"/>
              </w:rPr>
            </w:pPr>
          </w:p>
        </w:tc>
      </w:tr>
      <w:tr w:rsidR="006578D7" w:rsidRPr="00312231" w:rsidTr="006578D7">
        <w:tc>
          <w:tcPr>
            <w:tcW w:w="2235" w:type="dxa"/>
            <w:shd w:val="clear" w:color="auto" w:fill="auto"/>
            <w:vAlign w:val="center"/>
          </w:tcPr>
          <w:p w:rsidR="006578D7" w:rsidRPr="00312231" w:rsidRDefault="006578D7" w:rsidP="00A156C9">
            <w:pPr>
              <w:jc w:val="center"/>
              <w:rPr>
                <w:sz w:val="16"/>
                <w:szCs w:val="16"/>
              </w:rPr>
            </w:pPr>
            <w:r w:rsidRPr="00312231">
              <w:rPr>
                <w:sz w:val="16"/>
                <w:szCs w:val="16"/>
              </w:rPr>
              <w:t>Russia (Russia)</w:t>
            </w:r>
          </w:p>
        </w:tc>
        <w:tc>
          <w:tcPr>
            <w:tcW w:w="2048" w:type="dxa"/>
            <w:shd w:val="clear" w:color="auto" w:fill="auto"/>
          </w:tcPr>
          <w:p w:rsidR="006578D7" w:rsidRPr="00312231" w:rsidRDefault="006578D7" w:rsidP="008B1A2E">
            <w:pPr>
              <w:jc w:val="left"/>
              <w:rPr>
                <w:sz w:val="16"/>
                <w:szCs w:val="16"/>
              </w:rPr>
            </w:pPr>
            <w:r w:rsidRPr="00312231">
              <w:rPr>
                <w:sz w:val="16"/>
                <w:szCs w:val="16"/>
              </w:rPr>
              <w:t>Russia, Ukraine</w:t>
            </w:r>
          </w:p>
        </w:tc>
        <w:tc>
          <w:tcPr>
            <w:tcW w:w="4614" w:type="dxa"/>
            <w:shd w:val="clear" w:color="auto" w:fill="auto"/>
          </w:tcPr>
          <w:p w:rsidR="006578D7" w:rsidRPr="00312231" w:rsidRDefault="006578D7" w:rsidP="00A71BDD">
            <w:pPr>
              <w:jc w:val="left"/>
              <w:rPr>
                <w:sz w:val="16"/>
                <w:szCs w:val="16"/>
              </w:rPr>
            </w:pPr>
            <w:r>
              <w:rPr>
                <w:sz w:val="16"/>
                <w:szCs w:val="16"/>
              </w:rPr>
              <w:t>Migration of Ukrainian sites expected  in PY3 after the consolidation of a new national operations centre in Ukraine</w:t>
            </w:r>
          </w:p>
        </w:tc>
      </w:tr>
    </w:tbl>
    <w:p w:rsidR="00195593" w:rsidRDefault="00195593" w:rsidP="006578D7"/>
    <w:p w:rsidR="00207D16" w:rsidRDefault="009818E6" w:rsidP="009818E6">
      <w:pPr>
        <w:pStyle w:val="Heading1"/>
      </w:pPr>
      <w:bookmarkStart w:id="24" w:name="_Ref323914572"/>
      <w:bookmarkStart w:id="25" w:name="_Toc324172737"/>
      <w:r>
        <w:lastRenderedPageBreak/>
        <w:t>Installed Capacity</w:t>
      </w:r>
      <w:bookmarkEnd w:id="24"/>
      <w:bookmarkEnd w:id="25"/>
    </w:p>
    <w:p w:rsidR="007B285A" w:rsidRDefault="00D275D0" w:rsidP="00D275D0">
      <w:r>
        <w:t xml:space="preserve">Installed capacity is monitored at the end of each project quarter.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rsidR="00D275D0" w:rsidRPr="00D275D0" w:rsidRDefault="00D275D0" w:rsidP="00D275D0">
      <w:r>
        <w:t xml:space="preserve">ARC, GLOBUS and UNICORE are currently not published in the Information Discovery System with the exception of ARC resources operated by NGI_NDGF. </w:t>
      </w:r>
      <w:r w:rsidR="007B285A">
        <w:t>EGI is collaborating with both the EMI and IGE project for the development of a unified Information Discovery System.</w:t>
      </w:r>
    </w:p>
    <w:p w:rsidR="009818E6" w:rsidRDefault="009818E6" w:rsidP="009818E6">
      <w:pPr>
        <w:pStyle w:val="Heading2"/>
      </w:pPr>
      <w:bookmarkStart w:id="26" w:name="_Toc324172738"/>
      <w:r>
        <w:t>Compute Resources</w:t>
      </w:r>
      <w:bookmarkEnd w:id="26"/>
    </w:p>
    <w:p w:rsidR="003D35D3" w:rsidRDefault="003D35D3" w:rsidP="003D35D3">
      <w:r>
        <w:t>The total amount of CPU cores contributed by EGI-InSPIRE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abundantly</w:t>
      </w:r>
      <w:r>
        <w:t xml:space="preserve"> exceeds the PY2 target </w:t>
      </w:r>
      <w:r w:rsidR="003023EA">
        <w:t>of</w:t>
      </w:r>
      <w:r>
        <w:t xml:space="preserve"> 350,000 total cores.</w:t>
      </w:r>
    </w:p>
    <w:p w:rsidR="003D35D3" w:rsidRPr="003D35D3" w:rsidRDefault="003D35D3" w:rsidP="003D35D3">
      <w:r>
        <w:t>Looking at the compute resources provided by EGI partners (EGI-InSPIRE partners and council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AB3A0F" w:rsidRPr="006B4B32">
        <w:t xml:space="preserve">Table </w:t>
      </w:r>
      <w:r w:rsidR="00AB3A0F">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rsidR="007D33CD" w:rsidRPr="006B4B32" w:rsidRDefault="007D33CD" w:rsidP="007D33CD">
      <w:pPr>
        <w:pStyle w:val="Caption"/>
        <w:jc w:val="center"/>
      </w:pPr>
      <w:bookmarkStart w:id="27" w:name="_Ref289437277"/>
      <w:proofErr w:type="gramStart"/>
      <w:r w:rsidRPr="006B4B32">
        <w:t xml:space="preserve">Table </w:t>
      </w:r>
      <w:r w:rsidRPr="006B4B32">
        <w:fldChar w:fldCharType="begin"/>
      </w:r>
      <w:r w:rsidRPr="006B4B32">
        <w:instrText xml:space="preserve"> SEQ Table \* ARABIC </w:instrText>
      </w:r>
      <w:r w:rsidRPr="006B4B32">
        <w:fldChar w:fldCharType="separate"/>
      </w:r>
      <w:r w:rsidR="00AB3A0F">
        <w:rPr>
          <w:noProof/>
        </w:rPr>
        <w:t>4</w:t>
      </w:r>
      <w:r w:rsidRPr="006B4B32">
        <w:fldChar w:fldCharType="end"/>
      </w:r>
      <w:bookmarkEnd w:id="27"/>
      <w:r w:rsidRPr="006B4B32">
        <w:t>.</w:t>
      </w:r>
      <w:proofErr w:type="gramEnd"/>
      <w:r w:rsidRPr="006B4B32">
        <w:t xml:space="preserve">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rsidTr="00327BCA">
        <w:trPr>
          <w:jc w:val="center"/>
        </w:trPr>
        <w:tc>
          <w:tcPr>
            <w:tcW w:w="3272" w:type="dxa"/>
            <w:tcBorders>
              <w:bottom w:val="single" w:sz="4" w:space="0" w:color="auto"/>
            </w:tcBorders>
            <w:shd w:val="clear" w:color="auto" w:fill="D9D9D9"/>
            <w:vAlign w:val="center"/>
          </w:tcPr>
          <w:p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rsidR="00327BCA" w:rsidRPr="006B4B32" w:rsidRDefault="00327BCA" w:rsidP="00A156C9">
            <w:pPr>
              <w:jc w:val="center"/>
              <w:rPr>
                <w:b/>
                <w:sz w:val="18"/>
                <w:szCs w:val="18"/>
              </w:rPr>
            </w:pPr>
            <w:r>
              <w:rPr>
                <w:b/>
                <w:sz w:val="18"/>
                <w:szCs w:val="18"/>
              </w:rPr>
              <w:t>PQ7/PY2 Target</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 partners</w:t>
            </w:r>
          </w:p>
        </w:tc>
        <w:tc>
          <w:tcPr>
            <w:tcW w:w="2685" w:type="dxa"/>
            <w:shd w:val="clear" w:color="auto" w:fill="auto"/>
            <w:vAlign w:val="center"/>
          </w:tcPr>
          <w:p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rsidTr="00327BCA">
        <w:trPr>
          <w:jc w:val="center"/>
        </w:trPr>
        <w:tc>
          <w:tcPr>
            <w:tcW w:w="3272" w:type="dxa"/>
            <w:shd w:val="clear" w:color="auto" w:fill="F2F2F2"/>
            <w:vAlign w:val="center"/>
          </w:tcPr>
          <w:p w:rsidR="00327BCA" w:rsidRPr="006B4B32" w:rsidRDefault="00327BCA" w:rsidP="003D35D3">
            <w:pPr>
              <w:jc w:val="center"/>
              <w:rPr>
                <w:sz w:val="18"/>
                <w:szCs w:val="18"/>
              </w:rPr>
            </w:pPr>
            <w:r w:rsidRPr="006B4B32">
              <w:rPr>
                <w:sz w:val="18"/>
                <w:szCs w:val="18"/>
              </w:rPr>
              <w:t>EGI-InSPIRE</w:t>
            </w:r>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rsidR="00327BCA" w:rsidRPr="006B4B32" w:rsidRDefault="00327BCA" w:rsidP="00A156C9">
            <w:pPr>
              <w:jc w:val="center"/>
              <w:rPr>
                <w:sz w:val="18"/>
                <w:szCs w:val="18"/>
              </w:rPr>
            </w:pPr>
            <w:r>
              <w:rPr>
                <w:sz w:val="18"/>
                <w:szCs w:val="18"/>
              </w:rPr>
              <w:t>399,300/350,000</w:t>
            </w:r>
          </w:p>
        </w:tc>
      </w:tr>
    </w:tbl>
    <w:p w:rsidR="007D33CD" w:rsidRPr="0038394B" w:rsidRDefault="007D33CD" w:rsidP="007D33CD">
      <w:pPr>
        <w:pStyle w:val="Caption"/>
        <w:jc w:val="center"/>
      </w:pPr>
      <w:bookmarkStart w:id="28" w:name="_Ref321407946"/>
      <w:proofErr w:type="gramStart"/>
      <w:r w:rsidRPr="006B4B32">
        <w:t xml:space="preserve">Table </w:t>
      </w:r>
      <w:r w:rsidRPr="006B4B32">
        <w:fldChar w:fldCharType="begin"/>
      </w:r>
      <w:r w:rsidRPr="006B4B32">
        <w:instrText xml:space="preserve"> SEQ Table \* ARABIC </w:instrText>
      </w:r>
      <w:r w:rsidRPr="006B4B32">
        <w:fldChar w:fldCharType="separate"/>
      </w:r>
      <w:r w:rsidR="00AB3A0F">
        <w:rPr>
          <w:noProof/>
        </w:rPr>
        <w:t>5</w:t>
      </w:r>
      <w:r w:rsidRPr="006B4B32">
        <w:fldChar w:fldCharType="end"/>
      </w:r>
      <w:bookmarkEnd w:id="28"/>
      <w:r w:rsidRPr="006B4B32">
        <w:t>.</w:t>
      </w:r>
      <w:proofErr w:type="gramEnd"/>
      <w:r w:rsidRPr="006B4B32">
        <w:t xml:space="preserve"> Installed compute capacity </w:t>
      </w:r>
      <w:r w:rsidR="003D35D3">
        <w:t xml:space="preserve">in EGI-InSPIRE partners EGI council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rsidTr="001E50CB">
        <w:trPr>
          <w:jc w:val="center"/>
        </w:trPr>
        <w:tc>
          <w:tcPr>
            <w:tcW w:w="1358" w:type="dxa"/>
            <w:tcBorders>
              <w:bottom w:val="single" w:sz="4" w:space="0" w:color="auto"/>
            </w:tcBorders>
            <w:shd w:val="clear" w:color="auto" w:fill="D9D9D9"/>
            <w:vAlign w:val="center"/>
          </w:tcPr>
          <w:p w:rsidR="00327BCA" w:rsidRPr="006B4B32" w:rsidRDefault="00327BCA" w:rsidP="00A156C9">
            <w:pPr>
              <w:jc w:val="center"/>
              <w:rPr>
                <w:sz w:val="18"/>
                <w:szCs w:val="18"/>
              </w:rPr>
            </w:pPr>
          </w:p>
        </w:tc>
        <w:tc>
          <w:tcPr>
            <w:tcW w:w="2410" w:type="dxa"/>
            <w:shd w:val="clear" w:color="auto" w:fill="D9D9D9"/>
          </w:tcPr>
          <w:p w:rsidR="00327BCA" w:rsidRPr="006B4B32" w:rsidRDefault="00327BCA" w:rsidP="00A156C9">
            <w:pPr>
              <w:jc w:val="center"/>
              <w:rPr>
                <w:b/>
                <w:sz w:val="18"/>
                <w:szCs w:val="18"/>
              </w:rPr>
            </w:pPr>
            <w:r w:rsidRPr="006B4B32">
              <w:rPr>
                <w:b/>
                <w:sz w:val="18"/>
                <w:szCs w:val="18"/>
              </w:rPr>
              <w:t>April 2010</w:t>
            </w:r>
          </w:p>
          <w:p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rsidR="00327BCA" w:rsidRPr="006B4B32" w:rsidRDefault="00327BCA" w:rsidP="00A156C9">
            <w:pPr>
              <w:jc w:val="center"/>
              <w:rPr>
                <w:b/>
                <w:sz w:val="18"/>
                <w:szCs w:val="18"/>
              </w:rPr>
            </w:pPr>
            <w:r w:rsidRPr="006B4B32">
              <w:rPr>
                <w:b/>
                <w:sz w:val="18"/>
                <w:szCs w:val="18"/>
              </w:rPr>
              <w:t>March 2011</w:t>
            </w:r>
          </w:p>
          <w:p w:rsidR="00327BCA" w:rsidRPr="006B4B32" w:rsidRDefault="00327BCA" w:rsidP="00A156C9">
            <w:pPr>
              <w:jc w:val="center"/>
              <w:rPr>
                <w:b/>
                <w:sz w:val="18"/>
                <w:szCs w:val="18"/>
              </w:rPr>
            </w:pPr>
            <w:r>
              <w:rPr>
                <w:b/>
                <w:sz w:val="18"/>
                <w:szCs w:val="18"/>
              </w:rPr>
              <w:t xml:space="preserve">(EGI-InSPIRE </w:t>
            </w:r>
            <w:r w:rsidRPr="006B4B32">
              <w:rPr>
                <w:b/>
                <w:sz w:val="18"/>
                <w:szCs w:val="18"/>
              </w:rPr>
              <w:t>Infrastructure)</w:t>
            </w:r>
          </w:p>
        </w:tc>
        <w:tc>
          <w:tcPr>
            <w:tcW w:w="2781" w:type="dxa"/>
            <w:shd w:val="clear" w:color="auto" w:fill="D9D9D9"/>
          </w:tcPr>
          <w:p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rsidR="00327BCA" w:rsidRPr="006B4B32" w:rsidRDefault="00327BCA" w:rsidP="00A156C9">
            <w:pPr>
              <w:jc w:val="center"/>
              <w:rPr>
                <w:b/>
                <w:sz w:val="18"/>
                <w:szCs w:val="18"/>
              </w:rPr>
            </w:pPr>
            <w:r>
              <w:rPr>
                <w:b/>
                <w:sz w:val="18"/>
                <w:szCs w:val="18"/>
              </w:rPr>
              <w:t>(EGI-InSPIRE Infrastructure)</w:t>
            </w:r>
          </w:p>
        </w:tc>
      </w:tr>
      <w:tr w:rsidR="00327BCA" w:rsidRPr="006B4B32" w:rsidTr="001E50CB">
        <w:trPr>
          <w:jc w:val="center"/>
        </w:trPr>
        <w:tc>
          <w:tcPr>
            <w:tcW w:w="1358" w:type="dxa"/>
            <w:shd w:val="clear" w:color="auto" w:fill="F2F2F2"/>
          </w:tcPr>
          <w:p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rsidR="00327BCA" w:rsidRPr="0074145F" w:rsidRDefault="00327BCA" w:rsidP="001E50CB">
            <w:pPr>
              <w:jc w:val="center"/>
              <w:rPr>
                <w:szCs w:val="22"/>
              </w:rPr>
            </w:pPr>
            <w:r w:rsidRPr="0074145F">
              <w:rPr>
                <w:szCs w:val="22"/>
              </w:rPr>
              <w:t>192,000</w:t>
            </w:r>
          </w:p>
        </w:tc>
        <w:tc>
          <w:tcPr>
            <w:tcW w:w="2586" w:type="dxa"/>
            <w:shd w:val="clear" w:color="auto" w:fill="auto"/>
            <w:vAlign w:val="center"/>
          </w:tcPr>
          <w:p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rsidR="00327BCA" w:rsidRPr="0074145F" w:rsidRDefault="009A208E" w:rsidP="001E50CB">
            <w:pPr>
              <w:jc w:val="center"/>
              <w:rPr>
                <w:szCs w:val="22"/>
              </w:rPr>
            </w:pPr>
            <w:r w:rsidRPr="0074145F">
              <w:rPr>
                <w:szCs w:val="22"/>
              </w:rPr>
              <w:t>270,800/+30.7%</w:t>
            </w:r>
          </w:p>
        </w:tc>
      </w:tr>
      <w:tr w:rsidR="00327BCA" w:rsidRPr="006B4B32" w:rsidTr="001E50CB">
        <w:trPr>
          <w:jc w:val="center"/>
        </w:trPr>
        <w:tc>
          <w:tcPr>
            <w:tcW w:w="1358" w:type="dxa"/>
            <w:shd w:val="clear" w:color="auto" w:fill="F2F2F2"/>
            <w:vAlign w:val="center"/>
          </w:tcPr>
          <w:p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rsidR="00327BCA" w:rsidRPr="0074145F" w:rsidRDefault="00327BCA" w:rsidP="00A156C9">
            <w:pPr>
              <w:jc w:val="center"/>
              <w:rPr>
                <w:szCs w:val="22"/>
              </w:rPr>
            </w:pPr>
            <w:r w:rsidRPr="0074145F">
              <w:rPr>
                <w:szCs w:val="22"/>
              </w:rPr>
              <w:t>335</w:t>
            </w:r>
          </w:p>
          <w:p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rsidR="00327BCA" w:rsidRPr="0074145F" w:rsidRDefault="00327BCA" w:rsidP="00A156C9">
            <w:pPr>
              <w:jc w:val="center"/>
              <w:rPr>
                <w:szCs w:val="22"/>
              </w:rPr>
            </w:pPr>
            <w:r w:rsidRPr="0074145F">
              <w:rPr>
                <w:szCs w:val="22"/>
              </w:rPr>
              <w:t>495/+47.7%</w:t>
            </w:r>
          </w:p>
          <w:p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rsidR="00C51E51" w:rsidRPr="0074145F" w:rsidRDefault="00C51E51" w:rsidP="00C51E51">
            <w:pPr>
              <w:jc w:val="center"/>
              <w:rPr>
                <w:szCs w:val="22"/>
              </w:rPr>
            </w:pPr>
            <w:r w:rsidRPr="0074145F">
              <w:rPr>
                <w:szCs w:val="22"/>
              </w:rPr>
              <w:t>740/+49.5%</w:t>
            </w:r>
          </w:p>
          <w:p w:rsidR="00327BCA" w:rsidRPr="006B4B32" w:rsidRDefault="00C51E51" w:rsidP="00A156C9">
            <w:pPr>
              <w:jc w:val="center"/>
              <w:rPr>
                <w:sz w:val="18"/>
                <w:szCs w:val="18"/>
              </w:rPr>
            </w:pPr>
            <w:r>
              <w:rPr>
                <w:sz w:val="18"/>
                <w:szCs w:val="18"/>
              </w:rPr>
              <w:t>(2.96 Million HEP-SPEC 06)</w:t>
            </w:r>
          </w:p>
        </w:tc>
      </w:tr>
    </w:tbl>
    <w:p w:rsidR="00A1092F" w:rsidRDefault="00557DFA" w:rsidP="002B30AD">
      <w:pPr>
        <w:jc w:val="center"/>
        <w:rPr>
          <w:noProof/>
          <w:lang w:eastAsia="en-GB"/>
        </w:rPr>
      </w:pPr>
      <w:r>
        <w:rPr>
          <w:noProof/>
          <w:lang w:eastAsia="en-GB"/>
        </w:rPr>
        <w:lastRenderedPageBreak/>
        <w:drawing>
          <wp:inline distT="0" distB="0" distL="0" distR="0">
            <wp:extent cx="3435700" cy="22298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5521" cy="2229736"/>
                    </a:xfrm>
                    <a:prstGeom prst="rect">
                      <a:avLst/>
                    </a:prstGeom>
                    <a:noFill/>
                    <a:ln>
                      <a:noFill/>
                    </a:ln>
                  </pic:spPr>
                </pic:pic>
              </a:graphicData>
            </a:graphic>
          </wp:inline>
        </w:drawing>
      </w:r>
    </w:p>
    <w:p w:rsidR="00B245B9" w:rsidRDefault="00A1092F" w:rsidP="002B30AD">
      <w:pPr>
        <w:pStyle w:val="Caption"/>
        <w:jc w:val="center"/>
      </w:pPr>
      <w:bookmarkStart w:id="29" w:name="_Toc324172821"/>
      <w:proofErr w:type="gramStart"/>
      <w:r>
        <w:t xml:space="preserve">Figure </w:t>
      </w:r>
      <w:r>
        <w:fldChar w:fldCharType="begin"/>
      </w:r>
      <w:r>
        <w:instrText xml:space="preserve"> SEQ Figure \* ARABIC </w:instrText>
      </w:r>
      <w:r>
        <w:fldChar w:fldCharType="separate"/>
      </w:r>
      <w:r w:rsidR="00AB3A0F">
        <w:rPr>
          <w:noProof/>
        </w:rPr>
        <w:t>3</w:t>
      </w:r>
      <w:r>
        <w:fldChar w:fldCharType="end"/>
      </w:r>
      <w:r>
        <w:t>.</w:t>
      </w:r>
      <w:proofErr w:type="gramEnd"/>
      <w:r>
        <w:t xml:space="preserve"> Total number of CPU cores provided by EGI RPs</w:t>
      </w:r>
      <w:r w:rsidR="003D35D3">
        <w:t xml:space="preserve"> from PQ1 (June 2010) to PQ7 (January 2012)</w:t>
      </w:r>
      <w:r w:rsidR="00140311">
        <w:t xml:space="preserve"> by RPs who are EGI-InSPIRE partners or EGI Council members (blue bar), and the amount of resources contributed together with integrated infrastructures (red bar).</w:t>
      </w:r>
      <w:bookmarkEnd w:id="29"/>
    </w:p>
    <w:p w:rsidR="007D33CD" w:rsidRDefault="007D33CD" w:rsidP="005B3B66"/>
    <w:p w:rsidR="00140311" w:rsidRDefault="00D416B8" w:rsidP="005B3B66">
      <w:pPr>
        <w:jc w:val="center"/>
        <w:rPr>
          <w:noProof/>
          <w:lang w:eastAsia="en-GB"/>
        </w:rPr>
      </w:pPr>
      <w:r>
        <w:rPr>
          <w:noProof/>
          <w:lang w:eastAsia="en-GB"/>
        </w:rPr>
        <w:drawing>
          <wp:inline distT="0" distB="0" distL="0" distR="0">
            <wp:extent cx="5742940" cy="34810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940" cy="3481070"/>
                    </a:xfrm>
                    <a:prstGeom prst="rect">
                      <a:avLst/>
                    </a:prstGeom>
                    <a:noFill/>
                    <a:ln>
                      <a:noFill/>
                    </a:ln>
                  </pic:spPr>
                </pic:pic>
              </a:graphicData>
            </a:graphic>
          </wp:inline>
        </w:drawing>
      </w:r>
    </w:p>
    <w:p w:rsidR="00140311" w:rsidRPr="00140311" w:rsidRDefault="00140311" w:rsidP="005B3B66">
      <w:pPr>
        <w:pStyle w:val="Caption"/>
        <w:jc w:val="center"/>
      </w:pPr>
      <w:bookmarkStart w:id="30" w:name="_Toc324172822"/>
      <w:proofErr w:type="gramStart"/>
      <w:r>
        <w:t xml:space="preserve">Figure </w:t>
      </w:r>
      <w:r>
        <w:fldChar w:fldCharType="begin"/>
      </w:r>
      <w:r>
        <w:instrText xml:space="preserve"> SEQ Figure \* ARABIC </w:instrText>
      </w:r>
      <w:r>
        <w:fldChar w:fldCharType="separate"/>
      </w:r>
      <w:r w:rsidR="00AB3A0F">
        <w:rPr>
          <w:noProof/>
        </w:rPr>
        <w:t>4</w:t>
      </w:r>
      <w:r>
        <w:fldChar w:fldCharType="end"/>
      </w:r>
      <w:r>
        <w:t>.</w:t>
      </w:r>
      <w:proofErr w:type="gramEnd"/>
      <w:r>
        <w:t xml:space="preserve"> Distribution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 xml:space="preserve">across EGI Resource infrastructure Providers, including EGI-InSPIRE partners, council members and </w:t>
      </w:r>
      <w:r>
        <w:t>integrated infrastructures</w:t>
      </w:r>
      <w:r>
        <w:rPr>
          <w:rStyle w:val="FootnoteReference"/>
        </w:rPr>
        <w:footnoteReference w:id="4"/>
      </w:r>
      <w:r>
        <w:t>.</w:t>
      </w:r>
      <w:bookmarkEnd w:id="30"/>
    </w:p>
    <w:p w:rsidR="009818E6" w:rsidRDefault="009818E6" w:rsidP="009818E6">
      <w:pPr>
        <w:pStyle w:val="Heading2"/>
      </w:pPr>
      <w:bookmarkStart w:id="31" w:name="_Toc324172739"/>
      <w:r>
        <w:lastRenderedPageBreak/>
        <w:t>Storage Resources</w:t>
      </w:r>
      <w:bookmarkEnd w:id="31"/>
    </w:p>
    <w:p w:rsidR="005B3C6D" w:rsidRDefault="005B3C6D" w:rsidP="005B3C6D">
      <w:r>
        <w:t>Information about storage capacity provided by the EGI-InSPIRE partners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EGI-InSPIRE partners. As already mentioned for the compute capacity, accuracy of information available from the Information Discovery System depends on the availability of correct and up to date information as provided by the storage dynamic information providers installed at sites.</w:t>
      </w:r>
    </w:p>
    <w:p w:rsidR="005B3C6D" w:rsidRDefault="005B3C6D" w:rsidP="005B3B66">
      <w:r>
        <w:t xml:space="preserve">At the end of PQ7, the total amount of reported installed disk capacity amounts to </w:t>
      </w:r>
      <w:r w:rsidR="008E470E">
        <w:t>139</w:t>
      </w:r>
      <w:r>
        <w:t xml:space="preserve"> PB</w:t>
      </w:r>
      <w:r w:rsidR="008E470E">
        <w:t xml:space="preserve"> (+31.4% yearly increase)</w:t>
      </w:r>
      <w:r>
        <w:t xml:space="preserve">. The distribution of disk storage resources among the EGI-InSPIRE partners is illustrated in </w:t>
      </w:r>
      <w:r w:rsidR="008E470E">
        <w:fldChar w:fldCharType="begin"/>
      </w:r>
      <w:r w:rsidR="008E470E">
        <w:instrText xml:space="preserve"> REF _Ref322127563 \h </w:instrText>
      </w:r>
      <w:r w:rsidR="008E470E">
        <w:fldChar w:fldCharType="separate"/>
      </w:r>
      <w:r w:rsidR="00AB3A0F">
        <w:t xml:space="preserve">Figure </w:t>
      </w:r>
      <w:r w:rsidR="00AB3A0F">
        <w:rPr>
          <w:noProof/>
        </w:rPr>
        <w:t>5</w:t>
      </w:r>
      <w:r w:rsidR="008E470E">
        <w:fldChar w:fldCharType="end"/>
      </w:r>
      <w:r w:rsidR="008E470E">
        <w:t>, which shows that disk capacity is concentrated across seven NGIs/EIROs, which are in descending order: Germany, CERN, United Kingdom, Italy, France, Spain and The Netherlands.</w:t>
      </w:r>
    </w:p>
    <w:p w:rsidR="00681486" w:rsidRDefault="00043028" w:rsidP="005B3B66">
      <w:pPr>
        <w:rPr>
          <w:noProof/>
          <w:lang w:eastAsia="en-GB"/>
        </w:rPr>
      </w:pPr>
      <w:r>
        <w:rPr>
          <w:noProof/>
          <w:lang w:eastAsia="en-GB"/>
        </w:rPr>
        <w:drawing>
          <wp:inline distT="0" distB="0" distL="0" distR="0" wp14:anchorId="695AD8F1" wp14:editId="5D419228">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rsidR="00681486" w:rsidRDefault="00681486" w:rsidP="005B3B66">
      <w:pPr>
        <w:pStyle w:val="Caption"/>
        <w:jc w:val="center"/>
      </w:pPr>
      <w:bookmarkStart w:id="32" w:name="_Ref322127556"/>
      <w:bookmarkStart w:id="33" w:name="_Ref322127563"/>
      <w:bookmarkStart w:id="34" w:name="_Toc324172823"/>
      <w:proofErr w:type="gramStart"/>
      <w:r>
        <w:t xml:space="preserve">Figure </w:t>
      </w:r>
      <w:r>
        <w:fldChar w:fldCharType="begin"/>
      </w:r>
      <w:r>
        <w:instrText xml:space="preserve"> SEQ Figure \* ARABIC </w:instrText>
      </w:r>
      <w:r>
        <w:fldChar w:fldCharType="separate"/>
      </w:r>
      <w:r w:rsidR="00AB3A0F">
        <w:rPr>
          <w:noProof/>
        </w:rPr>
        <w:t>5</w:t>
      </w:r>
      <w:r>
        <w:fldChar w:fldCharType="end"/>
      </w:r>
      <w:bookmarkEnd w:id="33"/>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32"/>
      <w:bookmarkEnd w:id="34"/>
    </w:p>
    <w:p w:rsidR="00EF085F" w:rsidRPr="00C60359" w:rsidRDefault="00EF085F" w:rsidP="005B3B66">
      <w:r w:rsidRPr="006B4B32">
        <w:t xml:space="preserve">Tape capacity is mainly provided by </w:t>
      </w:r>
      <w:r w:rsidR="00302AFD">
        <w:t xml:space="preserve">CERN and </w:t>
      </w:r>
      <w:r>
        <w:t>WLCG Tier-1 RCs</w:t>
      </w:r>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rsidR="009818E6" w:rsidRDefault="009818E6" w:rsidP="009818E6">
      <w:pPr>
        <w:pStyle w:val="Heading2"/>
      </w:pPr>
      <w:bookmarkStart w:id="35" w:name="_Toc324172740"/>
      <w:r>
        <w:t>Compute Resources for Parallel Jobs</w:t>
      </w:r>
      <w:bookmarkEnd w:id="35"/>
    </w:p>
    <w:p w:rsidR="00C031AE" w:rsidRPr="00C031AE" w:rsidRDefault="00C031AE" w:rsidP="00C031AE">
      <w:r w:rsidRPr="006B4B32">
        <w:t xml:space="preserve">Information is gathered periodically in the project quarterly reports about the number of </w:t>
      </w:r>
      <w:r w:rsidRPr="006B4B32">
        <w:rPr>
          <w:i/>
        </w:rPr>
        <w:t>high-performance</w:t>
      </w:r>
      <w:r w:rsidRPr="006B4B32">
        <w:t xml:space="preserve"> clusters operated. With high-performance we refer to clusters that feature a local high-</w:t>
      </w:r>
      <w:r w:rsidRPr="006B4B32">
        <w:lastRenderedPageBreak/>
        <w:t xml:space="preserve">speed low-latency interconnect (e.g. </w:t>
      </w:r>
      <w:proofErr w:type="spellStart"/>
      <w:r w:rsidRPr="006B4B32">
        <w:t>Myrinet</w:t>
      </w:r>
      <w:proofErr w:type="spellEnd"/>
      <w:r w:rsidRPr="006B4B32">
        <w:rPr>
          <w:rStyle w:val="FootnoteReference"/>
        </w:rPr>
        <w:footnoteReference w:id="5"/>
      </w:r>
      <w:r w:rsidRPr="006B4B32">
        <w:t xml:space="preserve">, </w:t>
      </w:r>
      <w:proofErr w:type="spellStart"/>
      <w:r w:rsidRPr="006B4B32">
        <w:t>InfiniBand</w:t>
      </w:r>
      <w:proofErr w:type="spellEnd"/>
      <w:r w:rsidRPr="006B4B32">
        <w:rPr>
          <w:rStyle w:val="FootnoteReference"/>
        </w:rPr>
        <w:footnoteReference w:id="6"/>
      </w:r>
      <w:r w:rsidRPr="006B4B32">
        <w:t>). The clusters that qualify as high-</w:t>
      </w:r>
      <w:proofErr w:type="gramStart"/>
      <w:r w:rsidRPr="006B4B32">
        <w:t>performance,</w:t>
      </w:r>
      <w:proofErr w:type="gramEnd"/>
      <w:r w:rsidRPr="006B4B32">
        <w:t xml:space="preserve"> have been reported by the Resource Infrastructure Pr</w:t>
      </w:r>
      <w:r>
        <w:t>oviders to be slightly less than at the end of PQ3. They amount in total to 40 units (-25.9% yearly decrease) at the end of PQ7.</w:t>
      </w:r>
    </w:p>
    <w:p w:rsidR="00302AFD" w:rsidRPr="006B4B32" w:rsidRDefault="000076B7" w:rsidP="00C60359">
      <w:pPr>
        <w:pStyle w:val="Caption"/>
        <w:jc w:val="center"/>
      </w:pPr>
      <w:bookmarkStart w:id="36" w:name="_Ref322129142"/>
      <w:proofErr w:type="gramStart"/>
      <w:r>
        <w:t xml:space="preserve">Table </w:t>
      </w:r>
      <w:r>
        <w:fldChar w:fldCharType="begin"/>
      </w:r>
      <w:r>
        <w:instrText xml:space="preserve"> SEQ Table \* ARABIC </w:instrText>
      </w:r>
      <w:r>
        <w:fldChar w:fldCharType="separate"/>
      </w:r>
      <w:r w:rsidR="00AB3A0F">
        <w:rPr>
          <w:noProof/>
        </w:rPr>
        <w:t>6</w:t>
      </w:r>
      <w:r>
        <w:fldChar w:fldCharType="end"/>
      </w:r>
      <w:bookmarkEnd w:id="36"/>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08"/>
        <w:gridCol w:w="1689"/>
      </w:tblGrid>
      <w:tr w:rsidR="00302AFD" w:rsidRPr="006B4B32" w:rsidTr="005357E9">
        <w:trPr>
          <w:jc w:val="center"/>
        </w:trPr>
        <w:tc>
          <w:tcPr>
            <w:tcW w:w="0" w:type="auto"/>
            <w:tcBorders>
              <w:bottom w:val="single" w:sz="4" w:space="0" w:color="auto"/>
            </w:tcBorders>
            <w:shd w:val="clear" w:color="auto" w:fill="D9D9D9"/>
          </w:tcPr>
          <w:p w:rsidR="00302AFD" w:rsidRPr="006B4B32" w:rsidRDefault="00302AFD" w:rsidP="005357E9">
            <w:pPr>
              <w:rPr>
                <w:szCs w:val="22"/>
              </w:rPr>
            </w:pPr>
            <w:r w:rsidRPr="006B4B32">
              <w:rPr>
                <w:szCs w:val="22"/>
              </w:rPr>
              <w:t>Metric</w:t>
            </w:r>
          </w:p>
        </w:tc>
        <w:tc>
          <w:tcPr>
            <w:tcW w:w="0" w:type="auto"/>
            <w:shd w:val="clear" w:color="auto" w:fill="D9D9D9"/>
          </w:tcPr>
          <w:p w:rsidR="00302AFD" w:rsidRPr="006B4B32" w:rsidRDefault="00302AFD" w:rsidP="005357E9">
            <w:pPr>
              <w:rPr>
                <w:szCs w:val="22"/>
              </w:rPr>
            </w:pPr>
            <w:r w:rsidRPr="006B4B32">
              <w:rPr>
                <w:szCs w:val="22"/>
              </w:rPr>
              <w:t>PQ3</w:t>
            </w:r>
          </w:p>
        </w:tc>
        <w:tc>
          <w:tcPr>
            <w:tcW w:w="0" w:type="auto"/>
            <w:shd w:val="clear" w:color="auto" w:fill="D9D9D9"/>
          </w:tcPr>
          <w:p w:rsidR="00302AFD" w:rsidRPr="006B4B32" w:rsidRDefault="00302AFD" w:rsidP="005357E9">
            <w:pPr>
              <w:rPr>
                <w:szCs w:val="22"/>
              </w:rPr>
            </w:pPr>
            <w:r>
              <w:rPr>
                <w:szCs w:val="22"/>
              </w:rPr>
              <w:t>PQ7/PY2 Target</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rsidR="00302AFD" w:rsidRPr="006B4B32" w:rsidRDefault="00302AFD" w:rsidP="005357E9">
            <w:pPr>
              <w:jc w:val="center"/>
              <w:rPr>
                <w:sz w:val="18"/>
                <w:szCs w:val="18"/>
              </w:rPr>
            </w:pPr>
            <w:r w:rsidRPr="006B4B32">
              <w:rPr>
                <w:sz w:val="18"/>
                <w:szCs w:val="18"/>
              </w:rPr>
              <w:t>54</w:t>
            </w:r>
          </w:p>
        </w:tc>
        <w:tc>
          <w:tcPr>
            <w:tcW w:w="0" w:type="auto"/>
          </w:tcPr>
          <w:p w:rsidR="00302AFD" w:rsidRPr="006B4B32" w:rsidRDefault="004B6DDF" w:rsidP="005357E9">
            <w:pPr>
              <w:jc w:val="center"/>
              <w:rPr>
                <w:sz w:val="18"/>
                <w:szCs w:val="18"/>
              </w:rPr>
            </w:pPr>
            <w:r>
              <w:rPr>
                <w:sz w:val="18"/>
                <w:szCs w:val="18"/>
              </w:rPr>
              <w:t>40/3</w:t>
            </w:r>
          </w:p>
        </w:tc>
      </w:tr>
      <w:tr w:rsidR="00302AFD" w:rsidRPr="006B4B32" w:rsidTr="005357E9">
        <w:trPr>
          <w:jc w:val="center"/>
        </w:trPr>
        <w:tc>
          <w:tcPr>
            <w:tcW w:w="0" w:type="auto"/>
            <w:shd w:val="clear" w:color="auto" w:fill="F2F2F2"/>
          </w:tcPr>
          <w:p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rsidR="00302AFD" w:rsidRPr="006B4B32" w:rsidRDefault="00302AFD" w:rsidP="005357E9">
            <w:pPr>
              <w:jc w:val="center"/>
              <w:rPr>
                <w:sz w:val="18"/>
                <w:szCs w:val="18"/>
              </w:rPr>
            </w:pPr>
            <w:r w:rsidRPr="006B4B32">
              <w:rPr>
                <w:sz w:val="18"/>
                <w:szCs w:val="18"/>
              </w:rPr>
              <w:t>90</w:t>
            </w:r>
          </w:p>
        </w:tc>
        <w:tc>
          <w:tcPr>
            <w:tcW w:w="0" w:type="auto"/>
          </w:tcPr>
          <w:p w:rsidR="00302AFD" w:rsidRPr="006B4B32" w:rsidRDefault="004B6DDF" w:rsidP="005357E9">
            <w:pPr>
              <w:jc w:val="center"/>
              <w:rPr>
                <w:sz w:val="18"/>
                <w:szCs w:val="18"/>
              </w:rPr>
            </w:pPr>
            <w:r>
              <w:rPr>
                <w:sz w:val="18"/>
                <w:szCs w:val="18"/>
              </w:rPr>
              <w:t>108/100</w:t>
            </w:r>
          </w:p>
        </w:tc>
      </w:tr>
    </w:tbl>
    <w:p w:rsidR="00302AFD" w:rsidRPr="006B4B32" w:rsidRDefault="00302AFD" w:rsidP="00302AFD"/>
    <w:p w:rsidR="000076B7" w:rsidRDefault="00302AFD" w:rsidP="00302AFD">
      <w:r w:rsidRPr="006B4B32">
        <w:t>At the end of PQ3 Message Passing Interface [MPI]</w:t>
      </w:r>
      <w:r w:rsidR="000076B7">
        <w:t xml:space="preserve"> jobs were supported by 108</w:t>
      </w:r>
      <w:r w:rsidRPr="006B4B32">
        <w:t xml:space="preserve"> </w:t>
      </w:r>
      <w:r w:rsidR="000076B7">
        <w:t xml:space="preserve">sites (+20% yearly </w:t>
      </w:r>
      <w:proofErr w:type="gramStart"/>
      <w:r w:rsidR="000076B7">
        <w:t>increase</w:t>
      </w:r>
      <w:proofErr w:type="gramEnd"/>
      <w:r w:rsidRPr="006B4B32">
        <w:t>)</w:t>
      </w:r>
      <w:r w:rsidR="000076B7">
        <w:t xml:space="preserve"> as shown in </w:t>
      </w:r>
      <w:r w:rsidR="000076B7">
        <w:fldChar w:fldCharType="begin"/>
      </w:r>
      <w:r w:rsidR="000076B7">
        <w:instrText xml:space="preserve"> REF _Ref322129142 \h </w:instrText>
      </w:r>
      <w:r w:rsidR="000076B7">
        <w:fldChar w:fldCharType="separate"/>
      </w:r>
      <w:r w:rsidR="00AB3A0F">
        <w:t xml:space="preserve">Table </w:t>
      </w:r>
      <w:r w:rsidR="00AB3A0F">
        <w:rPr>
          <w:noProof/>
        </w:rPr>
        <w:t>6</w:t>
      </w:r>
      <w:r w:rsidR="000076B7">
        <w:fldChar w:fldCharType="end"/>
      </w:r>
      <w:r w:rsidRPr="006B4B32">
        <w:t>.</w:t>
      </w:r>
    </w:p>
    <w:p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7"/>
      </w:r>
      <w:r>
        <w:t>. A joint MAPPER-EGI-PRACE task force</w:t>
      </w:r>
      <w:r w:rsidR="003F41E1">
        <w:rPr>
          <w:rStyle w:val="FootnoteReference"/>
        </w:rPr>
        <w:footnoteReference w:id="8"/>
      </w:r>
      <w:r>
        <w:t xml:space="preserve"> helped with the operational integration of the MAPPER </w:t>
      </w:r>
      <w:r w:rsidR="00B16FA1">
        <w:t xml:space="preserve">software </w:t>
      </w:r>
      <w:r>
        <w:t>platform.</w:t>
      </w:r>
      <w:r w:rsidR="00AF7706">
        <w:t xml:space="preserve"> The objectives of the task force are;</w:t>
      </w:r>
    </w:p>
    <w:p w:rsidR="00AF7706" w:rsidRPr="00B16FA1" w:rsidRDefault="00AF7706" w:rsidP="00F65D34">
      <w:pPr>
        <w:numPr>
          <w:ilvl w:val="0"/>
          <w:numId w:val="5"/>
        </w:numPr>
        <w:suppressAutoHyphens w:val="0"/>
        <w:spacing w:before="100" w:beforeAutospacing="1" w:after="100" w:afterAutospacing="1"/>
        <w:rPr>
          <w:szCs w:val="22"/>
          <w:lang w:eastAsia="en-GB"/>
        </w:rPr>
      </w:pPr>
      <w:r w:rsidRPr="00B16FA1">
        <w:rPr>
          <w:szCs w:val="22"/>
          <w:lang w:eastAsia="en-GB"/>
        </w:rPr>
        <w:t xml:space="preserve">to integrate QCG Nagios probes into the SAM release and to assess which of these probes will affect site Availability/Reliability in case of failure (affecting </w:t>
      </w:r>
    </w:p>
    <w:p w:rsidR="00AF7706" w:rsidRPr="00B16FA1" w:rsidRDefault="00AF7706" w:rsidP="00F65D34">
      <w:pPr>
        <w:numPr>
          <w:ilvl w:val="0"/>
          <w:numId w:val="5"/>
        </w:numPr>
        <w:suppressAutoHyphens w:val="0"/>
        <w:spacing w:before="100" w:beforeAutospacing="1" w:after="100" w:afterAutospacing="1"/>
        <w:rPr>
          <w:szCs w:val="22"/>
          <w:lang w:eastAsia="en-GB"/>
        </w:rPr>
      </w:pPr>
      <w:r w:rsidRPr="00B16FA1">
        <w:rPr>
          <w:szCs w:val="22"/>
          <w:lang w:eastAsia="en-GB"/>
        </w:rPr>
        <w:t xml:space="preserve">to assess the status of accounting, and the developments needed to integrate what exists with the EGI accounting infrastructure </w:t>
      </w:r>
    </w:p>
    <w:p w:rsidR="00AF7706" w:rsidRPr="00B16FA1" w:rsidRDefault="00AF7706" w:rsidP="00F65D34">
      <w:pPr>
        <w:numPr>
          <w:ilvl w:val="0"/>
          <w:numId w:val="5"/>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Integration with GOCDB and SAM are now almost completely accomplished. Accounting integration is being developed so that usage records for EGI resources can be accounted centrally. MAPPER integration requirements will be evaluated to explore the integration across a selected set of EGI and PRACE operational services.</w:t>
      </w:r>
    </w:p>
    <w:p w:rsidR="00302AFD" w:rsidRPr="00C60359" w:rsidRDefault="00302AFD" w:rsidP="005B3B66"/>
    <w:p w:rsidR="008633B1" w:rsidRDefault="008276BB" w:rsidP="008633B1">
      <w:pPr>
        <w:pStyle w:val="Heading1"/>
      </w:pPr>
      <w:bookmarkStart w:id="37" w:name="_Ref324140538"/>
      <w:bookmarkStart w:id="38" w:name="_Toc324172741"/>
      <w:r>
        <w:lastRenderedPageBreak/>
        <w:t>D</w:t>
      </w:r>
      <w:r w:rsidR="008633B1">
        <w:t>isciplines, Virtual Organizations and Users</w:t>
      </w:r>
      <w:bookmarkEnd w:id="37"/>
      <w:bookmarkEnd w:id="38"/>
    </w:p>
    <w:p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w:t>
      </w:r>
      <w:proofErr w:type="spellStart"/>
      <w:r w:rsidRPr="006B4B32">
        <w:t>V</w:t>
      </w:r>
      <w:r w:rsidR="005D53DD" w:rsidRPr="006B4B32">
        <w:t>o</w:t>
      </w:r>
      <w:r w:rsidRPr="006B4B32">
        <w:t>s</w:t>
      </w:r>
      <w:proofErr w:type="spellEnd"/>
      <w:r w:rsidRPr="006B4B32">
        <w:t xml:space="preserve">)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 xml:space="preserve">hematics, Multidisciplinary </w:t>
      </w:r>
      <w:proofErr w:type="spellStart"/>
      <w:r>
        <w:rPr>
          <w:szCs w:val="22"/>
        </w:rPr>
        <w:t>V</w:t>
      </w:r>
      <w:r w:rsidR="005D53DD">
        <w:rPr>
          <w:szCs w:val="22"/>
        </w:rPr>
        <w:t>o</w:t>
      </w:r>
      <w:r>
        <w:rPr>
          <w:szCs w:val="22"/>
        </w:rPr>
        <w:t>s</w:t>
      </w:r>
      <w:proofErr w:type="spellEnd"/>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rsidR="008C4D99" w:rsidRDefault="00B93F3B" w:rsidP="002D0A14">
      <w:pPr>
        <w:rPr>
          <w:szCs w:val="22"/>
        </w:rPr>
      </w:pPr>
      <w:r w:rsidRPr="00B93F3B">
        <w:rPr>
          <w:szCs w:val="22"/>
        </w:rPr>
        <w:t xml:space="preserve">The overall number of international and national </w:t>
      </w:r>
      <w:proofErr w:type="spellStart"/>
      <w:r w:rsidRPr="00B93F3B">
        <w:rPr>
          <w:szCs w:val="22"/>
        </w:rPr>
        <w:t>V</w:t>
      </w:r>
      <w:r w:rsidR="005D53DD" w:rsidRPr="00B93F3B">
        <w:rPr>
          <w:szCs w:val="22"/>
        </w:rPr>
        <w:t>o</w:t>
      </w:r>
      <w:r w:rsidRPr="00B93F3B">
        <w:rPr>
          <w:szCs w:val="22"/>
        </w:rPr>
        <w:t>s</w:t>
      </w:r>
      <w:proofErr w:type="spellEnd"/>
      <w:r w:rsidRPr="00B93F3B">
        <w:rPr>
          <w:szCs w:val="22"/>
        </w:rPr>
        <w:t xml:space="preserve"> registered in the</w:t>
      </w:r>
      <w:r w:rsidR="002D0A14" w:rsidRPr="00B93F3B">
        <w:rPr>
          <w:szCs w:val="22"/>
        </w:rPr>
        <w:t xml:space="preserve"> Operations Portal</w:t>
      </w:r>
      <w:r w:rsidR="002D0A14" w:rsidRPr="00B93F3B">
        <w:rPr>
          <w:rStyle w:val="FootnoteReference"/>
          <w:szCs w:val="22"/>
        </w:rPr>
        <w:footnoteReference w:id="9"/>
      </w:r>
      <w:r w:rsidRPr="00B93F3B">
        <w:rPr>
          <w:szCs w:val="22"/>
        </w:rPr>
        <w:t xml:space="preserve"> at the end of March 2012 amounts to 226 (3.20% from March 2011), including 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extensions have been requested in PY2, and</w:t>
      </w:r>
      <w:r>
        <w:rPr>
          <w:szCs w:val="22"/>
        </w:rPr>
        <w:t xml:space="preserve"> will be </w:t>
      </w:r>
      <w:r w:rsidR="008C4D99">
        <w:rPr>
          <w:szCs w:val="22"/>
        </w:rPr>
        <w:t>released</w:t>
      </w:r>
      <w:r>
        <w:rPr>
          <w:szCs w:val="22"/>
        </w:rPr>
        <w:t xml:space="preserve"> starting with the EMI 2.0 VOMS version to be released in May 2012</w:t>
      </w:r>
      <w:r w:rsidR="00B07BCE">
        <w:rPr>
          <w:rStyle w:val="FootnoteReference"/>
          <w:szCs w:val="22"/>
        </w:rPr>
        <w:footnoteReference w:id="10"/>
      </w:r>
      <w:r>
        <w:rPr>
          <w:szCs w:val="22"/>
        </w:rPr>
        <w:t xml:space="preserve">.  </w:t>
      </w:r>
    </w:p>
    <w:p w:rsidR="008633B1" w:rsidRDefault="008633B1" w:rsidP="008633B1">
      <w:pPr>
        <w:pStyle w:val="Heading2"/>
      </w:pPr>
      <w:bookmarkStart w:id="39" w:name="_Toc324172742"/>
      <w:r>
        <w:t>VO Distribution</w:t>
      </w:r>
      <w:r w:rsidR="005A7ADD">
        <w:t xml:space="preserve"> across scientific fields</w:t>
      </w:r>
      <w:bookmarkEnd w:id="39"/>
    </w:p>
    <w:p w:rsidR="00B07BCE" w:rsidRDefault="00B07BCE" w:rsidP="00B07BCE">
      <w:r>
        <w:t xml:space="preserve">The disciplines which recorded the larger number of </w:t>
      </w:r>
      <w:proofErr w:type="spellStart"/>
      <w:r>
        <w:t>V</w:t>
      </w:r>
      <w:r w:rsidR="005D53DD">
        <w:t>o</w:t>
      </w:r>
      <w:r>
        <w:t>s</w:t>
      </w:r>
      <w:proofErr w:type="spellEnd"/>
      <w:r>
        <w:t xml:space="preserve"> during PY2 are in decreasing order: High-Energy Physics (+23.0% , with +39.25% of new users registered), Others (+17.7, with +19.41% of new users), Multidisciplinary </w:t>
      </w:r>
      <w:proofErr w:type="spellStart"/>
      <w:r>
        <w:t>V</w:t>
      </w:r>
      <w:r w:rsidR="005D53DD">
        <w:t>o</w:t>
      </w:r>
      <w:r>
        <w:t>s</w:t>
      </w:r>
      <w:proofErr w:type="spellEnd"/>
      <w:r>
        <w:t xml:space="preserve"> (+17.% </w:t>
      </w:r>
      <w:proofErr w:type="spellStart"/>
      <w:r>
        <w:t>V</w:t>
      </w:r>
      <w:r w:rsidR="005D53DD">
        <w:t>o</w:t>
      </w:r>
      <w:r>
        <w:t>s</w:t>
      </w:r>
      <w:proofErr w:type="spellEnd"/>
      <w:r>
        <w:t xml:space="preserve"> and +15.26% users), Infrastructure (+12.8 </w:t>
      </w:r>
      <w:proofErr w:type="spellStart"/>
      <w:r>
        <w:t>V</w:t>
      </w:r>
      <w:r w:rsidR="005D53DD">
        <w:t>o</w:t>
      </w:r>
      <w:r>
        <w:t>s</w:t>
      </w:r>
      <w:proofErr w:type="spellEnd"/>
      <w:r>
        <w:t xml:space="preserve"> and +2.95% users), Astronomy Astrophysics and </w:t>
      </w:r>
      <w:proofErr w:type="spellStart"/>
      <w:r>
        <w:t>Astro</w:t>
      </w:r>
      <w:proofErr w:type="spellEnd"/>
      <w:r>
        <w:t xml:space="preserve">-particle Physics (+11.9% </w:t>
      </w:r>
      <w:proofErr w:type="spellStart"/>
      <w:r>
        <w:t>V</w:t>
      </w:r>
      <w:r w:rsidR="005D53DD">
        <w:t>o</w:t>
      </w:r>
      <w:r>
        <w:t>s</w:t>
      </w:r>
      <w:proofErr w:type="spellEnd"/>
      <w:r>
        <w:t xml:space="preserve"> and +12.51% users), Life Sciences (+8% </w:t>
      </w:r>
      <w:proofErr w:type="spellStart"/>
      <w:r>
        <w:t>V</w:t>
      </w:r>
      <w:r w:rsidR="005D53DD">
        <w:t>o</w:t>
      </w:r>
      <w:r>
        <w:t>s</w:t>
      </w:r>
      <w:proofErr w:type="spellEnd"/>
      <w:r>
        <w:t xml:space="preserve"> and + 5.61% users), Earth Sciences (+5.3% </w:t>
      </w:r>
      <w:proofErr w:type="spellStart"/>
      <w:r>
        <w:t>V</w:t>
      </w:r>
      <w:r w:rsidR="005D53DD">
        <w:t>o</w:t>
      </w:r>
      <w:r>
        <w:t>s</w:t>
      </w:r>
      <w:proofErr w:type="spellEnd"/>
      <w:r>
        <w:t xml:space="preserve"> and +1.55% users), Computer Science and Mathematics (+6% </w:t>
      </w:r>
      <w:proofErr w:type="spellStart"/>
      <w:r>
        <w:t>V</w:t>
      </w:r>
      <w:r w:rsidR="005D53DD">
        <w:t>o</w:t>
      </w:r>
      <w:r>
        <w:t>s</w:t>
      </w:r>
      <w:proofErr w:type="spellEnd"/>
      <w:r>
        <w:t xml:space="preserve"> and +0.20% users), Computational Chemistry (+2.2 </w:t>
      </w:r>
      <w:proofErr w:type="spellStart"/>
      <w:r>
        <w:t>V</w:t>
      </w:r>
      <w:r w:rsidR="005D53DD">
        <w:t>o</w:t>
      </w:r>
      <w:r>
        <w:t>s</w:t>
      </w:r>
      <w:proofErr w:type="spellEnd"/>
      <w:r>
        <w:t xml:space="preserve"> and + 2.91% users) and Fusion (0.9% </w:t>
      </w:r>
      <w:proofErr w:type="spellStart"/>
      <w:r>
        <w:t>V</w:t>
      </w:r>
      <w:r w:rsidR="005D53DD">
        <w:t>o</w:t>
      </w:r>
      <w:r>
        <w:t>s</w:t>
      </w:r>
      <w:proofErr w:type="spellEnd"/>
      <w:r>
        <w:t xml:space="preserve"> and +0.46% users).</w:t>
      </w:r>
    </w:p>
    <w:p w:rsidR="008554B0" w:rsidRDefault="008554B0" w:rsidP="00B07BCE">
      <w:r>
        <w:t xml:space="preserve">The distribution of </w:t>
      </w:r>
      <w:proofErr w:type="spellStart"/>
      <w:r>
        <w:t>V</w:t>
      </w:r>
      <w:r w:rsidR="005D53DD">
        <w:t>o</w:t>
      </w:r>
      <w:r>
        <w:t>s</w:t>
      </w:r>
      <w:proofErr w:type="spellEnd"/>
      <w:r>
        <w:t xml:space="preserve"> per discipline is illustrated in </w:t>
      </w:r>
      <w:r w:rsidR="00AC3922">
        <w:fldChar w:fldCharType="begin"/>
      </w:r>
      <w:r w:rsidR="00AC3922">
        <w:instrText xml:space="preserve"> REF _Ref323342283 \h </w:instrText>
      </w:r>
      <w:r w:rsidR="00AC3922">
        <w:fldChar w:fldCharType="separate"/>
      </w:r>
      <w:r w:rsidR="00AB3A0F">
        <w:t xml:space="preserve">Figure </w:t>
      </w:r>
      <w:r w:rsidR="00AB3A0F">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w:t>
      </w:r>
      <w:proofErr w:type="spellStart"/>
      <w:r w:rsidR="00AC3922">
        <w:t>V</w:t>
      </w:r>
      <w:r w:rsidR="005D53DD">
        <w:t>o</w:t>
      </w:r>
      <w:r w:rsidR="00AC3922">
        <w:t>s</w:t>
      </w:r>
      <w:proofErr w:type="spellEnd"/>
      <w:r w:rsidR="00AC3922">
        <w:t xml:space="preserve"> (16.8%) and Astronomy Astrophysics and </w:t>
      </w:r>
      <w:proofErr w:type="spellStart"/>
      <w:r w:rsidR="00AC3922">
        <w:t>Astro</w:t>
      </w:r>
      <w:proofErr w:type="spellEnd"/>
      <w:r w:rsidR="00AC3922">
        <w:t>-particles Physics (11.9%).</w:t>
      </w:r>
    </w:p>
    <w:p w:rsidR="003D0B1B" w:rsidRPr="00B07BCE" w:rsidRDefault="003D0B1B" w:rsidP="00B07BCE"/>
    <w:p w:rsidR="004F659B" w:rsidRDefault="004F659B" w:rsidP="004F659B">
      <w:pPr>
        <w:rPr>
          <w:noProof/>
          <w:lang w:eastAsia="en-GB"/>
        </w:rPr>
      </w:pPr>
    </w:p>
    <w:p w:rsidR="003D0B1B" w:rsidRDefault="003D0B1B" w:rsidP="004F659B">
      <w:pPr>
        <w:rPr>
          <w:noProof/>
          <w:lang w:eastAsia="en-GB"/>
        </w:rPr>
      </w:pPr>
    </w:p>
    <w:p w:rsidR="003D0B1B" w:rsidRDefault="00043028" w:rsidP="003D0B1B">
      <w:pPr>
        <w:jc w:val="center"/>
        <w:rPr>
          <w:noProof/>
          <w:lang w:eastAsia="en-GB"/>
        </w:rPr>
      </w:pPr>
      <w:r>
        <w:rPr>
          <w:noProof/>
          <w:lang w:eastAsia="en-GB"/>
        </w:rPr>
        <w:lastRenderedPageBreak/>
        <w:drawing>
          <wp:inline distT="0" distB="0" distL="0" distR="0" wp14:anchorId="3AAAC970" wp14:editId="44FE9E29">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rsidR="008554B0" w:rsidRDefault="008554B0" w:rsidP="008554B0">
      <w:pPr>
        <w:pStyle w:val="Caption"/>
        <w:jc w:val="center"/>
      </w:pPr>
      <w:bookmarkStart w:id="40" w:name="_Toc324172824"/>
      <w:proofErr w:type="gramStart"/>
      <w:r>
        <w:t xml:space="preserve">Figure </w:t>
      </w:r>
      <w:r>
        <w:fldChar w:fldCharType="begin"/>
      </w:r>
      <w:r>
        <w:instrText xml:space="preserve"> SEQ Figure \* ARABIC </w:instrText>
      </w:r>
      <w:r>
        <w:fldChar w:fldCharType="separate"/>
      </w:r>
      <w:r w:rsidR="00AB3A0F">
        <w:rPr>
          <w:noProof/>
        </w:rPr>
        <w:t>6</w:t>
      </w:r>
      <w:r>
        <w:fldChar w:fldCharType="end"/>
      </w:r>
      <w:r>
        <w:t>.</w:t>
      </w:r>
      <w:proofErr w:type="gramEnd"/>
      <w:r>
        <w:t xml:space="preserve"> Distribution of number </w:t>
      </w:r>
      <w:proofErr w:type="spellStart"/>
      <w:r>
        <w:t>V</w:t>
      </w:r>
      <w:r w:rsidR="005D53DD">
        <w:t>o</w:t>
      </w:r>
      <w:r>
        <w:t>s</w:t>
      </w:r>
      <w:proofErr w:type="spellEnd"/>
      <w:r>
        <w:t xml:space="preserve"> per discipline (March 2012, source: Operations Portal).</w:t>
      </w:r>
      <w:bookmarkEnd w:id="40"/>
    </w:p>
    <w:p w:rsidR="003D0B1B" w:rsidRDefault="00043028" w:rsidP="003D0B1B">
      <w:pPr>
        <w:jc w:val="center"/>
      </w:pPr>
      <w:r>
        <w:rPr>
          <w:noProof/>
          <w:lang w:eastAsia="en-GB"/>
        </w:rPr>
        <w:drawing>
          <wp:inline distT="0" distB="0" distL="0" distR="0" wp14:anchorId="770667E1" wp14:editId="4BCC0C89">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rsidR="00A83A78" w:rsidRPr="002D0A14" w:rsidRDefault="00A83A78" w:rsidP="00A83A78">
      <w:pPr>
        <w:pStyle w:val="Caption"/>
        <w:jc w:val="center"/>
      </w:pPr>
      <w:bookmarkStart w:id="41" w:name="_Ref323342283"/>
      <w:bookmarkStart w:id="42" w:name="_Toc324172825"/>
      <w:proofErr w:type="gramStart"/>
      <w:r>
        <w:t xml:space="preserve">Figure </w:t>
      </w:r>
      <w:r>
        <w:fldChar w:fldCharType="begin"/>
      </w:r>
      <w:r>
        <w:instrText xml:space="preserve"> SEQ Figure \* ARABIC </w:instrText>
      </w:r>
      <w:r>
        <w:fldChar w:fldCharType="separate"/>
      </w:r>
      <w:r w:rsidR="00AB3A0F">
        <w:rPr>
          <w:noProof/>
        </w:rPr>
        <w:t>7</w:t>
      </w:r>
      <w:r>
        <w:fldChar w:fldCharType="end"/>
      </w:r>
      <w:bookmarkEnd w:id="41"/>
      <w:r>
        <w:t>.</w:t>
      </w:r>
      <w:proofErr w:type="gramEnd"/>
      <w:r>
        <w:t xml:space="preserve"> </w:t>
      </w:r>
      <w:proofErr w:type="gramStart"/>
      <w:r w:rsidR="00AC3922">
        <w:t>Comparison of the VO distribution at the end of March 2011 (blue bars) and at the end of March 2012 (red bars).</w:t>
      </w:r>
      <w:bookmarkEnd w:id="42"/>
      <w:proofErr w:type="gramEnd"/>
    </w:p>
    <w:p w:rsidR="008633B1" w:rsidRDefault="008633B1" w:rsidP="008633B1">
      <w:pPr>
        <w:pStyle w:val="Heading2"/>
      </w:pPr>
      <w:bookmarkStart w:id="43" w:name="_Toc324172743"/>
      <w:r>
        <w:t>User Distribution</w:t>
      </w:r>
      <w:r w:rsidR="005A7ADD">
        <w:t xml:space="preserve"> across scientific fields</w:t>
      </w:r>
      <w:bookmarkEnd w:id="43"/>
    </w:p>
    <w:p w:rsidR="005A7ADD" w:rsidRDefault="004448A7" w:rsidP="005A7ADD">
      <w:r>
        <w:t xml:space="preserve">As illustrated in the largest disciplines in terms of number of registered users are: High Energy Physics (39.25%), </w:t>
      </w:r>
      <w:proofErr w:type="gramStart"/>
      <w:r>
        <w:t>Others</w:t>
      </w:r>
      <w:proofErr w:type="gramEnd"/>
      <w:r>
        <w:t xml:space="preserve"> (19.41%) and Multidisciplinary </w:t>
      </w:r>
      <w:proofErr w:type="spellStart"/>
      <w:r>
        <w:t>V</w:t>
      </w:r>
      <w:r w:rsidR="005D53DD">
        <w:t>o</w:t>
      </w:r>
      <w:r>
        <w:t>s</w:t>
      </w:r>
      <w:proofErr w:type="spellEnd"/>
      <w:r>
        <w:t xml:space="preserve"> (15.26%).</w:t>
      </w:r>
    </w:p>
    <w:p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rsidR="003D0B1B" w:rsidRDefault="00043028" w:rsidP="003D0B1B">
      <w:pPr>
        <w:jc w:val="center"/>
        <w:rPr>
          <w:noProof/>
          <w:lang w:eastAsia="en-GB"/>
        </w:rPr>
      </w:pPr>
      <w:r>
        <w:rPr>
          <w:noProof/>
          <w:lang w:eastAsia="en-GB"/>
        </w:rPr>
        <w:drawing>
          <wp:inline distT="0" distB="0" distL="0" distR="0" wp14:anchorId="6E09CFE3" wp14:editId="09793BCB">
            <wp:extent cx="4283075" cy="2775585"/>
            <wp:effectExtent l="0" t="0" r="3175" b="571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3075" cy="2775585"/>
                    </a:xfrm>
                    <a:prstGeom prst="rect">
                      <a:avLst/>
                    </a:prstGeom>
                    <a:noFill/>
                    <a:ln>
                      <a:noFill/>
                    </a:ln>
                  </pic:spPr>
                </pic:pic>
              </a:graphicData>
            </a:graphic>
          </wp:inline>
        </w:drawing>
      </w:r>
    </w:p>
    <w:p w:rsidR="004448A7" w:rsidRDefault="004448A7" w:rsidP="004448A7">
      <w:pPr>
        <w:pStyle w:val="Caption"/>
        <w:jc w:val="center"/>
      </w:pPr>
      <w:bookmarkStart w:id="44" w:name="_Toc324172826"/>
      <w:proofErr w:type="gramStart"/>
      <w:r>
        <w:t xml:space="preserve">Figure </w:t>
      </w:r>
      <w:r>
        <w:fldChar w:fldCharType="begin"/>
      </w:r>
      <w:r>
        <w:instrText xml:space="preserve"> SEQ Figure \* ARABIC </w:instrText>
      </w:r>
      <w:r>
        <w:fldChar w:fldCharType="separate"/>
      </w:r>
      <w:r w:rsidR="00AB3A0F">
        <w:rPr>
          <w:noProof/>
        </w:rPr>
        <w:t>8</w:t>
      </w:r>
      <w:r>
        <w:fldChar w:fldCharType="end"/>
      </w:r>
      <w:r>
        <w:t>.</w:t>
      </w:r>
      <w:proofErr w:type="gramEnd"/>
      <w:r>
        <w:t xml:space="preserve"> User distribution per discipline (March 2012, source: Operations Portal)</w:t>
      </w:r>
      <w:bookmarkEnd w:id="44"/>
    </w:p>
    <w:p w:rsidR="004F659B" w:rsidRDefault="00043028" w:rsidP="003D0B1B">
      <w:pPr>
        <w:jc w:val="center"/>
        <w:rPr>
          <w:noProof/>
          <w:lang w:eastAsia="en-GB"/>
        </w:rPr>
      </w:pPr>
      <w:r>
        <w:rPr>
          <w:noProof/>
          <w:lang w:eastAsia="en-GB"/>
        </w:rPr>
        <w:drawing>
          <wp:inline distT="0" distB="0" distL="0" distR="0" wp14:anchorId="0AF785AF" wp14:editId="54D0411F">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rsidR="004F659B" w:rsidRPr="005A7ADD" w:rsidRDefault="004448A7" w:rsidP="003D0B1B">
      <w:pPr>
        <w:pStyle w:val="Caption"/>
        <w:jc w:val="center"/>
      </w:pPr>
      <w:bookmarkStart w:id="45" w:name="_Toc324172827"/>
      <w:proofErr w:type="gramStart"/>
      <w:r>
        <w:t xml:space="preserve">Figure </w:t>
      </w:r>
      <w:r>
        <w:fldChar w:fldCharType="begin"/>
      </w:r>
      <w:r>
        <w:instrText xml:space="preserve"> SEQ Figure \* ARABIC </w:instrText>
      </w:r>
      <w:r>
        <w:fldChar w:fldCharType="separate"/>
      </w:r>
      <w:r w:rsidR="00AB3A0F">
        <w:rPr>
          <w:noProof/>
        </w:rPr>
        <w:t>9</w:t>
      </w:r>
      <w:r>
        <w:fldChar w:fldCharType="end"/>
      </w:r>
      <w:r>
        <w:t>.</w:t>
      </w:r>
      <w:proofErr w:type="gramEnd"/>
      <w:r>
        <w:t xml:space="preserve"> </w:t>
      </w:r>
      <w:proofErr w:type="gramStart"/>
      <w:r>
        <w:t>Comparison of the number of users per discipline in April 2011 (blue bar) and April 2012 (red bar).</w:t>
      </w:r>
      <w:bookmarkEnd w:id="45"/>
      <w:proofErr w:type="gramEnd"/>
    </w:p>
    <w:p w:rsidR="008633B1" w:rsidRDefault="008633B1" w:rsidP="008633B1">
      <w:pPr>
        <w:pStyle w:val="Heading2"/>
      </w:pPr>
      <w:bookmarkStart w:id="46" w:name="_Toc324172744"/>
      <w:r>
        <w:lastRenderedPageBreak/>
        <w:t>Resource Utilizatio</w:t>
      </w:r>
      <w:r w:rsidR="002A03B2">
        <w:t>n per Discipline</w:t>
      </w:r>
      <w:bookmarkEnd w:id="46"/>
    </w:p>
    <w:p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is even higher  if looking to 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r w:rsidR="00616BB5" w:rsidRPr="00224E68">
        <w:rPr>
          <w:noProof/>
          <w:lang w:eastAsia="en-GB"/>
        </w:rPr>
        <w:t>amounts to</w:t>
      </w:r>
      <w:r>
        <w:rPr>
          <w:noProof/>
          <w:lang w:eastAsia="en-GB"/>
        </w:rPr>
        <w:t xml:space="preserve"> +52.91% of the same amount computed from May 2010 to April 2011.</w:t>
      </w:r>
    </w:p>
    <w:p w:rsidR="008229CB" w:rsidRDefault="007C79AE" w:rsidP="002A03B2">
      <w:pPr>
        <w:rPr>
          <w:rFonts w:eastAsia="Cambria"/>
          <w:sz w:val="21"/>
          <w:szCs w:val="21"/>
          <w:lang w:eastAsia="en-GB"/>
        </w:rPr>
      </w:pPr>
      <w:r>
        <w:t>HEP-SPEC</w:t>
      </w:r>
      <w:r w:rsidRPr="006B4B32">
        <w:t xml:space="preserve">06 is the EGI reference performance benchmark of compute resources </w:t>
      </w:r>
      <w:r w:rsidRPr="006B4B32">
        <w:rPr>
          <w:rFonts w:eastAsia="Cambria"/>
          <w:sz w:val="21"/>
          <w:szCs w:val="21"/>
          <w:lang w:eastAsia="en-GB"/>
        </w:rPr>
        <w:t xml:space="preserve">[HS06]. It was defined by the </w:t>
      </w:r>
      <w:proofErr w:type="spellStart"/>
      <w:r w:rsidRPr="006B4B32">
        <w:rPr>
          <w:rFonts w:eastAsia="Cambria"/>
          <w:sz w:val="21"/>
          <w:szCs w:val="21"/>
          <w:lang w:eastAsia="en-GB"/>
        </w:rPr>
        <w:t>HEPiX</w:t>
      </w:r>
      <w:proofErr w:type="spellEnd"/>
      <w:r w:rsidRPr="006B4B32">
        <w:rPr>
          <w:rFonts w:eastAsia="Cambria"/>
          <w:sz w:val="21"/>
          <w:szCs w:val="21"/>
          <w:lang w:eastAsia="en-GB"/>
        </w:rPr>
        <w:t xml:space="preserve"> Benchmarking Working Group and it</w:t>
      </w:r>
      <w:r w:rsidR="008229CB">
        <w:rPr>
          <w:rFonts w:eastAsia="Cambria"/>
          <w:sz w:val="21"/>
          <w:szCs w:val="21"/>
          <w:lang w:eastAsia="en-GB"/>
        </w:rPr>
        <w:t xml:space="preserve"> is</w:t>
      </w:r>
      <w:r w:rsidRPr="006B4B32">
        <w:rPr>
          <w:rFonts w:eastAsia="Cambria"/>
          <w:sz w:val="21"/>
          <w:szCs w:val="21"/>
          <w:lang w:eastAsia="en-GB"/>
        </w:rPr>
        <w:t xml:space="preserve"> based on SPEC. One HEP</w:t>
      </w:r>
      <w:r w:rsidR="008229CB">
        <w:rPr>
          <w:rFonts w:eastAsia="Cambria"/>
          <w:sz w:val="21"/>
          <w:szCs w:val="21"/>
          <w:lang w:eastAsia="en-GB"/>
        </w:rPr>
        <w:t>-</w:t>
      </w:r>
      <w:r w:rsidRPr="006B4B32">
        <w:rPr>
          <w:rFonts w:eastAsia="Cambria"/>
          <w:sz w:val="21"/>
          <w:szCs w:val="21"/>
          <w:lang w:eastAsia="en-GB"/>
        </w:rPr>
        <w:t>SPE</w:t>
      </w:r>
      <w:r w:rsidR="008229CB">
        <w:rPr>
          <w:rFonts w:eastAsia="Cambria"/>
          <w:sz w:val="21"/>
          <w:szCs w:val="21"/>
          <w:lang w:eastAsia="en-GB"/>
        </w:rPr>
        <w:t>C</w:t>
      </w:r>
      <w:r w:rsidRPr="006B4B32">
        <w:rPr>
          <w:rFonts w:eastAsia="Cambria"/>
          <w:sz w:val="21"/>
          <w:szCs w:val="21"/>
          <w:lang w:eastAsia="en-GB"/>
        </w:rPr>
        <w:t>06 corresponds approximately to</w:t>
      </w:r>
      <w:r w:rsidR="008229CB">
        <w:rPr>
          <w:rFonts w:eastAsia="Cambria"/>
          <w:sz w:val="21"/>
          <w:szCs w:val="21"/>
          <w:lang w:eastAsia="en-GB"/>
        </w:rPr>
        <w:t xml:space="preserve"> 250 SI00 (this was tested with</w:t>
      </w:r>
      <w:r w:rsidRPr="006B4B32">
        <w:rPr>
          <w:rFonts w:eastAsia="Cambria"/>
          <w:sz w:val="21"/>
          <w:szCs w:val="21"/>
          <w:lang w:eastAsia="en-GB"/>
        </w:rPr>
        <w:t xml:space="preserve"> HEP applications</w:t>
      </w:r>
      <w:r w:rsidR="008229CB">
        <w:rPr>
          <w:rFonts w:eastAsia="Cambria"/>
          <w:sz w:val="21"/>
          <w:szCs w:val="21"/>
          <w:lang w:eastAsia="en-GB"/>
        </w:rPr>
        <w:t xml:space="preserve">). </w:t>
      </w:r>
    </w:p>
    <w:p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time to a reference benchmark of 1K.SI2K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 xml:space="preserve">generating accounting records, APEL interrogates the site </w:t>
      </w:r>
      <w:r>
        <w:rPr>
          <w:rFonts w:eastAsia="Cambria"/>
          <w:lang w:eastAsia="en-GB"/>
        </w:rPr>
        <w:t>information discovery system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EGI-InSPIRE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AB3A0F">
        <w:t xml:space="preserve">Figure </w:t>
      </w:r>
      <w:r w:rsidR="00AB3A0F">
        <w:rPr>
          <w:noProof/>
        </w:rPr>
        <w:t>10</w:t>
      </w:r>
      <w:r w:rsidR="000F0FE0">
        <w:rPr>
          <w:rFonts w:eastAsia="Cambria"/>
          <w:lang w:eastAsia="en-GB"/>
        </w:rPr>
        <w:fldChar w:fldCharType="end"/>
      </w:r>
      <w:r w:rsidR="00D25D9E">
        <w:rPr>
          <w:rFonts w:eastAsia="Cambria"/>
          <w:lang w:eastAsia="en-GB"/>
        </w:rPr>
        <w:t>.</w:t>
      </w:r>
    </w:p>
    <w:p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(April 2011) to 93.60% (April 2012)</w:t>
      </w:r>
      <w:r w:rsidR="00124E76">
        <w:t xml:space="preserve"> of the overall EGI usage amount</w:t>
      </w:r>
      <w:r>
        <w:t xml:space="preserve"> – see </w:t>
      </w:r>
      <w:r>
        <w:fldChar w:fldCharType="begin"/>
      </w:r>
      <w:r>
        <w:instrText xml:space="preserve"> REF _Ref323640793 \h </w:instrText>
      </w:r>
      <w:r>
        <w:fldChar w:fldCharType="separate"/>
      </w:r>
      <w:r w:rsidR="00AB3A0F">
        <w:t xml:space="preserve">Table </w:t>
      </w:r>
      <w:r w:rsidR="00AB3A0F">
        <w:rPr>
          <w:noProof/>
        </w:rPr>
        <w:t>7</w:t>
      </w:r>
      <w:r>
        <w:fldChar w:fldCharType="end"/>
      </w:r>
      <w:r>
        <w:t xml:space="preserve">. </w:t>
      </w:r>
      <w:r w:rsidR="00124E76">
        <w:t>In particular, the used normalized CPU wall time yearly increase amounts to +48.82%, while the job rate yearly increase is +57.06%.</w:t>
      </w:r>
    </w:p>
    <w:p w:rsidR="00124E76" w:rsidRDefault="00124E76" w:rsidP="002A03B2">
      <w:r>
        <w:t xml:space="preserve">As we can see from </w:t>
      </w:r>
      <w:r>
        <w:fldChar w:fldCharType="begin"/>
      </w:r>
      <w:r>
        <w:instrText xml:space="preserve"> REF _Ref323640793 \h </w:instrText>
      </w:r>
      <w:r>
        <w:fldChar w:fldCharType="separate"/>
      </w:r>
      <w:r w:rsidR="00AB3A0F">
        <w:t xml:space="preserve">Table </w:t>
      </w:r>
      <w:r w:rsidR="00AB3A0F">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EGI used CPU wall clock time,</w:t>
      </w:r>
      <w:r>
        <w:t xml:space="preserve"> showing a +117.79% yearly increase from April 2011.</w:t>
      </w:r>
    </w:p>
    <w:p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 while the job submission partner changed considerably as the rate of jobs done yearly increased by +42.54%.</w:t>
      </w:r>
      <w:r w:rsidR="00255F83">
        <w:t xml:space="preserve"> </w:t>
      </w:r>
      <w:r w:rsidR="0006339D">
        <w:t xml:space="preserve"> </w:t>
      </w:r>
    </w:p>
    <w:p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AB3A0F">
        <w:t xml:space="preserve">Figure </w:t>
      </w:r>
      <w:r w:rsidR="00AB3A0F">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rsidR="003276F2" w:rsidRDefault="00043028" w:rsidP="003276F2">
      <w:pPr>
        <w:jc w:val="center"/>
        <w:rPr>
          <w:noProof/>
          <w:lang w:eastAsia="en-GB"/>
        </w:rPr>
      </w:pPr>
      <w:r>
        <w:rPr>
          <w:noProof/>
          <w:lang w:eastAsia="en-GB"/>
        </w:rPr>
        <w:lastRenderedPageBreak/>
        <w:drawing>
          <wp:inline distT="0" distB="0" distL="0" distR="0" wp14:anchorId="545F2517" wp14:editId="611ED399">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(a)</w:t>
      </w:r>
    </w:p>
    <w:p w:rsidR="000F0FE0" w:rsidRDefault="00043028" w:rsidP="003276F2">
      <w:pPr>
        <w:jc w:val="center"/>
        <w:rPr>
          <w:noProof/>
          <w:lang w:eastAsia="en-GB"/>
        </w:rPr>
      </w:pPr>
      <w:r>
        <w:rPr>
          <w:noProof/>
          <w:lang w:eastAsia="en-GB"/>
        </w:rPr>
        <w:drawing>
          <wp:inline distT="0" distB="0" distL="0" distR="0" wp14:anchorId="76A8722A" wp14:editId="3730B071">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rsidR="000F0FE0" w:rsidRDefault="000F0FE0" w:rsidP="003276F2">
      <w:pPr>
        <w:jc w:val="center"/>
        <w:rPr>
          <w:noProof/>
          <w:lang w:eastAsia="en-GB"/>
        </w:rPr>
      </w:pPr>
      <w:r>
        <w:rPr>
          <w:noProof/>
          <w:lang w:eastAsia="en-GB"/>
        </w:rPr>
        <w:t>(b)</w:t>
      </w:r>
    </w:p>
    <w:p w:rsidR="000F0FE0" w:rsidRDefault="000F0FE0" w:rsidP="000F0FE0">
      <w:pPr>
        <w:pStyle w:val="Caption"/>
        <w:jc w:val="center"/>
        <w:rPr>
          <w:noProof/>
          <w:lang w:eastAsia="en-GB"/>
        </w:rPr>
      </w:pPr>
      <w:bookmarkStart w:id="47" w:name="_Ref323656933"/>
      <w:bookmarkStart w:id="48" w:name="_Toc324172828"/>
      <w:proofErr w:type="gramStart"/>
      <w:r>
        <w:t xml:space="preserve">Figure </w:t>
      </w:r>
      <w:r>
        <w:fldChar w:fldCharType="begin"/>
      </w:r>
      <w:r>
        <w:instrText xml:space="preserve"> SEQ Figure \* ARABIC </w:instrText>
      </w:r>
      <w:r>
        <w:fldChar w:fldCharType="separate"/>
      </w:r>
      <w:r w:rsidR="00AB3A0F">
        <w:rPr>
          <w:noProof/>
        </w:rPr>
        <w:t>10</w:t>
      </w:r>
      <w:r>
        <w:fldChar w:fldCharType="end"/>
      </w:r>
      <w:bookmarkEnd w:id="47"/>
      <w:r>
        <w:t>.</w:t>
      </w:r>
      <w:proofErr w:type="gramEnd"/>
      <w:r>
        <w:t xml:space="preserve"> Usage of EGI resources (HEP-SPEC 06 CPU wall clock hours) from the beginning of the project to date - a </w:t>
      </w:r>
      <w:r w:rsidR="005D53DD">
        <w:t>–</w:t>
      </w:r>
      <w:r>
        <w:t xml:space="preserve"> and during PY2 - </w:t>
      </w:r>
      <w:proofErr w:type="gramStart"/>
      <w:r>
        <w:t>b  (</w:t>
      </w:r>
      <w:proofErr w:type="gramEnd"/>
      <w:r>
        <w:t>source: accounting portal).</w:t>
      </w:r>
      <w:bookmarkEnd w:id="48"/>
    </w:p>
    <w:p w:rsidR="003276F2" w:rsidRDefault="003276F2" w:rsidP="003276F2">
      <w:proofErr w:type="gramStart"/>
      <w:r w:rsidRPr="006B4B32">
        <w:t>As shown in</w:t>
      </w:r>
      <w:r w:rsidR="000F0FE0">
        <w:t xml:space="preserve"> </w:t>
      </w:r>
      <w:r w:rsidR="000F0FE0">
        <w:fldChar w:fldCharType="begin"/>
      </w:r>
      <w:r w:rsidR="000F0FE0">
        <w:instrText xml:space="preserve"> REF _Ref323656933 \h </w:instrText>
      </w:r>
      <w:r w:rsidR="000F0FE0">
        <w:fldChar w:fldCharType="separate"/>
      </w:r>
      <w:r w:rsidR="00AB3A0F">
        <w:t xml:space="preserve">Figure </w:t>
      </w:r>
      <w:r w:rsidR="00AB3A0F">
        <w:rPr>
          <w:noProof/>
        </w:rPr>
        <w:t>10</w:t>
      </w:r>
      <w:r w:rsidR="000F0FE0">
        <w:fldChar w:fldCharType="end"/>
      </w:r>
      <w:r w:rsidRPr="006B4B32">
        <w:t>, since the beginning of the project High-Energy Physics has greatly increased its workload in comparison with the one generated by the other disciplines.</w:t>
      </w:r>
      <w:proofErr w:type="gramEnd"/>
    </w:p>
    <w:p w:rsidR="00C031AE" w:rsidRDefault="00C031AE" w:rsidP="003276F2"/>
    <w:p w:rsidR="00C031AE" w:rsidRDefault="00C031AE" w:rsidP="003276F2"/>
    <w:p w:rsidR="00C031AE" w:rsidRDefault="00C031AE" w:rsidP="003276F2"/>
    <w:p w:rsidR="00C031AE" w:rsidRDefault="00C031AE" w:rsidP="003276F2"/>
    <w:p w:rsidR="00A242A2" w:rsidRDefault="00A242A2" w:rsidP="00A242A2">
      <w:pPr>
        <w:pStyle w:val="Caption"/>
        <w:jc w:val="center"/>
      </w:pPr>
      <w:bookmarkStart w:id="49" w:name="_Ref323640793"/>
      <w:proofErr w:type="gramStart"/>
      <w:r>
        <w:lastRenderedPageBreak/>
        <w:t xml:space="preserve">Table </w:t>
      </w:r>
      <w:r>
        <w:fldChar w:fldCharType="begin"/>
      </w:r>
      <w:r>
        <w:instrText xml:space="preserve"> SEQ Table \* ARABIC </w:instrText>
      </w:r>
      <w:r>
        <w:fldChar w:fldCharType="separate"/>
      </w:r>
      <w:r w:rsidR="00AB3A0F">
        <w:rPr>
          <w:noProof/>
        </w:rPr>
        <w:t>7</w:t>
      </w:r>
      <w:r>
        <w:fldChar w:fldCharType="end"/>
      </w:r>
      <w:bookmarkEnd w:id="49"/>
      <w:r>
        <w:t>.</w:t>
      </w:r>
      <w:proofErr w:type="gramEnd"/>
      <w:r>
        <w:t xml:space="preserve"> Used normalized CPU wall clock time and jobs done per discipline in PY1, PY2 and the respective early increase (source: accounting portal).</w:t>
      </w:r>
    </w:p>
    <w:tbl>
      <w:tblPr>
        <w:tblStyle w:val="TableGrid"/>
        <w:tblW w:w="10031" w:type="dxa"/>
        <w:tblLayout w:type="fixed"/>
        <w:tblLook w:val="04A0" w:firstRow="1" w:lastRow="0" w:firstColumn="1" w:lastColumn="0" w:noHBand="0" w:noVBand="1"/>
      </w:tblPr>
      <w:tblGrid>
        <w:gridCol w:w="2802"/>
        <w:gridCol w:w="992"/>
        <w:gridCol w:w="992"/>
        <w:gridCol w:w="1063"/>
        <w:gridCol w:w="1063"/>
        <w:gridCol w:w="1560"/>
        <w:gridCol w:w="1559"/>
      </w:tblGrid>
      <w:tr w:rsidR="00A242A2" w:rsidTr="00901236">
        <w:tc>
          <w:tcPr>
            <w:tcW w:w="2802" w:type="dxa"/>
            <w:vMerge w:val="restart"/>
            <w:vAlign w:val="center"/>
          </w:tcPr>
          <w:p w:rsidR="00A242A2" w:rsidRPr="00755364" w:rsidRDefault="00A242A2" w:rsidP="00901236">
            <w:pPr>
              <w:jc w:val="center"/>
              <w:rPr>
                <w:b/>
              </w:rPr>
            </w:pPr>
            <w:r w:rsidRPr="00755364">
              <w:rPr>
                <w:b/>
              </w:rPr>
              <w:t>Discipline</w:t>
            </w:r>
          </w:p>
        </w:tc>
        <w:tc>
          <w:tcPr>
            <w:tcW w:w="1984" w:type="dxa"/>
            <w:gridSpan w:val="2"/>
          </w:tcPr>
          <w:p w:rsidR="00A242A2" w:rsidRPr="00755364" w:rsidRDefault="00A242A2" w:rsidP="00901236">
            <w:pPr>
              <w:rPr>
                <w:b/>
              </w:rPr>
            </w:pPr>
            <w:r w:rsidRPr="00755364">
              <w:rPr>
                <w:b/>
              </w:rPr>
              <w:t>May 11–April 12</w:t>
            </w:r>
          </w:p>
        </w:tc>
        <w:tc>
          <w:tcPr>
            <w:tcW w:w="2126" w:type="dxa"/>
            <w:gridSpan w:val="2"/>
          </w:tcPr>
          <w:p w:rsidR="00A242A2" w:rsidRPr="00755364" w:rsidRDefault="00A242A2" w:rsidP="00901236">
            <w:pPr>
              <w:rPr>
                <w:b/>
              </w:rPr>
            </w:pPr>
            <w:r w:rsidRPr="00755364">
              <w:rPr>
                <w:b/>
              </w:rPr>
              <w:t>May 10 – April 11</w:t>
            </w:r>
          </w:p>
        </w:tc>
        <w:tc>
          <w:tcPr>
            <w:tcW w:w="1560" w:type="dxa"/>
            <w:vMerge w:val="restart"/>
          </w:tcPr>
          <w:p w:rsidR="00A242A2" w:rsidRPr="00755364" w:rsidRDefault="00A242A2" w:rsidP="00901236">
            <w:pPr>
              <w:jc w:val="center"/>
              <w:rPr>
                <w:b/>
              </w:rPr>
            </w:pPr>
            <w:r w:rsidRPr="00755364">
              <w:rPr>
                <w:b/>
              </w:rPr>
              <w:t>Jobs</w:t>
            </w:r>
          </w:p>
          <w:p w:rsidR="00A242A2" w:rsidRDefault="00A242A2" w:rsidP="00901236">
            <w:pPr>
              <w:rPr>
                <w:sz w:val="16"/>
                <w:szCs w:val="16"/>
              </w:rPr>
            </w:pPr>
            <w:r w:rsidRPr="00124E76">
              <w:rPr>
                <w:sz w:val="16"/>
                <w:szCs w:val="16"/>
              </w:rPr>
              <w:t>(yearly increase from May 10)</w:t>
            </w:r>
          </w:p>
          <w:p w:rsidR="00A242A2" w:rsidRPr="00124E76" w:rsidRDefault="005D53DD" w:rsidP="00901236">
            <w:pPr>
              <w:jc w:val="center"/>
              <w:rPr>
                <w:sz w:val="16"/>
                <w:szCs w:val="16"/>
              </w:rPr>
            </w:pPr>
            <w:r>
              <w:rPr>
                <w:sz w:val="16"/>
                <w:szCs w:val="16"/>
              </w:rPr>
              <w:t>€</w:t>
            </w:r>
          </w:p>
        </w:tc>
        <w:tc>
          <w:tcPr>
            <w:tcW w:w="1559" w:type="dxa"/>
            <w:vMerge w:val="restart"/>
          </w:tcPr>
          <w:p w:rsidR="00A242A2" w:rsidRPr="00755364" w:rsidRDefault="00A242A2" w:rsidP="00901236">
            <w:pPr>
              <w:jc w:val="center"/>
              <w:rPr>
                <w:b/>
                <w:sz w:val="20"/>
              </w:rPr>
            </w:pPr>
            <w:r w:rsidRPr="00755364">
              <w:rPr>
                <w:b/>
                <w:sz w:val="20"/>
              </w:rPr>
              <w:t>CPU wall time</w:t>
            </w:r>
          </w:p>
          <w:p w:rsidR="00A242A2" w:rsidRDefault="00A242A2" w:rsidP="00901236">
            <w:pPr>
              <w:jc w:val="left"/>
              <w:rPr>
                <w:sz w:val="16"/>
                <w:szCs w:val="16"/>
              </w:rPr>
            </w:pPr>
            <w:r w:rsidRPr="00124E76">
              <w:rPr>
                <w:sz w:val="16"/>
                <w:szCs w:val="16"/>
              </w:rPr>
              <w:t>(yearly increase from May 10)</w:t>
            </w:r>
          </w:p>
          <w:p w:rsidR="00A242A2" w:rsidRPr="00124E76" w:rsidRDefault="00A242A2" w:rsidP="00901236">
            <w:pPr>
              <w:jc w:val="center"/>
              <w:rPr>
                <w:sz w:val="16"/>
                <w:szCs w:val="16"/>
              </w:rPr>
            </w:pPr>
            <w:r>
              <w:rPr>
                <w:sz w:val="16"/>
                <w:szCs w:val="16"/>
              </w:rPr>
              <w:t>(F)</w:t>
            </w:r>
          </w:p>
        </w:tc>
      </w:tr>
      <w:tr w:rsidR="00A242A2" w:rsidTr="00901236">
        <w:tc>
          <w:tcPr>
            <w:tcW w:w="2802" w:type="dxa"/>
            <w:vMerge/>
          </w:tcPr>
          <w:p w:rsidR="00A242A2" w:rsidRDefault="00A242A2" w:rsidP="00901236"/>
        </w:tc>
        <w:tc>
          <w:tcPr>
            <w:tcW w:w="992" w:type="dxa"/>
          </w:tcPr>
          <w:p w:rsidR="00A242A2" w:rsidRDefault="00A242A2" w:rsidP="00901236">
            <w:pPr>
              <w:jc w:val="left"/>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901236">
            <w:pPr>
              <w:jc w:val="left"/>
            </w:pPr>
            <w:r>
              <w:rPr>
                <w:sz w:val="16"/>
              </w:rPr>
              <w:t>(A)</w:t>
            </w:r>
          </w:p>
        </w:tc>
        <w:tc>
          <w:tcPr>
            <w:tcW w:w="992" w:type="dxa"/>
          </w:tcPr>
          <w:p w:rsidR="00A242A2" w:rsidRDefault="00A242A2" w:rsidP="00901236">
            <w:pPr>
              <w:jc w:val="left"/>
              <w:rPr>
                <w:sz w:val="16"/>
              </w:rPr>
            </w:pPr>
            <w:r>
              <w:rPr>
                <w:sz w:val="16"/>
              </w:rPr>
              <w:t>% done Jobs</w:t>
            </w:r>
          </w:p>
          <w:p w:rsidR="00A242A2" w:rsidRDefault="00A242A2" w:rsidP="00901236">
            <w:pPr>
              <w:jc w:val="left"/>
            </w:pPr>
            <w:r>
              <w:rPr>
                <w:sz w:val="16"/>
              </w:rPr>
              <w:t>(B)</w:t>
            </w:r>
          </w:p>
        </w:tc>
        <w:tc>
          <w:tcPr>
            <w:tcW w:w="1063" w:type="dxa"/>
          </w:tcPr>
          <w:p w:rsidR="00A242A2" w:rsidRDefault="00A242A2" w:rsidP="00901236">
            <w:pPr>
              <w:jc w:val="left"/>
              <w:rPr>
                <w:sz w:val="16"/>
              </w:rPr>
            </w:pPr>
            <w:r>
              <w:rPr>
                <w:sz w:val="16"/>
              </w:rPr>
              <w:t xml:space="preserve">% </w:t>
            </w:r>
            <w:r w:rsidRPr="00535A88">
              <w:rPr>
                <w:sz w:val="16"/>
              </w:rPr>
              <w:t xml:space="preserve">CPU  </w:t>
            </w:r>
            <w:r>
              <w:rPr>
                <w:sz w:val="16"/>
              </w:rPr>
              <w:t xml:space="preserve">n. wall </w:t>
            </w:r>
            <w:r w:rsidRPr="00535A88">
              <w:rPr>
                <w:sz w:val="16"/>
              </w:rPr>
              <w:t>time</w:t>
            </w:r>
          </w:p>
          <w:p w:rsidR="00A242A2" w:rsidRDefault="00A242A2" w:rsidP="00901236">
            <w:pPr>
              <w:jc w:val="center"/>
            </w:pPr>
            <w:r>
              <w:rPr>
                <w:sz w:val="16"/>
              </w:rPr>
              <w:t>(C)</w:t>
            </w:r>
          </w:p>
        </w:tc>
        <w:tc>
          <w:tcPr>
            <w:tcW w:w="1063" w:type="dxa"/>
          </w:tcPr>
          <w:p w:rsidR="00A242A2" w:rsidRDefault="00A242A2" w:rsidP="00901236">
            <w:pPr>
              <w:jc w:val="left"/>
              <w:rPr>
                <w:sz w:val="16"/>
              </w:rPr>
            </w:pPr>
            <w:r>
              <w:rPr>
                <w:sz w:val="16"/>
              </w:rPr>
              <w:t xml:space="preserve">% of jobs done           </w:t>
            </w:r>
          </w:p>
          <w:p w:rsidR="00A242A2" w:rsidRDefault="00A242A2" w:rsidP="00901236">
            <w:pPr>
              <w:jc w:val="center"/>
            </w:pPr>
            <w:r>
              <w:rPr>
                <w:sz w:val="16"/>
              </w:rPr>
              <w:t>(D)</w:t>
            </w:r>
          </w:p>
        </w:tc>
        <w:tc>
          <w:tcPr>
            <w:tcW w:w="1560" w:type="dxa"/>
            <w:vMerge/>
          </w:tcPr>
          <w:p w:rsidR="00A242A2" w:rsidRDefault="00A242A2" w:rsidP="00901236"/>
        </w:tc>
        <w:tc>
          <w:tcPr>
            <w:tcW w:w="1559" w:type="dxa"/>
            <w:vMerge/>
          </w:tcPr>
          <w:p w:rsidR="00A242A2" w:rsidRDefault="00A242A2" w:rsidP="00901236">
            <w:pPr>
              <w:jc w:val="left"/>
            </w:pPr>
          </w:p>
        </w:tc>
      </w:tr>
      <w:tr w:rsidR="00A242A2" w:rsidTr="00901236">
        <w:tc>
          <w:tcPr>
            <w:tcW w:w="2802" w:type="dxa"/>
          </w:tcPr>
          <w:tbl>
            <w:tblPr>
              <w:tblW w:w="2694" w:type="dxa"/>
              <w:tblLayout w:type="fixed"/>
              <w:tblLook w:val="04A0" w:firstRow="1" w:lastRow="0" w:firstColumn="1" w:lastColumn="0" w:noHBand="0" w:noVBand="1"/>
            </w:tblPr>
            <w:tblGrid>
              <w:gridCol w:w="2694"/>
            </w:tblGrid>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High-Energy 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Life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Others Disciplines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color w:val="000000"/>
                      <w:sz w:val="18"/>
                      <w:szCs w:val="22"/>
                    </w:rPr>
                  </w:pPr>
                  <w:r w:rsidRPr="007D683E">
                    <w:rPr>
                      <w:color w:val="000000"/>
                      <w:sz w:val="18"/>
                      <w:szCs w:val="22"/>
                    </w:rPr>
                    <w:t xml:space="preserve">Unknown Discipline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742"/>
                    <w:rPr>
                      <w:b/>
                      <w:color w:val="000000"/>
                      <w:sz w:val="18"/>
                      <w:szCs w:val="22"/>
                    </w:rPr>
                  </w:pPr>
                  <w:r w:rsidRPr="007D683E">
                    <w:rPr>
                      <w:b/>
                      <w:color w:val="000000"/>
                      <w:sz w:val="18"/>
                      <w:szCs w:val="22"/>
                    </w:rPr>
                    <w:t xml:space="preserve">Earth Sciences             </w:t>
                  </w:r>
                </w:p>
              </w:tc>
            </w:tr>
            <w:tr w:rsidR="00A242A2" w:rsidRPr="007D683E" w:rsidTr="00901236">
              <w:trPr>
                <w:trHeight w:val="300"/>
              </w:trPr>
              <w:tc>
                <w:tcPr>
                  <w:tcW w:w="2694" w:type="dxa"/>
                  <w:tcBorders>
                    <w:top w:val="nil"/>
                    <w:left w:val="nil"/>
                    <w:bottom w:val="nil"/>
                    <w:right w:val="nil"/>
                  </w:tcBorders>
                  <w:shd w:val="clear" w:color="auto" w:fill="auto"/>
                  <w:noWrap/>
                  <w:vAlign w:val="bottom"/>
                  <w:hideMark/>
                </w:tcPr>
                <w:p w:rsidR="00A242A2" w:rsidRPr="007D683E" w:rsidRDefault="00A242A2" w:rsidP="00901236">
                  <w:pPr>
                    <w:ind w:right="34"/>
                    <w:rPr>
                      <w:b/>
                      <w:color w:val="000000"/>
                      <w:sz w:val="18"/>
                      <w:szCs w:val="22"/>
                    </w:rPr>
                  </w:pPr>
                  <w:r w:rsidRPr="007D683E">
                    <w:rPr>
                      <w:b/>
                      <w:color w:val="000000"/>
                      <w:sz w:val="18"/>
                      <w:szCs w:val="22"/>
                    </w:rPr>
                    <w:t xml:space="preserve">CS and Mathematics  </w:t>
                  </w:r>
                </w:p>
              </w:tc>
            </w:tr>
          </w:tbl>
          <w:p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91.58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3.26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1.75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0.72</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0.29</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0.13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0.05</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bl>
          <w:p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90.10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4.51</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0.86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0.70</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0.63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0.24</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0.06</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0.03</w:t>
                  </w:r>
                </w:p>
              </w:tc>
            </w:tr>
            <w:tr w:rsidR="00A242A2" w:rsidRPr="007D683E" w:rsidTr="00901236">
              <w:trPr>
                <w:trHeight w:val="300"/>
              </w:trPr>
              <w:tc>
                <w:tcPr>
                  <w:tcW w:w="960" w:type="dxa"/>
                  <w:tcBorders>
                    <w:top w:val="nil"/>
                    <w:left w:val="nil"/>
                    <w:bottom w:val="nil"/>
                    <w:right w:val="nil"/>
                  </w:tcBorders>
                  <w:shd w:val="clear" w:color="auto" w:fill="auto"/>
                  <w:noWrap/>
                  <w:vAlign w:val="bottom"/>
                  <w:hideMark/>
                </w:tcPr>
                <w:p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0.00</w:t>
                  </w:r>
                </w:p>
              </w:tc>
            </w:tr>
          </w:tbl>
          <w:p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+48.82%</w:t>
                  </w:r>
                </w:p>
                <w:p w:rsidR="00A242A2" w:rsidRPr="007D683E" w:rsidRDefault="00A242A2" w:rsidP="00901236">
                  <w:pPr>
                    <w:jc w:val="right"/>
                    <w:rPr>
                      <w:color w:val="000000"/>
                      <w:sz w:val="18"/>
                      <w:szCs w:val="22"/>
                    </w:rPr>
                  </w:pPr>
                  <w:r w:rsidRPr="007D683E">
                    <w:rPr>
                      <w:color w:val="000000"/>
                      <w:sz w:val="18"/>
                      <w:szCs w:val="22"/>
                    </w:rPr>
                    <w:t>+5.91%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-18.14%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-33.54</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color w:val="000000"/>
                      <w:sz w:val="18"/>
                      <w:szCs w:val="22"/>
                    </w:rPr>
                  </w:pPr>
                  <w:r w:rsidRPr="007D683E">
                    <w:rPr>
                      <w:color w:val="000000"/>
                      <w:sz w:val="18"/>
                      <w:szCs w:val="22"/>
                    </w:rPr>
                    <w:t>-23.51%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rsidTr="00901236">
              <w:trPr>
                <w:gridAfter w:val="1"/>
                <w:wAfter w:w="752" w:type="dxa"/>
                <w:trHeight w:val="300"/>
              </w:trPr>
              <w:tc>
                <w:tcPr>
                  <w:tcW w:w="1168" w:type="dxa"/>
                  <w:tcBorders>
                    <w:top w:val="nil"/>
                    <w:left w:val="nil"/>
                    <w:bottom w:val="nil"/>
                    <w:right w:val="nil"/>
                  </w:tcBorders>
                  <w:vAlign w:val="bottom"/>
                </w:tcPr>
                <w:p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rsidTr="00901236">
              <w:trPr>
                <w:trHeight w:val="300"/>
              </w:trPr>
              <w:tc>
                <w:tcPr>
                  <w:tcW w:w="1920" w:type="dxa"/>
                  <w:gridSpan w:val="2"/>
                  <w:tcBorders>
                    <w:top w:val="nil"/>
                    <w:left w:val="nil"/>
                    <w:bottom w:val="nil"/>
                    <w:right w:val="nil"/>
                  </w:tcBorders>
                  <w:vAlign w:val="bottom"/>
                </w:tcPr>
                <w:p w:rsidR="00A242A2" w:rsidRPr="007D683E" w:rsidRDefault="00A242A2" w:rsidP="00901236">
                  <w:pPr>
                    <w:jc w:val="right"/>
                    <w:rPr>
                      <w:color w:val="000000"/>
                      <w:sz w:val="18"/>
                      <w:szCs w:val="22"/>
                    </w:rPr>
                  </w:pPr>
                </w:p>
              </w:tc>
            </w:tr>
          </w:tbl>
          <w:p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rsidTr="00901236">
              <w:trPr>
                <w:trHeight w:val="300"/>
              </w:trPr>
              <w:tc>
                <w:tcPr>
                  <w:tcW w:w="960" w:type="dxa"/>
                  <w:tcBorders>
                    <w:top w:val="nil"/>
                    <w:left w:val="nil"/>
                    <w:bottom w:val="nil"/>
                    <w:right w:val="nil"/>
                  </w:tcBorders>
                  <w:vAlign w:val="bottom"/>
                </w:tcPr>
                <w:p w:rsidR="00A242A2" w:rsidRPr="007D683E" w:rsidRDefault="00A242A2" w:rsidP="00901236">
                  <w:pPr>
                    <w:ind w:right="772"/>
                    <w:jc w:val="right"/>
                    <w:rPr>
                      <w:b/>
                      <w:color w:val="000000"/>
                      <w:sz w:val="18"/>
                      <w:szCs w:val="22"/>
                    </w:rPr>
                  </w:pPr>
                  <w:r w:rsidRPr="007D683E">
                    <w:rPr>
                      <w:b/>
                      <w:color w:val="000000"/>
                      <w:sz w:val="18"/>
                      <w:szCs w:val="22"/>
                    </w:rPr>
                    <w:t>+28.99%</w:t>
                  </w:r>
                </w:p>
              </w:tc>
            </w:tr>
          </w:tbl>
          <w:p w:rsidR="00A242A2" w:rsidRPr="007D683E" w:rsidRDefault="00A242A2" w:rsidP="00901236">
            <w:pPr>
              <w:jc w:val="right"/>
              <w:rPr>
                <w:color w:val="000000"/>
                <w:sz w:val="18"/>
                <w:szCs w:val="22"/>
              </w:rPr>
            </w:pPr>
          </w:p>
        </w:tc>
      </w:tr>
    </w:tbl>
    <w:p w:rsidR="00A242A2" w:rsidRDefault="00A242A2" w:rsidP="003276F2"/>
    <w:p w:rsidR="0096200D" w:rsidRDefault="00043028" w:rsidP="003276F2">
      <w:pPr>
        <w:rPr>
          <w:noProof/>
          <w:lang w:eastAsia="en-GB"/>
        </w:rPr>
      </w:pPr>
      <w:r>
        <w:rPr>
          <w:noProof/>
          <w:lang w:eastAsia="en-GB"/>
        </w:rPr>
        <w:drawing>
          <wp:inline distT="0" distB="0" distL="0" distR="0" wp14:anchorId="61EDAA34" wp14:editId="75A76DD8">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rsidR="0064098D" w:rsidRDefault="0064098D" w:rsidP="003276F2">
      <w:pPr>
        <w:rPr>
          <w:noProof/>
          <w:lang w:eastAsia="en-GB"/>
        </w:rPr>
      </w:pPr>
    </w:p>
    <w:p w:rsidR="0064098D" w:rsidRDefault="0064098D" w:rsidP="003276F2">
      <w:pPr>
        <w:sectPr w:rsidR="0064098D" w:rsidSect="006425FC">
          <w:type w:val="nextColumn"/>
          <w:pgSz w:w="11900" w:h="16840"/>
          <w:pgMar w:top="1418" w:right="1418" w:bottom="1418" w:left="1418" w:header="708" w:footer="708" w:gutter="0"/>
          <w:cols w:space="708"/>
          <w:docGrid w:linePitch="299"/>
        </w:sectPr>
      </w:pPr>
    </w:p>
    <w:p w:rsidR="00E45ED8" w:rsidRDefault="00043028" w:rsidP="003276F2">
      <w:pPr>
        <w:rPr>
          <w:noProof/>
          <w:lang w:eastAsia="en-GB"/>
        </w:rPr>
      </w:pPr>
      <w:r>
        <w:rPr>
          <w:noProof/>
          <w:lang w:eastAsia="en-GB"/>
        </w:rPr>
        <w:lastRenderedPageBreak/>
        <w:drawing>
          <wp:inline distT="0" distB="0" distL="0" distR="0" wp14:anchorId="332DF952" wp14:editId="05C29064">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eastAsia="en-GB"/>
        </w:rPr>
        <w:drawing>
          <wp:inline distT="0" distB="0" distL="0" distR="0" wp14:anchorId="1429F864" wp14:editId="292AC050">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rsidR="00B20926" w:rsidRPr="00B20926" w:rsidRDefault="0096200D" w:rsidP="00F65D34">
      <w:pPr>
        <w:numPr>
          <w:ilvl w:val="1"/>
          <w:numId w:val="5"/>
        </w:numPr>
        <w:jc w:val="left"/>
        <w:rPr>
          <w:b/>
          <w:noProof/>
          <w:lang w:eastAsia="en-GB"/>
        </w:rPr>
      </w:pPr>
      <w:r>
        <w:rPr>
          <w:b/>
          <w:noProof/>
          <w:lang w:eastAsia="en-GB"/>
        </w:rPr>
        <w:t>(b)</w:t>
      </w:r>
    </w:p>
    <w:p w:rsidR="00B20926" w:rsidRDefault="00B20926" w:rsidP="003276F2">
      <w:pPr>
        <w:rPr>
          <w:noProof/>
          <w:lang w:eastAsia="en-GB"/>
        </w:rPr>
      </w:pPr>
    </w:p>
    <w:p w:rsidR="00E45ED8" w:rsidRDefault="00E45ED8" w:rsidP="00E45ED8">
      <w:pPr>
        <w:pStyle w:val="Caption"/>
        <w:jc w:val="center"/>
      </w:pPr>
      <w:bookmarkStart w:id="50" w:name="_Ref323653288"/>
      <w:bookmarkStart w:id="51" w:name="_Toc324172829"/>
      <w:proofErr w:type="gramStart"/>
      <w:r>
        <w:t xml:space="preserve">Figure </w:t>
      </w:r>
      <w:r>
        <w:fldChar w:fldCharType="begin"/>
      </w:r>
      <w:r>
        <w:instrText xml:space="preserve"> SEQ Figure \* ARABIC </w:instrText>
      </w:r>
      <w:r>
        <w:fldChar w:fldCharType="separate"/>
      </w:r>
      <w:r w:rsidR="00AB3A0F">
        <w:rPr>
          <w:noProof/>
        </w:rPr>
        <w:t>11</w:t>
      </w:r>
      <w:r>
        <w:fldChar w:fldCharType="end"/>
      </w:r>
      <w:bookmarkEnd w:id="50"/>
      <w:r>
        <w:t>.</w:t>
      </w:r>
      <w:proofErr w:type="gramEnd"/>
      <w:r>
        <w:t xml:space="preserve"> Used normalized CPU wall clock time </w:t>
      </w:r>
      <w:r w:rsidR="00B20926">
        <w:t xml:space="preserve">(a) and number of jobs done (b) </w:t>
      </w:r>
      <w:r>
        <w:t>across disciplines during PY2.</w:t>
      </w:r>
      <w:bookmarkEnd w:id="51"/>
    </w:p>
    <w:p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rsidR="00D505F4" w:rsidRDefault="002A03B2" w:rsidP="002A03B2">
      <w:pPr>
        <w:pStyle w:val="Heading1"/>
      </w:pPr>
      <w:bookmarkStart w:id="52" w:name="_Ref324140541"/>
      <w:bookmarkStart w:id="53" w:name="_Toc324172745"/>
      <w:r>
        <w:lastRenderedPageBreak/>
        <w:t>Resource Utilization</w:t>
      </w:r>
      <w:bookmarkEnd w:id="52"/>
      <w:bookmarkEnd w:id="53"/>
    </w:p>
    <w:p w:rsidR="002A03B2" w:rsidRDefault="00CF6B49" w:rsidP="00E10576">
      <w:r w:rsidRPr="006B4B32">
        <w:rPr>
          <w:rFonts w:eastAsia="Cambria"/>
          <w:lang w:eastAsia="en-GB"/>
        </w:rPr>
        <w:t>EGI accounting information is gathered and stored centrally for display through the accounting portal</w:t>
      </w:r>
      <w:r>
        <w:rPr>
          <w:rStyle w:val="FootnoteReference"/>
          <w:rFonts w:eastAsia="Cambria"/>
          <w:lang w:eastAsia="en-GB"/>
        </w:rPr>
        <w:footnoteReference w:id="11"/>
      </w:r>
      <w:r w:rsidRPr="006B4B32">
        <w:rPr>
          <w:rFonts w:eastAsia="Cambria"/>
          <w:lang w:eastAsia="en-GB"/>
        </w:rPr>
        <w:t>. Accounting information is aggregated by Operations Centre, who</w:t>
      </w:r>
      <w:r w:rsidR="00E10576">
        <w:rPr>
          <w:rFonts w:eastAsia="Cambria"/>
          <w:lang w:eastAsia="en-GB"/>
        </w:rPr>
        <w:t>se list is obtained from GOCDB.</w:t>
      </w:r>
      <w:r w:rsidR="002A03B2">
        <w:t xml:space="preserve"> </w:t>
      </w:r>
    </w:p>
    <w:p w:rsidR="007C5189" w:rsidRPr="007C5189" w:rsidRDefault="007C5189" w:rsidP="007C5189">
      <w:pPr>
        <w:pStyle w:val="Caption"/>
        <w:jc w:val="center"/>
      </w:pPr>
      <w:bookmarkStart w:id="54" w:name="_Ref323829747"/>
      <w:bookmarkStart w:id="55" w:name="_Ref323829758"/>
      <w:proofErr w:type="gramStart"/>
      <w:r>
        <w:t xml:space="preserve">Table </w:t>
      </w:r>
      <w:r>
        <w:fldChar w:fldCharType="begin"/>
      </w:r>
      <w:r>
        <w:instrText xml:space="preserve"> SEQ Table \* ARABIC </w:instrText>
      </w:r>
      <w:r>
        <w:fldChar w:fldCharType="separate"/>
      </w:r>
      <w:r w:rsidR="00AB3A0F">
        <w:rPr>
          <w:noProof/>
        </w:rPr>
        <w:t>8</w:t>
      </w:r>
      <w:r>
        <w:fldChar w:fldCharType="end"/>
      </w:r>
      <w:bookmarkEnd w:id="55"/>
      <w:r>
        <w:t>.</w:t>
      </w:r>
      <w:proofErr w:type="gramEnd"/>
      <w:r>
        <w:t xml:space="preserve"> Annual compute resource usage (yearly figures)</w:t>
      </w:r>
      <w:bookmarkEnd w:id="54"/>
    </w:p>
    <w:tbl>
      <w:tblPr>
        <w:tblStyle w:val="TableGrid"/>
        <w:tblW w:w="0" w:type="auto"/>
        <w:jc w:val="center"/>
        <w:tblInd w:w="-1008" w:type="dxa"/>
        <w:tblLook w:val="04A0" w:firstRow="1" w:lastRow="0" w:firstColumn="1" w:lastColumn="0" w:noHBand="0" w:noVBand="1"/>
      </w:tblPr>
      <w:tblGrid>
        <w:gridCol w:w="4235"/>
        <w:gridCol w:w="1413"/>
        <w:gridCol w:w="2201"/>
      </w:tblGrid>
      <w:tr w:rsidR="007C5189" w:rsidTr="007C5189">
        <w:trPr>
          <w:jc w:val="center"/>
        </w:trPr>
        <w:tc>
          <w:tcPr>
            <w:tcW w:w="4235" w:type="dxa"/>
          </w:tcPr>
          <w:p w:rsidR="007C5189" w:rsidRDefault="007C5189" w:rsidP="002306CE">
            <w:pPr>
              <w:rPr>
                <w:rFonts w:eastAsia="Cambria"/>
                <w:lang w:eastAsia="en-GB"/>
              </w:rPr>
            </w:pPr>
          </w:p>
        </w:tc>
        <w:tc>
          <w:tcPr>
            <w:tcW w:w="1413" w:type="dxa"/>
          </w:tcPr>
          <w:p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rsidR="007C5189" w:rsidRPr="00777FA7" w:rsidRDefault="007C5189" w:rsidP="00777FA7">
            <w:pPr>
              <w:jc w:val="center"/>
              <w:rPr>
                <w:rFonts w:eastAsia="Cambria"/>
                <w:b/>
                <w:lang w:eastAsia="en-GB"/>
              </w:rPr>
            </w:pPr>
            <w:r w:rsidRPr="00777FA7">
              <w:rPr>
                <w:rFonts w:eastAsia="Cambria"/>
                <w:b/>
                <w:lang w:eastAsia="en-GB"/>
              </w:rPr>
              <w:t>PY2</w:t>
            </w:r>
            <w:r w:rsidR="00037C85" w:rsidRPr="00777FA7">
              <w:rPr>
                <w:rFonts w:eastAsia="Cambria"/>
                <w:b/>
                <w:lang w:eastAsia="en-GB"/>
              </w:rPr>
              <w:t>/PY2 Target</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rsidR="007C5189" w:rsidRDefault="007C5189" w:rsidP="007C5189">
            <w:pPr>
              <w:jc w:val="center"/>
              <w:rPr>
                <w:rFonts w:eastAsia="Cambria"/>
                <w:lang w:eastAsia="en-GB"/>
              </w:rPr>
            </w:pPr>
            <w:r>
              <w:rPr>
                <w:rFonts w:eastAsia="Cambria"/>
                <w:lang w:eastAsia="en-GB"/>
              </w:rPr>
              <w:t>6.8</w:t>
            </w:r>
          </w:p>
        </w:tc>
        <w:tc>
          <w:tcPr>
            <w:tcW w:w="2201" w:type="dxa"/>
            <w:vAlign w:val="center"/>
          </w:tcPr>
          <w:p w:rsidR="007C5189" w:rsidRDefault="007C5189" w:rsidP="007C5189">
            <w:pPr>
              <w:jc w:val="center"/>
              <w:rPr>
                <w:rFonts w:eastAsia="Cambria"/>
                <w:lang w:eastAsia="en-GB"/>
              </w:rPr>
            </w:pPr>
            <w:r>
              <w:rPr>
                <w:rFonts w:eastAsia="Cambria"/>
                <w:lang w:eastAsia="en-GB"/>
              </w:rPr>
              <w:t>10.5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rsidR="007C5189" w:rsidRDefault="007C5189" w:rsidP="007C5189">
            <w:pPr>
              <w:jc w:val="center"/>
              <w:rPr>
                <w:rFonts w:eastAsia="Cambria"/>
                <w:lang w:eastAsia="en-GB"/>
              </w:rPr>
            </w:pPr>
            <w:r>
              <w:rPr>
                <w:rFonts w:eastAsia="Cambria"/>
                <w:lang w:eastAsia="en-GB"/>
              </w:rPr>
              <w:t>334.8</w:t>
            </w:r>
          </w:p>
        </w:tc>
        <w:tc>
          <w:tcPr>
            <w:tcW w:w="2201" w:type="dxa"/>
            <w:vAlign w:val="center"/>
          </w:tcPr>
          <w:p w:rsidR="007C5189" w:rsidRDefault="007C5189" w:rsidP="007C5189">
            <w:pPr>
              <w:jc w:val="center"/>
              <w:rPr>
                <w:rFonts w:eastAsia="Cambria"/>
                <w:lang w:eastAsia="en-GB"/>
              </w:rPr>
            </w:pPr>
            <w:r>
              <w:rPr>
                <w:rFonts w:eastAsia="Cambria"/>
                <w:lang w:eastAsia="en-GB"/>
              </w:rPr>
              <w:t>492.5</w:t>
            </w:r>
          </w:p>
        </w:tc>
      </w:tr>
      <w:tr w:rsidR="007C5189" w:rsidTr="007C5189">
        <w:trPr>
          <w:jc w:val="center"/>
        </w:trPr>
        <w:tc>
          <w:tcPr>
            <w:tcW w:w="4235" w:type="dxa"/>
            <w:vAlign w:val="center"/>
          </w:tcPr>
          <w:p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rsidR="007C5189" w:rsidRDefault="007C5189" w:rsidP="007C5189">
            <w:pPr>
              <w:jc w:val="center"/>
              <w:rPr>
                <w:rFonts w:eastAsia="Cambria"/>
                <w:lang w:eastAsia="en-GB"/>
              </w:rPr>
            </w:pPr>
            <w:r>
              <w:rPr>
                <w:rFonts w:eastAsia="Cambria"/>
                <w:lang w:eastAsia="en-GB"/>
              </w:rPr>
              <w:t>0.92</w:t>
            </w:r>
          </w:p>
        </w:tc>
        <w:tc>
          <w:tcPr>
            <w:tcW w:w="2201" w:type="dxa"/>
            <w:vAlign w:val="center"/>
          </w:tcPr>
          <w:p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rsidR="00B6440B" w:rsidRDefault="00B6440B" w:rsidP="002306CE">
      <w:pPr>
        <w:rPr>
          <w:rFonts w:eastAsia="Cambria"/>
          <w:lang w:eastAsia="en-GB"/>
        </w:rPr>
      </w:pPr>
    </w:p>
    <w:p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AB3A0F">
        <w:t xml:space="preserve">Table </w:t>
      </w:r>
      <w:r w:rsidR="00AB3A0F">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w:t>
      </w:r>
      <w:proofErr w:type="gramStart"/>
      <w:r w:rsidR="007C5189">
        <w:rPr>
          <w:rFonts w:eastAsia="Cambria"/>
          <w:lang w:eastAsia="en-GB"/>
        </w:rPr>
        <w:t>of 1.35 Million Job/day</w:t>
      </w:r>
      <w:proofErr w:type="gramEnd"/>
      <w:r w:rsidR="007C5189">
        <w:rPr>
          <w:rFonts w:eastAsia="Cambria"/>
          <w:lang w:eastAsia="en-GB"/>
        </w:rPr>
        <w:t>.</w:t>
      </w:r>
      <w:r w:rsidR="0006761A">
        <w:rPr>
          <w:rFonts w:eastAsia="Cambria"/>
          <w:lang w:eastAsia="en-GB"/>
        </w:rPr>
        <w:t xml:space="preserve"> </w:t>
      </w:r>
    </w:p>
    <w:p w:rsidR="00831900" w:rsidRDefault="0006761A" w:rsidP="002306CE">
      <w:pPr>
        <w:rPr>
          <w:rFonts w:eastAsia="Cambria"/>
          <w:lang w:eastAsia="en-GB"/>
        </w:rPr>
      </w:pPr>
      <w:r>
        <w:rPr>
          <w:rFonts w:eastAsia="Cambria"/>
          <w:lang w:eastAsia="en-GB"/>
        </w:rPr>
        <w:t xml:space="preserve">PY2 usage expressed in HEP-SPEC 06 Hours of CPU wall time across of 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AB3A0F">
        <w:t xml:space="preserve">Figure </w:t>
      </w:r>
      <w:r w:rsidR="00AB3A0F">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AB3A0F">
        <w:rPr>
          <w:rFonts w:eastAsia="Cambria"/>
          <w:lang w:eastAsia="en-GB"/>
        </w:rPr>
        <w:t>3</w:t>
      </w:r>
      <w:r>
        <w:rPr>
          <w:rFonts w:eastAsia="Cambria"/>
          <w:lang w:eastAsia="en-GB"/>
        </w:rPr>
        <w:fldChar w:fldCharType="end"/>
      </w:r>
      <w:r>
        <w:rPr>
          <w:rFonts w:eastAsia="Cambria"/>
          <w:lang w:eastAsia="en-GB"/>
        </w:rPr>
        <w:t>)</w:t>
      </w:r>
      <w:proofErr w:type="gramStart"/>
      <w:r>
        <w:rPr>
          <w:rFonts w:eastAsia="Cambria"/>
          <w:lang w:eastAsia="en-GB"/>
        </w:rPr>
        <w:t>,</w:t>
      </w:r>
      <w:proofErr w:type="gramEnd"/>
      <w:r>
        <w:rPr>
          <w:rFonts w:eastAsia="Cambria"/>
          <w:lang w:eastAsia="en-GB"/>
        </w:rPr>
        <w:t xml:space="preserve">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AB3A0F">
        <w:t xml:space="preserve">Figure </w:t>
      </w:r>
      <w:r w:rsidR="00AB3A0F">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 </w:t>
      </w:r>
      <w:proofErr w:type="gramStart"/>
      <w:r w:rsidR="00831900">
        <w:rPr>
          <w:rFonts w:eastAsia="Cambria"/>
          <w:lang w:eastAsia="en-GB"/>
        </w:rPr>
        <w:t>is</w:t>
      </w:r>
      <w:proofErr w:type="gramEnd"/>
      <w:r w:rsidR="00831900">
        <w:rPr>
          <w:rFonts w:eastAsia="Cambria"/>
          <w:lang w:eastAsia="en-GB"/>
        </w:rPr>
        <w:t xml:space="preserve"> distributed.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AB3A0F">
        <w:t xml:space="preserve">Figure </w:t>
      </w:r>
      <w:r w:rsidR="00AB3A0F">
        <w:rPr>
          <w:noProof/>
        </w:rPr>
        <w:t>14</w:t>
      </w:r>
      <w:r>
        <w:rPr>
          <w:rFonts w:eastAsia="Cambria"/>
          <w:lang w:eastAsia="en-GB"/>
        </w:rPr>
        <w:fldChar w:fldCharType="end"/>
      </w:r>
      <w:r>
        <w:rPr>
          <w:rFonts w:eastAsia="Cambria"/>
          <w:lang w:eastAsia="en-GB"/>
        </w:rPr>
        <w:t>. The diagram shows how support of HEP is dominant in large resource infrastructures, while support of other disciplines dominates in Latin America and several countries in Eastern Europe</w:t>
      </w:r>
      <w:r w:rsidR="00CF1A1A">
        <w:rPr>
          <w:rFonts w:eastAsia="Cambria"/>
          <w:lang w:eastAsia="en-GB"/>
        </w:rPr>
        <w:t xml:space="preserve"> where is some cases it equals 100% of the entire usage of resources</w:t>
      </w:r>
      <w:r>
        <w:rPr>
          <w:rFonts w:eastAsia="Cambria"/>
          <w:lang w:eastAsia="en-GB"/>
        </w:rPr>
        <w:t>.</w:t>
      </w:r>
      <w:r w:rsidR="00CF1A1A">
        <w:rPr>
          <w:rFonts w:eastAsia="Cambria"/>
          <w:lang w:eastAsia="en-GB"/>
        </w:rPr>
        <w:t xml:space="preserve"> As outcome of the EGI-InSPIRE activities in outreach and technical support of new user communities introduced in PY2, it is expected that the fraction of usage non-HEP usage will increase in the coming project year. </w:t>
      </w:r>
      <w:r>
        <w:rPr>
          <w:rFonts w:eastAsia="Cambria"/>
          <w:lang w:eastAsia="en-GB"/>
        </w:rPr>
        <w:t xml:space="preserve">   </w:t>
      </w:r>
      <w:r w:rsidR="0006761A">
        <w:rPr>
          <w:rFonts w:eastAsia="Cambria"/>
          <w:lang w:eastAsia="en-GB"/>
        </w:rPr>
        <w:t xml:space="preserve">   </w:t>
      </w:r>
    </w:p>
    <w:p w:rsidR="00D030DF" w:rsidRDefault="00043028" w:rsidP="00E10576">
      <w:pPr>
        <w:jc w:val="center"/>
      </w:pPr>
      <w:r>
        <w:rPr>
          <w:noProof/>
          <w:lang w:eastAsia="en-GB"/>
        </w:rPr>
        <w:lastRenderedPageBreak/>
        <w:drawing>
          <wp:inline distT="0" distB="0" distL="0" distR="0" wp14:anchorId="68208870" wp14:editId="431F268D">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56" w:name="_Ref323914345"/>
      <w:bookmarkStart w:id="57" w:name="_Toc324172830"/>
      <w:proofErr w:type="gramStart"/>
      <w:r>
        <w:t xml:space="preserve">Figure </w:t>
      </w:r>
      <w:r>
        <w:fldChar w:fldCharType="begin"/>
      </w:r>
      <w:r>
        <w:instrText xml:space="preserve"> SEQ Figure \* ARABIC </w:instrText>
      </w:r>
      <w:r>
        <w:fldChar w:fldCharType="separate"/>
      </w:r>
      <w:r w:rsidR="00AB3A0F">
        <w:rPr>
          <w:noProof/>
        </w:rPr>
        <w:t>12</w:t>
      </w:r>
      <w:r>
        <w:fldChar w:fldCharType="end"/>
      </w:r>
      <w:bookmarkEnd w:id="56"/>
      <w:r>
        <w:t>.</w:t>
      </w:r>
      <w:proofErr w:type="gramEnd"/>
      <w:r>
        <w:t xml:space="preserve"> </w:t>
      </w:r>
      <w:proofErr w:type="gramStart"/>
      <w:r>
        <w:t>Distribution across EGI Operations Centres of usage of CPU wall clock time (HEP-SPEC 06 hours).</w:t>
      </w:r>
      <w:proofErr w:type="gramEnd"/>
      <w:r>
        <w:t xml:space="preserve"> HEP usage is displayed in blue and the aggregated usage o</w:t>
      </w:r>
      <w:r w:rsidR="00307520">
        <w:t>f non-HEP disciplines is in red from May 2011 to April 20</w:t>
      </w:r>
      <w:r w:rsidR="00741BF3">
        <w:t>12 (source: accounting portal).</w:t>
      </w:r>
      <w:bookmarkEnd w:id="57"/>
    </w:p>
    <w:p w:rsidR="00E10576" w:rsidRDefault="00043028" w:rsidP="00D030DF">
      <w:r>
        <w:rPr>
          <w:noProof/>
          <w:lang w:eastAsia="en-GB"/>
        </w:rPr>
        <w:lastRenderedPageBreak/>
        <w:drawing>
          <wp:inline distT="0" distB="0" distL="0" distR="0" wp14:anchorId="1D16BE59" wp14:editId="0C912EFB">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rsidR="00E10576" w:rsidRDefault="00E10576" w:rsidP="00E10576">
      <w:pPr>
        <w:pStyle w:val="Caption"/>
        <w:jc w:val="center"/>
      </w:pPr>
      <w:bookmarkStart w:id="58" w:name="_Ref323914894"/>
      <w:bookmarkStart w:id="59" w:name="_Toc324172831"/>
      <w:proofErr w:type="gramStart"/>
      <w:r>
        <w:t xml:space="preserve">Figure </w:t>
      </w:r>
      <w:r>
        <w:fldChar w:fldCharType="begin"/>
      </w:r>
      <w:r>
        <w:instrText xml:space="preserve"> SEQ Figure \* ARABIC </w:instrText>
      </w:r>
      <w:r>
        <w:fldChar w:fldCharType="separate"/>
      </w:r>
      <w:r w:rsidR="00AB3A0F">
        <w:rPr>
          <w:noProof/>
        </w:rPr>
        <w:t>13</w:t>
      </w:r>
      <w:r>
        <w:fldChar w:fldCharType="end"/>
      </w:r>
      <w:bookmarkEnd w:id="58"/>
      <w:r>
        <w:t>.</w:t>
      </w:r>
      <w:proofErr w:type="gramEnd"/>
      <w:r>
        <w:t xml:space="preserve"> Distribution across EGI Operations Centres of aggregated usage of non-HEP disciplines (CPU wall clock time in HEP-SPEC 06 hours) from May 2011 to April 2012 (source: accounting portal).</w:t>
      </w:r>
      <w:bookmarkEnd w:id="59"/>
    </w:p>
    <w:p w:rsidR="00E10576" w:rsidRPr="00E10576" w:rsidRDefault="00E10576" w:rsidP="00E10576"/>
    <w:p w:rsidR="00B54C79" w:rsidRDefault="00043028" w:rsidP="00D030DF">
      <w:r>
        <w:rPr>
          <w:noProof/>
          <w:lang w:eastAsia="en-GB"/>
        </w:rPr>
        <w:lastRenderedPageBreak/>
        <w:drawing>
          <wp:inline distT="0" distB="0" distL="0" distR="0" wp14:anchorId="38C41412" wp14:editId="5542DBEB">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60" w:name="_Ref323915284"/>
      <w:bookmarkStart w:id="61" w:name="_Toc324172832"/>
      <w:proofErr w:type="gramStart"/>
      <w:r>
        <w:t xml:space="preserve">Figure </w:t>
      </w:r>
      <w:r>
        <w:fldChar w:fldCharType="begin"/>
      </w:r>
      <w:r>
        <w:instrText xml:space="preserve"> SEQ Figure \* ARABIC </w:instrText>
      </w:r>
      <w:r>
        <w:fldChar w:fldCharType="separate"/>
      </w:r>
      <w:r w:rsidR="00AB3A0F">
        <w:rPr>
          <w:noProof/>
        </w:rPr>
        <w:t>14</w:t>
      </w:r>
      <w:r>
        <w:fldChar w:fldCharType="end"/>
      </w:r>
      <w:bookmarkEnd w:id="60"/>
      <w:r>
        <w:t>.</w:t>
      </w:r>
      <w:proofErr w:type="gramEnd"/>
      <w:r>
        <w:t xml:space="preserve"> </w:t>
      </w:r>
      <w:proofErr w:type="gramStart"/>
      <w:r>
        <w:t>Distribution of resource usage (%) across HEP and non-HEP disciplines.</w:t>
      </w:r>
      <w:proofErr w:type="gramEnd"/>
      <w:r>
        <w:t xml:space="preserve"> Usage is estimated as normalized CPU wall clock time (HEP-SPEC 06 hours) from May 2011 to April 20</w:t>
      </w:r>
      <w:r w:rsidR="00E10576">
        <w:t>12 (source: accounti</w:t>
      </w:r>
      <w:r w:rsidR="00741BF3">
        <w:t>ng portal).</w:t>
      </w:r>
      <w:bookmarkEnd w:id="61"/>
    </w:p>
    <w:p w:rsidR="00AA763F" w:rsidRDefault="0060102F" w:rsidP="00CF1A1A">
      <w:pPr>
        <w:pStyle w:val="Heading2"/>
      </w:pPr>
      <w:bookmarkStart w:id="62" w:name="_Toc324172746"/>
      <w:r>
        <w:lastRenderedPageBreak/>
        <w:t xml:space="preserve">Active </w:t>
      </w:r>
      <w:proofErr w:type="spellStart"/>
      <w:r>
        <w:t>V</w:t>
      </w:r>
      <w:r w:rsidR="005D53DD">
        <w:t>o</w:t>
      </w:r>
      <w:r>
        <w:t>s</w:t>
      </w:r>
      <w:bookmarkEnd w:id="62"/>
      <w:proofErr w:type="spellEnd"/>
    </w:p>
    <w:p w:rsidR="006E6B71" w:rsidRDefault="00AA763F" w:rsidP="00AA763F">
      <w:r>
        <w:t xml:space="preserve">Despite of the large number of registered </w:t>
      </w:r>
      <w:proofErr w:type="spellStart"/>
      <w:r>
        <w:t>V</w:t>
      </w:r>
      <w:r w:rsidR="005D53DD">
        <w:t>o</w:t>
      </w:r>
      <w:r>
        <w:t>s</w:t>
      </w:r>
      <w:proofErr w:type="spellEnd"/>
      <w:r>
        <w:t xml:space="preserve"> (226 according to the Operations Portal</w:t>
      </w:r>
      <w:r w:rsidR="00796C86">
        <w:t xml:space="preserve"> with a</w:t>
      </w:r>
      <w:r>
        <w:t xml:space="preserve"> +3.20% of new </w:t>
      </w:r>
      <w:proofErr w:type="spellStart"/>
      <w:r>
        <w:t>V</w:t>
      </w:r>
      <w:r w:rsidR="005D53DD">
        <w:t>o</w:t>
      </w:r>
      <w:r>
        <w:t>s</w:t>
      </w:r>
      <w:proofErr w:type="spellEnd"/>
      <w:r>
        <w:t xml:space="preserve"> in PY2), the number of “active” </w:t>
      </w:r>
      <w:proofErr w:type="spellStart"/>
      <w:r>
        <w:t>V</w:t>
      </w:r>
      <w:r w:rsidR="005D53DD">
        <w:t>o</w:t>
      </w:r>
      <w:r>
        <w:t>s</w:t>
      </w:r>
      <w:proofErr w:type="spellEnd"/>
      <w:r>
        <w:t xml:space="preserve"> is a significantly smaller fraction</w:t>
      </w:r>
      <w:r w:rsidR="006E6B71">
        <w:t>. At the end of PQ7,</w:t>
      </w:r>
      <w:r>
        <w:t xml:space="preserve"> </w:t>
      </w:r>
      <w:r w:rsidR="006E6B71">
        <w:t xml:space="preserve">56 active </w:t>
      </w:r>
      <w:proofErr w:type="spellStart"/>
      <w:r w:rsidR="006E6B71">
        <w:t>V</w:t>
      </w:r>
      <w:r w:rsidR="005D53DD">
        <w:t>o</w:t>
      </w:r>
      <w:r w:rsidR="006E6B71">
        <w:t>s</w:t>
      </w:r>
      <w:proofErr w:type="spellEnd"/>
      <w:r w:rsidR="006E6B71">
        <w:t xml:space="preserve">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medium and </w:t>
      </w:r>
      <w:r w:rsidRPr="00AA763F">
        <w:t>25</w:t>
      </w:r>
      <w:r w:rsidR="006E6B71">
        <w:t xml:space="preserve"> high</w:t>
      </w:r>
      <w:r w:rsidR="007F29DB">
        <w:t>. The Accounting Portal classifies</w:t>
      </w:r>
      <w:r w:rsidR="006E6B71">
        <w:t xml:space="preserve"> </w:t>
      </w:r>
      <w:proofErr w:type="spellStart"/>
      <w:r w:rsidR="006E6B71">
        <w:t>V</w:t>
      </w:r>
      <w:r w:rsidR="005D53DD">
        <w:t>o</w:t>
      </w:r>
      <w:r w:rsidR="006E6B71">
        <w:t>s</w:t>
      </w:r>
      <w:proofErr w:type="spellEnd"/>
      <w:r w:rsidR="006E6B71">
        <w:t xml:space="preserve"> according to the following ranges:</w:t>
      </w:r>
    </w:p>
    <w:p w:rsidR="006E6B71" w:rsidRDefault="006E6B71" w:rsidP="00F65D34">
      <w:pPr>
        <w:numPr>
          <w:ilvl w:val="0"/>
          <w:numId w:val="10"/>
        </w:numPr>
      </w:pPr>
      <w:r>
        <w:t>“Low Activity week”:  CPU &gt; 1 Day/Week,  a</w:t>
      </w:r>
      <w:r w:rsidR="00E10576">
        <w:t>ll the jobs run by the VO during the week consumed more th</w:t>
      </w:r>
      <w:r>
        <w:t>an 24 hours (1 day) of CPU time, but less than 1 Month</w:t>
      </w:r>
    </w:p>
    <w:p w:rsidR="006E6B71" w:rsidRDefault="006E6B71" w:rsidP="00F65D34">
      <w:pPr>
        <w:numPr>
          <w:ilvl w:val="0"/>
          <w:numId w:val="1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rsidR="007F29DB" w:rsidRPr="000F0FE0" w:rsidRDefault="006E6B71" w:rsidP="00F65D34">
      <w:pPr>
        <w:numPr>
          <w:ilvl w:val="0"/>
          <w:numId w:val="10"/>
        </w:numPr>
      </w:pPr>
      <w:r>
        <w:t>“</w:t>
      </w:r>
      <w:r w:rsidR="00E10576">
        <w:t>High activity week</w:t>
      </w:r>
      <w:r>
        <w:t>”: CPU &gt; 1 Year/Week, a</w:t>
      </w:r>
      <w:r w:rsidR="00E10576">
        <w:t>ll the jobs run by the VO during the week consumed more than 1 year of CPU time.</w:t>
      </w:r>
    </w:p>
    <w:p w:rsidR="00E10576" w:rsidRDefault="00043028" w:rsidP="00E10576">
      <w:pPr>
        <w:jc w:val="center"/>
      </w:pPr>
      <w:r>
        <w:rPr>
          <w:noProof/>
          <w:lang w:eastAsia="en-GB"/>
        </w:rPr>
        <w:drawing>
          <wp:inline distT="0" distB="0" distL="0" distR="0" wp14:anchorId="00FB9700" wp14:editId="4EDC7932">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rsidR="00CC5100" w:rsidRDefault="00CC5100" w:rsidP="00CC5100">
      <w:pPr>
        <w:pStyle w:val="Caption"/>
        <w:jc w:val="center"/>
      </w:pPr>
      <w:bookmarkStart w:id="63" w:name="_Ref323918337"/>
      <w:bookmarkStart w:id="64" w:name="_Toc324172833"/>
      <w:proofErr w:type="gramStart"/>
      <w:r>
        <w:t xml:space="preserve">Figure </w:t>
      </w:r>
      <w:r>
        <w:fldChar w:fldCharType="begin"/>
      </w:r>
      <w:r>
        <w:instrText xml:space="preserve"> SEQ Figure \* ARABIC </w:instrText>
      </w:r>
      <w:r>
        <w:fldChar w:fldCharType="separate"/>
      </w:r>
      <w:r w:rsidR="00AB3A0F">
        <w:rPr>
          <w:noProof/>
        </w:rPr>
        <w:t>15</w:t>
      </w:r>
      <w:r>
        <w:fldChar w:fldCharType="end"/>
      </w:r>
      <w:bookmarkEnd w:id="63"/>
      <w:r w:rsidR="00AA763F">
        <w:t>.</w:t>
      </w:r>
      <w:proofErr w:type="gramEnd"/>
      <w:r w:rsidR="007F29DB">
        <w:t xml:space="preserve"> Classification of VO resource utilization per activity level (Low </w:t>
      </w:r>
      <w:r w:rsidR="005D53DD">
        <w:t>–</w:t>
      </w:r>
      <w:r w:rsidR="007F29DB">
        <w:t xml:space="preserve"> red, </w:t>
      </w:r>
      <w:proofErr w:type="gramStart"/>
      <w:r w:rsidR="007F29DB">
        <w:t>Medium</w:t>
      </w:r>
      <w:proofErr w:type="gramEnd"/>
      <w:r w:rsidR="00AA763F">
        <w:t xml:space="preserve"> </w:t>
      </w:r>
      <w:r w:rsidR="007F29DB">
        <w:t>– Green, High – blue) from May 2008 (beginning of EGEE-III project to March 2012).</w:t>
      </w:r>
      <w:bookmarkEnd w:id="64"/>
    </w:p>
    <w:p w:rsidR="00346E8D" w:rsidRDefault="007F29DB" w:rsidP="007F29DB">
      <w:r>
        <w:fldChar w:fldCharType="begin"/>
      </w:r>
      <w:r>
        <w:instrText xml:space="preserve"> REF _Ref323918337 \h </w:instrText>
      </w:r>
      <w:r>
        <w:fldChar w:fldCharType="separate"/>
      </w:r>
      <w:r w:rsidR="00AB3A0F">
        <w:t xml:space="preserve">Figure </w:t>
      </w:r>
      <w:r w:rsidR="00AB3A0F">
        <w:rPr>
          <w:noProof/>
        </w:rPr>
        <w:t>15</w:t>
      </w:r>
      <w:r>
        <w:fldChar w:fldCharType="end"/>
      </w:r>
      <w:r>
        <w:t xml:space="preserve"> plots the long-term trend in the distribution between Low/Medium/High Activity </w:t>
      </w:r>
      <w:proofErr w:type="spellStart"/>
      <w:r>
        <w:t>V</w:t>
      </w:r>
      <w:r w:rsidR="005D53DD">
        <w:t>o</w:t>
      </w:r>
      <w:r>
        <w:t>s</w:t>
      </w:r>
      <w:proofErr w:type="spellEnd"/>
      <w:r>
        <w:t xml:space="preserve"> starting from the beginning of the EGEE-III project – May 2008 – to </w:t>
      </w:r>
      <w:r w:rsidR="00796C86">
        <w:t>date</w:t>
      </w:r>
      <w:r>
        <w:t>. T</w:t>
      </w:r>
      <w:r w:rsidR="00796C86">
        <w:t>he diagram</w:t>
      </w:r>
      <w:r>
        <w:t xml:space="preserve"> shows that the overall number of active </w:t>
      </w:r>
      <w:proofErr w:type="spellStart"/>
      <w:r>
        <w:t>V</w:t>
      </w:r>
      <w:r w:rsidR="005D53DD">
        <w:t>o</w:t>
      </w:r>
      <w:r>
        <w:t>s</w:t>
      </w:r>
      <w:proofErr w:type="spellEnd"/>
      <w:r>
        <w:t xml:space="preserve"> hasn’t significantly changed</w:t>
      </w:r>
      <w:r w:rsidR="00796C86">
        <w:t xml:space="preserve"> since 2008</w:t>
      </w:r>
      <w:r>
        <w:t xml:space="preserve">. </w:t>
      </w:r>
      <w:r w:rsidR="00346E8D">
        <w:t xml:space="preserve">A short-term increase trend started in October 2009 and finished in April 2010, was followed by progressive </w:t>
      </w:r>
      <w:r w:rsidR="00796C86">
        <w:t xml:space="preserve">slow </w:t>
      </w:r>
      <w:r w:rsidR="00346E8D">
        <w:t>decrease that affected the Low Activity category (red), which presumably includes new user communities in their initial pilot activities.</w:t>
      </w:r>
    </w:p>
    <w:p w:rsidR="007F29DB" w:rsidRPr="007F29DB" w:rsidRDefault="00346E8D" w:rsidP="007F29DB">
      <w:r>
        <w:t xml:space="preserve">The integration of heterogeneous grid middleware (ARC, dCache, gLite,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cloud provisioning model</w:t>
      </w:r>
      <w:r w:rsidR="00796C86">
        <w:t>s</w:t>
      </w:r>
      <w:r w:rsidR="003203AE">
        <w:t xml:space="preserve"> [STR]</w:t>
      </w:r>
      <w:r>
        <w:t xml:space="preserve">.   </w:t>
      </w:r>
      <w:r w:rsidR="007F29DB">
        <w:t xml:space="preserve">  </w:t>
      </w:r>
    </w:p>
    <w:p w:rsidR="008F18AA" w:rsidRDefault="008F18AA" w:rsidP="008F18AA">
      <w:pPr>
        <w:pStyle w:val="Heading1"/>
      </w:pPr>
      <w:bookmarkStart w:id="65" w:name="_Ref324140773"/>
      <w:bookmarkStart w:id="66" w:name="_Toc324172747"/>
      <w:r>
        <w:lastRenderedPageBreak/>
        <w:t>Service Levels</w:t>
      </w:r>
      <w:bookmarkEnd w:id="65"/>
      <w:bookmarkEnd w:id="66"/>
    </w:p>
    <w:p w:rsidR="008F18AA" w:rsidRDefault="008F18AA" w:rsidP="008F18AA">
      <w:r>
        <w:t>Services are monitored at two different levels:</w:t>
      </w:r>
    </w:p>
    <w:p w:rsidR="008F18AA" w:rsidRDefault="008F18AA" w:rsidP="00F65D34">
      <w:pPr>
        <w:numPr>
          <w:ilvl w:val="0"/>
          <w:numId w:val="6"/>
        </w:numPr>
      </w:pPr>
      <w:r>
        <w:t>Services provided at a RC level</w:t>
      </w:r>
      <w:r w:rsidR="002878C1">
        <w:t xml:space="preserve"> and</w:t>
      </w:r>
    </w:p>
    <w:p w:rsidR="008F18AA" w:rsidRDefault="008F18AA" w:rsidP="00F65D34">
      <w:pPr>
        <w:numPr>
          <w:ilvl w:val="0"/>
          <w:numId w:val="6"/>
        </w:numPr>
      </w:pPr>
      <w:r>
        <w:t>Services provided at a RP level</w:t>
      </w:r>
      <w:r w:rsidR="002878C1">
        <w:t>.</w:t>
      </w:r>
    </w:p>
    <w:p w:rsidR="008F18AA" w:rsidRPr="00994CB7" w:rsidRDefault="008F18AA" w:rsidP="008F18AA">
      <w:r>
        <w:t>For each category a different set of service level and targets are defined and periodically reviewed. For each set of service levels various reporting systems are available, and are detailed in the following section. The service level and targets are formally defined in the RC Operational Level Agreement [RCO] and in the RP Operational Level Agreement [RPO].</w:t>
      </w:r>
    </w:p>
    <w:p w:rsidR="008F18AA" w:rsidRDefault="008F18AA" w:rsidP="008F18AA">
      <w:pPr>
        <w:pStyle w:val="Heading2"/>
      </w:pPr>
      <w:bookmarkStart w:id="67" w:name="_Toc324172748"/>
      <w:r>
        <w:t>Service Level Targets and Reporting</w:t>
      </w:r>
      <w:bookmarkEnd w:id="67"/>
    </w:p>
    <w:p w:rsidR="008F18AA" w:rsidRDefault="008F18AA" w:rsidP="00F65D34">
      <w:pPr>
        <w:numPr>
          <w:ilvl w:val="0"/>
          <w:numId w:val="7"/>
        </w:numPr>
      </w:pPr>
      <w:r>
        <w:t>Resource Centres</w:t>
      </w:r>
      <w:r>
        <w:rPr>
          <w:rStyle w:val="FootnoteReference"/>
        </w:rPr>
        <w:footnoteReference w:id="12"/>
      </w:r>
    </w:p>
    <w:p w:rsidR="008F18AA" w:rsidRDefault="008F18AA" w:rsidP="00F65D34">
      <w:pPr>
        <w:numPr>
          <w:ilvl w:val="1"/>
          <w:numId w:val="7"/>
        </w:numPr>
      </w:pPr>
      <w:r>
        <w:t>Minimum Availability: 50%</w:t>
      </w:r>
    </w:p>
    <w:p w:rsidR="008F18AA" w:rsidRDefault="008F18AA" w:rsidP="00F65D34">
      <w:pPr>
        <w:numPr>
          <w:ilvl w:val="1"/>
          <w:numId w:val="7"/>
        </w:numPr>
      </w:pPr>
      <w:r>
        <w:t>Minimum Reliability: 50%</w:t>
      </w:r>
    </w:p>
    <w:p w:rsidR="008F18AA" w:rsidRDefault="008F18AA" w:rsidP="00F65D34">
      <w:pPr>
        <w:numPr>
          <w:ilvl w:val="1"/>
          <w:numId w:val="7"/>
        </w:numPr>
      </w:pPr>
      <w:r>
        <w:t xml:space="preserve">Reports: </w:t>
      </w:r>
      <w:hyperlink r:id="rId34" w:history="1">
        <w:r w:rsidRPr="00ED10B3">
          <w:rPr>
            <w:rStyle w:val="Hyperlink"/>
          </w:rPr>
          <w:t>https://wiki.egi.eu/wiki/Availability_and_reliability_monthly_statistics#Resource_Centres</w:t>
        </w:r>
      </w:hyperlink>
    </w:p>
    <w:p w:rsidR="008F18AA" w:rsidRDefault="008F18AA" w:rsidP="00F65D34">
      <w:pPr>
        <w:numPr>
          <w:ilvl w:val="0"/>
          <w:numId w:val="7"/>
        </w:numPr>
      </w:pPr>
      <w:r>
        <w:t>Resource infrastructure Providers</w:t>
      </w:r>
      <w:r>
        <w:rPr>
          <w:rStyle w:val="FootnoteReference"/>
        </w:rPr>
        <w:footnoteReference w:id="13"/>
      </w:r>
    </w:p>
    <w:p w:rsidR="008F18AA" w:rsidRDefault="008F18AA" w:rsidP="00F65D34">
      <w:pPr>
        <w:numPr>
          <w:ilvl w:val="1"/>
          <w:numId w:val="7"/>
        </w:numPr>
      </w:pPr>
      <w:r>
        <w:t>Minimum top-BDII Availability: 99%</w:t>
      </w:r>
    </w:p>
    <w:p w:rsidR="008F18AA" w:rsidRDefault="008F18AA" w:rsidP="00F65D34">
      <w:pPr>
        <w:numPr>
          <w:ilvl w:val="1"/>
          <w:numId w:val="7"/>
        </w:numPr>
      </w:pPr>
      <w:r>
        <w:t>Minimum top-BDII Reliability: 99%</w:t>
      </w:r>
    </w:p>
    <w:p w:rsidR="008F18AA" w:rsidRDefault="008F18AA" w:rsidP="00F65D34">
      <w:pPr>
        <w:numPr>
          <w:ilvl w:val="1"/>
          <w:numId w:val="7"/>
        </w:numPr>
      </w:pPr>
      <w:r>
        <w:t>Maximum Regional Operator on Duty Performance Index: 10</w:t>
      </w:r>
    </w:p>
    <w:p w:rsidR="008F18AA" w:rsidRPr="004C4D2F" w:rsidRDefault="008F18AA" w:rsidP="00F65D34">
      <w:pPr>
        <w:numPr>
          <w:ilvl w:val="1"/>
          <w:numId w:val="7"/>
        </w:numPr>
      </w:pPr>
      <w:r>
        <w:t xml:space="preserve">Reports: </w:t>
      </w:r>
      <w:hyperlink r:id="rId35" w:history="1">
        <w:r w:rsidRPr="00ED10B3">
          <w:rPr>
            <w:rStyle w:val="Hyperlink"/>
          </w:rPr>
          <w:t>https://wiki.egi.eu/wiki/Availability_and_reliability_monthly_statistics#NGIs.2FEIROs</w:t>
        </w:r>
      </w:hyperlink>
    </w:p>
    <w:p w:rsidR="008F18AA" w:rsidRDefault="008F18AA" w:rsidP="008F18AA">
      <w:pPr>
        <w:pStyle w:val="Heading2"/>
      </w:pPr>
      <w:bookmarkStart w:id="68" w:name="_Toc324172749"/>
      <w:r>
        <w:t>RC Performance</w:t>
      </w:r>
      <w:bookmarkEnd w:id="68"/>
    </w:p>
    <w:p w:rsidR="008F18AA" w:rsidRDefault="008F18AA" w:rsidP="008F18AA">
      <w:pPr>
        <w:pStyle w:val="Heading3"/>
      </w:pPr>
      <w:bookmarkStart w:id="69" w:name="_Toc324172750"/>
      <w:r>
        <w:t>Availability and Reliability</w:t>
      </w:r>
      <w:bookmarkEnd w:id="69"/>
    </w:p>
    <w:p w:rsidR="008F18AA" w:rsidRPr="0038394B" w:rsidRDefault="008F18AA" w:rsidP="008F18AA">
      <w:pPr>
        <w:pStyle w:val="Caption"/>
        <w:jc w:val="center"/>
      </w:pPr>
      <w:bookmarkStart w:id="70" w:name="_Ref323339315"/>
      <w:proofErr w:type="gramStart"/>
      <w:r>
        <w:t xml:space="preserve">Table </w:t>
      </w:r>
      <w:r>
        <w:fldChar w:fldCharType="begin"/>
      </w:r>
      <w:r>
        <w:instrText xml:space="preserve"> SEQ Table \* ARABIC </w:instrText>
      </w:r>
      <w:r>
        <w:fldChar w:fldCharType="separate"/>
      </w:r>
      <w:r w:rsidR="00AB3A0F">
        <w:rPr>
          <w:noProof/>
        </w:rPr>
        <w:t>9</w:t>
      </w:r>
      <w:r>
        <w:fldChar w:fldCharType="end"/>
      </w:r>
      <w:bookmarkEnd w:id="70"/>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rsidTr="009B1455">
        <w:trPr>
          <w:jc w:val="center"/>
        </w:trPr>
        <w:tc>
          <w:tcPr>
            <w:tcW w:w="0" w:type="auto"/>
            <w:tcBorders>
              <w:bottom w:val="single" w:sz="4" w:space="0" w:color="auto"/>
            </w:tcBorders>
            <w:shd w:val="clear" w:color="auto" w:fill="D9D9D9"/>
            <w:vAlign w:val="center"/>
          </w:tcPr>
          <w:p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rsidR="008F18AA" w:rsidRPr="006B4B32" w:rsidRDefault="008F18AA" w:rsidP="009B1455">
            <w:pPr>
              <w:jc w:val="center"/>
              <w:rPr>
                <w:b/>
                <w:sz w:val="18"/>
                <w:szCs w:val="18"/>
              </w:rPr>
            </w:pPr>
            <w:r>
              <w:rPr>
                <w:b/>
                <w:sz w:val="18"/>
                <w:szCs w:val="18"/>
              </w:rPr>
              <w:t>Y2 Target</w:t>
            </w:r>
          </w:p>
        </w:tc>
      </w:tr>
      <w:tr w:rsidR="008F18AA" w:rsidRPr="006B4B32" w:rsidTr="009B1455">
        <w:trPr>
          <w:jc w:val="center"/>
        </w:trPr>
        <w:tc>
          <w:tcPr>
            <w:tcW w:w="0" w:type="auto"/>
            <w:shd w:val="clear" w:color="auto" w:fill="F2F2F2"/>
            <w:vAlign w:val="center"/>
          </w:tcPr>
          <w:p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rsidR="008F18AA" w:rsidRPr="006B4B32" w:rsidRDefault="008F18AA" w:rsidP="009B1455">
            <w:pPr>
              <w:jc w:val="center"/>
              <w:rPr>
                <w:sz w:val="18"/>
                <w:szCs w:val="18"/>
              </w:rPr>
            </w:pPr>
            <w:r>
              <w:rPr>
                <w:sz w:val="18"/>
                <w:szCs w:val="18"/>
              </w:rPr>
              <w:t>91%</w:t>
            </w:r>
          </w:p>
        </w:tc>
      </w:tr>
      <w:tr w:rsidR="008F18AA" w:rsidRPr="006B4B32" w:rsidTr="009B1455">
        <w:trPr>
          <w:jc w:val="center"/>
        </w:trPr>
        <w:tc>
          <w:tcPr>
            <w:tcW w:w="0" w:type="auto"/>
            <w:shd w:val="clear" w:color="auto" w:fill="F2F2F2"/>
            <w:vAlign w:val="center"/>
          </w:tcPr>
          <w:p w:rsidR="008F18AA" w:rsidRDefault="008F18AA" w:rsidP="009B1455">
            <w:pPr>
              <w:jc w:val="center"/>
              <w:rPr>
                <w:sz w:val="18"/>
                <w:szCs w:val="18"/>
              </w:rPr>
            </w:pPr>
            <w:r>
              <w:rPr>
                <w:sz w:val="18"/>
                <w:szCs w:val="18"/>
              </w:rPr>
              <w:t>Availability</w:t>
            </w:r>
          </w:p>
        </w:tc>
        <w:tc>
          <w:tcPr>
            <w:tcW w:w="0" w:type="auto"/>
            <w:shd w:val="clear" w:color="auto" w:fill="auto"/>
            <w:vAlign w:val="center"/>
          </w:tcPr>
          <w:p w:rsidR="008F18AA" w:rsidRDefault="008F18AA" w:rsidP="009B1455">
            <w:pPr>
              <w:jc w:val="center"/>
              <w:rPr>
                <w:sz w:val="18"/>
                <w:szCs w:val="18"/>
              </w:rPr>
            </w:pPr>
            <w:r>
              <w:rPr>
                <w:sz w:val="18"/>
                <w:szCs w:val="18"/>
              </w:rPr>
              <w:t>94.50 %</w:t>
            </w:r>
          </w:p>
        </w:tc>
        <w:tc>
          <w:tcPr>
            <w:tcW w:w="0" w:type="auto"/>
            <w:shd w:val="clear" w:color="auto" w:fill="auto"/>
            <w:vAlign w:val="center"/>
          </w:tcPr>
          <w:p w:rsidR="008F18AA" w:rsidRDefault="008F18AA" w:rsidP="009B1455">
            <w:pPr>
              <w:jc w:val="center"/>
              <w:rPr>
                <w:sz w:val="18"/>
                <w:szCs w:val="18"/>
              </w:rPr>
            </w:pPr>
            <w:r>
              <w:rPr>
                <w:sz w:val="18"/>
                <w:szCs w:val="18"/>
              </w:rPr>
              <w:t>-</w:t>
            </w:r>
          </w:p>
        </w:tc>
      </w:tr>
    </w:tbl>
    <w:p w:rsidR="008F18AA" w:rsidRDefault="008F18AA" w:rsidP="008F18AA"/>
    <w:p w:rsidR="008F18AA" w:rsidRDefault="008F18AA" w:rsidP="008F18AA">
      <w:r>
        <w:lastRenderedPageBreak/>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rsidR="008F18AA" w:rsidRDefault="008F18AA" w:rsidP="008F18AA">
      <w:r w:rsidRPr="005B3B66">
        <w:t>Availability of a service (or a site, depending on the level of aggregation) represents the percentage of time that the services (or sites) were up and running ([uptime / total time]</w:t>
      </w:r>
      <w:r>
        <w:t xml:space="preserve"> * </w:t>
      </w:r>
      <w:r w:rsidRPr="005B3B66">
        <w:t>100), while Reliability is the percentage of time that the services (or sites) were supposed to be up and running, excluding scheduled downtime for maintenance and other purposes ([uptime / (total time – scheduled time)]</w:t>
      </w:r>
      <w:r>
        <w:t xml:space="preserve"> * </w:t>
      </w:r>
      <w:r w:rsidRPr="005B3B66">
        <w:t>100)</w:t>
      </w:r>
      <w:r w:rsidRPr="00C60359">
        <w:t xml:space="preserve"> [</w:t>
      </w:r>
      <w:r>
        <w:t>AVL</w:t>
      </w:r>
      <w:r w:rsidRPr="005B3B66">
        <w:t>].</w:t>
      </w:r>
      <w:r w:rsidRPr="00C60359">
        <w:t xml:space="preserve"> </w:t>
      </w:r>
    </w:p>
    <w:p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EGI-InSPIRE)</w:t>
      </w:r>
      <w:r w:rsidR="002878C1">
        <w:t xml:space="preserve">. </w:t>
      </w:r>
    </w:p>
    <w:p w:rsidR="008F18AA" w:rsidRDefault="002878C1" w:rsidP="008F18AA">
      <w:r>
        <w:t>Performance</w:t>
      </w:r>
      <w:r w:rsidR="008F18AA">
        <w:t xml:space="preserve"> exceed the PY2 Reliability target (91%) – see </w:t>
      </w:r>
      <w:r w:rsidR="008F18AA">
        <w:fldChar w:fldCharType="begin"/>
      </w:r>
      <w:r w:rsidR="008F18AA">
        <w:instrText xml:space="preserve"> REF _Ref323339315 \h </w:instrText>
      </w:r>
      <w:r w:rsidR="008F18AA">
        <w:fldChar w:fldCharType="separate"/>
      </w:r>
      <w:r w:rsidR="00AB3A0F">
        <w:t xml:space="preserve">Table </w:t>
      </w:r>
      <w:r w:rsidR="00AB3A0F">
        <w:rPr>
          <w:noProof/>
        </w:rPr>
        <w:t>9</w:t>
      </w:r>
      <w:r w:rsidR="008F18AA">
        <w:fldChar w:fldCharType="end"/>
      </w:r>
      <w:r w:rsidR="008F18AA">
        <w:t xml:space="preserve">. Even if performance of Resource Centres is gradually increasing as illustrated in </w:t>
      </w:r>
      <w:r w:rsidR="008F18AA">
        <w:fldChar w:fldCharType="begin"/>
      </w:r>
      <w:r w:rsidR="008F18AA">
        <w:instrText xml:space="preserve"> REF _Ref322130819 \h </w:instrText>
      </w:r>
      <w:r w:rsidR="008F18AA">
        <w:fldChar w:fldCharType="separate"/>
      </w:r>
      <w:r w:rsidR="00AB3A0F">
        <w:t xml:space="preserve">Figure </w:t>
      </w:r>
      <w:r w:rsidR="00AB3A0F">
        <w:rPr>
          <w:noProof/>
        </w:rPr>
        <w:t>16</w:t>
      </w:r>
      <w:r w:rsidR="008F18AA">
        <w:fldChar w:fldCharType="end"/>
      </w:r>
      <w:r w:rsidR="008F18AA">
        <w:t xml:space="preserve">, availability and reliability still reflect the on-going increasing maturity of the overall infrastructure and can be adversely affected by changes (e.g. upgrades in software, new Operations Centres coming into business, new production sites being certified). </w:t>
      </w:r>
    </w:p>
    <w:p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kicked off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AB3A0F">
        <w:t xml:space="preserve">Figure </w:t>
      </w:r>
      <w:r w:rsidR="00AB3A0F">
        <w:rPr>
          <w:noProof/>
        </w:rPr>
        <w:t>16</w:t>
      </w:r>
      <w:r>
        <w:fldChar w:fldCharType="end"/>
      </w:r>
      <w:r>
        <w:t xml:space="preserve">, which plots the average quarterly availability and reliability of RCs from May 2010. For example, the deep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rsidR="008F18AA" w:rsidRDefault="00043028" w:rsidP="008F18AA">
      <w:r>
        <w:rPr>
          <w:noProof/>
          <w:lang w:eastAsia="en-GB"/>
        </w:rPr>
        <w:lastRenderedPageBreak/>
        <w:drawing>
          <wp:inline distT="0" distB="0" distL="0" distR="0" wp14:anchorId="733D4697" wp14:editId="10CA0146">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rsidR="008F18AA" w:rsidRDefault="008F18AA" w:rsidP="005B3B66">
      <w:pPr>
        <w:pStyle w:val="Caption"/>
        <w:jc w:val="center"/>
      </w:pPr>
      <w:bookmarkStart w:id="71" w:name="_Ref322130819"/>
      <w:bookmarkStart w:id="72" w:name="_Toc324172834"/>
      <w:proofErr w:type="gramStart"/>
      <w:r>
        <w:t xml:space="preserve">Figure </w:t>
      </w:r>
      <w:r>
        <w:fldChar w:fldCharType="begin"/>
      </w:r>
      <w:r>
        <w:instrText xml:space="preserve"> SEQ Figure \* ARABIC </w:instrText>
      </w:r>
      <w:r>
        <w:fldChar w:fldCharType="separate"/>
      </w:r>
      <w:r w:rsidR="00AB3A0F">
        <w:rPr>
          <w:noProof/>
        </w:rPr>
        <w:t>16</w:t>
      </w:r>
      <w:r>
        <w:fldChar w:fldCharType="end"/>
      </w:r>
      <w:bookmarkEnd w:id="71"/>
      <w:r>
        <w:t>.</w:t>
      </w:r>
      <w:proofErr w:type="gramEnd"/>
      <w:r>
        <w:t xml:space="preserve"> Quarterly availability and reliability of resource centres averaged across EGI from May 2010 to end of PQ7.</w:t>
      </w:r>
      <w:bookmarkEnd w:id="72"/>
    </w:p>
    <w:p w:rsidR="008F18AA" w:rsidRPr="00C60359" w:rsidRDefault="008F18AA" w:rsidP="005B3B66">
      <w:r>
        <w:t>A new profile used for measurement of RC availability and reliability was adopted started on 01 January 2012 after an impact assessment conducted for two months at the end of 2011. The new profile name is ROC_CRITICAL</w:t>
      </w:r>
      <w:r>
        <w:rPr>
          <w:rStyle w:val="FootnoteReference"/>
        </w:rPr>
        <w:footnoteReference w:id="14"/>
      </w:r>
      <w:r>
        <w:t xml:space="preserve"> and it replaced the previous profile </w:t>
      </w:r>
      <w:r w:rsidRPr="00FB1369">
        <w:t>WLCG_CREAM_LCGCE_CRITICAL</w:t>
      </w:r>
      <w:r>
        <w:rPr>
          <w:rStyle w:val="FootnoteReference"/>
        </w:rPr>
        <w:footnoteReference w:id="15"/>
      </w:r>
      <w:r>
        <w:t>. Reasons for updating the profile were the need to include more monitoring probes (e.g. for site-BDII services), and to decouple of the OPS VO profile used by EGI from the one used by WLCG.</w:t>
      </w:r>
    </w:p>
    <w:p w:rsidR="008F18AA" w:rsidRDefault="008F18AA" w:rsidP="008F18AA">
      <w:pPr>
        <w:pStyle w:val="Heading2"/>
      </w:pPr>
      <w:bookmarkStart w:id="73" w:name="_Toc324172751"/>
      <w:r>
        <w:t>RP Performance</w:t>
      </w:r>
      <w:bookmarkEnd w:id="73"/>
    </w:p>
    <w:p w:rsidR="008F18AA" w:rsidRDefault="008F18AA" w:rsidP="008F18AA">
      <w:r>
        <w:t>User experience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to access distributed resources.</w:t>
      </w:r>
    </w:p>
    <w:p w:rsidR="008F18AA" w:rsidRPr="008D0693" w:rsidRDefault="008F18AA" w:rsidP="008F18AA">
      <w:r>
        <w:t xml:space="preserve">RP performance is reported monthly. Purpose of this reporting is to check the availability and reliability of core services operated by NGIs and EIROs, which is typically highly critical as these services provide access to RC services, and are often shared across multiple user communities. In </w:t>
      </w:r>
      <w:r>
        <w:lastRenderedPageBreak/>
        <w:t>order to enhance robustness and performance, these services are frequently constituted of distributed physical instances deployed across multiple RCs. In this case, performance results from the compounded availability of the service physical instances.</w:t>
      </w:r>
    </w:p>
    <w:p w:rsidR="008F18AA" w:rsidRDefault="008F18AA" w:rsidP="008F18AA">
      <w:pPr>
        <w:pStyle w:val="Heading3"/>
      </w:pPr>
      <w:bookmarkStart w:id="74" w:name="_Toc324172752"/>
      <w:r>
        <w:t>Availability and Reliability</w:t>
      </w:r>
      <w:bookmarkEnd w:id="74"/>
    </w:p>
    <w:p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rsidR="008F18AA" w:rsidRDefault="008F18AA" w:rsidP="008F18AA">
      <w:r>
        <w:t xml:space="preserve">As shown in </w:t>
      </w:r>
      <w:r>
        <w:fldChar w:fldCharType="begin"/>
      </w:r>
      <w:r>
        <w:instrText xml:space="preserve"> REF _Ref322131053 \h </w:instrText>
      </w:r>
      <w:r>
        <w:fldChar w:fldCharType="separate"/>
      </w:r>
      <w:r w:rsidR="00AB3A0F">
        <w:t xml:space="preserve">Figure </w:t>
      </w:r>
      <w:r w:rsidR="00AB3A0F">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while reference period.</w:t>
      </w:r>
    </w:p>
    <w:p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short term objective of this action is to further enhance the performance offered to end-users.</w:t>
      </w:r>
    </w:p>
    <w:p w:rsidR="008F18AA" w:rsidRDefault="00043028" w:rsidP="008F18AA">
      <w:pPr>
        <w:jc w:val="center"/>
      </w:pPr>
      <w:r>
        <w:rPr>
          <w:noProof/>
          <w:lang w:eastAsia="en-GB"/>
        </w:rPr>
        <w:drawing>
          <wp:inline distT="0" distB="0" distL="0" distR="0" wp14:anchorId="6441FF8F" wp14:editId="52F60A42">
            <wp:extent cx="4498975" cy="3214370"/>
            <wp:effectExtent l="0" t="0" r="15875" b="24130"/>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F18AA" w:rsidRDefault="008F18AA" w:rsidP="008F18AA">
      <w:pPr>
        <w:pStyle w:val="Caption"/>
        <w:jc w:val="center"/>
      </w:pPr>
      <w:bookmarkStart w:id="75" w:name="_Ref322131053"/>
      <w:bookmarkStart w:id="76" w:name="_Toc324172835"/>
      <w:proofErr w:type="gramStart"/>
      <w:r>
        <w:t xml:space="preserve">Figure </w:t>
      </w:r>
      <w:r>
        <w:fldChar w:fldCharType="begin"/>
      </w:r>
      <w:r>
        <w:instrText xml:space="preserve"> SEQ Figure \* ARABIC </w:instrText>
      </w:r>
      <w:r>
        <w:fldChar w:fldCharType="separate"/>
      </w:r>
      <w:r w:rsidR="00AB3A0F">
        <w:rPr>
          <w:noProof/>
        </w:rPr>
        <w:t>17</w:t>
      </w:r>
      <w:r>
        <w:fldChar w:fldCharType="end"/>
      </w:r>
      <w:bookmarkEnd w:id="75"/>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76"/>
    </w:p>
    <w:p w:rsidR="008F18AA" w:rsidRDefault="008F18AA" w:rsidP="005B3B66">
      <w:r>
        <w:t>In order to consolidate the information discovery service various actions were undertaken:</w:t>
      </w:r>
    </w:p>
    <w:p w:rsidR="008F18AA" w:rsidRDefault="008F18AA" w:rsidP="00F65D34">
      <w:pPr>
        <w:numPr>
          <w:ilvl w:val="0"/>
          <w:numId w:val="8"/>
        </w:numPr>
      </w:pPr>
      <w:r>
        <w:t>In collaboration with the Distributed Middleware Support Unit, Various techniques for the configuration of top-BDII in failover mode were documented in manual [MAN05].</w:t>
      </w:r>
    </w:p>
    <w:p w:rsidR="008F18AA" w:rsidRDefault="008F18AA" w:rsidP="00F65D34">
      <w:pPr>
        <w:numPr>
          <w:ilvl w:val="0"/>
          <w:numId w:val="8"/>
        </w:numPr>
      </w:pPr>
      <w:r>
        <w:t>The list of authoritative top-BDIIs was collected and their configuration was assessed.</w:t>
      </w:r>
    </w:p>
    <w:p w:rsidR="008F18AA" w:rsidRPr="00C60359" w:rsidRDefault="008F18AA" w:rsidP="00F65D34">
      <w:pPr>
        <w:numPr>
          <w:ilvl w:val="0"/>
          <w:numId w:val="8"/>
        </w:numPr>
      </w:pPr>
      <w:r>
        <w:lastRenderedPageBreak/>
        <w:t xml:space="preserve">The list RCs making use of the CERN top-BDII as primary instance was collected and the NGIs were requested to support the administrators change configurations, so that the correct authoritative instance is used instead.    </w:t>
      </w:r>
    </w:p>
    <w:p w:rsidR="008F18AA" w:rsidRDefault="008F18AA" w:rsidP="008F18AA">
      <w:pPr>
        <w:pStyle w:val="Heading3"/>
      </w:pPr>
      <w:bookmarkStart w:id="77" w:name="_Toc324172753"/>
      <w:r>
        <w:t>ROD Performance Index</w:t>
      </w:r>
      <w:bookmarkEnd w:id="77"/>
    </w:p>
    <w:p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rsidR="008F18AA" w:rsidRPr="00A9017F" w:rsidRDefault="008F18AA" w:rsidP="00A9017F">
      <w:r w:rsidRPr="00A9017F">
        <w:rPr>
          <w:bCs/>
          <w:lang w:eastAsia="en-GB"/>
        </w:rPr>
        <w:t>The ROD performance index</w:t>
      </w:r>
      <w:r w:rsidRPr="00A9017F">
        <w:rPr>
          <w:rStyle w:val="FootnoteReference"/>
          <w:bCs/>
          <w:szCs w:val="22"/>
          <w:lang w:eastAsia="en-GB"/>
        </w:rPr>
        <w:footnoteReference w:id="16"/>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rsidR="008F18AA" w:rsidRDefault="008F18AA" w:rsidP="008F18AA">
      <w:r>
        <w:t xml:space="preserve">The chart in </w:t>
      </w:r>
      <w:r>
        <w:fldChar w:fldCharType="begin"/>
      </w:r>
      <w:r>
        <w:instrText xml:space="preserve"> REF _Ref322710513 \h </w:instrText>
      </w:r>
      <w:r>
        <w:fldChar w:fldCharType="separate"/>
      </w:r>
      <w:r w:rsidR="00AB3A0F">
        <w:t xml:space="preserve">Figure </w:t>
      </w:r>
      <w:r w:rsidR="00AB3A0F">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rsidR="008F18AA" w:rsidRDefault="008F18AA" w:rsidP="008F18AA">
      <w:r>
        <w:t xml:space="preserve">The chart in </w:t>
      </w:r>
      <w:r>
        <w:fldChar w:fldCharType="begin"/>
      </w:r>
      <w:r>
        <w:instrText xml:space="preserve"> REF _Ref322710620 \h </w:instrText>
      </w:r>
      <w:r>
        <w:fldChar w:fldCharType="separate"/>
      </w:r>
      <w:r w:rsidR="00AB3A0F">
        <w:t xml:space="preserve">Figure </w:t>
      </w:r>
      <w:r w:rsidR="00AB3A0F">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rsidR="008F18AA" w:rsidRDefault="008F18AA" w:rsidP="008F18AA">
      <w:r>
        <w:t>The average quality performance of the ROD teams was consistently above 90% in the last three quarters.</w:t>
      </w:r>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lastRenderedPageBreak/>
        <w:drawing>
          <wp:inline distT="0" distB="0" distL="0" distR="0" wp14:anchorId="31B709D5" wp14:editId="56010160">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rsidR="008F18AA" w:rsidRDefault="008F18AA" w:rsidP="008F18AA">
      <w:pPr>
        <w:pStyle w:val="Caption"/>
        <w:jc w:val="center"/>
      </w:pPr>
      <w:bookmarkStart w:id="78" w:name="_Ref322710513"/>
      <w:bookmarkStart w:id="79" w:name="_Toc324172836"/>
      <w:proofErr w:type="gramStart"/>
      <w:r>
        <w:t xml:space="preserve">Figure </w:t>
      </w:r>
      <w:r>
        <w:fldChar w:fldCharType="begin"/>
      </w:r>
      <w:r>
        <w:instrText xml:space="preserve"> SEQ Figure \* ARABIC </w:instrText>
      </w:r>
      <w:r>
        <w:fldChar w:fldCharType="separate"/>
      </w:r>
      <w:r w:rsidR="00AB3A0F">
        <w:rPr>
          <w:noProof/>
        </w:rPr>
        <w:t>18</w:t>
      </w:r>
      <w:r>
        <w:fldChar w:fldCharType="end"/>
      </w:r>
      <w:bookmarkEnd w:id="78"/>
      <w:r>
        <w:t>.</w:t>
      </w:r>
      <w:proofErr w:type="gramEnd"/>
      <w:r>
        <w:t xml:space="preserve"> </w:t>
      </w:r>
      <w:proofErr w:type="gramStart"/>
      <w:r w:rsidRPr="00C376E8">
        <w:t>ROD average monthly workload</w:t>
      </w:r>
      <w:r>
        <w:t xml:space="preserve"> (from PQ5 to PQ7).</w:t>
      </w:r>
      <w:bookmarkEnd w:id="79"/>
      <w:proofErr w:type="gramEnd"/>
    </w:p>
    <w:p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eastAsia="en-GB"/>
        </w:rPr>
        <w:drawing>
          <wp:inline distT="0" distB="0" distL="0" distR="0" wp14:anchorId="7F9EA746" wp14:editId="04841BC0">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rsidR="008F18AA" w:rsidRPr="00C376E8" w:rsidRDefault="008F18AA" w:rsidP="008F18AA">
      <w:pPr>
        <w:pStyle w:val="Caption"/>
        <w:jc w:val="center"/>
      </w:pPr>
      <w:bookmarkStart w:id="80" w:name="_Ref322710620"/>
      <w:bookmarkStart w:id="81" w:name="_Toc324172837"/>
      <w:proofErr w:type="gramStart"/>
      <w:r>
        <w:t xml:space="preserve">Figure </w:t>
      </w:r>
      <w:r>
        <w:fldChar w:fldCharType="begin"/>
      </w:r>
      <w:r>
        <w:instrText xml:space="preserve"> SEQ Figure \* ARABIC </w:instrText>
      </w:r>
      <w:r>
        <w:fldChar w:fldCharType="separate"/>
      </w:r>
      <w:r w:rsidR="00AB3A0F">
        <w:rPr>
          <w:noProof/>
        </w:rPr>
        <w:t>19</w:t>
      </w:r>
      <w:r>
        <w:fldChar w:fldCharType="end"/>
      </w:r>
      <w:bookmarkEnd w:id="80"/>
      <w:r>
        <w:t>.</w:t>
      </w:r>
      <w:proofErr w:type="gramEnd"/>
      <w:r>
        <w:t xml:space="preserve"> </w:t>
      </w:r>
      <w:proofErr w:type="gramStart"/>
      <w:r w:rsidRPr="00C376E8">
        <w:t>ROD quality metric (monthly average</w:t>
      </w:r>
      <w:r>
        <w:t xml:space="preserve"> from PQ5 to PQ7).</w:t>
      </w:r>
      <w:bookmarkEnd w:id="81"/>
      <w:proofErr w:type="gramEnd"/>
    </w:p>
    <w:p w:rsidR="008F18AA" w:rsidRDefault="008F18AA" w:rsidP="008F18AA">
      <w:pPr>
        <w:pStyle w:val="Heading2"/>
      </w:pPr>
      <w:bookmarkStart w:id="82" w:name="_Toc324172754"/>
      <w:r>
        <w:lastRenderedPageBreak/>
        <w:t>NGI Support Actions</w:t>
      </w:r>
      <w:bookmarkEnd w:id="82"/>
    </w:p>
    <w:p w:rsidR="008F18AA" w:rsidRDefault="008F18AA" w:rsidP="008F18AA">
      <w:r>
        <w:t>As shown in the previous sections, several NGIs suffered from low availability. A support action was delivered in collaboration with the Greek JRU to help the identified NGIs to solve the technical issues faced in running RP core services (including the NGI SAM service) and the RC services.</w:t>
      </w:r>
    </w:p>
    <w:p w:rsidR="008F18AA" w:rsidRDefault="008F18AA" w:rsidP="00F65D34">
      <w:pPr>
        <w:numPr>
          <w:ilvl w:val="0"/>
          <w:numId w:val="9"/>
        </w:numPr>
      </w:pPr>
      <w:r>
        <w:t>Albania: this NGI is still not contributing resources to EGI. The Greek JRU was requested to provide support in bootstrapping the operations centre and one RC, however, the issue was then identified to be related to lack of local staff. This problem is still open.</w:t>
      </w:r>
    </w:p>
    <w:p w:rsidR="008F18AA" w:rsidRDefault="008F18AA" w:rsidP="00F65D34">
      <w:pPr>
        <w:numPr>
          <w:ilvl w:val="0"/>
          <w:numId w:val="9"/>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comprehends three production sites, whose performance stabilized in March, and one production site still affected by extremely low performance, which is now back to uncertified status.</w:t>
      </w:r>
    </w:p>
    <w:p w:rsidR="008F18AA" w:rsidRDefault="008F18AA" w:rsidP="00F65D34">
      <w:pPr>
        <w:numPr>
          <w:ilvl w:val="0"/>
          <w:numId w:val="9"/>
        </w:numPr>
      </w:pPr>
      <w:r>
        <w:t xml:space="preserve">Bulgaria: an increasing large fraction of sites has been periodically affected by sporadic low performance. The reason for this is being investigated. </w:t>
      </w:r>
    </w:p>
    <w:p w:rsidR="008F18AA" w:rsidRDefault="008F18AA" w:rsidP="00F65D34">
      <w:pPr>
        <w:numPr>
          <w:ilvl w:val="0"/>
          <w:numId w:val="9"/>
        </w:numPr>
      </w:pPr>
      <w:r>
        <w:t xml:space="preserve">FYR of Macedonia: the infrastructure currently comprehends three sites. Two of these were severely underperforming during PQ7 and PQ8. Problems were reported to be due to staff turnover and changes in the hosting infrastructure, new resources are being procured and integrated. </w:t>
      </w:r>
    </w:p>
    <w:p w:rsidR="008F18AA" w:rsidRDefault="008F18AA" w:rsidP="00F65D34">
      <w:pPr>
        <w:numPr>
          <w:ilvl w:val="0"/>
          <w:numId w:val="9"/>
        </w:numPr>
      </w:pPr>
      <w:r>
        <w:t>Moldova: the first production site was certified in March 2012. The operations manager of Moldova was funded by EGI.eu to participate to the Community Forum 2012.</w:t>
      </w:r>
    </w:p>
    <w:p w:rsidR="008F18AA" w:rsidRDefault="008F18AA" w:rsidP="00F65D34">
      <w:pPr>
        <w:numPr>
          <w:ilvl w:val="0"/>
          <w:numId w:val="9"/>
        </w:numPr>
      </w:pPr>
      <w:r>
        <w:t>Montenegro was affected by low availability during PQ7 due to top-BDII hardware problems. The service was replaced and since then, performance has stabilized during PQ8.</w:t>
      </w:r>
    </w:p>
    <w:p w:rsidR="008F18AA" w:rsidRDefault="008F18AA" w:rsidP="00F65D34">
      <w:pPr>
        <w:numPr>
          <w:ilvl w:val="0"/>
          <w:numId w:val="9"/>
        </w:numPr>
      </w:pPr>
      <w:r>
        <w:t>The operations manager of Romania was funded by EGI.eu to participate to the Community Forum 2012.</w:t>
      </w:r>
    </w:p>
    <w:p w:rsidR="008F18AA" w:rsidRDefault="008F18AA" w:rsidP="008F18AA">
      <w:r>
        <w:t xml:space="preserve">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programme for site administrators is being planned in collaboration with EMI,     </w:t>
      </w:r>
      <w:r>
        <w:tab/>
      </w:r>
    </w:p>
    <w:p w:rsidR="008F18AA" w:rsidRPr="00E9029F" w:rsidRDefault="008F18AA" w:rsidP="008F18AA"/>
    <w:p w:rsidR="008633B1" w:rsidRDefault="008633B1" w:rsidP="00526608">
      <w:pPr>
        <w:pStyle w:val="Heading1"/>
      </w:pPr>
      <w:bookmarkStart w:id="83" w:name="_Ref324141041"/>
      <w:bookmarkStart w:id="84" w:name="_Toc324172755"/>
      <w:r>
        <w:lastRenderedPageBreak/>
        <w:t>VO Services</w:t>
      </w:r>
      <w:bookmarkEnd w:id="83"/>
      <w:bookmarkEnd w:id="84"/>
    </w:p>
    <w:p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EGI-InSPIRE as part of NA3 and now migrated to SA1 – aim </w:t>
      </w:r>
      <w:r>
        <w:t>at</w:t>
      </w:r>
      <w:r>
        <w:rPr>
          <w:rFonts w:eastAsia="Calibri"/>
        </w:rPr>
        <w:t xml:space="preserve"> </w:t>
      </w:r>
      <w:r>
        <w:t>supporting</w:t>
      </w:r>
      <w:r>
        <w:rPr>
          <w:rFonts w:eastAsia="Calibri"/>
        </w:rPr>
        <w:t xml:space="preserve"> </w:t>
      </w:r>
      <w:proofErr w:type="spellStart"/>
      <w:r>
        <w:t>V</w:t>
      </w:r>
      <w:r w:rsidR="005D53DD">
        <w:t>o</w:t>
      </w:r>
      <w:r>
        <w:t>s</w:t>
      </w:r>
      <w:proofErr w:type="spellEnd"/>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 xml:space="preserve">need. </w:t>
      </w:r>
    </w:p>
    <w:p w:rsidR="00BA2FB8" w:rsidRDefault="00BA2FB8" w:rsidP="00BA2FB8">
      <w:pPr>
        <w:rPr>
          <w:rFonts w:eastAsia="Calibri"/>
        </w:rPr>
      </w:pPr>
      <w:r>
        <w:t>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 NGIs are responsible for supporting and operating the developed VO services, and of contributing to the maintenance of the existing documentation base.</w:t>
      </w:r>
    </w:p>
    <w:p w:rsidR="00BA2FB8" w:rsidRDefault="00BA2FB8" w:rsidP="00BA2FB8">
      <w:pPr>
        <w:rPr>
          <w:rFonts w:eastAsia="Calibri"/>
        </w:rPr>
      </w:pPr>
      <w:r>
        <w:rPr>
          <w:rFonts w:eastAsia="Calibri"/>
        </w:rPr>
        <w:t>EGI operations are responsible for:</w:t>
      </w:r>
    </w:p>
    <w:p w:rsidR="00BE6B1D" w:rsidRDefault="00BA2FB8" w:rsidP="00F65D34">
      <w:pPr>
        <w:numPr>
          <w:ilvl w:val="0"/>
          <w:numId w:val="11"/>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rsidR="00AF69ED" w:rsidRDefault="00BE6B1D" w:rsidP="00F65D34">
      <w:pPr>
        <w:numPr>
          <w:ilvl w:val="0"/>
          <w:numId w:val="11"/>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7"/>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rsidR="00696684" w:rsidRDefault="00AF69ED" w:rsidP="00F65D34">
      <w:pPr>
        <w:numPr>
          <w:ilvl w:val="0"/>
          <w:numId w:val="11"/>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rsidR="004266E2" w:rsidRDefault="00696684" w:rsidP="00F65D34">
      <w:pPr>
        <w:numPr>
          <w:ilvl w:val="0"/>
          <w:numId w:val="11"/>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rsidR="00BA2FB8" w:rsidRPr="00A9017F" w:rsidRDefault="004266E2" w:rsidP="00F65D34">
      <w:pPr>
        <w:numPr>
          <w:ilvl w:val="0"/>
          <w:numId w:val="11"/>
        </w:numPr>
        <w:rPr>
          <w:rFonts w:eastAsia="Calibri"/>
        </w:rPr>
      </w:pPr>
      <w:r>
        <w:rPr>
          <w:rFonts w:eastAsia="Calibri"/>
        </w:rPr>
        <w:t xml:space="preserve">Contributing and enhancing documentation [DOC] </w:t>
      </w:r>
      <w:r w:rsidR="00BA2FB8" w:rsidRPr="004266E2">
        <w:rPr>
          <w:rFonts w:eastAsia="Calibri"/>
        </w:rPr>
        <w:t>regarding VO activities and tools.</w:t>
      </w:r>
    </w:p>
    <w:p w:rsidR="00BA2FB8" w:rsidRDefault="00BA2FB8" w:rsidP="004266E2">
      <w:pPr>
        <w:pStyle w:val="Heading2"/>
        <w:rPr>
          <w:rFonts w:eastAsia="Calibri"/>
        </w:rPr>
      </w:pPr>
      <w:bookmarkStart w:id="85" w:name="_Toc324172756"/>
      <w:r>
        <w:rPr>
          <w:rFonts w:eastAsia="Calibri"/>
        </w:rPr>
        <w:t>Status</w:t>
      </w:r>
      <w:bookmarkEnd w:id="85"/>
    </w:p>
    <w:p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EGI-InSPIRE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t>higher</w:t>
      </w:r>
      <w:r>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18"/>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Pr>
          <w:rFonts w:eastAsia="Calibri"/>
        </w:rPr>
        <w:t xml:space="preserve"> IBERGRID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w:t>
      </w:r>
      <w:proofErr w:type="gramStart"/>
      <w:r w:rsidR="00BA2FB8">
        <w:t xml:space="preserve">it </w:t>
      </w:r>
      <w:r w:rsidR="00BA2FB8">
        <w:rPr>
          <w:rFonts w:eastAsia="Calibri"/>
        </w:rPr>
        <w:t xml:space="preserve"> </w:t>
      </w:r>
      <w:r w:rsidR="00BA2FB8">
        <w:t>extensively</w:t>
      </w:r>
      <w:proofErr w:type="gramEnd"/>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71B5E">
        <w:rPr>
          <w:rFonts w:eastAsia="Calibri"/>
        </w:rPr>
        <w:t>in prototype phase, it is being tested</w:t>
      </w:r>
      <w:r>
        <w:t>.</w:t>
      </w:r>
    </w:p>
    <w:p w:rsidR="00BA2FB8" w:rsidRDefault="00BA2FB8" w:rsidP="00DD29D9">
      <w:pPr>
        <w:pStyle w:val="Heading2"/>
        <w:rPr>
          <w:rFonts w:eastAsia="Calibri"/>
        </w:rPr>
      </w:pPr>
      <w:bookmarkStart w:id="86" w:name="_Toc324172757"/>
      <w:r>
        <w:rPr>
          <w:rFonts w:eastAsia="Calibri"/>
        </w:rPr>
        <w:t>U</w:t>
      </w:r>
      <w:r w:rsidR="00DD29D9">
        <w:rPr>
          <w:rFonts w:eastAsia="Calibri"/>
        </w:rPr>
        <w:t>tilization</w:t>
      </w:r>
      <w:bookmarkEnd w:id="86"/>
    </w:p>
    <w:p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operating in EGI infrastructure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suggesting the registration of the services in GOCDB so that one could assess the relevance and importance of the service inside user communities.</w:t>
      </w:r>
    </w:p>
    <w:p w:rsidR="00BA2FB8" w:rsidRDefault="00BA2FB8" w:rsidP="00BA2FB8">
      <w:pPr>
        <w:rPr>
          <w:rFonts w:eastAsia="Calibri"/>
        </w:rPr>
      </w:pPr>
      <w:r>
        <w:rPr>
          <w:rFonts w:eastAsia="Calibri"/>
        </w:rPr>
        <w:t>VO Admin Dashboard: The tool</w:t>
      </w:r>
      <w:r w:rsidR="00835709">
        <w:rPr>
          <w:rFonts w:eastAsia="Calibri"/>
        </w:rPr>
        <w:t xml:space="preserve"> is operated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237 unique visitors, 1056 visits and 4601 page</w:t>
      </w:r>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VO Managers and Administrators)</w:t>
      </w:r>
      <w:proofErr w:type="gramStart"/>
      <w:r>
        <w:rPr>
          <w:rFonts w:eastAsia="Calibri"/>
        </w:rPr>
        <w:t>,</w:t>
      </w:r>
      <w:proofErr w:type="gramEnd"/>
      <w:r>
        <w:rPr>
          <w:rFonts w:eastAsia="Calibri"/>
        </w:rPr>
        <w:t xml:space="preserve"> we consider </w:t>
      </w:r>
      <w:r w:rsidR="00835709">
        <w:rPr>
          <w:rFonts w:eastAsia="Calibri"/>
        </w:rPr>
        <w:t>this result as very good,</w:t>
      </w:r>
      <w:r>
        <w:rPr>
          <w:rFonts w:eastAsia="Calibri"/>
        </w:rPr>
        <w:t xml:space="preserve"> meaning that the tool is being access by VO users </w:t>
      </w:r>
      <w:r w:rsidR="00835709">
        <w:rPr>
          <w:rFonts w:eastAsia="Calibri"/>
        </w:rPr>
        <w:t>as well</w:t>
      </w:r>
      <w:r>
        <w:rPr>
          <w:rFonts w:eastAsia="Calibri"/>
        </w:rPr>
        <w:t>. Moreover, the fact that the average visit du</w:t>
      </w:r>
      <w:r w:rsidR="00835709">
        <w:rPr>
          <w:rFonts w:eastAsia="Calibri"/>
        </w:rPr>
        <w:t>ration is of more than 4 h</w:t>
      </w:r>
      <w:r>
        <w:rPr>
          <w:rFonts w:eastAsia="Calibri"/>
        </w:rPr>
        <w:t xml:space="preserve"> and that 77.65% represents visitors that have returned, means that the tool is fulfilling its purpose, and it is really used on the VO daily work.</w:t>
      </w:r>
    </w:p>
    <w:p w:rsidR="00BA2FB8" w:rsidRDefault="00BA2FB8" w:rsidP="00BA2FB8">
      <w:pPr>
        <w:rPr>
          <w:rFonts w:eastAsia="Calibri"/>
        </w:rPr>
      </w:pPr>
      <w:proofErr w:type="spellStart"/>
      <w:r>
        <w:rPr>
          <w:rFonts w:eastAsia="Calibri"/>
        </w:rPr>
        <w:t>LFCBrowseSE</w:t>
      </w:r>
      <w:proofErr w:type="spellEnd"/>
      <w:r>
        <w:rPr>
          <w:rFonts w:eastAsia="Calibri"/>
        </w:rPr>
        <w:t xml:space="preserve"> was developed following a request from </w:t>
      </w:r>
      <w:r w:rsidR="00835709">
        <w:rPr>
          <w:rFonts w:eastAsia="Calibri"/>
        </w:rPr>
        <w:t>Life Science</w:t>
      </w:r>
      <w:r>
        <w:rPr>
          <w:rFonts w:eastAsia="Calibri"/>
        </w:rPr>
        <w:t xml:space="preserve"> VRC, and it extensively </w:t>
      </w:r>
      <w:r w:rsidR="00835709">
        <w:rPr>
          <w:rFonts w:eastAsia="Calibri"/>
        </w:rPr>
        <w:t>used by this</w:t>
      </w:r>
      <w:r>
        <w:rPr>
          <w:rFonts w:eastAsia="Calibri"/>
        </w:rPr>
        <w:t xml:space="preserve"> community for SE decommission purposes. It has a valuable potentia</w:t>
      </w:r>
      <w:r w:rsidR="00835709">
        <w:rPr>
          <w:rFonts w:eastAsia="Calibri"/>
        </w:rPr>
        <w:t>l to be used by other communities</w:t>
      </w:r>
      <w:r>
        <w:rPr>
          <w:rFonts w:eastAsia="Calibri"/>
        </w:rPr>
        <w:t>.</w:t>
      </w:r>
    </w:p>
    <w:p w:rsidR="00BA2FB8" w:rsidRDefault="00835709" w:rsidP="00BA2FB8">
      <w:pPr>
        <w:rPr>
          <w:rFonts w:eastAsia="Calibri"/>
        </w:rPr>
      </w:pPr>
      <w:r>
        <w:rPr>
          <w:rFonts w:eastAsia="Calibri"/>
        </w:rPr>
        <w:t xml:space="preserve">The </w:t>
      </w:r>
      <w:r w:rsidR="00BA2FB8">
        <w:rPr>
          <w:rFonts w:eastAsia="Calibri"/>
        </w:rPr>
        <w:t xml:space="preserve">VO Operations Portal is currently under test but already supports 4 </w:t>
      </w:r>
      <w:proofErr w:type="spellStart"/>
      <w:r w:rsidR="00BA2FB8">
        <w:rPr>
          <w:rFonts w:eastAsia="Calibri"/>
        </w:rPr>
        <w:t>V</w:t>
      </w:r>
      <w:r w:rsidR="005D53DD">
        <w:rPr>
          <w:rFonts w:eastAsia="Calibri"/>
        </w:rPr>
        <w:t>o</w:t>
      </w:r>
      <w:r w:rsidR="00BA2FB8">
        <w:rPr>
          <w:rFonts w:eastAsia="Calibri"/>
        </w:rPr>
        <w:t>s</w:t>
      </w:r>
      <w:proofErr w:type="spellEnd"/>
      <w:r w:rsidR="00BA2FB8">
        <w:rPr>
          <w:rFonts w:eastAsia="Calibri"/>
        </w:rPr>
        <w:t>: biomed, phys.vo.ibergrid.eu, prod.vo.eu-eela.eu and vo.plgrid.pl.</w:t>
      </w:r>
    </w:p>
    <w:p w:rsidR="00BA2FB8" w:rsidRPr="00BA2FB8" w:rsidRDefault="00BA2FB8" w:rsidP="00BA2FB8"/>
    <w:p w:rsidR="008633B1" w:rsidRDefault="008633B1" w:rsidP="00526608">
      <w:pPr>
        <w:pStyle w:val="Heading1"/>
      </w:pPr>
      <w:bookmarkStart w:id="87" w:name="_Ref324141045"/>
      <w:bookmarkStart w:id="88" w:name="_Toc324172758"/>
      <w:r>
        <w:lastRenderedPageBreak/>
        <w:t>Grid Services</w:t>
      </w:r>
      <w:bookmarkEnd w:id="87"/>
      <w:bookmarkEnd w:id="88"/>
    </w:p>
    <w:p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AB3A0F">
        <w:t xml:space="preserve">Table </w:t>
      </w:r>
      <w:r w:rsidR="00AB3A0F">
        <w:rPr>
          <w:noProof/>
        </w:rPr>
        <w:t>10</w:t>
      </w:r>
      <w:r>
        <w:fldChar w:fldCharType="end"/>
      </w:r>
      <w:r>
        <w:t xml:space="preserve">, the set of software platforms that </w:t>
      </w:r>
      <w:r w:rsidR="00170AB1">
        <w:t>are being</w:t>
      </w:r>
      <w:r>
        <w:t xml:space="preserve"> successfully integrated with EGI operations</w:t>
      </w:r>
      <w:r w:rsidR="00170AB1">
        <w:t>,</w:t>
      </w:r>
      <w:r>
        <w:t xml:space="preserve"> currently encompasses EMI software (ARC, dCache, gLite,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19"/>
      </w:r>
      <w:r>
        <w:t xml:space="preserve">, and Desktop Grid software </w:t>
      </w:r>
      <w:r w:rsidR="00170AB1">
        <w:t>released and supported by the EDGI project</w:t>
      </w:r>
      <w:r w:rsidR="00170AB1">
        <w:rPr>
          <w:rStyle w:val="FootnoteReference"/>
        </w:rPr>
        <w:footnoteReference w:id="20"/>
      </w:r>
      <w:r w:rsidR="00170AB1">
        <w:t>.</w:t>
      </w:r>
    </w:p>
    <w:p w:rsidR="00DE4F1B" w:rsidRPr="00FD70C0" w:rsidRDefault="00DE4F1B" w:rsidP="00FD70C0">
      <w:r>
        <w:t>The list of production end-point services and their type can be obtained programmatically from the GOCDB programmatic interface</w:t>
      </w:r>
      <w:r>
        <w:rPr>
          <w:rStyle w:val="FootnoteReference"/>
        </w:rPr>
        <w:footnoteReference w:id="21"/>
      </w:r>
      <w:r>
        <w:t>.</w:t>
      </w:r>
    </w:p>
    <w:p w:rsidR="00FC2C9B" w:rsidRDefault="00551236" w:rsidP="007401E3">
      <w:pPr>
        <w:pStyle w:val="Heading2"/>
      </w:pPr>
      <w:bookmarkStart w:id="89" w:name="_Toc324172759"/>
      <w:r>
        <w:t xml:space="preserve">Integrated </w:t>
      </w:r>
      <w:r w:rsidR="00FD70C0">
        <w:t>Software</w:t>
      </w:r>
      <w:r w:rsidR="00FC2C9B">
        <w:t xml:space="preserve"> Platforms</w:t>
      </w:r>
      <w:bookmarkEnd w:id="89"/>
    </w:p>
    <w:p w:rsidR="00FD70C0" w:rsidRPr="00FD70C0" w:rsidRDefault="00FD70C0" w:rsidP="00FD70C0">
      <w:pPr>
        <w:pStyle w:val="Caption"/>
        <w:jc w:val="center"/>
      </w:pPr>
      <w:bookmarkStart w:id="90" w:name="_Ref324117664"/>
      <w:proofErr w:type="gramStart"/>
      <w:r>
        <w:t xml:space="preserve">Table </w:t>
      </w:r>
      <w:r>
        <w:fldChar w:fldCharType="begin"/>
      </w:r>
      <w:r>
        <w:instrText xml:space="preserve"> SEQ Table \* ARABIC </w:instrText>
      </w:r>
      <w:r>
        <w:fldChar w:fldCharType="separate"/>
      </w:r>
      <w:r w:rsidR="00AB3A0F">
        <w:rPr>
          <w:noProof/>
        </w:rPr>
        <w:t>10</w:t>
      </w:r>
      <w:r>
        <w:fldChar w:fldCharType="end"/>
      </w:r>
      <w:bookmarkEnd w:id="90"/>
      <w:r>
        <w:t>.</w:t>
      </w:r>
      <w:proofErr w:type="gramEnd"/>
      <w:r>
        <w:t xml:space="preserve"> Deployment of integrated software platforms across EGI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5203"/>
      </w:tblGrid>
      <w:tr w:rsidR="0035365B" w:rsidTr="00E916DB">
        <w:tc>
          <w:tcPr>
            <w:tcW w:w="2518" w:type="dxa"/>
            <w:shd w:val="clear" w:color="auto" w:fill="auto"/>
          </w:tcPr>
          <w:p w:rsidR="0035365B" w:rsidRPr="00FD70C0" w:rsidRDefault="0035365B" w:rsidP="00FD70C0">
            <w:pPr>
              <w:jc w:val="center"/>
              <w:rPr>
                <w:b/>
              </w:rPr>
            </w:pPr>
            <w:r w:rsidRPr="00FD70C0">
              <w:rPr>
                <w:b/>
              </w:rPr>
              <w:t>Integrated Grid Platform</w:t>
            </w:r>
          </w:p>
        </w:tc>
        <w:tc>
          <w:tcPr>
            <w:tcW w:w="1559" w:type="dxa"/>
            <w:shd w:val="clear" w:color="auto" w:fill="auto"/>
          </w:tcPr>
          <w:p w:rsidR="0035365B" w:rsidRPr="00FD70C0" w:rsidRDefault="0035365B" w:rsidP="00FD70C0">
            <w:pPr>
              <w:jc w:val="center"/>
              <w:rPr>
                <w:b/>
              </w:rPr>
            </w:pPr>
            <w:r w:rsidRPr="00FD70C0">
              <w:rPr>
                <w:b/>
              </w:rPr>
              <w:t>Number of countries</w:t>
            </w:r>
          </w:p>
        </w:tc>
        <w:tc>
          <w:tcPr>
            <w:tcW w:w="5203" w:type="dxa"/>
            <w:shd w:val="clear" w:color="auto" w:fill="auto"/>
          </w:tcPr>
          <w:p w:rsidR="0035365B" w:rsidRPr="00FD70C0" w:rsidRDefault="0035365B" w:rsidP="00FD70C0">
            <w:pPr>
              <w:jc w:val="center"/>
              <w:rPr>
                <w:b/>
              </w:rPr>
            </w:pPr>
            <w:r w:rsidRPr="00FD70C0">
              <w:rPr>
                <w:b/>
              </w:rPr>
              <w:t>Countries</w:t>
            </w:r>
          </w:p>
        </w:tc>
      </w:tr>
      <w:tr w:rsidR="0035365B" w:rsidTr="00E916DB">
        <w:tc>
          <w:tcPr>
            <w:tcW w:w="2518" w:type="dxa"/>
            <w:shd w:val="clear" w:color="auto" w:fill="auto"/>
          </w:tcPr>
          <w:p w:rsidR="0035365B" w:rsidRDefault="0035365B" w:rsidP="00FD70C0">
            <w:pPr>
              <w:jc w:val="center"/>
            </w:pPr>
            <w:r>
              <w:t>ARC</w:t>
            </w:r>
          </w:p>
        </w:tc>
        <w:tc>
          <w:tcPr>
            <w:tcW w:w="1559" w:type="dxa"/>
            <w:shd w:val="clear" w:color="auto" w:fill="auto"/>
          </w:tcPr>
          <w:p w:rsidR="0035365B" w:rsidRDefault="0035365B" w:rsidP="00FD70C0">
            <w:pPr>
              <w:jc w:val="center"/>
            </w:pPr>
            <w:r>
              <w:t>8</w:t>
            </w:r>
          </w:p>
        </w:tc>
        <w:tc>
          <w:tcPr>
            <w:tcW w:w="5203" w:type="dxa"/>
            <w:shd w:val="clear" w:color="auto" w:fill="auto"/>
          </w:tcPr>
          <w:p w:rsidR="0035365B" w:rsidRDefault="0035365B" w:rsidP="00FC2C9B">
            <w:r>
              <w:t>Denmark, Estonia, Finland, Latvia, Norway, Slovenia, Sweden, Switzerland</w:t>
            </w:r>
            <w:r w:rsidR="004F541C">
              <w:t>.</w:t>
            </w:r>
          </w:p>
          <w:p w:rsidR="004F541C" w:rsidRDefault="00551236" w:rsidP="00551236">
            <w:r>
              <w:t xml:space="preserve">During 2012 the </w:t>
            </w:r>
            <w:r w:rsidR="004F541C">
              <w:t xml:space="preserve">ARC deployment is expected to be extended to </w:t>
            </w:r>
            <w:r w:rsidR="004F541C" w:rsidRPr="004F541C">
              <w:t>the Ukrainian NGI</w:t>
            </w:r>
            <w:r w:rsidR="004F541C">
              <w:t>.</w:t>
            </w:r>
          </w:p>
        </w:tc>
      </w:tr>
      <w:tr w:rsidR="002A0036" w:rsidTr="00E916DB">
        <w:tc>
          <w:tcPr>
            <w:tcW w:w="2518" w:type="dxa"/>
            <w:shd w:val="clear" w:color="auto" w:fill="auto"/>
          </w:tcPr>
          <w:p w:rsidR="002A0036" w:rsidRDefault="002A0036" w:rsidP="00FD70C0">
            <w:pPr>
              <w:jc w:val="center"/>
            </w:pPr>
            <w:r>
              <w:t>Desktop Grid</w:t>
            </w:r>
          </w:p>
          <w:p w:rsidR="002E747B" w:rsidRDefault="002E747B" w:rsidP="00FD70C0">
            <w:pPr>
              <w:jc w:val="center"/>
            </w:pPr>
            <w:r>
              <w:t>(experimental phase)</w:t>
            </w:r>
          </w:p>
        </w:tc>
        <w:tc>
          <w:tcPr>
            <w:tcW w:w="1559" w:type="dxa"/>
            <w:shd w:val="clear" w:color="auto" w:fill="auto"/>
          </w:tcPr>
          <w:p w:rsidR="002A0036" w:rsidRDefault="002A0036" w:rsidP="00FD70C0">
            <w:pPr>
              <w:jc w:val="center"/>
            </w:pPr>
            <w:r>
              <w:t>1</w:t>
            </w:r>
          </w:p>
        </w:tc>
        <w:tc>
          <w:tcPr>
            <w:tcW w:w="5203" w:type="dxa"/>
            <w:shd w:val="clear" w:color="auto" w:fill="auto"/>
          </w:tcPr>
          <w:p w:rsidR="002A0036" w:rsidRDefault="002A0036" w:rsidP="002E747B">
            <w:r>
              <w:t xml:space="preserve">Hungary </w:t>
            </w:r>
          </w:p>
        </w:tc>
      </w:tr>
      <w:tr w:rsidR="0035365B" w:rsidTr="00E916DB">
        <w:tc>
          <w:tcPr>
            <w:tcW w:w="2518" w:type="dxa"/>
            <w:shd w:val="clear" w:color="auto" w:fill="auto"/>
          </w:tcPr>
          <w:p w:rsidR="0035365B" w:rsidRDefault="0035365B" w:rsidP="00FD70C0">
            <w:pPr>
              <w:jc w:val="center"/>
            </w:pPr>
            <w:r>
              <w:t>GLOBUS</w:t>
            </w:r>
          </w:p>
        </w:tc>
        <w:tc>
          <w:tcPr>
            <w:tcW w:w="1559" w:type="dxa"/>
            <w:shd w:val="clear" w:color="auto" w:fill="auto"/>
          </w:tcPr>
          <w:p w:rsidR="0035365B" w:rsidRDefault="0035365B" w:rsidP="00FD70C0">
            <w:pPr>
              <w:jc w:val="center"/>
            </w:pPr>
            <w:r>
              <w:t>3</w:t>
            </w:r>
          </w:p>
        </w:tc>
        <w:tc>
          <w:tcPr>
            <w:tcW w:w="5203" w:type="dxa"/>
            <w:shd w:val="clear" w:color="auto" w:fill="auto"/>
          </w:tcPr>
          <w:p w:rsidR="0035365B" w:rsidRDefault="0035365B" w:rsidP="00FC2C9B">
            <w:proofErr w:type="spellStart"/>
            <w:r>
              <w:t>GridFtp</w:t>
            </w:r>
            <w:proofErr w:type="spellEnd"/>
            <w:r>
              <w:t xml:space="preserve">: Finland, Germany, </w:t>
            </w:r>
            <w:r w:rsidR="007B5A96">
              <w:t>Spain</w:t>
            </w:r>
          </w:p>
          <w:p w:rsidR="007B5A96" w:rsidRDefault="007B5A96" w:rsidP="00FC2C9B">
            <w:r>
              <w:t>GRAM: Germany</w:t>
            </w:r>
          </w:p>
          <w:p w:rsidR="004F541C" w:rsidRDefault="00551236" w:rsidP="00551236">
            <w:r>
              <w:t>During 2012 t</w:t>
            </w:r>
            <w:r w:rsidR="004F541C">
              <w:t xml:space="preserve">he GLOBUS production deployment is expected to be extended to </w:t>
            </w:r>
            <w:r>
              <w:t xml:space="preserve">The Netherlands and </w:t>
            </w:r>
            <w:r w:rsidR="004F541C">
              <w:t>United Kingdom.</w:t>
            </w:r>
          </w:p>
        </w:tc>
      </w:tr>
      <w:tr w:rsidR="00FD70C0" w:rsidTr="00E916DB">
        <w:tc>
          <w:tcPr>
            <w:tcW w:w="2518" w:type="dxa"/>
            <w:shd w:val="clear" w:color="auto" w:fill="auto"/>
          </w:tcPr>
          <w:p w:rsidR="00FD70C0" w:rsidRDefault="00FD70C0" w:rsidP="00FD70C0">
            <w:pPr>
              <w:jc w:val="center"/>
            </w:pPr>
            <w:proofErr w:type="spellStart"/>
            <w:r w:rsidRPr="00FD70C0">
              <w:t>QosCosGrid</w:t>
            </w:r>
            <w:proofErr w:type="spellEnd"/>
          </w:p>
          <w:p w:rsidR="002E747B" w:rsidRDefault="002E747B" w:rsidP="00FD70C0">
            <w:pPr>
              <w:jc w:val="center"/>
            </w:pPr>
            <w:r>
              <w:t>(experimental phase)</w:t>
            </w:r>
          </w:p>
        </w:tc>
        <w:tc>
          <w:tcPr>
            <w:tcW w:w="1559" w:type="dxa"/>
            <w:shd w:val="clear" w:color="auto" w:fill="auto"/>
          </w:tcPr>
          <w:p w:rsidR="00FD70C0" w:rsidRDefault="00FD70C0" w:rsidP="00FD70C0">
            <w:pPr>
              <w:jc w:val="center"/>
            </w:pPr>
            <w:r>
              <w:t>1</w:t>
            </w:r>
          </w:p>
        </w:tc>
        <w:tc>
          <w:tcPr>
            <w:tcW w:w="5203" w:type="dxa"/>
            <w:shd w:val="clear" w:color="auto" w:fill="auto"/>
          </w:tcPr>
          <w:p w:rsidR="00FD70C0" w:rsidRDefault="00FD70C0" w:rsidP="002E747B">
            <w:r>
              <w:t>Poland</w:t>
            </w:r>
          </w:p>
        </w:tc>
      </w:tr>
      <w:tr w:rsidR="0035365B" w:rsidTr="00E916DB">
        <w:tc>
          <w:tcPr>
            <w:tcW w:w="2518" w:type="dxa"/>
            <w:shd w:val="clear" w:color="auto" w:fill="auto"/>
          </w:tcPr>
          <w:p w:rsidR="0035365B" w:rsidRDefault="0035365B" w:rsidP="00FD70C0">
            <w:pPr>
              <w:jc w:val="center"/>
            </w:pPr>
            <w:r>
              <w:t>UNICORE</w:t>
            </w:r>
          </w:p>
        </w:tc>
        <w:tc>
          <w:tcPr>
            <w:tcW w:w="1559" w:type="dxa"/>
            <w:shd w:val="clear" w:color="auto" w:fill="auto"/>
          </w:tcPr>
          <w:p w:rsidR="0035365B" w:rsidRDefault="0035365B" w:rsidP="00FD70C0">
            <w:pPr>
              <w:jc w:val="center"/>
            </w:pPr>
            <w:r>
              <w:t>2</w:t>
            </w:r>
          </w:p>
        </w:tc>
        <w:tc>
          <w:tcPr>
            <w:tcW w:w="5203" w:type="dxa"/>
            <w:shd w:val="clear" w:color="auto" w:fill="auto"/>
          </w:tcPr>
          <w:p w:rsidR="0035365B" w:rsidRDefault="0035365B" w:rsidP="00FC2C9B">
            <w:r>
              <w:t>Germany, Poland</w:t>
            </w:r>
          </w:p>
        </w:tc>
      </w:tr>
    </w:tbl>
    <w:p w:rsidR="00C11B3B" w:rsidRDefault="00613095" w:rsidP="00613095">
      <w:r>
        <w:t xml:space="preserve">Currently the grid middleware stacks </w:t>
      </w:r>
      <w:r w:rsidR="00C11B3B">
        <w:t>fully deployed in the i</w:t>
      </w:r>
      <w:r>
        <w:t xml:space="preserve">nfrastructure are: gLite,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rsidR="00C11B3B" w:rsidRDefault="00613095" w:rsidP="00613095">
      <w:r>
        <w:lastRenderedPageBreak/>
        <w:t xml:space="preserve">Nagios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w:t>
      </w:r>
      <w:proofErr w:type="gramStart"/>
      <w:r w:rsidR="00C11B3B">
        <w:t>centres,</w:t>
      </w:r>
      <w:proofErr w:type="gramEnd"/>
      <w:r w:rsidR="00C11B3B">
        <w:t xml:space="preserve"> </w:t>
      </w:r>
      <w:r>
        <w:t>will be</w:t>
      </w:r>
      <w:r w:rsidR="00C11B3B">
        <w:t xml:space="preserve"> completed in the coming months. </w:t>
      </w:r>
    </w:p>
    <w:p w:rsidR="00613095" w:rsidRDefault="00C11B3B" w:rsidP="00613095">
      <w:r>
        <w:t>A</w:t>
      </w:r>
      <w:r w:rsidR="00613095">
        <w:t xml:space="preserve">ccounting integration is still </w:t>
      </w:r>
      <w:r>
        <w:t>in progress</w:t>
      </w:r>
      <w:r w:rsidR="00613095">
        <w:t xml:space="preserve"> for UNICORE and Globus, while ARC and gLite computing resources have been accounted</w:t>
      </w:r>
      <w:r>
        <w:t xml:space="preserve"> for their usage</w:t>
      </w:r>
      <w:r w:rsidR="00613095">
        <w:t xml:space="preserve"> from the beginning of EGI-InSPIRE.</w:t>
      </w:r>
      <w:r w:rsidR="007401E3">
        <w:t xml:space="preserve"> The Accounting Task Force of the TCB</w:t>
      </w:r>
      <w:r w:rsidR="007401E3">
        <w:rPr>
          <w:rStyle w:val="FootnoteReference"/>
        </w:rPr>
        <w:footnoteReference w:id="22"/>
      </w:r>
      <w:r w:rsidR="007401E3">
        <w:t xml:space="preserve"> is responsible of leading the extension of the current EGI accounting infrastructure to encompass peer grids and new integrated infrastructures. </w:t>
      </w:r>
    </w:p>
    <w:p w:rsidR="00613095" w:rsidRDefault="00613095" w:rsidP="00613095">
      <w:proofErr w:type="gramStart"/>
      <w:r>
        <w:t>gLite</w:t>
      </w:r>
      <w:proofErr w:type="gramEnd"/>
      <w:r>
        <w:t xml:space="preserve"> is largely the most deployed middleware, but the number of operations centres supporting non-gLite stacks slightly increased during last year. As shown in </w:t>
      </w:r>
      <w:r>
        <w:fldChar w:fldCharType="begin"/>
      </w:r>
      <w:r>
        <w:instrText xml:space="preserve"> REF _Ref195178474 \h </w:instrText>
      </w:r>
      <w:r>
        <w:fldChar w:fldCharType="separate"/>
      </w:r>
      <w:r w:rsidR="00AB3A0F">
        <w:t xml:space="preserve">Figure </w:t>
      </w:r>
      <w:r w:rsidR="00AB3A0F">
        <w:rPr>
          <w:noProof/>
        </w:rPr>
        <w:t>20</w:t>
      </w:r>
      <w:r>
        <w:fldChar w:fldCharType="end"/>
      </w:r>
      <w:r>
        <w:t xml:space="preserve">, 4 operations centres are deploying ARC middleware, namely: NGI_NDGF (including Denmark, Estonia, part of the Finnish resources, Latvia, Norway, Sweden), NGI_CH, NGI_FI, </w:t>
      </w:r>
      <w:proofErr w:type="gramStart"/>
      <w:r>
        <w:t>NGI</w:t>
      </w:r>
      <w:proofErr w:type="gramEnd"/>
      <w:r>
        <w:t xml:space="preserve">_SI. UNICORE is supported by two operations centres NGI_DE and NGI_PL, and Globus middleware is deployed </w:t>
      </w:r>
      <w:r w:rsidR="007401E3">
        <w:t>by</w:t>
      </w:r>
      <w:r>
        <w:t xml:space="preserve"> NGI_DE.</w:t>
      </w:r>
    </w:p>
    <w:p w:rsidR="00613095" w:rsidRDefault="00043028" w:rsidP="00613095">
      <w:pPr>
        <w:keepNext/>
        <w:jc w:val="center"/>
      </w:pPr>
      <w:r>
        <w:rPr>
          <w:noProof/>
          <w:lang w:eastAsia="en-GB"/>
        </w:rPr>
        <w:drawing>
          <wp:inline distT="0" distB="0" distL="0" distR="0" wp14:anchorId="5B2936D7" wp14:editId="5729C8BF">
            <wp:extent cx="4187190" cy="2550795"/>
            <wp:effectExtent l="0" t="0" r="3810" b="1905"/>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7190" cy="2550795"/>
                    </a:xfrm>
                    <a:prstGeom prst="rect">
                      <a:avLst/>
                    </a:prstGeom>
                    <a:noFill/>
                    <a:ln>
                      <a:noFill/>
                    </a:ln>
                  </pic:spPr>
                </pic:pic>
              </a:graphicData>
            </a:graphic>
          </wp:inline>
        </w:drawing>
      </w:r>
    </w:p>
    <w:p w:rsidR="00613095" w:rsidRDefault="00613095" w:rsidP="00613095">
      <w:pPr>
        <w:pStyle w:val="Caption"/>
      </w:pPr>
      <w:bookmarkStart w:id="91" w:name="_Ref195178474"/>
      <w:bookmarkStart w:id="92" w:name="_Toc324172838"/>
      <w:r>
        <w:t xml:space="preserve">Figure </w:t>
      </w:r>
      <w:r>
        <w:fldChar w:fldCharType="begin"/>
      </w:r>
      <w:r>
        <w:instrText xml:space="preserve"> SEQ Figure \* ARABIC </w:instrText>
      </w:r>
      <w:r>
        <w:fldChar w:fldCharType="separate"/>
      </w:r>
      <w:r w:rsidR="00AB3A0F">
        <w:rPr>
          <w:noProof/>
        </w:rPr>
        <w:t>20</w:t>
      </w:r>
      <w:r>
        <w:fldChar w:fldCharType="end"/>
      </w:r>
      <w:bookmarkEnd w:id="91"/>
      <w:r>
        <w:t xml:space="preserve">, </w:t>
      </w:r>
      <w:proofErr w:type="spellStart"/>
      <w:r>
        <w:t>deployement</w:t>
      </w:r>
      <w:proofErr w:type="spellEnd"/>
      <w:r>
        <w:t xml:space="preserve"> of the four reference grid </w:t>
      </w:r>
      <w:proofErr w:type="spellStart"/>
      <w:r>
        <w:t>middlware</w:t>
      </w:r>
      <w:proofErr w:type="spellEnd"/>
      <w:r>
        <w:t xml:space="preserve"> stacks across the EGI-InSPIRE </w:t>
      </w:r>
      <w:proofErr w:type="spellStart"/>
      <w:r>
        <w:t>operatiosn</w:t>
      </w:r>
      <w:proofErr w:type="spellEnd"/>
      <w:r>
        <w:t xml:space="preserve"> centres, March 2012 (source GOCDB)</w:t>
      </w:r>
      <w:bookmarkEnd w:id="92"/>
    </w:p>
    <w:p w:rsidR="00613095" w:rsidRPr="00A54BFB" w:rsidRDefault="00D90F39" w:rsidP="00613095">
      <w:r>
        <w:t>F</w:t>
      </w:r>
      <w:r w:rsidR="00A54BFB" w:rsidRPr="00A54BFB">
        <w:t>.</w:t>
      </w:r>
      <w:r w:rsidR="00613095" w:rsidRPr="00A54BFB">
        <w:t xml:space="preserve"> </w:t>
      </w:r>
      <w:proofErr w:type="gramStart"/>
      <w:r w:rsidR="00A54BFB" w:rsidRPr="00A54BFB">
        <w:t>For</w:t>
      </w:r>
      <w:proofErr w:type="gramEnd"/>
      <w:r w:rsidR="00A54BFB" w:rsidRPr="00A54BFB">
        <w:t xml:space="preserve"> </w:t>
      </w:r>
      <w:r w:rsidR="00613095" w:rsidRPr="00A54BFB">
        <w:t xml:space="preserve">EDGI middleware, currently </w:t>
      </w:r>
      <w:r w:rsidR="00A54BFB" w:rsidRPr="00A54BFB">
        <w:t xml:space="preserve">already </w:t>
      </w:r>
      <w:r w:rsidR="00613095" w:rsidRPr="00A54BFB">
        <w:t xml:space="preserve">supported in GOCDB, Nagios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to fulfil </w:t>
      </w:r>
      <w:r w:rsidR="00A54BFB">
        <w:t>the needs of new</w:t>
      </w:r>
      <w:r w:rsidR="00613095" w:rsidRPr="00A54BFB">
        <w:t xml:space="preserve"> user communities.</w:t>
      </w:r>
    </w:p>
    <w:p w:rsidR="00613095" w:rsidRPr="00A54BFB" w:rsidRDefault="00613095" w:rsidP="00613095"/>
    <w:p w:rsidR="00613095" w:rsidRDefault="00043028" w:rsidP="00613095">
      <w:pPr>
        <w:keepNext/>
        <w:jc w:val="center"/>
      </w:pPr>
      <w:r>
        <w:rPr>
          <w:noProof/>
          <w:lang w:eastAsia="en-GB"/>
        </w:rPr>
        <w:lastRenderedPageBreak/>
        <w:drawing>
          <wp:inline distT="0" distB="0" distL="0" distR="0" wp14:anchorId="79071DC7" wp14:editId="210E45B1">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rsidR="00613095" w:rsidRDefault="00613095" w:rsidP="00613095">
      <w:pPr>
        <w:pStyle w:val="Caption"/>
        <w:jc w:val="center"/>
      </w:pPr>
      <w:bookmarkStart w:id="93" w:name="_Ref195180702"/>
      <w:bookmarkStart w:id="94" w:name="_Toc324172839"/>
      <w:r>
        <w:t xml:space="preserve">Figure </w:t>
      </w:r>
      <w:r>
        <w:fldChar w:fldCharType="begin"/>
      </w:r>
      <w:r>
        <w:instrText xml:space="preserve"> SEQ Figure \* ARABIC </w:instrText>
      </w:r>
      <w:r>
        <w:fldChar w:fldCharType="separate"/>
      </w:r>
      <w:r w:rsidR="00AB3A0F">
        <w:rPr>
          <w:noProof/>
        </w:rPr>
        <w:t>21</w:t>
      </w:r>
      <w:r>
        <w:fldChar w:fldCharType="end"/>
      </w:r>
      <w:bookmarkEnd w:id="93"/>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bookmarkEnd w:id="94"/>
    </w:p>
    <w:p w:rsidR="00A54BFB" w:rsidRDefault="00613095" w:rsidP="00613095">
      <w:r>
        <w:fldChar w:fldCharType="begin"/>
      </w:r>
      <w:r>
        <w:instrText xml:space="preserve"> REF _Ref195180702 \h </w:instrText>
      </w:r>
      <w:r>
        <w:fldChar w:fldCharType="separate"/>
      </w:r>
      <w:r w:rsidR="00AB3A0F">
        <w:t xml:space="preserve">Figure </w:t>
      </w:r>
      <w:r w:rsidR="00AB3A0F">
        <w:rPr>
          <w:noProof/>
        </w:rPr>
        <w:t>21</w:t>
      </w:r>
      <w:r>
        <w:fldChar w:fldCharType="end"/>
      </w:r>
      <w:r>
        <w:t xml:space="preserve"> shows the distribution of the </w:t>
      </w:r>
      <w:r w:rsidR="00A54BFB">
        <w:t xml:space="preserve">deployed </w:t>
      </w:r>
      <w:r>
        <w:t>computing element</w:t>
      </w:r>
      <w:r w:rsidR="00A54BFB">
        <w:t xml:space="preserve"> </w:t>
      </w:r>
      <w:r w:rsidR="005D53DD">
        <w:pgNum/>
      </w:r>
      <w:proofErr w:type="spellStart"/>
      <w:r w:rsidR="005D53DD">
        <w:t>nstances</w:t>
      </w:r>
      <w:proofErr w:type="spellEnd"/>
      <w:r>
        <w:t xml:space="preserve"> among the different </w:t>
      </w:r>
      <w:r w:rsidR="00A54BFB">
        <w:t xml:space="preserve">alternative software stack implementations. </w:t>
      </w:r>
    </w:p>
    <w:p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 xml:space="preserve">grating to other supported CE implementations. </w:t>
      </w:r>
      <w:proofErr w:type="spellStart"/>
      <w:r w:rsidR="00A54BFB">
        <w:t>Howeer</w:t>
      </w:r>
      <w:proofErr w:type="spellEnd"/>
      <w:r w:rsidR="00A54BFB">
        <w:t xml:space="preserve">, the phasing out is still in progress. </w:t>
      </w:r>
      <w:r w:rsidR="00613095">
        <w:t>Two resource centres are deploying the Globus Gram, and there are 31 ARC-CE</w:t>
      </w:r>
      <w:r w:rsidR="00A54BFB">
        <w:t xml:space="preserve"> instances</w:t>
      </w:r>
      <w:r w:rsidR="00613095">
        <w:t xml:space="preserve"> deployed in the infrastructure.</w:t>
      </w:r>
    </w:p>
    <w:p w:rsidR="00613095" w:rsidRDefault="00594DD0" w:rsidP="00613095">
      <w:pPr>
        <w:pStyle w:val="Heading2"/>
      </w:pPr>
      <w:bookmarkStart w:id="95" w:name="_Toc324172760"/>
      <w:r>
        <w:t xml:space="preserve">Deployment of </w:t>
      </w:r>
      <w:r w:rsidR="00613095">
        <w:t>gLite releases</w:t>
      </w:r>
      <w:bookmarkEnd w:id="95"/>
    </w:p>
    <w:p w:rsidR="00A54BFB" w:rsidRDefault="00613095" w:rsidP="00A54BFB">
      <w:r>
        <w:t>The majority of the gLite 3.1 products are no more supported</w:t>
      </w:r>
      <w:r>
        <w:rPr>
          <w:rStyle w:val="FootnoteReference"/>
        </w:rPr>
        <w:footnoteReference w:id="23"/>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rsidR="00A54BFB" w:rsidRDefault="00A54BFB" w:rsidP="00F65D34">
      <w:pPr>
        <w:numPr>
          <w:ilvl w:val="0"/>
          <w:numId w:val="12"/>
        </w:numPr>
      </w:pPr>
      <w:proofErr w:type="spellStart"/>
      <w:r>
        <w:t>lcg-ce</w:t>
      </w:r>
      <w:proofErr w:type="spellEnd"/>
    </w:p>
    <w:p w:rsidR="00A54BFB" w:rsidRDefault="00A54BFB" w:rsidP="00F65D34">
      <w:pPr>
        <w:numPr>
          <w:ilvl w:val="0"/>
          <w:numId w:val="12"/>
        </w:numPr>
      </w:pPr>
      <w:r>
        <w:t>any site-BDII instance earlier than 3.2.10-1 (i.e. not GLUE 2.0 compatible)</w:t>
      </w:r>
    </w:p>
    <w:p w:rsidR="00A54BFB" w:rsidRDefault="00A54BFB" w:rsidP="00F65D34">
      <w:pPr>
        <w:numPr>
          <w:ilvl w:val="0"/>
          <w:numId w:val="12"/>
        </w:numPr>
      </w:pPr>
      <w:proofErr w:type="gramStart"/>
      <w:r>
        <w:t>all</w:t>
      </w:r>
      <w:proofErr w:type="gramEnd"/>
      <w:r>
        <w:t xml:space="preserve"> gLite 3.1 currently unsupported products – includin</w:t>
      </w:r>
      <w:r w:rsidR="0057142A">
        <w:t>g</w:t>
      </w:r>
      <w:r>
        <w:t xml:space="preserve"> all gLite 3.1 products with the exception of gLite-Cluster,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rsidR="00A54BFB" w:rsidRDefault="00A54BFB" w:rsidP="00A54BFB">
      <w:r>
        <w:t>After 30/09/2012 sites still hosting one of the services in the above list will be suspended.</w:t>
      </w:r>
    </w:p>
    <w:p w:rsidR="00613095" w:rsidRDefault="0057142A" w:rsidP="00613095">
      <w:proofErr w:type="gramStart"/>
      <w:r>
        <w:t>gLite</w:t>
      </w:r>
      <w:proofErr w:type="gramEnd"/>
      <w:r>
        <w:t xml:space="preserve"> 3.2 wa</w:t>
      </w:r>
      <w:r w:rsidR="00613095">
        <w:t>s supported until end of April 2012, consequently many sites will likely migrate from gLite3.1 directly to the equivalent EMI-1 components (supported until April 2013) or to the upcoming EMI-2 that will support SL5 and SL6.</w:t>
      </w:r>
    </w:p>
    <w:p w:rsidR="00613095" w:rsidRDefault="00613095" w:rsidP="00613095">
      <w:r>
        <w:fldChar w:fldCharType="begin"/>
      </w:r>
      <w:r>
        <w:instrText xml:space="preserve"> REF _Ref195269101 \h </w:instrText>
      </w:r>
      <w:r>
        <w:fldChar w:fldCharType="separate"/>
      </w:r>
      <w:r w:rsidR="00AB3A0F" w:rsidRPr="00312D12">
        <w:t xml:space="preserve">Figure </w:t>
      </w:r>
      <w:r w:rsidR="00AB3A0F">
        <w:rPr>
          <w:noProof/>
        </w:rPr>
        <w:t>22</w:t>
      </w:r>
      <w:r>
        <w:fldChar w:fldCharType="end"/>
      </w:r>
      <w:r>
        <w:t xml:space="preserve"> shows the deployed instances, grouped by the gLite and EMI major releases, of the main compute and storage management gLite components: Worker Node, Workload Management System, DPM and LFC.</w:t>
      </w:r>
    </w:p>
    <w:p w:rsidR="00613095" w:rsidRDefault="00613095" w:rsidP="00613095">
      <w:r>
        <w:lastRenderedPageBreak/>
        <w:t>Most of the worker nodes are gLite 3.2, only 7% of the sites are deploying wor</w:t>
      </w:r>
      <w:r w:rsidR="005D53DD">
        <w:t xml:space="preserve">ker nodes released in gLite 3.1. As to </w:t>
      </w:r>
      <w:r>
        <w:t>the number of cores deployed in those sites</w:t>
      </w:r>
      <w:r w:rsidR="005D53DD">
        <w:t>,</w:t>
      </w:r>
      <w:r>
        <w:t xml:space="preserve"> the percentage of computing capacity delivered through gLite 3.1 WNs is around 1% of the total. The figures for worker nodes may not be accurate,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gLite 3.2 </w:t>
      </w:r>
      <w:r w:rsidR="0057142A">
        <w:t>instances (78.8%) and EMI (17.7%). O</w:t>
      </w:r>
      <w:r w:rsidR="00613095">
        <w:t>nly a small fraction is still from a gLite3.1 release (3.5%).</w:t>
      </w:r>
    </w:p>
    <w:p w:rsidR="00613095" w:rsidRDefault="00613095" w:rsidP="00613095">
      <w:r>
        <w:t>EMI WMS release (35.3%) has a good fraction of the total instances deployed (total 150)</w:t>
      </w:r>
      <w:proofErr w:type="gramStart"/>
      <w:r>
        <w:t>,</w:t>
      </w:r>
      <w:proofErr w:type="gramEnd"/>
      <w:r>
        <w:t xml:space="preserve">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gLite 3.1 and gLite3.2), therefore</w:t>
      </w:r>
      <w:r w:rsidR="00986DBE">
        <w:t xml:space="preserve">, getting precise figures from the information discovery system according to the publish number of version </w:t>
      </w:r>
      <w:r>
        <w:t>it 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gLite 3.2 and 1.2% gLite 3.1.</w:t>
      </w:r>
    </w:p>
    <w:p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rsidTr="00986DBE">
        <w:trPr>
          <w:trHeight w:val="3252"/>
          <w:jc w:val="center"/>
        </w:trPr>
        <w:tc>
          <w:tcPr>
            <w:tcW w:w="1998" w:type="dxa"/>
            <w:shd w:val="clear" w:color="auto" w:fill="auto"/>
          </w:tcPr>
          <w:p w:rsidR="00613095" w:rsidRPr="00757844" w:rsidRDefault="00613095" w:rsidP="007401E3">
            <w:pPr>
              <w:jc w:val="center"/>
            </w:pPr>
            <w:r>
              <w:t xml:space="preserve">(a) gLite-WN, </w:t>
            </w:r>
            <w:proofErr w:type="spellStart"/>
            <w:r w:rsidRPr="00CC2BA6">
              <w:rPr>
                <w:b/>
              </w:rPr>
              <w:t>pergentage</w:t>
            </w:r>
            <w:proofErr w:type="spellEnd"/>
            <w:r w:rsidRPr="00CC2BA6">
              <w:rPr>
                <w:b/>
              </w:rPr>
              <w:t xml:space="preserve"> of sites</w:t>
            </w:r>
            <w:r>
              <w:t xml:space="preserve"> deploying different releases</w:t>
            </w:r>
          </w:p>
        </w:tc>
        <w:tc>
          <w:tcPr>
            <w:tcW w:w="4953" w:type="dxa"/>
            <w:shd w:val="clear" w:color="auto" w:fill="auto"/>
          </w:tcPr>
          <w:p w:rsidR="00613095" w:rsidRDefault="00043028" w:rsidP="007401E3">
            <w:r>
              <w:rPr>
                <w:noProof/>
                <w:lang w:eastAsia="en-GB"/>
              </w:rPr>
              <w:drawing>
                <wp:inline distT="0" distB="0" distL="0" distR="0" wp14:anchorId="3B946E71" wp14:editId="485DC868">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252"/>
          <w:jc w:val="center"/>
        </w:trPr>
        <w:tc>
          <w:tcPr>
            <w:tcW w:w="1998" w:type="dxa"/>
            <w:shd w:val="clear" w:color="auto" w:fill="auto"/>
          </w:tcPr>
          <w:p w:rsidR="00613095" w:rsidRDefault="00613095" w:rsidP="007401E3">
            <w:pPr>
              <w:jc w:val="center"/>
            </w:pPr>
            <w:r>
              <w:t>(b) gLite-CREAM</w:t>
            </w:r>
          </w:p>
        </w:tc>
        <w:tc>
          <w:tcPr>
            <w:tcW w:w="4953" w:type="dxa"/>
            <w:shd w:val="clear" w:color="auto" w:fill="auto"/>
          </w:tcPr>
          <w:p w:rsidR="00613095" w:rsidRDefault="00043028" w:rsidP="007401E3">
            <w:r>
              <w:rPr>
                <w:noProof/>
                <w:lang w:eastAsia="en-GB"/>
              </w:rPr>
              <w:drawing>
                <wp:inline distT="0" distB="0" distL="0" distR="0" wp14:anchorId="50DE1213" wp14:editId="72684A00">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613095" w:rsidRDefault="00613095" w:rsidP="007401E3">
            <w:r>
              <w:lastRenderedPageBreak/>
              <w:t>(c) gLite-WMS (not released in gLite3.2)</w:t>
            </w:r>
          </w:p>
        </w:tc>
        <w:tc>
          <w:tcPr>
            <w:tcW w:w="4953" w:type="dxa"/>
            <w:shd w:val="clear" w:color="auto" w:fill="auto"/>
          </w:tcPr>
          <w:p w:rsidR="00613095" w:rsidRDefault="00043028" w:rsidP="007401E3">
            <w:r>
              <w:rPr>
                <w:noProof/>
                <w:lang w:eastAsia="en-GB"/>
              </w:rPr>
              <w:drawing>
                <wp:inline distT="0" distB="0" distL="0" distR="0" wp14:anchorId="25EBDFCE" wp14:editId="64F5BAC6">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18"/>
          <w:jc w:val="center"/>
        </w:trPr>
        <w:tc>
          <w:tcPr>
            <w:tcW w:w="1998" w:type="dxa"/>
            <w:shd w:val="clear" w:color="auto" w:fill="auto"/>
          </w:tcPr>
          <w:p w:rsidR="00613095" w:rsidRDefault="00613095" w:rsidP="007401E3">
            <w:r>
              <w:t>(d) gLite-LFC</w:t>
            </w:r>
          </w:p>
        </w:tc>
        <w:tc>
          <w:tcPr>
            <w:tcW w:w="4953" w:type="dxa"/>
            <w:shd w:val="clear" w:color="auto" w:fill="auto"/>
          </w:tcPr>
          <w:p w:rsidR="00613095" w:rsidRDefault="00613095" w:rsidP="007401E3">
            <w:r>
              <w:t xml:space="preserve"> </w:t>
            </w:r>
            <w:r w:rsidR="00043028">
              <w:rPr>
                <w:noProof/>
                <w:lang w:eastAsia="en-GB"/>
              </w:rPr>
              <w:drawing>
                <wp:inline distT="0" distB="0" distL="0" distR="0" wp14:anchorId="420B2F12" wp14:editId="4219AA05">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rsidTr="00986DBE">
        <w:trPr>
          <w:trHeight w:val="330"/>
          <w:jc w:val="center"/>
        </w:trPr>
        <w:tc>
          <w:tcPr>
            <w:tcW w:w="1998" w:type="dxa"/>
            <w:shd w:val="clear" w:color="auto" w:fill="auto"/>
          </w:tcPr>
          <w:p w:rsidR="00613095" w:rsidRDefault="005D53DD" w:rsidP="007401E3">
            <w:r>
              <w:t>€</w:t>
            </w:r>
            <w:r w:rsidR="00613095">
              <w:t xml:space="preserve"> gLite-DPM</w:t>
            </w:r>
          </w:p>
        </w:tc>
        <w:tc>
          <w:tcPr>
            <w:tcW w:w="4953" w:type="dxa"/>
            <w:shd w:val="clear" w:color="auto" w:fill="auto"/>
          </w:tcPr>
          <w:p w:rsidR="00613095" w:rsidRDefault="00043028" w:rsidP="007401E3">
            <w:r>
              <w:rPr>
                <w:noProof/>
                <w:lang w:eastAsia="en-GB"/>
              </w:rPr>
              <w:drawing>
                <wp:inline distT="0" distB="0" distL="0" distR="0" wp14:anchorId="6D9C4B8B" wp14:editId="200B0983">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rsidR="008633B1" w:rsidRPr="00312D12" w:rsidRDefault="00613095" w:rsidP="003974F1">
      <w:pPr>
        <w:jc w:val="center"/>
      </w:pPr>
      <w:bookmarkStart w:id="96" w:name="_Ref195269101"/>
      <w:bookmarkStart w:id="97" w:name="_Toc324172840"/>
      <w:proofErr w:type="gramStart"/>
      <w:r w:rsidRPr="00312D12">
        <w:t xml:space="preserve">Figure </w:t>
      </w:r>
      <w:r w:rsidRPr="00312D12">
        <w:fldChar w:fldCharType="begin"/>
      </w:r>
      <w:r w:rsidRPr="00312D12">
        <w:instrText xml:space="preserve"> SEQ Figure \* ARABIC </w:instrText>
      </w:r>
      <w:r w:rsidRPr="00312D12">
        <w:fldChar w:fldCharType="separate"/>
      </w:r>
      <w:r w:rsidR="00AB3A0F">
        <w:rPr>
          <w:noProof/>
        </w:rPr>
        <w:t>22</w:t>
      </w:r>
      <w:r w:rsidRPr="00312D12">
        <w:fldChar w:fldCharType="end"/>
      </w:r>
      <w:bookmarkEnd w:id="96"/>
      <w:r w:rsidR="00312D12" w:rsidRPr="00312D12">
        <w:t>.</w:t>
      </w:r>
      <w:proofErr w:type="gramEnd"/>
      <w:r w:rsidR="00312D12" w:rsidRPr="00312D12">
        <w:t xml:space="preserve"> D</w:t>
      </w:r>
      <w:r w:rsidRPr="00312D12">
        <w:t xml:space="preserve">eployment of the different (gLite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97"/>
    </w:p>
    <w:p w:rsidR="00F00862" w:rsidRPr="00312D12" w:rsidRDefault="00F00862" w:rsidP="00F00862">
      <w:pPr>
        <w:pStyle w:val="Heading2"/>
        <w:rPr>
          <w:b w:val="0"/>
        </w:rPr>
      </w:pPr>
      <w:bookmarkStart w:id="98" w:name="_Toc324172761"/>
      <w:r w:rsidRPr="00312D12">
        <w:rPr>
          <w:b w:val="0"/>
        </w:rPr>
        <w:t>Core Middleware Services</w:t>
      </w:r>
      <w:bookmarkEnd w:id="98"/>
    </w:p>
    <w:p w:rsidR="00F00862" w:rsidRDefault="00F00862" w:rsidP="00F00862">
      <w:r>
        <w:t xml:space="preserve">Core grid 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AB3A0F">
        <w:t xml:space="preserve">Figure </w:t>
      </w:r>
      <w:r w:rsidR="00AB3A0F">
        <w:rPr>
          <w:noProof/>
        </w:rPr>
        <w:t>23</w:t>
      </w:r>
      <w:r>
        <w:rPr>
          <w:highlight w:val="yellow"/>
        </w:rPr>
        <w:fldChar w:fldCharType="end"/>
      </w:r>
      <w:r>
        <w:t xml:space="preserve"> shows the current distribution of production instances among the EGI-InSPIRE partners and integrated resource providers. The instances information was collected by querying the Top-BDII: this information source cont</w:t>
      </w:r>
      <w:r w:rsidR="005D53DD">
        <w:t xml:space="preserve">ains also the software </w:t>
      </w:r>
      <w:proofErr w:type="gramStart"/>
      <w:r w:rsidR="005D53DD">
        <w:t xml:space="preserve">version, </w:t>
      </w:r>
      <w:r>
        <w:t>which are</w:t>
      </w:r>
      <w:proofErr w:type="gramEnd"/>
      <w:r>
        <w:t xml:space="preserve"> not available in the services registry (GOCDB).</w:t>
      </w:r>
    </w:p>
    <w:p w:rsidR="00D04BBE" w:rsidRDefault="00D04BBE" w:rsidP="00F00862">
      <w:r>
        <w:t>In March 2012 EGI integrated infrastructure comprehends 359 core services: 64 VOMS instances, 150 WMS, 41 LFC and 104 Top-BDII. The top five NGIs/EIROs as number of core services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rsidR="00F00862" w:rsidRDefault="00F00862" w:rsidP="00F00862">
      <w:r>
        <w:t xml:space="preserve">WMS is the service with the highest number of instances, often NGIs deploy multiple instances of WMS to load balance the workload on these services. There </w:t>
      </w:r>
      <w:proofErr w:type="gramStart"/>
      <w:r>
        <w:t>is</w:t>
      </w:r>
      <w:proofErr w:type="gramEnd"/>
      <w:r>
        <w:t xml:space="preserve"> still a large number of gLite 3.1 instances, since WMS was not released in gLite 3.2.</w:t>
      </w:r>
    </w:p>
    <w:p w:rsidR="00F00862" w:rsidRDefault="00F00862" w:rsidP="00F00862">
      <w:r>
        <w:t>Top-BDII is deployed by all the NGIs who are deploying gLite middleware, since it is a critical component for the gLite workflow. Currently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rsidR="00F00862" w:rsidRDefault="00F00862" w:rsidP="00F00862">
      <w:r>
        <w:t>The VOMS chart has no information about the deployed versions, because some instances do not publish reliably themselves in the information system. To get accurate data about distribution of the VOMS services, the instances list was fetched from GOCDB.</w:t>
      </w:r>
    </w:p>
    <w:p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rsidTr="009B1455">
        <w:trPr>
          <w:jc w:val="center"/>
        </w:trPr>
        <w:tc>
          <w:tcPr>
            <w:tcW w:w="1365" w:type="dxa"/>
            <w:shd w:val="clear" w:color="auto" w:fill="auto"/>
            <w:vAlign w:val="center"/>
          </w:tcPr>
          <w:p w:rsidR="00F00862" w:rsidRDefault="00F00862" w:rsidP="009B1455">
            <w:pPr>
              <w:jc w:val="center"/>
            </w:pPr>
            <w:r>
              <w:t>(a) Overall distribution</w:t>
            </w:r>
          </w:p>
        </w:tc>
        <w:tc>
          <w:tcPr>
            <w:tcW w:w="9273" w:type="dxa"/>
            <w:shd w:val="clear" w:color="auto" w:fill="auto"/>
          </w:tcPr>
          <w:p w:rsidR="00F00862" w:rsidRDefault="00043028" w:rsidP="009B1455">
            <w:r>
              <w:rPr>
                <w:noProof/>
                <w:lang w:eastAsia="en-GB"/>
              </w:rPr>
              <w:drawing>
                <wp:inline distT="0" distB="0" distL="0" distR="0" wp14:anchorId="62789D5C" wp14:editId="4839CA28">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(b) Workload Management (WMS)</w:t>
            </w:r>
          </w:p>
        </w:tc>
        <w:tc>
          <w:tcPr>
            <w:tcW w:w="9273" w:type="dxa"/>
            <w:shd w:val="clear" w:color="auto" w:fill="auto"/>
          </w:tcPr>
          <w:p w:rsidR="00F00862" w:rsidRDefault="00043028" w:rsidP="009B1455">
            <w:r>
              <w:rPr>
                <w:noProof/>
                <w:lang w:eastAsia="en-GB"/>
              </w:rPr>
              <w:drawing>
                <wp:inline distT="0" distB="0" distL="0" distR="0" wp14:anchorId="6C0D4469" wp14:editId="54064EDA">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 xml:space="preserve">(c) </w:t>
            </w:r>
          </w:p>
          <w:p w:rsidR="00F00862" w:rsidRDefault="00F00862" w:rsidP="009B1455">
            <w:pPr>
              <w:jc w:val="center"/>
            </w:pPr>
            <w:r>
              <w:t>VO membership (VOMS)</w:t>
            </w:r>
          </w:p>
          <w:p w:rsidR="00F00862" w:rsidRDefault="00F00862" w:rsidP="009B1455">
            <w:pPr>
              <w:jc w:val="center"/>
            </w:pPr>
            <w:r>
              <w:t>Source: GOCDB</w:t>
            </w:r>
          </w:p>
        </w:tc>
        <w:tc>
          <w:tcPr>
            <w:tcW w:w="9273" w:type="dxa"/>
            <w:shd w:val="clear" w:color="auto" w:fill="auto"/>
          </w:tcPr>
          <w:p w:rsidR="00F00862" w:rsidRDefault="00043028" w:rsidP="009B1455">
            <w:r>
              <w:rPr>
                <w:noProof/>
                <w:lang w:eastAsia="en-GB"/>
              </w:rPr>
              <w:drawing>
                <wp:inline distT="0" distB="0" distL="0" distR="0" wp14:anchorId="110BF1D1" wp14:editId="124892A1">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lastRenderedPageBreak/>
              <w:t xml:space="preserve">(d) </w:t>
            </w:r>
          </w:p>
          <w:p w:rsidR="00F00862" w:rsidRDefault="00F00862" w:rsidP="009B1455">
            <w:pPr>
              <w:jc w:val="center"/>
            </w:pPr>
            <w:r>
              <w:t>file catalogue (LFC)</w:t>
            </w:r>
          </w:p>
        </w:tc>
        <w:tc>
          <w:tcPr>
            <w:tcW w:w="9273" w:type="dxa"/>
            <w:shd w:val="clear" w:color="auto" w:fill="auto"/>
          </w:tcPr>
          <w:p w:rsidR="00F00862" w:rsidRDefault="00043028" w:rsidP="009B1455">
            <w:r>
              <w:rPr>
                <w:noProof/>
                <w:lang w:eastAsia="en-GB"/>
              </w:rPr>
              <w:drawing>
                <wp:inline distT="0" distB="0" distL="0" distR="0" wp14:anchorId="052DEAB5" wp14:editId="4D91C86B">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rsidTr="009B1455">
        <w:trPr>
          <w:jc w:val="center"/>
        </w:trPr>
        <w:tc>
          <w:tcPr>
            <w:tcW w:w="1365" w:type="dxa"/>
            <w:shd w:val="clear" w:color="auto" w:fill="auto"/>
            <w:vAlign w:val="center"/>
          </w:tcPr>
          <w:p w:rsidR="00F00862" w:rsidRDefault="00F00862" w:rsidP="009B1455">
            <w:pPr>
              <w:jc w:val="center"/>
            </w:pPr>
            <w:r>
              <w:t>(e) Information system (Top-BDII)</w:t>
            </w:r>
          </w:p>
        </w:tc>
        <w:tc>
          <w:tcPr>
            <w:tcW w:w="9273" w:type="dxa"/>
            <w:shd w:val="clear" w:color="auto" w:fill="auto"/>
          </w:tcPr>
          <w:p w:rsidR="00F00862" w:rsidRDefault="00043028" w:rsidP="009B1455">
            <w:r>
              <w:rPr>
                <w:noProof/>
                <w:lang w:eastAsia="en-GB"/>
              </w:rPr>
              <w:drawing>
                <wp:inline distT="0" distB="0" distL="0" distR="0" wp14:anchorId="6CC28038" wp14:editId="7CBDCBE4">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rsidR="00F00862" w:rsidRPr="00F00862" w:rsidRDefault="00F00862" w:rsidP="00D04BBE">
      <w:pPr>
        <w:pStyle w:val="Caption"/>
      </w:pPr>
      <w:bookmarkStart w:id="99" w:name="_Ref195778617"/>
      <w:bookmarkStart w:id="100" w:name="_Toc324172841"/>
      <w:r>
        <w:t xml:space="preserve">Figure </w:t>
      </w:r>
      <w:r>
        <w:fldChar w:fldCharType="begin"/>
      </w:r>
      <w:r>
        <w:instrText xml:space="preserve"> SEQ Figure \* ARABIC </w:instrText>
      </w:r>
      <w:r>
        <w:fldChar w:fldCharType="separate"/>
      </w:r>
      <w:r w:rsidR="00AB3A0F">
        <w:rPr>
          <w:noProof/>
        </w:rPr>
        <w:t>23</w:t>
      </w:r>
      <w:r>
        <w:fldChar w:fldCharType="end"/>
      </w:r>
      <w:bookmarkEnd w:id="99"/>
      <w:r>
        <w:t>, Number of core services instances deployed within the EGI-InSPIRE integrated infrastructure.  Where not specified, source: information system (March 2012)</w:t>
      </w:r>
      <w:bookmarkEnd w:id="100"/>
    </w:p>
    <w:p w:rsidR="008633B1" w:rsidRDefault="008633B1" w:rsidP="008633B1">
      <w:pPr>
        <w:pStyle w:val="Heading1"/>
      </w:pPr>
      <w:bookmarkStart w:id="101" w:name="_Ref324141147"/>
      <w:bookmarkStart w:id="102" w:name="_Toc324172762"/>
      <w:r>
        <w:lastRenderedPageBreak/>
        <w:t>Staged Rollout Infrastructure</w:t>
      </w:r>
      <w:bookmarkEnd w:id="101"/>
      <w:bookmarkEnd w:id="102"/>
    </w:p>
    <w:p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which is distributed as Staged Rollout is a joint effort of the EGI Operations Community.</w:t>
      </w:r>
    </w:p>
    <w:p w:rsidR="00C50374" w:rsidRPr="006B4B32" w:rsidRDefault="00C50374" w:rsidP="00C50374">
      <w:r w:rsidRPr="006B4B32">
        <w:t>The process aims at collecting information about the performance of a new software release when deployed in a production environment,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rsidR="00C50374" w:rsidRDefault="00C50374" w:rsidP="00C50374">
      <w:r w:rsidRPr="006B4B32">
        <w:t xml:space="preserve">The Staged Rollout workflow introduced </w:t>
      </w:r>
      <w:r>
        <w:t xml:space="preserve">during PY1, was </w:t>
      </w:r>
      <w:r w:rsidRPr="006B4B32">
        <w:t>refined during the first year of EGI-InSPIRE, this has been done in parallel with the construction of the Staged Rollout infrastructure, which is being gradually expanding</w:t>
      </w:r>
      <w:r>
        <w:t xml:space="preserve"> reflecting the deployment needs of VRCs and NGIs</w:t>
      </w:r>
      <w:r w:rsidRPr="006B4B32">
        <w:t>.</w:t>
      </w:r>
    </w:p>
    <w:p w:rsidR="009F5D90" w:rsidRDefault="009F5D90" w:rsidP="009F5D90">
      <w:pPr>
        <w:pStyle w:val="Caption"/>
        <w:jc w:val="center"/>
      </w:pPr>
      <w:bookmarkStart w:id="103" w:name="_Ref324121736"/>
      <w:proofErr w:type="gramStart"/>
      <w:r>
        <w:t xml:space="preserve">Table </w:t>
      </w:r>
      <w:r>
        <w:fldChar w:fldCharType="begin"/>
      </w:r>
      <w:r>
        <w:instrText xml:space="preserve"> SEQ Table \* ARABIC </w:instrText>
      </w:r>
      <w:r>
        <w:fldChar w:fldCharType="separate"/>
      </w:r>
      <w:r w:rsidR="00AB3A0F">
        <w:rPr>
          <w:noProof/>
        </w:rPr>
        <w:t>11</w:t>
      </w:r>
      <w:r>
        <w:fldChar w:fldCharType="end"/>
      </w:r>
      <w:bookmarkEnd w:id="103"/>
      <w:r>
        <w:t>.</w:t>
      </w:r>
      <w:proofErr w:type="gramEnd"/>
      <w:r>
        <w:t xml:space="preserve"> </w:t>
      </w:r>
      <w:proofErr w:type="gramStart"/>
      <w:r w:rsidRPr="006B4B32">
        <w:t xml:space="preserve">Overview of EGI-InSPIRE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694"/>
        <w:gridCol w:w="1528"/>
        <w:gridCol w:w="1072"/>
        <w:gridCol w:w="594"/>
      </w:tblGrid>
      <w:tr w:rsidR="009F5D90" w:rsidRPr="006B4B32" w:rsidTr="006425FC">
        <w:trPr>
          <w:trHeight w:val="463"/>
          <w:jc w:val="center"/>
        </w:trPr>
        <w:tc>
          <w:tcPr>
            <w:tcW w:w="2590" w:type="dxa"/>
            <w:shd w:val="clear" w:color="auto" w:fill="D9D9D9"/>
            <w:vAlign w:val="center"/>
          </w:tcPr>
          <w:p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PQ5</w:t>
            </w:r>
          </w:p>
          <w:p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PQ6</w:t>
            </w:r>
          </w:p>
          <w:p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rsidR="009F5D90" w:rsidRDefault="009F5D90" w:rsidP="009B1455">
            <w:pPr>
              <w:spacing w:before="80"/>
              <w:jc w:val="center"/>
              <w:rPr>
                <w:b/>
                <w:sz w:val="20"/>
                <w:szCs w:val="18"/>
                <w:highlight w:val="lightGray"/>
              </w:rPr>
            </w:pPr>
            <w:r>
              <w:rPr>
                <w:b/>
                <w:sz w:val="20"/>
                <w:szCs w:val="18"/>
                <w:highlight w:val="lightGray"/>
              </w:rPr>
              <w:t>PQ7</w:t>
            </w:r>
          </w:p>
          <w:p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rsidR="009F5D90" w:rsidRDefault="009F5D90" w:rsidP="009B1455">
            <w:pPr>
              <w:spacing w:before="80"/>
              <w:jc w:val="center"/>
              <w:rPr>
                <w:b/>
                <w:sz w:val="20"/>
                <w:szCs w:val="18"/>
                <w:highlight w:val="lightGray"/>
              </w:rPr>
            </w:pPr>
            <w:r>
              <w:rPr>
                <w:b/>
                <w:sz w:val="20"/>
                <w:szCs w:val="18"/>
                <w:highlight w:val="lightGray"/>
              </w:rPr>
              <w:t>PQ8</w:t>
            </w:r>
          </w:p>
        </w:tc>
      </w:tr>
      <w:tr w:rsidR="009F5D90" w:rsidRPr="006B4B32" w:rsidTr="006425FC">
        <w:trPr>
          <w:trHeight w:hRule="exac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rsidR="009F5D90" w:rsidRPr="006B4B32" w:rsidRDefault="009F5D90" w:rsidP="009B1455">
            <w:pPr>
              <w:spacing w:before="80"/>
              <w:jc w:val="center"/>
              <w:rPr>
                <w:sz w:val="18"/>
                <w:szCs w:val="18"/>
              </w:rPr>
            </w:pPr>
            <w:r>
              <w:rPr>
                <w:sz w:val="18"/>
                <w:szCs w:val="18"/>
              </w:rPr>
              <w:t>54/2</w:t>
            </w:r>
          </w:p>
        </w:tc>
        <w:tc>
          <w:tcPr>
            <w:tcW w:w="1528" w:type="dxa"/>
            <w:vAlign w:val="center"/>
          </w:tcPr>
          <w:p w:rsidR="009F5D90" w:rsidRPr="006B4B32" w:rsidRDefault="009F5D90" w:rsidP="009B1455">
            <w:pPr>
              <w:spacing w:before="80"/>
              <w:jc w:val="center"/>
              <w:rPr>
                <w:sz w:val="18"/>
                <w:szCs w:val="18"/>
              </w:rPr>
            </w:pPr>
            <w:r>
              <w:rPr>
                <w:sz w:val="18"/>
                <w:szCs w:val="18"/>
              </w:rPr>
              <w:t>30/3</w:t>
            </w:r>
          </w:p>
        </w:tc>
        <w:tc>
          <w:tcPr>
            <w:tcW w:w="1072" w:type="dxa"/>
            <w:vAlign w:val="center"/>
          </w:tcPr>
          <w:p w:rsidR="009F5D90" w:rsidRPr="006B4B32" w:rsidRDefault="009F5D90" w:rsidP="009B1455">
            <w:pPr>
              <w:spacing w:before="80"/>
              <w:jc w:val="center"/>
              <w:rPr>
                <w:sz w:val="18"/>
                <w:szCs w:val="18"/>
              </w:rPr>
            </w:pPr>
            <w:r>
              <w:rPr>
                <w:sz w:val="18"/>
                <w:szCs w:val="18"/>
              </w:rPr>
              <w:t>30/3</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rsidR="009F5D90" w:rsidRPr="006B4B32" w:rsidRDefault="009F5D90" w:rsidP="009B1455">
            <w:pPr>
              <w:spacing w:before="80"/>
              <w:jc w:val="center"/>
              <w:rPr>
                <w:sz w:val="18"/>
                <w:szCs w:val="18"/>
              </w:rPr>
            </w:pPr>
            <w:r>
              <w:rPr>
                <w:sz w:val="18"/>
                <w:szCs w:val="18"/>
              </w:rPr>
              <w:t>81</w:t>
            </w:r>
          </w:p>
        </w:tc>
        <w:tc>
          <w:tcPr>
            <w:tcW w:w="1528" w:type="dxa"/>
            <w:vAlign w:val="center"/>
          </w:tcPr>
          <w:p w:rsidR="009F5D90" w:rsidRPr="006B4B32" w:rsidRDefault="009F5D90" w:rsidP="009B1455">
            <w:pPr>
              <w:spacing w:before="80"/>
              <w:jc w:val="center"/>
              <w:rPr>
                <w:sz w:val="18"/>
                <w:szCs w:val="18"/>
              </w:rPr>
            </w:pPr>
            <w:r>
              <w:rPr>
                <w:sz w:val="18"/>
                <w:szCs w:val="18"/>
              </w:rPr>
              <w:t>49</w:t>
            </w:r>
          </w:p>
        </w:tc>
        <w:tc>
          <w:tcPr>
            <w:tcW w:w="1072" w:type="dxa"/>
            <w:vAlign w:val="center"/>
          </w:tcPr>
          <w:p w:rsidR="009F5D90" w:rsidRPr="006B4B32" w:rsidRDefault="009F5D90" w:rsidP="009B1455">
            <w:pPr>
              <w:spacing w:before="80"/>
              <w:jc w:val="center"/>
              <w:rPr>
                <w:sz w:val="18"/>
                <w:szCs w:val="18"/>
              </w:rPr>
            </w:pPr>
            <w:r>
              <w:rPr>
                <w:sz w:val="18"/>
                <w:szCs w:val="18"/>
              </w:rPr>
              <w:t>50</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r w:rsidR="009F5D90" w:rsidRPr="006B4B32" w:rsidTr="006425FC">
        <w:trPr>
          <w:trHeight w:val="648"/>
          <w:jc w:val="center"/>
        </w:trPr>
        <w:tc>
          <w:tcPr>
            <w:tcW w:w="2590" w:type="dxa"/>
            <w:shd w:val="clear" w:color="auto" w:fill="F2F2F2"/>
            <w:vAlign w:val="center"/>
            <w:hideMark/>
          </w:tcPr>
          <w:p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rsidR="009F5D90" w:rsidRPr="006B4B32" w:rsidRDefault="009F5D90" w:rsidP="009B1455">
            <w:pPr>
              <w:spacing w:before="80"/>
              <w:jc w:val="center"/>
              <w:rPr>
                <w:sz w:val="18"/>
                <w:szCs w:val="18"/>
              </w:rPr>
            </w:pPr>
            <w:r>
              <w:rPr>
                <w:sz w:val="18"/>
                <w:szCs w:val="18"/>
              </w:rPr>
              <w:t>46</w:t>
            </w:r>
          </w:p>
        </w:tc>
        <w:tc>
          <w:tcPr>
            <w:tcW w:w="1528" w:type="dxa"/>
            <w:vAlign w:val="center"/>
          </w:tcPr>
          <w:p w:rsidR="009F5D90" w:rsidRPr="006B4B32" w:rsidRDefault="009F5D90" w:rsidP="009B1455">
            <w:pPr>
              <w:spacing w:before="80"/>
              <w:jc w:val="center"/>
              <w:rPr>
                <w:sz w:val="18"/>
                <w:szCs w:val="18"/>
              </w:rPr>
            </w:pPr>
            <w:r>
              <w:rPr>
                <w:sz w:val="18"/>
                <w:szCs w:val="18"/>
              </w:rPr>
              <w:t>52</w:t>
            </w:r>
          </w:p>
        </w:tc>
        <w:tc>
          <w:tcPr>
            <w:tcW w:w="1072" w:type="dxa"/>
            <w:vAlign w:val="center"/>
          </w:tcPr>
          <w:p w:rsidR="009F5D90" w:rsidRPr="006B4B32" w:rsidRDefault="009F5D90" w:rsidP="009B1455">
            <w:pPr>
              <w:spacing w:before="80"/>
              <w:jc w:val="center"/>
              <w:rPr>
                <w:sz w:val="18"/>
                <w:szCs w:val="18"/>
              </w:rPr>
            </w:pPr>
            <w:r>
              <w:rPr>
                <w:sz w:val="18"/>
                <w:szCs w:val="18"/>
              </w:rPr>
              <w:t>56</w:t>
            </w:r>
          </w:p>
        </w:tc>
        <w:tc>
          <w:tcPr>
            <w:tcW w:w="594" w:type="dxa"/>
          </w:tcPr>
          <w:p w:rsidR="009F5D90" w:rsidRDefault="00946F50" w:rsidP="009B1455">
            <w:pPr>
              <w:spacing w:before="80"/>
              <w:jc w:val="center"/>
              <w:rPr>
                <w:sz w:val="18"/>
                <w:szCs w:val="18"/>
              </w:rPr>
            </w:pPr>
            <w:r w:rsidRPr="00946F50">
              <w:rPr>
                <w:sz w:val="18"/>
                <w:szCs w:val="18"/>
                <w:highlight w:val="yellow"/>
              </w:rPr>
              <w:t>TBD</w:t>
            </w:r>
          </w:p>
        </w:tc>
      </w:tr>
    </w:tbl>
    <w:p w:rsidR="001601BF" w:rsidRDefault="001601BF" w:rsidP="00C50374">
      <w:r>
        <w:t xml:space="preserve">As shown in </w:t>
      </w:r>
      <w:r>
        <w:fldChar w:fldCharType="begin"/>
      </w:r>
      <w:r>
        <w:instrText xml:space="preserve"> REF _Ref324121736 \h </w:instrText>
      </w:r>
      <w:r>
        <w:fldChar w:fldCharType="separate"/>
      </w:r>
      <w:r w:rsidR="00AB3A0F">
        <w:t xml:space="preserve">Table </w:t>
      </w:r>
      <w:r w:rsidR="00AB3A0F">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Early Adopters has been progressively increasing to test a growing set of products from EMI</w:t>
      </w:r>
      <w:r w:rsidR="00A24A20">
        <w:t>,</w:t>
      </w:r>
      <w:r>
        <w:t xml:space="preserve"> IGE</w:t>
      </w:r>
      <w:r w:rsidR="00A24A20">
        <w:t xml:space="preserve"> and EGI-InSPIRE JRA1 (operational tools)</w:t>
      </w:r>
      <w:r w:rsidR="006425FC">
        <w:t>, and it currently amount to 56 teams</w:t>
      </w:r>
      <w:r>
        <w:t>.</w:t>
      </w:r>
    </w:p>
    <w:p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AB3A0F">
        <w:t xml:space="preserve">Figure </w:t>
      </w:r>
      <w:r w:rsidR="00AB3A0F">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rsidR="00C50374" w:rsidRDefault="00043028" w:rsidP="009F5D90">
      <w:pPr>
        <w:jc w:val="center"/>
      </w:pPr>
      <w:r>
        <w:rPr>
          <w:noProof/>
          <w:lang w:eastAsia="en-GB"/>
        </w:rPr>
        <w:lastRenderedPageBreak/>
        <w:drawing>
          <wp:inline distT="0" distB="0" distL="0" distR="0" wp14:anchorId="1843EB15" wp14:editId="009E44D9">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rsidR="009F5D90" w:rsidRPr="00C50374" w:rsidRDefault="009F5D90" w:rsidP="009F5D90">
      <w:pPr>
        <w:pStyle w:val="Caption"/>
        <w:jc w:val="center"/>
      </w:pPr>
      <w:bookmarkStart w:id="104" w:name="_Ref324122627"/>
      <w:bookmarkStart w:id="105" w:name="_Ref324122641"/>
      <w:bookmarkStart w:id="106" w:name="_Toc324172842"/>
      <w:proofErr w:type="gramStart"/>
      <w:r>
        <w:t xml:space="preserve">Figure </w:t>
      </w:r>
      <w:r>
        <w:fldChar w:fldCharType="begin"/>
      </w:r>
      <w:r>
        <w:instrText xml:space="preserve"> SEQ Figure \* ARABIC </w:instrText>
      </w:r>
      <w:r>
        <w:fldChar w:fldCharType="separate"/>
      </w:r>
      <w:r w:rsidR="00AB3A0F">
        <w:rPr>
          <w:noProof/>
        </w:rPr>
        <w:t>24</w:t>
      </w:r>
      <w:r>
        <w:fldChar w:fldCharType="end"/>
      </w:r>
      <w:bookmarkEnd w:id="105"/>
      <w:r>
        <w:t>.</w:t>
      </w:r>
      <w:proofErr w:type="gramEnd"/>
      <w:r>
        <w:t xml:space="preserve"> Number of Staged Rollout tests performed from PQ1 to PQ8 by NGIs/EIROs.</w:t>
      </w:r>
      <w:bookmarkEnd w:id="104"/>
      <w:bookmarkEnd w:id="106"/>
    </w:p>
    <w:p w:rsidR="008633B1" w:rsidRDefault="008633B1" w:rsidP="008633B1">
      <w:pPr>
        <w:pStyle w:val="Heading1"/>
      </w:pPr>
      <w:bookmarkStart w:id="107" w:name="_Ref324141153"/>
      <w:bookmarkStart w:id="108" w:name="_Toc324172763"/>
      <w:r>
        <w:lastRenderedPageBreak/>
        <w:t>Conclusions and Future Work</w:t>
      </w:r>
      <w:bookmarkEnd w:id="107"/>
      <w:bookmarkEnd w:id="108"/>
    </w:p>
    <w:p w:rsidR="004C2302" w:rsidRDefault="004C2302" w:rsidP="004C2302">
      <w:pPr>
        <w:rPr>
          <w:rFonts w:eastAsia="Cambria"/>
          <w:lang w:eastAsia="en-GB"/>
        </w:rPr>
      </w:pPr>
      <w:r>
        <w:rPr>
          <w:rFonts w:eastAsia="Cambria"/>
          <w:lang w:eastAsia="en-GB"/>
        </w:rPr>
        <w:t>The Resource Infrastructure status satisfactorily met the infrastructure targets defined for the first year of EGI-InSPIRE (number of RCs integrated</w:t>
      </w:r>
      <w:r w:rsidR="00063388">
        <w:rPr>
          <w:rFonts w:eastAsia="Cambria"/>
          <w:lang w:eastAsia="en-GB"/>
        </w:rPr>
        <w:t xml:space="preserve"> with -1.21% </w:t>
      </w:r>
      <w:proofErr w:type="gramStart"/>
      <w:r w:rsidR="00063388">
        <w:rPr>
          <w:rFonts w:eastAsia="Cambria"/>
          <w:lang w:eastAsia="en-GB"/>
        </w:rPr>
        <w:t>deviation</w:t>
      </w:r>
      <w:proofErr w:type="gramEnd"/>
      <w:r>
        <w:rPr>
          <w:rFonts w:eastAsia="Cambria"/>
          <w:lang w:eastAsia="en-GB"/>
        </w:rPr>
        <w:t>, number of job slots offered, EGI monthly reliability, usage, MPI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is currently under finalization</w:t>
      </w:r>
      <w:r>
        <w:rPr>
          <w:rFonts w:eastAsia="Cambria"/>
          <w:lang w:eastAsia="en-GB"/>
        </w:rPr>
        <w:t xml:space="preserve">. </w:t>
      </w:r>
    </w:p>
    <w:p w:rsidR="004C2302" w:rsidRDefault="004C2302" w:rsidP="00F65D34">
      <w:pPr>
        <w:numPr>
          <w:ilvl w:val="0"/>
          <w:numId w:val="14"/>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rsidR="004C2302" w:rsidRDefault="004C2302" w:rsidP="00063388">
      <w:pPr>
        <w:ind w:left="720"/>
        <w:rPr>
          <w:rFonts w:eastAsia="Cambria"/>
          <w:lang w:eastAsia="en-GB"/>
        </w:rPr>
      </w:pPr>
      <w:r>
        <w:rPr>
          <w:rFonts w:eastAsia="Cambria"/>
          <w:lang w:eastAsia="en-GB"/>
        </w:rPr>
        <w:t>This objective was successfully met</w:t>
      </w:r>
      <w:r w:rsidR="00063388">
        <w:rPr>
          <w:rFonts w:eastAsia="Cambria"/>
          <w:lang w:eastAsia="en-GB"/>
        </w:rPr>
        <w:t xml:space="preserve"> by completing the </w:t>
      </w:r>
      <w:r>
        <w:rPr>
          <w:rFonts w:eastAsia="Cambria"/>
          <w:lang w:eastAsia="en-GB"/>
        </w:rPr>
        <w:t xml:space="preserve">transition process </w:t>
      </w:r>
      <w:r w:rsidR="00063388">
        <w:rPr>
          <w:rFonts w:eastAsia="Cambria"/>
          <w:lang w:eastAsia="en-GB"/>
        </w:rPr>
        <w:t xml:space="preserve">started in PY1 </w:t>
      </w:r>
      <w:r>
        <w:rPr>
          <w:rFonts w:eastAsia="Cambria"/>
          <w:lang w:eastAsia="en-GB"/>
        </w:rPr>
        <w:t xml:space="preserve">that evolved the </w:t>
      </w:r>
      <w:r w:rsidR="00063388">
        <w:rPr>
          <w:rFonts w:eastAsia="Cambria"/>
          <w:lang w:eastAsia="en-GB"/>
        </w:rPr>
        <w:t>EGEE</w:t>
      </w:r>
      <w:r>
        <w:rPr>
          <w:rFonts w:eastAsia="Cambria"/>
          <w:lang w:eastAsia="en-GB"/>
        </w:rPr>
        <w:t xml:space="preserve"> federated Operations </w:t>
      </w:r>
      <w:r w:rsidR="00063388">
        <w:rPr>
          <w:rFonts w:eastAsia="Cambria"/>
          <w:lang w:eastAsia="en-GB"/>
        </w:rPr>
        <w:t>Centre</w:t>
      </w:r>
      <w:r>
        <w:rPr>
          <w:rFonts w:eastAsia="Cambria"/>
          <w:lang w:eastAsia="en-GB"/>
        </w:rPr>
        <w:t xml:space="preserve"> into </w:t>
      </w:r>
      <w:r w:rsidR="00063388">
        <w:rPr>
          <w:rFonts w:eastAsia="Cambria"/>
          <w:sz w:val="21"/>
          <w:szCs w:val="21"/>
          <w:lang w:eastAsia="en-GB"/>
        </w:rPr>
        <w:t>independent</w:t>
      </w:r>
      <w:r w:rsidRPr="006B4B32">
        <w:rPr>
          <w:rFonts w:eastAsia="Cambria"/>
          <w:sz w:val="21"/>
          <w:szCs w:val="21"/>
          <w:lang w:eastAsia="en-GB"/>
        </w:rPr>
        <w:t xml:space="preserve"> NGIs</w:t>
      </w:r>
      <w:r>
        <w:rPr>
          <w:rFonts w:eastAsia="Cambria"/>
          <w:sz w:val="21"/>
          <w:szCs w:val="21"/>
          <w:lang w:eastAsia="en-GB"/>
        </w:rPr>
        <w:t xml:space="preserve">. </w:t>
      </w:r>
      <w:r w:rsidR="00063388">
        <w:rPr>
          <w:rFonts w:eastAsia="Cambria"/>
          <w:sz w:val="21"/>
          <w:szCs w:val="21"/>
          <w:lang w:eastAsia="en-GB"/>
        </w:rPr>
        <w:t xml:space="preserve">Two new Resource infrastructure Provider MoUs were signed with </w:t>
      </w:r>
      <w:r w:rsidR="00063388">
        <w:t xml:space="preserve">the South African Grid Initiative </w:t>
      </w:r>
      <w:r w:rsidR="001C71C9">
        <w:t>and the Ukrainian National Grid;</w:t>
      </w:r>
      <w:r w:rsidR="00063388">
        <w:t xml:space="preserve"> expansion in </w:t>
      </w:r>
      <w:r w:rsidR="001C71C9">
        <w:t>these</w:t>
      </w:r>
      <w:r w:rsidR="00063388">
        <w:t xml:space="preserve"> regions is expected in PY3. Moldova became operational in March 2012, and </w:t>
      </w:r>
      <w:r w:rsidR="001C71C9">
        <w:t>a grid infrastructure is emerging</w:t>
      </w:r>
      <w:r w:rsidR="00063388">
        <w:t xml:space="preserve"> in Azerbaijan.</w:t>
      </w:r>
      <w:r w:rsidR="00063388">
        <w:rPr>
          <w:rFonts w:eastAsia="Cambria"/>
          <w:sz w:val="21"/>
          <w:szCs w:val="21"/>
          <w:lang w:eastAsia="en-GB"/>
        </w:rPr>
        <w:t xml:space="preserve"> In PQ2</w:t>
      </w:r>
      <w:r>
        <w:rPr>
          <w:rFonts w:eastAsia="Cambria"/>
          <w:sz w:val="21"/>
          <w:szCs w:val="21"/>
          <w:lang w:eastAsia="en-GB"/>
        </w:rPr>
        <w:t xml:space="preserve"> the </w:t>
      </w:r>
      <w:r w:rsidR="00063388">
        <w:rPr>
          <w:rFonts w:eastAsia="Cambria"/>
          <w:sz w:val="21"/>
          <w:szCs w:val="21"/>
          <w:lang w:eastAsia="en-GB"/>
        </w:rPr>
        <w:t xml:space="preserve">number of production RCs increased to 352. The </w:t>
      </w:r>
      <w:r>
        <w:rPr>
          <w:rFonts w:eastAsia="Cambria"/>
          <w:sz w:val="21"/>
          <w:szCs w:val="21"/>
          <w:lang w:eastAsia="en-GB"/>
        </w:rPr>
        <w:t xml:space="preserve">installed capacity and Resource Centres </w:t>
      </w:r>
      <w:r w:rsidR="00063388">
        <w:rPr>
          <w:rFonts w:eastAsia="Cambria"/>
          <w:sz w:val="21"/>
          <w:szCs w:val="21"/>
          <w:lang w:eastAsia="en-GB"/>
        </w:rPr>
        <w:t xml:space="preserve">grew considerably to comprise </w:t>
      </w:r>
      <w:r w:rsidR="00063388">
        <w:t>270,800 logical cores (</w:t>
      </w:r>
      <w:r w:rsidR="001C71C9">
        <w:t>+</w:t>
      </w:r>
      <w:r w:rsidR="00063388">
        <w:t>30.7% yearly increase), 2.96 Million HEP-SPEC 06 (+49.5%), 139 PB of disk space (+31.4%) and 134.3</w:t>
      </w:r>
      <w:r w:rsidR="00063388" w:rsidRPr="006B4B32">
        <w:t xml:space="preserve"> PB </w:t>
      </w:r>
      <w:r w:rsidR="00063388">
        <w:t>of tape (+50%)</w:t>
      </w:r>
      <w:r>
        <w:rPr>
          <w:rFonts w:eastAsia="Cambria"/>
          <w:sz w:val="21"/>
          <w:szCs w:val="21"/>
          <w:lang w:eastAsia="en-GB"/>
        </w:rPr>
        <w:t xml:space="preserve">. During </w:t>
      </w:r>
      <w:r w:rsidR="00063388">
        <w:rPr>
          <w:rFonts w:eastAsia="Cambria"/>
          <w:sz w:val="21"/>
          <w:szCs w:val="21"/>
          <w:lang w:eastAsia="en-GB"/>
        </w:rPr>
        <w:t xml:space="preserve">PY3 </w:t>
      </w:r>
      <w:r w:rsidR="00063388">
        <w:t xml:space="preserve">expansion will be mainly driven by the integration of new providers and </w:t>
      </w:r>
      <w:r w:rsidR="001C71C9">
        <w:t>will depend on the</w:t>
      </w:r>
      <w:r w:rsidR="00063388">
        <w:t xml:space="preserve"> capability of integrating new software platforms</w:t>
      </w:r>
      <w:r>
        <w:rPr>
          <w:rFonts w:eastAsia="Cambria"/>
          <w:sz w:val="21"/>
          <w:szCs w:val="21"/>
          <w:lang w:eastAsia="en-GB"/>
        </w:rPr>
        <w:t>.</w:t>
      </w:r>
      <w:r w:rsidR="001C71C9">
        <w:rPr>
          <w:rFonts w:eastAsia="Cambria"/>
          <w:sz w:val="21"/>
          <w:szCs w:val="21"/>
          <w:lang w:eastAsia="en-GB"/>
        </w:rPr>
        <w:t xml:space="preserve"> The average EGI Availability and </w:t>
      </w:r>
      <w:r w:rsidR="00B86A2B">
        <w:rPr>
          <w:rFonts w:eastAsia="Cambria"/>
          <w:sz w:val="21"/>
          <w:szCs w:val="21"/>
          <w:lang w:eastAsia="en-GB"/>
        </w:rPr>
        <w:t>Reliability</w:t>
      </w:r>
      <w:r w:rsidR="00B86A2B">
        <w:t xml:space="preserve"> from May 2011 to March 2012 are 94.50%</w:t>
      </w:r>
      <w:r w:rsidR="001C71C9">
        <w:t xml:space="preserve"> and </w:t>
      </w:r>
      <w:r w:rsidR="00B86A2B">
        <w:t>95.42%</w:t>
      </w:r>
      <w:r w:rsidR="001C71C9">
        <w:t xml:space="preserve"> respectively</w:t>
      </w:r>
      <w:r w:rsidR="00B86A2B">
        <w:t>. PY2</w:t>
      </w:r>
      <w:r w:rsidR="00492372">
        <w:t xml:space="preserve"> </w:t>
      </w:r>
      <w:r w:rsidR="00B86A2B">
        <w:t xml:space="preserve">yearly </w:t>
      </w:r>
      <w:r w:rsidR="00492372">
        <w:t xml:space="preserve">EGI </w:t>
      </w:r>
      <w:r w:rsidR="00B86A2B">
        <w:t>averaged Availability</w:t>
      </w:r>
      <w:r w:rsidR="00421685">
        <w:t xml:space="preserve"> increased</w:t>
      </w:r>
      <w:r w:rsidR="00B86A2B">
        <w:t xml:space="preserve"> by </w:t>
      </w:r>
      <w:r w:rsidR="00421685">
        <w:t>+</w:t>
      </w:r>
      <w:r w:rsidR="00B86A2B">
        <w:t>1</w:t>
      </w:r>
      <w:r w:rsidR="00421685">
        <w:t>.8</w:t>
      </w:r>
      <w:r w:rsidR="00B86A2B">
        <w:t>%</w:t>
      </w:r>
      <w:r w:rsidR="00421685">
        <w:t>, and Reliability by 1.5%</w:t>
      </w:r>
      <w:r w:rsidR="00B86A2B">
        <w:t>.</w:t>
      </w:r>
      <w:r w:rsidR="00C95A7B">
        <w:t xml:space="preserve"> </w:t>
      </w:r>
      <w:r w:rsidR="00C95A7B">
        <w:rPr>
          <w:rStyle w:val="st"/>
        </w:rPr>
        <w:t xml:space="preserve">A support action was </w:t>
      </w:r>
      <w:r w:rsidR="00492372">
        <w:rPr>
          <w:rStyle w:val="st"/>
        </w:rPr>
        <w:t>launched</w:t>
      </w:r>
      <w:r w:rsidR="00C95A7B">
        <w:rPr>
          <w:rStyle w:val="st"/>
        </w:rPr>
        <w:t xml:space="preserve"> in PQ6 in collaboration with the Greek JRU to technically support </w:t>
      </w:r>
      <w:r w:rsidR="00492372">
        <w:rPr>
          <w:rStyle w:val="st"/>
        </w:rPr>
        <w:t xml:space="preserve">several </w:t>
      </w:r>
      <w:r w:rsidR="00C95A7B">
        <w:rPr>
          <w:rStyle w:val="st"/>
        </w:rPr>
        <w:t>infrastructures</w:t>
      </w:r>
      <w:r w:rsidR="001C71C9">
        <w:rPr>
          <w:rStyle w:val="st"/>
        </w:rPr>
        <w:t xml:space="preserve"> </w:t>
      </w:r>
      <w:r w:rsidR="00492372">
        <w:rPr>
          <w:rStyle w:val="st"/>
        </w:rPr>
        <w:t>requiring</w:t>
      </w:r>
      <w:r w:rsidR="001C71C9">
        <w:rPr>
          <w:rStyle w:val="st"/>
        </w:rPr>
        <w:t xml:space="preserve"> consolidation.</w:t>
      </w:r>
    </w:p>
    <w:p w:rsidR="00C963ED" w:rsidRPr="00FB1A3C" w:rsidRDefault="00C963ED" w:rsidP="00F65D34">
      <w:pPr>
        <w:numPr>
          <w:ilvl w:val="0"/>
          <w:numId w:val="14"/>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rsidR="00FB1A3C" w:rsidRDefault="00FB1A3C" w:rsidP="00FB1A3C">
      <w:pPr>
        <w:ind w:left="720"/>
      </w:pPr>
      <w:r>
        <w:rPr>
          <w:noProof/>
          <w:lang w:eastAsia="en-GB"/>
        </w:rPr>
        <w:t xml:space="preserve">Overall resource utilization has been satisfactorily progressing confirming the trends of PY1. The yearly increase of the total number of jobs executed in the infrastructure in the period May 2011-April 2012 amounts to +46.42% of the yearly job workload done from May 2010 to April 2011. </w:t>
      </w:r>
      <w:r w:rsidRPr="006B4B32">
        <w:rPr>
          <w:rFonts w:eastAsia="Cambria"/>
          <w:lang w:eastAsia="en-GB"/>
        </w:rPr>
        <w:t xml:space="preserve">The </w:t>
      </w:r>
      <w:r>
        <w:rPr>
          <w:rFonts w:eastAsia="Cambria"/>
          <w:lang w:eastAsia="en-GB"/>
        </w:rPr>
        <w:t>PY2 overall quantity of EGI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PY2 workload was generated by 492.5 Million jobs </w:t>
      </w:r>
      <w:proofErr w:type="gramStart"/>
      <w:r>
        <w:rPr>
          <w:rFonts w:eastAsia="Cambria"/>
          <w:lang w:eastAsia="en-GB"/>
        </w:rPr>
        <w:t>(1.35 Million Job/day on average)</w:t>
      </w:r>
      <w:proofErr w:type="gramEnd"/>
      <w:r>
        <w:rPr>
          <w:rFonts w:eastAsia="Cambria"/>
          <w:lang w:eastAsia="en-GB"/>
        </w:rPr>
        <w:t xml:space="preserve">. </w:t>
      </w:r>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the used normalized CPU wall time increased from 91.13% (April 2011) to 93.60% (April 2012) of the overall amount of EGI resources used. In particular, the used normalized CPU wall time yearly increased by +48.82%, while the job rate yearly increased by +57.06%. Astronomy Astrophysics and </w:t>
      </w:r>
      <w:proofErr w:type="spellStart"/>
      <w:r>
        <w:t>Astro</w:t>
      </w:r>
      <w:proofErr w:type="spellEnd"/>
      <w:r>
        <w:t xml:space="preserve">-particle Physics are the second community in terms of used normalized CPU wall clock time, which now amounts to 2.25% of the overall EGI used CPU wall clock time, showing a </w:t>
      </w:r>
      <w:r>
        <w:lastRenderedPageBreak/>
        <w:t>+117.79% yearly increase from April 2011. Life Sciences are the third community for usage (1.30% of the overall EGI used normalized CPU time).</w:t>
      </w:r>
    </w:p>
    <w:p w:rsidR="0056603B" w:rsidRPr="00D90F39" w:rsidRDefault="0056603B" w:rsidP="00D90F39">
      <w:pPr>
        <w:ind w:left="720"/>
      </w:pPr>
    </w:p>
    <w:p w:rsidR="004C2302" w:rsidRPr="00904B8F" w:rsidRDefault="004C2302" w:rsidP="00F65D34">
      <w:pPr>
        <w:numPr>
          <w:ilvl w:val="0"/>
          <w:numId w:val="14"/>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rsidR="004C2302" w:rsidRDefault="00D90F39" w:rsidP="004C2302">
      <w:pPr>
        <w:ind w:left="720"/>
        <w:rPr>
          <w:rFonts w:eastAsia="Cambria"/>
          <w:i/>
          <w:lang w:eastAsia="en-GB"/>
        </w:rPr>
      </w:pPr>
      <w:r>
        <w:t>Currently the grid middleware stacks fully deployed in the infrastructure are: gLite, ARC, GLOBUS and UNICORE</w:t>
      </w:r>
      <w:r w:rsidR="004C2302">
        <w:rPr>
          <w:rFonts w:eastAsia="Cambria"/>
          <w:lang w:eastAsia="en-GB"/>
        </w:rPr>
        <w:t>.</w:t>
      </w:r>
      <w:r>
        <w:rPr>
          <w:rFonts w:eastAsia="Cambria"/>
          <w:lang w:eastAsia="en-GB"/>
        </w:rPr>
        <w:t xml:space="preserve"> </w:t>
      </w:r>
      <w:r w:rsidRPr="00A54BFB">
        <w:t>The integration of other software platforms is in progress</w:t>
      </w:r>
      <w:r>
        <w:t xml:space="preserve"> (Desktop Grids and </w:t>
      </w:r>
      <w:r w:rsidRPr="00A54BFB">
        <w:t>QCG/MAPPER software</w:t>
      </w:r>
      <w:r>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rsidR="004C2302" w:rsidRPr="00904B8F" w:rsidRDefault="004C2302" w:rsidP="00F65D34">
      <w:pPr>
        <w:numPr>
          <w:ilvl w:val="0"/>
          <w:numId w:val="14"/>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approved in October 2011 </w:t>
      </w:r>
      <w:r w:rsidR="004C2302">
        <w:rPr>
          <w:rFonts w:eastAsia="Cambria"/>
          <w:lang w:eastAsia="en-GB"/>
        </w:rPr>
        <w:t xml:space="preserve">to facilitate the exchange of operational services and the integration between the EGI-InSPIRE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MoUs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rsidR="004C2302" w:rsidRPr="00CE0473" w:rsidRDefault="004C2302" w:rsidP="00F65D34">
      <w:pPr>
        <w:numPr>
          <w:ilvl w:val="0"/>
          <w:numId w:val="14"/>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DCI technologies (e.g. clouds, volunteer desktop grids, etc.) and heterogeneous resources(e.g. HTC and HPC) into a seamless production infrastructure as they mature and demonstrate value to the EGI community</w:t>
      </w:r>
      <w:r w:rsidRPr="00CE0473">
        <w:rPr>
          <w:rFonts w:eastAsia="Cambria"/>
          <w:lang w:eastAsia="en-GB"/>
        </w:rPr>
        <w:t>.</w:t>
      </w:r>
    </w:p>
    <w:p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313621">
        <w:rPr>
          <w:rFonts w:eastAsia="Cambria"/>
          <w:lang w:eastAsia="en-GB"/>
        </w:rPr>
        <w:t>In addition, thanks to the collaboration with the MAPPER project, EGI operations are piloting the support of applications requiring a loosely and/or coupled usage of HTC resources from EGI and HTP resources from PRACE. Various are the disciplines that can benefit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A PRACE workshop was held in Munich during the Community Forum 2012</w:t>
      </w:r>
      <w:r w:rsidR="00313621">
        <w:rPr>
          <w:rStyle w:val="FootnoteReference"/>
          <w:rFonts w:eastAsia="Cambria"/>
          <w:lang w:eastAsia="en-GB"/>
        </w:rPr>
        <w:footnoteReference w:id="24"/>
      </w:r>
      <w:r w:rsidR="00645690">
        <w:rPr>
          <w:rFonts w:eastAsia="Cambria"/>
          <w:lang w:eastAsia="en-GB"/>
        </w:rPr>
        <w:t xml:space="preserve"> to discuss this, in order to understand what other user communities would benefit from coupled usage HPC and HTC resources.</w:t>
      </w:r>
      <w:r w:rsidR="00F934AC">
        <w:rPr>
          <w:rFonts w:eastAsia="Cambria"/>
          <w:lang w:eastAsia="en-GB"/>
        </w:rPr>
        <w:t xml:space="preserve"> The definition of the EGI/PRACE collaboration framework is in progress and various services are being </w:t>
      </w:r>
      <w:proofErr w:type="gramStart"/>
      <w:r w:rsidR="00F934AC">
        <w:rPr>
          <w:rFonts w:eastAsia="Cambria"/>
          <w:lang w:eastAsia="en-GB"/>
        </w:rPr>
        <w:t>investigate</w:t>
      </w:r>
      <w:proofErr w:type="gramEnd"/>
      <w:r w:rsidR="00F934AC">
        <w:rPr>
          <w:rFonts w:eastAsia="Cambria"/>
          <w:lang w:eastAsia="en-GB"/>
        </w:rPr>
        <w:t>.</w:t>
      </w:r>
    </w:p>
    <w:p w:rsidR="00207D16" w:rsidRPr="00371B32" w:rsidRDefault="00207D16" w:rsidP="001D5C64">
      <w:pPr>
        <w:pStyle w:val="Heading1"/>
      </w:pPr>
      <w:bookmarkStart w:id="109" w:name="_Toc324172764"/>
      <w:r w:rsidRPr="00371B32">
        <w:lastRenderedPageBreak/>
        <w:t>References</w:t>
      </w:r>
      <w:bookmarkEnd w:id="1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rsidTr="00452522">
        <w:tc>
          <w:tcPr>
            <w:tcW w:w="1101" w:type="dxa"/>
          </w:tcPr>
          <w:p w:rsidR="00467B40" w:rsidRDefault="00467B40" w:rsidP="00207D16">
            <w:pPr>
              <w:pStyle w:val="Caption"/>
            </w:pPr>
            <w:r>
              <w:t>APL</w:t>
            </w:r>
          </w:p>
        </w:tc>
        <w:tc>
          <w:tcPr>
            <w:tcW w:w="8179" w:type="dxa"/>
            <w:vAlign w:val="center"/>
          </w:tcPr>
          <w:p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rsidTr="00452522">
        <w:tc>
          <w:tcPr>
            <w:tcW w:w="1101" w:type="dxa"/>
          </w:tcPr>
          <w:p w:rsidR="00E10C0A" w:rsidRPr="00371B32" w:rsidRDefault="00E10C0A" w:rsidP="00207D16">
            <w:pPr>
              <w:pStyle w:val="Caption"/>
            </w:pPr>
            <w:r>
              <w:t>AVL</w:t>
            </w:r>
          </w:p>
        </w:tc>
        <w:tc>
          <w:tcPr>
            <w:tcW w:w="8179" w:type="dxa"/>
            <w:vAlign w:val="center"/>
          </w:tcPr>
          <w:p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D4099D" w:rsidRPr="00371B32" w:rsidTr="00452522">
        <w:tc>
          <w:tcPr>
            <w:tcW w:w="1101" w:type="dxa"/>
          </w:tcPr>
          <w:p w:rsidR="00D4099D" w:rsidRDefault="00D4099D" w:rsidP="00207D16">
            <w:pPr>
              <w:pStyle w:val="Caption"/>
            </w:pPr>
            <w:r>
              <w:t>D4.3</w:t>
            </w:r>
          </w:p>
        </w:tc>
        <w:tc>
          <w:tcPr>
            <w:tcW w:w="8179" w:type="dxa"/>
            <w:vAlign w:val="center"/>
          </w:tcPr>
          <w:p w:rsidR="000314DA" w:rsidRDefault="00D4099D" w:rsidP="00207D16">
            <w:pPr>
              <w:jc w:val="left"/>
            </w:pPr>
            <w:r w:rsidRPr="00D4099D">
              <w:t>EGI Operations Architecture: Grid Service Management Best Practices</w:t>
            </w:r>
            <w:r>
              <w:t>, EGI-InSPIRE Deliverable D</w:t>
            </w:r>
            <w:r w:rsidR="000314DA">
              <w:t>4.3, Dec 2011 (</w:t>
            </w:r>
            <w:hyperlink r:id="rId55" w:history="1">
              <w:r w:rsidR="000314DA" w:rsidRPr="002801AD">
                <w:rPr>
                  <w:rStyle w:val="Hyperlink"/>
                </w:rPr>
                <w:t>https://documents.egi.eu/document/763</w:t>
              </w:r>
            </w:hyperlink>
            <w:r w:rsidR="000314DA">
              <w:t>)</w:t>
            </w:r>
          </w:p>
        </w:tc>
      </w:tr>
      <w:tr w:rsidR="006D6F41" w:rsidRPr="00371B32" w:rsidTr="00452522">
        <w:tc>
          <w:tcPr>
            <w:tcW w:w="1101" w:type="dxa"/>
          </w:tcPr>
          <w:p w:rsidR="006D6F41" w:rsidRDefault="006D6F41" w:rsidP="00207D16">
            <w:pPr>
              <w:pStyle w:val="Caption"/>
            </w:pPr>
            <w:r>
              <w:t>D4.4</w:t>
            </w:r>
          </w:p>
        </w:tc>
        <w:tc>
          <w:tcPr>
            <w:tcW w:w="8179" w:type="dxa"/>
            <w:vAlign w:val="center"/>
          </w:tcPr>
          <w:p w:rsidR="006D6F41" w:rsidRPr="00D4099D" w:rsidRDefault="006D6F41" w:rsidP="00207D16">
            <w:pPr>
              <w:jc w:val="left"/>
            </w:pPr>
            <w:r w:rsidRPr="006D6F41">
              <w:t>Security Risk Assessment of the EGI Infrastructure</w:t>
            </w:r>
            <w:r>
              <w:t>, EGI-InSPIRE Deliverable D4.4, Nov 2011 (</w:t>
            </w:r>
            <w:hyperlink r:id="rId56" w:history="1">
              <w:r w:rsidRPr="002801AD">
                <w:rPr>
                  <w:rStyle w:val="Hyperlink"/>
                </w:rPr>
                <w:t>https://documents.egi.eu/document/863</w:t>
              </w:r>
            </w:hyperlink>
            <w:r>
              <w:t>)</w:t>
            </w:r>
          </w:p>
        </w:tc>
      </w:tr>
      <w:tr w:rsidR="00D4099D" w:rsidRPr="00371B32" w:rsidTr="00452522">
        <w:tc>
          <w:tcPr>
            <w:tcW w:w="1101" w:type="dxa"/>
          </w:tcPr>
          <w:p w:rsidR="00D4099D" w:rsidRDefault="00D4099D" w:rsidP="00207D16">
            <w:pPr>
              <w:pStyle w:val="Caption"/>
            </w:pPr>
            <w:r>
              <w:t>D7.2</w:t>
            </w:r>
          </w:p>
        </w:tc>
        <w:tc>
          <w:tcPr>
            <w:tcW w:w="8179" w:type="dxa"/>
            <w:vAlign w:val="center"/>
          </w:tcPr>
          <w:p w:rsidR="00D4099D" w:rsidRDefault="00D4099D" w:rsidP="00207D16">
            <w:pPr>
              <w:jc w:val="left"/>
            </w:pPr>
            <w:r>
              <w:t>Annual Report on Operational Tool Maintenance, EGI-InSPIRE Deliverable D7.2</w:t>
            </w:r>
            <w:r w:rsidR="000314DA">
              <w:t>, March 2012</w:t>
            </w:r>
            <w:r>
              <w:t xml:space="preserve"> (</w:t>
            </w:r>
            <w:hyperlink r:id="rId57" w:history="1">
              <w:r w:rsidRPr="002801AD">
                <w:rPr>
                  <w:rStyle w:val="Hyperlink"/>
                </w:rPr>
                <w:t>https://documents.egi.eu/document/1063</w:t>
              </w:r>
            </w:hyperlink>
            <w:r>
              <w:t>)</w:t>
            </w:r>
          </w:p>
        </w:tc>
      </w:tr>
      <w:tr w:rsidR="004266E2" w:rsidRPr="00371B32" w:rsidTr="00452522">
        <w:tc>
          <w:tcPr>
            <w:tcW w:w="1101" w:type="dxa"/>
          </w:tcPr>
          <w:p w:rsidR="004266E2" w:rsidRDefault="004266E2" w:rsidP="00207D16">
            <w:pPr>
              <w:pStyle w:val="Caption"/>
            </w:pPr>
            <w:r>
              <w:t>DOC</w:t>
            </w:r>
          </w:p>
        </w:tc>
        <w:tc>
          <w:tcPr>
            <w:tcW w:w="8179" w:type="dxa"/>
            <w:vAlign w:val="center"/>
          </w:tcPr>
          <w:p w:rsidR="004266E2" w:rsidRDefault="004266E2" w:rsidP="00207D16">
            <w:pPr>
              <w:jc w:val="left"/>
            </w:pPr>
            <w:r>
              <w:t>EGI Documentation of VO Services (</w:t>
            </w:r>
            <w:hyperlink r:id="rId58" w:history="1">
              <w:r w:rsidRPr="002801AD">
                <w:rPr>
                  <w:rStyle w:val="Hyperlink"/>
                </w:rPr>
                <w:t>https://wiki.egi.eu/wiki/VO_Services/Documentation</w:t>
              </w:r>
            </w:hyperlink>
            <w:r>
              <w:t>)</w:t>
            </w:r>
          </w:p>
        </w:tc>
      </w:tr>
      <w:tr w:rsidR="00870D46" w:rsidRPr="00371B32" w:rsidTr="00452522">
        <w:tc>
          <w:tcPr>
            <w:tcW w:w="1101" w:type="dxa"/>
          </w:tcPr>
          <w:p w:rsidR="00870D46" w:rsidRDefault="00870D46" w:rsidP="00207D16">
            <w:pPr>
              <w:pStyle w:val="Caption"/>
            </w:pPr>
            <w:r>
              <w:t>GLO</w:t>
            </w:r>
          </w:p>
        </w:tc>
        <w:tc>
          <w:tcPr>
            <w:tcW w:w="8179" w:type="dxa"/>
            <w:vAlign w:val="center"/>
          </w:tcPr>
          <w:p w:rsidR="00870D46" w:rsidRDefault="00870D46" w:rsidP="00207D16">
            <w:pPr>
              <w:jc w:val="left"/>
            </w:pPr>
            <w:r>
              <w:t>EGI Glossary (</w:t>
            </w:r>
            <w:hyperlink r:id="rId59" w:history="1">
              <w:r w:rsidRPr="002801AD">
                <w:rPr>
                  <w:rStyle w:val="Hyperlink"/>
                </w:rPr>
                <w:t>https://wiki.egi.eu/wiki/Glossary</w:t>
              </w:r>
            </w:hyperlink>
            <w:r>
              <w:t>)</w:t>
            </w:r>
          </w:p>
        </w:tc>
      </w:tr>
      <w:tr w:rsidR="00621C69" w:rsidRPr="00371B32" w:rsidTr="00452522">
        <w:tc>
          <w:tcPr>
            <w:tcW w:w="1101" w:type="dxa"/>
          </w:tcPr>
          <w:p w:rsidR="00621C69" w:rsidRDefault="00621C69" w:rsidP="00207D16">
            <w:pPr>
              <w:pStyle w:val="Caption"/>
            </w:pPr>
            <w:r>
              <w:t>GTR</w:t>
            </w:r>
          </w:p>
        </w:tc>
        <w:tc>
          <w:tcPr>
            <w:tcW w:w="8179" w:type="dxa"/>
            <w:vAlign w:val="center"/>
          </w:tcPr>
          <w:p w:rsidR="00621C69" w:rsidRDefault="00621C69" w:rsidP="00621C69">
            <w:pPr>
              <w:jc w:val="left"/>
            </w:pPr>
            <w:r>
              <w:t>EGI Global Task Review, EGI-InSPIRE Milestone MS115, March 2012 (</w:t>
            </w:r>
            <w:hyperlink r:id="rId60" w:history="1">
              <w:r w:rsidRPr="002801AD">
                <w:rPr>
                  <w:rStyle w:val="Hyperlink"/>
                </w:rPr>
                <w:t>https://documents.egi.eu/document/961</w:t>
              </w:r>
            </w:hyperlink>
            <w:r>
              <w:t>)</w:t>
            </w:r>
          </w:p>
        </w:tc>
      </w:tr>
      <w:tr w:rsidR="007C79AE" w:rsidRPr="00371B32" w:rsidTr="00452522">
        <w:tc>
          <w:tcPr>
            <w:tcW w:w="1101" w:type="dxa"/>
          </w:tcPr>
          <w:p w:rsidR="007C79AE" w:rsidRDefault="007C79AE" w:rsidP="00207D16">
            <w:pPr>
              <w:pStyle w:val="Caption"/>
            </w:pPr>
            <w:r>
              <w:t>HS06</w:t>
            </w:r>
          </w:p>
        </w:tc>
        <w:tc>
          <w:tcPr>
            <w:tcW w:w="8179" w:type="dxa"/>
            <w:vAlign w:val="center"/>
          </w:tcPr>
          <w:p w:rsidR="007C79AE" w:rsidRDefault="007C79AE" w:rsidP="00207D16">
            <w:pPr>
              <w:jc w:val="left"/>
            </w:pPr>
            <w:hyperlink r:id="rId61" w:history="1">
              <w:r w:rsidRPr="002801AD">
                <w:rPr>
                  <w:rStyle w:val="Hyperlink"/>
                </w:rPr>
                <w:t>https://wiki.egi.eu/wiki/HEP_SPEC06</w:t>
              </w:r>
            </w:hyperlink>
          </w:p>
        </w:tc>
      </w:tr>
      <w:tr w:rsidR="00AF69ED" w:rsidRPr="00371B32" w:rsidTr="00452522">
        <w:tc>
          <w:tcPr>
            <w:tcW w:w="1101" w:type="dxa"/>
          </w:tcPr>
          <w:p w:rsidR="00AF69ED" w:rsidRDefault="00AF69ED" w:rsidP="00207D16">
            <w:pPr>
              <w:pStyle w:val="Caption"/>
            </w:pPr>
            <w:r>
              <w:t>LFCB</w:t>
            </w:r>
          </w:p>
        </w:tc>
        <w:tc>
          <w:tcPr>
            <w:tcW w:w="8179" w:type="dxa"/>
            <w:vAlign w:val="center"/>
          </w:tcPr>
          <w:p w:rsidR="00DC23D8" w:rsidRDefault="00AF69ED" w:rsidP="00207D16">
            <w:pPr>
              <w:jc w:val="left"/>
            </w:pPr>
            <w:proofErr w:type="spellStart"/>
            <w:r>
              <w:t>LFCBrowseSE</w:t>
            </w:r>
            <w:proofErr w:type="spellEnd"/>
            <w:r>
              <w:t xml:space="preserve"> (</w:t>
            </w:r>
            <w:hyperlink r:id="rId62" w:history="1">
              <w:r w:rsidR="00DC23D8" w:rsidRPr="002801AD">
                <w:rPr>
                  <w:rStyle w:val="Hyperlink"/>
                </w:rPr>
                <w:t>http://wiki.healthgrid.org/Biomed-Shifts:LFCBrowseSE</w:t>
              </w:r>
            </w:hyperlink>
            <w:r w:rsidR="00DC23D8">
              <w:t>)</w:t>
            </w:r>
          </w:p>
        </w:tc>
      </w:tr>
      <w:tr w:rsidR="00F22481" w:rsidRPr="00371B32" w:rsidTr="00452522">
        <w:tc>
          <w:tcPr>
            <w:tcW w:w="1101" w:type="dxa"/>
          </w:tcPr>
          <w:p w:rsidR="00F22481" w:rsidRDefault="00F22481" w:rsidP="00207D16">
            <w:pPr>
              <w:pStyle w:val="Caption"/>
            </w:pPr>
            <w:r>
              <w:t>MAN05</w:t>
            </w:r>
          </w:p>
        </w:tc>
        <w:tc>
          <w:tcPr>
            <w:tcW w:w="8179" w:type="dxa"/>
            <w:vAlign w:val="center"/>
          </w:tcPr>
          <w:p w:rsidR="00F22481" w:rsidRDefault="00F22481" w:rsidP="00207D16">
            <w:pPr>
              <w:jc w:val="left"/>
            </w:pPr>
            <w:r>
              <w:t>Top-BDII High Availability, EGI Manual MAN05 (</w:t>
            </w:r>
            <w:hyperlink r:id="rId63" w:history="1">
              <w:r w:rsidRPr="00ED10B3">
                <w:rPr>
                  <w:rStyle w:val="Hyperlink"/>
                </w:rPr>
                <w:t>https://wiki.egi.eu/wiki/MAN05</w:t>
              </w:r>
            </w:hyperlink>
            <w:r>
              <w:t>)</w:t>
            </w:r>
          </w:p>
        </w:tc>
      </w:tr>
      <w:tr w:rsidR="003203AE" w:rsidRPr="00371B32" w:rsidTr="00452522">
        <w:tc>
          <w:tcPr>
            <w:tcW w:w="1101" w:type="dxa"/>
          </w:tcPr>
          <w:p w:rsidR="003203AE" w:rsidRDefault="003203AE" w:rsidP="00207D16">
            <w:pPr>
              <w:pStyle w:val="Caption"/>
            </w:pPr>
            <w:r>
              <w:t>MAP</w:t>
            </w:r>
          </w:p>
        </w:tc>
        <w:tc>
          <w:tcPr>
            <w:tcW w:w="8179" w:type="dxa"/>
            <w:vAlign w:val="center"/>
          </w:tcPr>
          <w:p w:rsidR="00DD29D9" w:rsidRDefault="00DD29D9" w:rsidP="00207D16">
            <w:pPr>
              <w:jc w:val="left"/>
            </w:pPr>
            <w:proofErr w:type="spellStart"/>
            <w:r>
              <w:t>Multiscale</w:t>
            </w:r>
            <w:proofErr w:type="spellEnd"/>
            <w:r>
              <w:t xml:space="preserve"> Applications on European e-Infrastructures (</w:t>
            </w:r>
            <w:hyperlink r:id="rId64" w:history="1">
              <w:r w:rsidRPr="002801AD">
                <w:rPr>
                  <w:rStyle w:val="Hyperlink"/>
                </w:rPr>
                <w:t>http://www.mapper-project.eu/</w:t>
              </w:r>
            </w:hyperlink>
            <w:r>
              <w:t>)</w:t>
            </w:r>
          </w:p>
        </w:tc>
      </w:tr>
      <w:tr w:rsidR="00D4099D" w:rsidTr="004C2302">
        <w:tc>
          <w:tcPr>
            <w:tcW w:w="1101" w:type="dxa"/>
          </w:tcPr>
          <w:p w:rsidR="00D4099D" w:rsidRDefault="00D4099D" w:rsidP="004C2302">
            <w:pPr>
              <w:pStyle w:val="Caption"/>
            </w:pPr>
            <w:r>
              <w:t>MS115</w:t>
            </w:r>
          </w:p>
        </w:tc>
        <w:tc>
          <w:tcPr>
            <w:tcW w:w="8179" w:type="dxa"/>
            <w:vAlign w:val="center"/>
          </w:tcPr>
          <w:p w:rsidR="00D4099D" w:rsidRDefault="00D4099D" w:rsidP="004C2302">
            <w:pPr>
              <w:jc w:val="left"/>
            </w:pPr>
            <w:r>
              <w:t>EGI Global Task Review, EGI-InSPIRE Milestone MS115, March 2012 (</w:t>
            </w:r>
            <w:hyperlink r:id="rId65" w:history="1">
              <w:r w:rsidRPr="002801AD">
                <w:rPr>
                  <w:rStyle w:val="Hyperlink"/>
                </w:rPr>
                <w:t>https://documents.egi.eu/document/961</w:t>
              </w:r>
            </w:hyperlink>
            <w:r>
              <w:t>)</w:t>
            </w:r>
          </w:p>
        </w:tc>
      </w:tr>
      <w:tr w:rsidR="00522571" w:rsidTr="004C2302">
        <w:tc>
          <w:tcPr>
            <w:tcW w:w="1101" w:type="dxa"/>
          </w:tcPr>
          <w:p w:rsidR="00522571" w:rsidRDefault="00522571" w:rsidP="004C2302">
            <w:pPr>
              <w:pStyle w:val="Caption"/>
            </w:pPr>
            <w:r>
              <w:t>MS116</w:t>
            </w:r>
          </w:p>
        </w:tc>
        <w:tc>
          <w:tcPr>
            <w:tcW w:w="8179" w:type="dxa"/>
            <w:vAlign w:val="center"/>
          </w:tcPr>
          <w:p w:rsidR="00522571" w:rsidRDefault="00522571" w:rsidP="004C2302">
            <w:pPr>
              <w:jc w:val="left"/>
            </w:pPr>
            <w:r>
              <w:t>EGI NGI International Task Review, EGI-InSPIRE Milestone MS116, March 2012 (</w:t>
            </w:r>
            <w:hyperlink r:id="rId66" w:history="1">
              <w:r w:rsidRPr="002801AD">
                <w:rPr>
                  <w:rStyle w:val="Hyperlink"/>
                </w:rPr>
                <w:t>https://documents.egi.eu/document/963</w:t>
              </w:r>
            </w:hyperlink>
            <w:r>
              <w:t>)</w:t>
            </w:r>
          </w:p>
        </w:tc>
      </w:tr>
      <w:tr w:rsidR="00522571" w:rsidTr="004C2302">
        <w:tc>
          <w:tcPr>
            <w:tcW w:w="1101" w:type="dxa"/>
          </w:tcPr>
          <w:p w:rsidR="00522571" w:rsidRDefault="00522571" w:rsidP="004C2302">
            <w:pPr>
              <w:pStyle w:val="Caption"/>
            </w:pPr>
            <w:r>
              <w:t>MS414</w:t>
            </w:r>
          </w:p>
        </w:tc>
        <w:tc>
          <w:tcPr>
            <w:tcW w:w="8179" w:type="dxa"/>
            <w:vAlign w:val="center"/>
          </w:tcPr>
          <w:p w:rsidR="00522571" w:rsidRDefault="00522571" w:rsidP="004C2302">
            <w:pPr>
              <w:jc w:val="left"/>
            </w:pPr>
            <w:r>
              <w:t>Integrating Resources into the EGI Production Infrastructure, EGI-InSPIRE Milestone MS414, Sep 2011 (</w:t>
            </w:r>
            <w:r w:rsidRPr="00522571">
              <w:t>https://documents.egi.eu/document/650</w:t>
            </w:r>
            <w:r>
              <w:t>)</w:t>
            </w:r>
          </w:p>
        </w:tc>
      </w:tr>
      <w:tr w:rsidR="00522571" w:rsidTr="004C2302">
        <w:tc>
          <w:tcPr>
            <w:tcW w:w="1101" w:type="dxa"/>
          </w:tcPr>
          <w:p w:rsidR="00522571" w:rsidRDefault="00522571" w:rsidP="004C2302">
            <w:pPr>
              <w:pStyle w:val="Caption"/>
            </w:pPr>
            <w:r>
              <w:t>MS418</w:t>
            </w:r>
          </w:p>
        </w:tc>
        <w:tc>
          <w:tcPr>
            <w:tcW w:w="8179" w:type="dxa"/>
            <w:vAlign w:val="center"/>
          </w:tcPr>
          <w:p w:rsidR="00522571" w:rsidRDefault="00522571" w:rsidP="004C2302">
            <w:pPr>
              <w:jc w:val="left"/>
            </w:pPr>
            <w:r w:rsidRPr="00522571">
              <w:t>Operational Level Agreements (OLAs) within the EGI production infrastructure</w:t>
            </w:r>
            <w:r>
              <w:t>, EGI-InSPIRE Milestone MS418, April 2012 (</w:t>
            </w:r>
            <w:hyperlink r:id="rId67" w:history="1">
              <w:r w:rsidRPr="002801AD">
                <w:rPr>
                  <w:rStyle w:val="Hyperlink"/>
                </w:rPr>
                <w:t>https://documents.egi.eu/document/1057</w:t>
              </w:r>
            </w:hyperlink>
            <w:r>
              <w:t>)</w:t>
            </w:r>
          </w:p>
        </w:tc>
      </w:tr>
      <w:tr w:rsidR="00E10C0A" w:rsidRPr="00371B32" w:rsidTr="00452522">
        <w:tc>
          <w:tcPr>
            <w:tcW w:w="1101" w:type="dxa"/>
          </w:tcPr>
          <w:p w:rsidR="00E10C0A" w:rsidRDefault="00E10C0A" w:rsidP="00207D16">
            <w:pPr>
              <w:pStyle w:val="Caption"/>
            </w:pPr>
            <w:r>
              <w:t>PERF</w:t>
            </w:r>
          </w:p>
        </w:tc>
        <w:tc>
          <w:tcPr>
            <w:tcW w:w="8179" w:type="dxa"/>
            <w:vAlign w:val="center"/>
          </w:tcPr>
          <w:p w:rsidR="00E10C0A" w:rsidRDefault="00E10C0A" w:rsidP="00207D16">
            <w:pPr>
              <w:jc w:val="left"/>
            </w:pPr>
            <w:r>
              <w:t>EGI service level monthly reports (</w:t>
            </w:r>
            <w:hyperlink r:id="rId68" w:history="1">
              <w:r w:rsidRPr="00062FF2">
                <w:rPr>
                  <w:rStyle w:val="Hyperlink"/>
                </w:rPr>
                <w:t>https://wiki.egi.eu/wiki/Performance</w:t>
              </w:r>
            </w:hyperlink>
            <w:r>
              <w:t>)</w:t>
            </w:r>
          </w:p>
        </w:tc>
      </w:tr>
      <w:tr w:rsidR="00FB1369" w:rsidRPr="00371B32" w:rsidTr="00452522">
        <w:tc>
          <w:tcPr>
            <w:tcW w:w="1101" w:type="dxa"/>
          </w:tcPr>
          <w:p w:rsidR="00FB1369" w:rsidRDefault="00FB1369" w:rsidP="00207D16">
            <w:pPr>
              <w:pStyle w:val="Caption"/>
            </w:pPr>
            <w:r>
              <w:lastRenderedPageBreak/>
              <w:t>PRO</w:t>
            </w:r>
          </w:p>
        </w:tc>
        <w:tc>
          <w:tcPr>
            <w:tcW w:w="8179" w:type="dxa"/>
            <w:vAlign w:val="center"/>
          </w:tcPr>
          <w:p w:rsidR="00FB1369" w:rsidRDefault="00FB1369" w:rsidP="00207D16">
            <w:pPr>
              <w:jc w:val="left"/>
            </w:pPr>
            <w:r>
              <w:t>EGI monitoring profiles (</w:t>
            </w:r>
            <w:hyperlink r:id="rId69" w:history="1">
              <w:r w:rsidRPr="00ED10B3">
                <w:rPr>
                  <w:rStyle w:val="Hyperlink"/>
                </w:rPr>
                <w:t>https://wiki.egi.eu/wiki/SAM#Profiles</w:t>
              </w:r>
            </w:hyperlink>
            <w:r>
              <w:t>)</w:t>
            </w:r>
          </w:p>
        </w:tc>
      </w:tr>
      <w:tr w:rsidR="00AA763F" w:rsidRPr="00371B32" w:rsidTr="00452522">
        <w:tc>
          <w:tcPr>
            <w:tcW w:w="1101" w:type="dxa"/>
          </w:tcPr>
          <w:p w:rsidR="00AA763F" w:rsidRDefault="00AA763F" w:rsidP="00207D16">
            <w:pPr>
              <w:pStyle w:val="Caption"/>
            </w:pPr>
            <w:r>
              <w:t>QR7</w:t>
            </w:r>
          </w:p>
        </w:tc>
        <w:tc>
          <w:tcPr>
            <w:tcW w:w="8179" w:type="dxa"/>
            <w:vAlign w:val="center"/>
          </w:tcPr>
          <w:p w:rsidR="00AA763F" w:rsidRDefault="00AA763F" w:rsidP="00AA763F">
            <w:pPr>
              <w:jc w:val="left"/>
            </w:pPr>
            <w:r>
              <w:t>Quarterly Report 7, EGI-InSPIRE Milestone MS114 (</w:t>
            </w:r>
            <w:hyperlink r:id="rId70" w:history="1">
              <w:r w:rsidRPr="002801AD">
                <w:rPr>
                  <w:rStyle w:val="Hyperlink"/>
                </w:rPr>
                <w:t>https://documents.egi.eu/document/999</w:t>
              </w:r>
            </w:hyperlink>
            <w:r>
              <w:t>)</w:t>
            </w:r>
          </w:p>
        </w:tc>
      </w:tr>
      <w:tr w:rsidR="00E10C0A" w:rsidRPr="00371B32" w:rsidTr="00452522">
        <w:tc>
          <w:tcPr>
            <w:tcW w:w="1101" w:type="dxa"/>
          </w:tcPr>
          <w:p w:rsidR="00E10C0A" w:rsidRDefault="00E10C0A" w:rsidP="00207D16">
            <w:pPr>
              <w:pStyle w:val="Caption"/>
            </w:pPr>
            <w:r>
              <w:t>RCO</w:t>
            </w:r>
          </w:p>
        </w:tc>
        <w:tc>
          <w:tcPr>
            <w:tcW w:w="8179" w:type="dxa"/>
            <w:vAlign w:val="center"/>
          </w:tcPr>
          <w:p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yperlink"/>
                </w:rPr>
                <w:t>https://documents.egi.eu/document/31</w:t>
              </w:r>
            </w:hyperlink>
            <w:r>
              <w:t>)</w:t>
            </w:r>
          </w:p>
        </w:tc>
      </w:tr>
      <w:tr w:rsidR="00EE1FC0" w:rsidRPr="00371B32" w:rsidTr="00452522">
        <w:tc>
          <w:tcPr>
            <w:tcW w:w="1101" w:type="dxa"/>
          </w:tcPr>
          <w:p w:rsidR="00EE1FC0" w:rsidRDefault="00EE1FC0" w:rsidP="00207D16">
            <w:pPr>
              <w:pStyle w:val="Caption"/>
            </w:pPr>
            <w:r>
              <w:t>RPO</w:t>
            </w:r>
          </w:p>
        </w:tc>
        <w:tc>
          <w:tcPr>
            <w:tcW w:w="8179" w:type="dxa"/>
            <w:vAlign w:val="center"/>
          </w:tcPr>
          <w:p w:rsidR="00EE1FC0" w:rsidRDefault="00EE1FC0" w:rsidP="00207D16">
            <w:pPr>
              <w:jc w:val="left"/>
            </w:pPr>
            <w:r>
              <w:t>Resource infrastructure Provider V1.1 (</w:t>
            </w:r>
            <w:hyperlink r:id="rId72" w:history="1">
              <w:r w:rsidRPr="00ED10B3">
                <w:rPr>
                  <w:rStyle w:val="Hyperlink"/>
                </w:rPr>
                <w:t>https://documents.egi.eu/document/463</w:t>
              </w:r>
            </w:hyperlink>
            <w:r>
              <w:t>)</w:t>
            </w:r>
          </w:p>
        </w:tc>
      </w:tr>
      <w:tr w:rsidR="00207D16" w:rsidRPr="00371B32" w:rsidTr="00452522">
        <w:tc>
          <w:tcPr>
            <w:tcW w:w="1101" w:type="dxa"/>
          </w:tcPr>
          <w:p w:rsidR="00207D16" w:rsidRPr="00371B32" w:rsidRDefault="00883601" w:rsidP="00883601">
            <w:pPr>
              <w:pStyle w:val="Caption"/>
            </w:pPr>
            <w:r>
              <w:t>SAG</w:t>
            </w:r>
          </w:p>
        </w:tc>
        <w:tc>
          <w:tcPr>
            <w:tcW w:w="8179" w:type="dxa"/>
            <w:vAlign w:val="center"/>
          </w:tcPr>
          <w:p w:rsidR="00883601" w:rsidRPr="00371B32" w:rsidRDefault="00883601" w:rsidP="00207D16">
            <w:pPr>
              <w:jc w:val="left"/>
            </w:pPr>
            <w:r>
              <w:t xml:space="preserve">South African Grid Initiative – </w:t>
            </w:r>
            <w:r w:rsidRPr="00883601">
              <w:t>SAGrid</w:t>
            </w:r>
            <w:r>
              <w:t xml:space="preserve"> (</w:t>
            </w:r>
            <w:hyperlink r:id="rId73" w:history="1">
              <w:r w:rsidRPr="008E0315">
                <w:rPr>
                  <w:rStyle w:val="Hyperlink"/>
                </w:rPr>
                <w:t>https://documents.egi.eu/document/495</w:t>
              </w:r>
            </w:hyperlink>
            <w:r>
              <w:t>)</w:t>
            </w:r>
          </w:p>
        </w:tc>
      </w:tr>
      <w:tr w:rsidR="00207D16" w:rsidRPr="00371B32" w:rsidTr="00452522">
        <w:tc>
          <w:tcPr>
            <w:tcW w:w="1101" w:type="dxa"/>
          </w:tcPr>
          <w:p w:rsidR="00207D16" w:rsidRPr="00371B32" w:rsidRDefault="00E10C0A" w:rsidP="00C60359">
            <w:pPr>
              <w:pStyle w:val="Caption"/>
            </w:pPr>
            <w:bookmarkStart w:id="110" w:name="_Ref205358859"/>
            <w:r>
              <w:t>SAM</w:t>
            </w:r>
            <w:bookmarkEnd w:id="110"/>
          </w:p>
        </w:tc>
        <w:tc>
          <w:tcPr>
            <w:tcW w:w="8179" w:type="dxa"/>
            <w:vAlign w:val="center"/>
          </w:tcPr>
          <w:p w:rsidR="00207D16" w:rsidRPr="00371B32" w:rsidRDefault="00E10C0A" w:rsidP="005B3B66">
            <w:r>
              <w:t>Service Availability Monitoring (</w:t>
            </w:r>
            <w:r w:rsidRPr="00D2557B">
              <w:t>https://wiki.egi.eu/wiki/SAM</w:t>
            </w:r>
            <w:r>
              <w:t>)</w:t>
            </w:r>
          </w:p>
        </w:tc>
      </w:tr>
      <w:tr w:rsidR="00E10C0A" w:rsidRPr="00371B32" w:rsidTr="00452522">
        <w:tc>
          <w:tcPr>
            <w:tcW w:w="1101" w:type="dxa"/>
          </w:tcPr>
          <w:p w:rsidR="00E10C0A" w:rsidRDefault="00E10C0A" w:rsidP="00E10C0A">
            <w:pPr>
              <w:pStyle w:val="Caption"/>
            </w:pPr>
            <w:r>
              <w:t>SAMV</w:t>
            </w:r>
          </w:p>
        </w:tc>
        <w:tc>
          <w:tcPr>
            <w:tcW w:w="8179" w:type="dxa"/>
            <w:vAlign w:val="center"/>
          </w:tcPr>
          <w:p w:rsidR="00E10C0A" w:rsidRDefault="00E10C0A" w:rsidP="00E10C0A">
            <w:r>
              <w:t>Service Availability Monitoring for VOs</w:t>
            </w:r>
          </w:p>
          <w:p w:rsidR="00E10C0A" w:rsidRDefault="00E10C0A" w:rsidP="00E10C0A">
            <w:r>
              <w:t>(</w:t>
            </w:r>
            <w:hyperlink r:id="rId74" w:history="1">
              <w:r w:rsidRPr="00062FF2">
                <w:rPr>
                  <w:rStyle w:val="Hyperlink"/>
                </w:rPr>
                <w:t>https://wiki.egi.eu/wiki/Services_and_Tools_Portfolio</w:t>
              </w:r>
            </w:hyperlink>
            <w:r>
              <w:t>)</w:t>
            </w:r>
          </w:p>
        </w:tc>
      </w:tr>
      <w:tr w:rsidR="00C50374" w:rsidRPr="00371B32" w:rsidTr="00452522">
        <w:tc>
          <w:tcPr>
            <w:tcW w:w="1101" w:type="dxa"/>
          </w:tcPr>
          <w:p w:rsidR="00C50374" w:rsidRDefault="00C50374" w:rsidP="00E10C0A">
            <w:pPr>
              <w:pStyle w:val="Caption"/>
            </w:pPr>
            <w:r>
              <w:t>SRW</w:t>
            </w:r>
          </w:p>
        </w:tc>
        <w:tc>
          <w:tcPr>
            <w:tcW w:w="8179" w:type="dxa"/>
            <w:vAlign w:val="center"/>
          </w:tcPr>
          <w:p w:rsidR="00C50374" w:rsidRDefault="00C50374" w:rsidP="00C50374">
            <w:r>
              <w:t xml:space="preserve">Staged Rollout: </w:t>
            </w:r>
            <w:hyperlink r:id="rId75" w:history="1">
              <w:r w:rsidRPr="002801AD">
                <w:rPr>
                  <w:rStyle w:val="Hyperlink"/>
                </w:rPr>
                <w:t>https://wiki.egi.eu/wiki/Staged-Rollout</w:t>
              </w:r>
            </w:hyperlink>
          </w:p>
        </w:tc>
      </w:tr>
      <w:tr w:rsidR="003203AE" w:rsidRPr="00371B32" w:rsidTr="00452522">
        <w:tc>
          <w:tcPr>
            <w:tcW w:w="1101" w:type="dxa"/>
          </w:tcPr>
          <w:p w:rsidR="003203AE" w:rsidRDefault="003203AE" w:rsidP="00E10C0A">
            <w:pPr>
              <w:pStyle w:val="Caption"/>
            </w:pPr>
            <w:r>
              <w:t>STR</w:t>
            </w:r>
          </w:p>
        </w:tc>
        <w:tc>
          <w:tcPr>
            <w:tcW w:w="8179" w:type="dxa"/>
            <w:vAlign w:val="center"/>
          </w:tcPr>
          <w:p w:rsidR="00796C86" w:rsidRDefault="00796C86" w:rsidP="00796C86">
            <w:r>
              <w:t>EGI Strategic Plan, EGI-InSPIRE Deliverable D2.30, April 2012 (</w:t>
            </w:r>
            <w:hyperlink r:id="rId76" w:history="1">
              <w:r w:rsidRPr="002801AD">
                <w:rPr>
                  <w:rStyle w:val="Hyperlink"/>
                </w:rPr>
                <w:t>https://documents.egi.eu/document/1098</w:t>
              </w:r>
            </w:hyperlink>
            <w:r>
              <w:t>)</w:t>
            </w:r>
          </w:p>
        </w:tc>
      </w:tr>
      <w:tr w:rsidR="00C50374" w:rsidRPr="00371B32" w:rsidTr="00452522">
        <w:tc>
          <w:tcPr>
            <w:tcW w:w="1101" w:type="dxa"/>
          </w:tcPr>
          <w:p w:rsidR="00C50374" w:rsidRDefault="00C50374" w:rsidP="00E10C0A">
            <w:pPr>
              <w:pStyle w:val="Caption"/>
            </w:pPr>
            <w:r>
              <w:t>UMD</w:t>
            </w:r>
          </w:p>
        </w:tc>
        <w:tc>
          <w:tcPr>
            <w:tcW w:w="8179" w:type="dxa"/>
            <w:vAlign w:val="center"/>
          </w:tcPr>
          <w:p w:rsidR="00C50374" w:rsidRDefault="00C50374" w:rsidP="00796C86">
            <w:r>
              <w:t>Unified Middleware Distribution</w:t>
            </w:r>
          </w:p>
          <w:p w:rsidR="00C50374" w:rsidRDefault="00C50374" w:rsidP="00796C86">
            <w:r>
              <w:t>(</w:t>
            </w:r>
            <w:hyperlink r:id="rId77" w:history="1">
              <w:r w:rsidRPr="002801AD">
                <w:rPr>
                  <w:rStyle w:val="Hyperlink"/>
                </w:rPr>
                <w:t>http://repository.egi.eu/category/umd_releases/distribution/umd_1/</w:t>
              </w:r>
            </w:hyperlink>
            <w:r>
              <w:t>)</w:t>
            </w:r>
          </w:p>
        </w:tc>
      </w:tr>
      <w:tr w:rsidR="00BE6B1D" w:rsidRPr="00371B32" w:rsidTr="00452522">
        <w:tc>
          <w:tcPr>
            <w:tcW w:w="1101" w:type="dxa"/>
          </w:tcPr>
          <w:p w:rsidR="00BE6B1D" w:rsidRDefault="00BE6B1D" w:rsidP="00E10C0A">
            <w:pPr>
              <w:pStyle w:val="Caption"/>
            </w:pPr>
            <w:r>
              <w:t>VOA</w:t>
            </w:r>
          </w:p>
        </w:tc>
        <w:tc>
          <w:tcPr>
            <w:tcW w:w="8179" w:type="dxa"/>
            <w:vAlign w:val="center"/>
          </w:tcPr>
          <w:p w:rsidR="00D35740" w:rsidRDefault="00BE6B1D" w:rsidP="00D35740">
            <w:pPr>
              <w:spacing w:after="0"/>
            </w:pPr>
            <w:r>
              <w:t>VO Administration Dashboard:</w:t>
            </w:r>
          </w:p>
          <w:p w:rsidR="00D35740" w:rsidRDefault="00D35740" w:rsidP="00D35740">
            <w:pPr>
              <w:spacing w:after="0"/>
            </w:pPr>
            <w:hyperlink r:id="rId78" w:history="1">
              <w:r w:rsidRPr="002801AD">
                <w:rPr>
                  <w:rStyle w:val="Hyperlink"/>
                </w:rPr>
                <w:t>https://wiki.egi.eu/wiki/VO_Services/VO_Admin_Dashboard</w:t>
              </w:r>
            </w:hyperlink>
          </w:p>
        </w:tc>
      </w:tr>
      <w:tr w:rsidR="00696684" w:rsidRPr="00371B32" w:rsidTr="00452522">
        <w:tc>
          <w:tcPr>
            <w:tcW w:w="1101" w:type="dxa"/>
          </w:tcPr>
          <w:p w:rsidR="00696684" w:rsidRDefault="00696684" w:rsidP="00E10C0A">
            <w:pPr>
              <w:pStyle w:val="Caption"/>
            </w:pPr>
            <w:r>
              <w:t>VOD</w:t>
            </w:r>
          </w:p>
        </w:tc>
        <w:tc>
          <w:tcPr>
            <w:tcW w:w="8179" w:type="dxa"/>
            <w:vAlign w:val="center"/>
          </w:tcPr>
          <w:p w:rsidR="00696684" w:rsidRDefault="00696684" w:rsidP="00D35740">
            <w:pPr>
              <w:spacing w:after="0"/>
            </w:pPr>
            <w:r>
              <w:t>VO Operations Dashboard (</w:t>
            </w:r>
            <w:hyperlink r:id="rId79" w:history="1">
              <w:r w:rsidRPr="002801AD">
                <w:rPr>
                  <w:rStyle w:val="Hyperlink"/>
                </w:rPr>
                <w:t>https://operations-portal.egi.eu/voDashboard</w:t>
              </w:r>
            </w:hyperlink>
            <w:r>
              <w:t>)</w:t>
            </w:r>
          </w:p>
        </w:tc>
      </w:tr>
      <w:tr w:rsidR="00696684" w:rsidRPr="00371B32" w:rsidTr="00452522">
        <w:tc>
          <w:tcPr>
            <w:tcW w:w="1101" w:type="dxa"/>
          </w:tcPr>
          <w:p w:rsidR="00696684" w:rsidRDefault="00696684" w:rsidP="004266E2">
            <w:pPr>
              <w:pStyle w:val="Caption"/>
            </w:pPr>
            <w:r>
              <w:t>VOS</w:t>
            </w:r>
          </w:p>
        </w:tc>
        <w:tc>
          <w:tcPr>
            <w:tcW w:w="8179" w:type="dxa"/>
            <w:vAlign w:val="center"/>
          </w:tcPr>
          <w:p w:rsidR="00696684" w:rsidRDefault="00696684" w:rsidP="004266E2">
            <w:r>
              <w:t>EGI VO Services (</w:t>
            </w:r>
            <w:hyperlink r:id="rId80" w:history="1">
              <w:r w:rsidRPr="002801AD">
                <w:rPr>
                  <w:rStyle w:val="Hyperlink"/>
                </w:rPr>
                <w:t>https://wiki.egi.eu/wiki/VO_Services</w:t>
              </w:r>
            </w:hyperlink>
            <w:r>
              <w:t>)</w:t>
            </w:r>
          </w:p>
        </w:tc>
      </w:tr>
      <w:tr w:rsidR="00696684" w:rsidRPr="00371B32" w:rsidTr="00452522">
        <w:tc>
          <w:tcPr>
            <w:tcW w:w="1101" w:type="dxa"/>
          </w:tcPr>
          <w:p w:rsidR="00696684" w:rsidRDefault="00696684" w:rsidP="00E10C0A">
            <w:pPr>
              <w:pStyle w:val="Caption"/>
            </w:pPr>
            <w:r>
              <w:t>VSAM</w:t>
            </w:r>
          </w:p>
        </w:tc>
        <w:tc>
          <w:tcPr>
            <w:tcW w:w="8179" w:type="dxa"/>
            <w:vAlign w:val="center"/>
          </w:tcPr>
          <w:p w:rsidR="00696684" w:rsidRDefault="00696684" w:rsidP="00796C86">
            <w:r>
              <w:t xml:space="preserve">VO SAM: </w:t>
            </w:r>
            <w:hyperlink r:id="rId81" w:history="1">
              <w:r w:rsidRPr="002801AD">
                <w:rPr>
                  <w:rStyle w:val="Hyperlink"/>
                </w:rPr>
                <w:t>https://wiki.egi.eu/wiki/VO_Services/VO_Service_Availability_Monitoring</w:t>
              </w:r>
            </w:hyperlink>
          </w:p>
        </w:tc>
      </w:tr>
      <w:tr w:rsidR="00696684" w:rsidRPr="00371B32" w:rsidTr="00452522">
        <w:tc>
          <w:tcPr>
            <w:tcW w:w="1101" w:type="dxa"/>
          </w:tcPr>
          <w:p w:rsidR="00696684" w:rsidRPr="00371B32" w:rsidRDefault="00696684" w:rsidP="00883601">
            <w:pPr>
              <w:pStyle w:val="Caption"/>
            </w:pPr>
            <w:r>
              <w:t>UNG</w:t>
            </w:r>
          </w:p>
        </w:tc>
        <w:tc>
          <w:tcPr>
            <w:tcW w:w="8179" w:type="dxa"/>
            <w:vAlign w:val="center"/>
          </w:tcPr>
          <w:p w:rsidR="00696684" w:rsidRPr="00371B32" w:rsidRDefault="00696684" w:rsidP="00207D16">
            <w:pPr>
              <w:jc w:val="left"/>
            </w:pPr>
            <w:r>
              <w:t>MoU between EGI.eu and BCC – Ukraine (</w:t>
            </w:r>
            <w:hyperlink r:id="rId82" w:history="1">
              <w:r w:rsidRPr="008E0315">
                <w:rPr>
                  <w:rStyle w:val="Hyperlink"/>
                </w:rPr>
                <w:t>https://documents.egi.eu/document/8560</w:t>
              </w:r>
            </w:hyperlink>
            <w:r>
              <w:t>)</w:t>
            </w:r>
          </w:p>
        </w:tc>
      </w:tr>
      <w:tr w:rsidR="004266E2" w:rsidRPr="00371B32" w:rsidTr="00452522">
        <w:tc>
          <w:tcPr>
            <w:tcW w:w="1101" w:type="dxa"/>
          </w:tcPr>
          <w:p w:rsidR="004266E2" w:rsidRDefault="004266E2" w:rsidP="00883601">
            <w:pPr>
              <w:pStyle w:val="Caption"/>
            </w:pPr>
            <w:r>
              <w:t>WPL</w:t>
            </w:r>
          </w:p>
        </w:tc>
        <w:tc>
          <w:tcPr>
            <w:tcW w:w="8179" w:type="dxa"/>
            <w:vAlign w:val="center"/>
          </w:tcPr>
          <w:p w:rsidR="004266E2" w:rsidRDefault="004266E2" w:rsidP="00207D16">
            <w:pPr>
              <w:jc w:val="left"/>
            </w:pPr>
            <w:r>
              <w:t>VO Operations Portal work plan, March 2012 (</w:t>
            </w:r>
            <w:hyperlink r:id="rId83" w:history="1">
              <w:r w:rsidRPr="002801AD">
                <w:rPr>
                  <w:rStyle w:val="Hyperlink"/>
                </w:rPr>
                <w:t>https://documents.egi.eu/document/1055</w:t>
              </w:r>
            </w:hyperlink>
            <w:r>
              <w:t>)</w:t>
            </w:r>
          </w:p>
        </w:tc>
      </w:tr>
    </w:tbl>
    <w:p w:rsidR="00207D16" w:rsidRPr="00371B32" w:rsidRDefault="00207D16" w:rsidP="00207D16"/>
    <w:p w:rsidR="00207D16" w:rsidRDefault="001D5C64" w:rsidP="001D5C64">
      <w:pPr>
        <w:pStyle w:val="Heading1"/>
        <w:rPr>
          <w:rFonts w:eastAsia="Cambria"/>
          <w:lang w:val="en-US" w:eastAsia="en-US"/>
        </w:rPr>
      </w:pPr>
      <w:bookmarkStart w:id="111" w:name="_Toc323636696"/>
      <w:bookmarkStart w:id="112" w:name="_Toc323657021"/>
      <w:bookmarkStart w:id="113" w:name="_Toc324119067"/>
      <w:bookmarkStart w:id="114" w:name="_Toc324120469"/>
      <w:bookmarkStart w:id="115" w:name="_Toc324144999"/>
      <w:bookmarkStart w:id="116" w:name="_Toc324152341"/>
      <w:bookmarkStart w:id="117" w:name="_Toc324170632"/>
      <w:bookmarkStart w:id="118" w:name="_Toc324171375"/>
      <w:bookmarkStart w:id="119" w:name="_Toc324172765"/>
      <w:bookmarkEnd w:id="111"/>
      <w:bookmarkEnd w:id="112"/>
      <w:bookmarkEnd w:id="113"/>
      <w:bookmarkEnd w:id="114"/>
      <w:bookmarkEnd w:id="115"/>
      <w:bookmarkEnd w:id="116"/>
      <w:bookmarkEnd w:id="117"/>
      <w:bookmarkEnd w:id="118"/>
      <w:r>
        <w:rPr>
          <w:rFonts w:eastAsia="Cambria"/>
          <w:lang w:val="en-US" w:eastAsia="en-US"/>
        </w:rPr>
        <w:lastRenderedPageBreak/>
        <w:t>Annex I. VO Distribution per discipline</w:t>
      </w:r>
      <w:bookmarkEnd w:id="119"/>
    </w:p>
    <w:p w:rsidR="007630B9" w:rsidRDefault="007630B9" w:rsidP="007630B9">
      <w:pPr>
        <w:pStyle w:val="Heading2"/>
        <w:rPr>
          <w:rFonts w:eastAsia="Cambria"/>
          <w:lang w:val="en-US" w:eastAsia="en-US"/>
        </w:rPr>
      </w:pPr>
      <w:bookmarkStart w:id="120" w:name="_Toc324172766"/>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120"/>
    </w:p>
    <w:p w:rsidR="006F0D89" w:rsidRPr="006F0D89" w:rsidRDefault="00043028" w:rsidP="006F0D89">
      <w:pPr>
        <w:rPr>
          <w:rFonts w:eastAsia="Cambria"/>
          <w:lang w:val="en-US" w:eastAsia="en-US"/>
        </w:rPr>
      </w:pPr>
      <w:r>
        <w:rPr>
          <w:rFonts w:eastAsia="Cambria"/>
          <w:noProof/>
          <w:lang w:eastAsia="en-GB"/>
        </w:rPr>
        <w:drawing>
          <wp:inline distT="0" distB="0" distL="0" distR="0" wp14:anchorId="57754659" wp14:editId="4918AD62">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1" w:name="_Toc324172767"/>
      <w:r>
        <w:rPr>
          <w:rFonts w:eastAsia="Cambria"/>
          <w:lang w:val="en-US" w:eastAsia="en-US"/>
        </w:rPr>
        <w:t>Computer Science and Mathematics</w:t>
      </w:r>
      <w:bookmarkEnd w:id="121"/>
    </w:p>
    <w:p w:rsidR="006F0D89" w:rsidRPr="006F0D89" w:rsidRDefault="00043028" w:rsidP="006F0D89">
      <w:pPr>
        <w:rPr>
          <w:rFonts w:eastAsia="Cambria"/>
          <w:lang w:val="en-US" w:eastAsia="en-US"/>
        </w:rPr>
      </w:pPr>
      <w:r>
        <w:rPr>
          <w:rFonts w:eastAsia="Cambria"/>
          <w:noProof/>
          <w:lang w:eastAsia="en-GB"/>
        </w:rPr>
        <w:drawing>
          <wp:inline distT="0" distB="0" distL="0" distR="0" wp14:anchorId="52C05567" wp14:editId="3799313A">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Pr="006F0D89" w:rsidRDefault="006F0D89" w:rsidP="006F0D89">
      <w:pPr>
        <w:rPr>
          <w:rFonts w:eastAsia="Cambria"/>
          <w:lang w:val="en-US" w:eastAsia="en-US"/>
        </w:rPr>
      </w:pPr>
    </w:p>
    <w:p w:rsidR="007630B9" w:rsidRDefault="007630B9" w:rsidP="007630B9">
      <w:pPr>
        <w:pStyle w:val="Heading2"/>
        <w:rPr>
          <w:rFonts w:eastAsia="Cambria"/>
          <w:lang w:val="en-US" w:eastAsia="en-US"/>
        </w:rPr>
      </w:pPr>
      <w:bookmarkStart w:id="122" w:name="_Toc324172768"/>
      <w:r>
        <w:rPr>
          <w:rFonts w:eastAsia="Cambria"/>
          <w:lang w:val="en-US" w:eastAsia="en-US"/>
        </w:rPr>
        <w:lastRenderedPageBreak/>
        <w:t>Earth Sciences</w:t>
      </w:r>
      <w:bookmarkEnd w:id="122"/>
    </w:p>
    <w:p w:rsidR="000A436A" w:rsidRPr="000A436A" w:rsidRDefault="00043028" w:rsidP="000A436A">
      <w:pPr>
        <w:rPr>
          <w:rFonts w:eastAsia="Cambria"/>
          <w:lang w:val="en-US" w:eastAsia="en-US"/>
        </w:rPr>
      </w:pPr>
      <w:r>
        <w:rPr>
          <w:rFonts w:eastAsia="Cambria"/>
          <w:noProof/>
          <w:lang w:eastAsia="en-GB"/>
        </w:rPr>
        <w:drawing>
          <wp:inline distT="0" distB="0" distL="0" distR="0" wp14:anchorId="0B024BA0" wp14:editId="721BEC86">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3" w:name="_Toc324172769"/>
      <w:r>
        <w:rPr>
          <w:rFonts w:eastAsia="Cambria"/>
          <w:lang w:val="en-US" w:eastAsia="en-US"/>
        </w:rPr>
        <w:t>Fusion</w:t>
      </w:r>
      <w:bookmarkEnd w:id="123"/>
    </w:p>
    <w:p w:rsidR="006F0D89" w:rsidRPr="006F0D89" w:rsidRDefault="00043028" w:rsidP="006F0D89">
      <w:pPr>
        <w:rPr>
          <w:rFonts w:eastAsia="Cambria"/>
          <w:lang w:val="en-US" w:eastAsia="en-US"/>
        </w:rPr>
      </w:pPr>
      <w:r>
        <w:rPr>
          <w:rFonts w:eastAsia="Cambria"/>
          <w:noProof/>
          <w:lang w:eastAsia="en-GB"/>
        </w:rPr>
        <w:drawing>
          <wp:inline distT="0" distB="0" distL="0" distR="0" wp14:anchorId="344DC1BF" wp14:editId="260E99F9">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6F0D89" w:rsidRDefault="007630B9" w:rsidP="007630B9">
      <w:pPr>
        <w:pStyle w:val="Heading2"/>
        <w:rPr>
          <w:rFonts w:eastAsia="Cambria"/>
          <w:lang w:val="en-US" w:eastAsia="en-US"/>
        </w:rPr>
      </w:pPr>
      <w:bookmarkStart w:id="124" w:name="_Toc324172770"/>
      <w:r>
        <w:rPr>
          <w:rFonts w:eastAsia="Cambria"/>
          <w:lang w:val="en-US" w:eastAsia="en-US"/>
        </w:rPr>
        <w:lastRenderedPageBreak/>
        <w:t>High Energy Physics</w:t>
      </w:r>
      <w:bookmarkEnd w:id="124"/>
    </w:p>
    <w:p w:rsidR="007630B9" w:rsidRDefault="00043028" w:rsidP="00870D46">
      <w:pPr>
        <w:rPr>
          <w:rFonts w:eastAsia="Cambria"/>
          <w:lang w:val="en-US" w:eastAsia="en-US"/>
        </w:rPr>
      </w:pPr>
      <w:r>
        <w:rPr>
          <w:rFonts w:eastAsia="Cambria"/>
          <w:noProof/>
          <w:lang w:eastAsia="en-GB"/>
        </w:rPr>
        <w:drawing>
          <wp:inline distT="0" distB="0" distL="0" distR="0" wp14:anchorId="1935BA47" wp14:editId="3D3800F2">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5" w:name="_Toc324172771"/>
      <w:r>
        <w:rPr>
          <w:rFonts w:eastAsia="Cambria"/>
          <w:lang w:val="en-US" w:eastAsia="en-US"/>
        </w:rPr>
        <w:t>Infrastructure</w:t>
      </w:r>
      <w:bookmarkEnd w:id="125"/>
    </w:p>
    <w:p w:rsidR="006F0D89" w:rsidRPr="006F0D89" w:rsidRDefault="00043028" w:rsidP="006F0D89">
      <w:pPr>
        <w:rPr>
          <w:rFonts w:eastAsia="Cambria"/>
          <w:lang w:val="en-US" w:eastAsia="en-US"/>
        </w:rPr>
      </w:pPr>
      <w:r>
        <w:rPr>
          <w:rFonts w:eastAsia="Cambria"/>
          <w:noProof/>
          <w:lang w:eastAsia="en-GB"/>
        </w:rPr>
        <w:drawing>
          <wp:inline distT="0" distB="0" distL="0" distR="0" wp14:anchorId="288924DF" wp14:editId="30585A80">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6" w:name="_Toc324172772"/>
      <w:r>
        <w:rPr>
          <w:rFonts w:eastAsia="Cambria"/>
          <w:lang w:val="en-US" w:eastAsia="en-US"/>
        </w:rPr>
        <w:lastRenderedPageBreak/>
        <w:t>Life Sciences</w:t>
      </w:r>
      <w:bookmarkEnd w:id="126"/>
    </w:p>
    <w:p w:rsidR="006F0D89" w:rsidRPr="006F0D89" w:rsidRDefault="00043028" w:rsidP="006F0D89">
      <w:pPr>
        <w:rPr>
          <w:rFonts w:eastAsia="Cambria"/>
          <w:lang w:val="en-US" w:eastAsia="en-US"/>
        </w:rPr>
      </w:pPr>
      <w:r>
        <w:rPr>
          <w:rFonts w:eastAsia="Cambria"/>
          <w:noProof/>
          <w:lang w:eastAsia="en-GB"/>
        </w:rPr>
        <w:drawing>
          <wp:inline distT="0" distB="0" distL="0" distR="0" wp14:anchorId="4894B206" wp14:editId="0B7E5BA3">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7" w:name="_Toc324172773"/>
      <w:r>
        <w:rPr>
          <w:rFonts w:eastAsia="Cambria"/>
          <w:lang w:val="en-US" w:eastAsia="en-US"/>
        </w:rPr>
        <w:t>Multidisciplinary VOs</w:t>
      </w:r>
      <w:bookmarkEnd w:id="127"/>
    </w:p>
    <w:p w:rsidR="006F0D89" w:rsidRPr="006F0D89" w:rsidRDefault="00043028" w:rsidP="006F0D89">
      <w:pPr>
        <w:jc w:val="center"/>
        <w:rPr>
          <w:rFonts w:eastAsia="Cambria"/>
          <w:lang w:val="en-US" w:eastAsia="en-US"/>
        </w:rPr>
      </w:pPr>
      <w:r>
        <w:rPr>
          <w:rFonts w:eastAsia="Cambria"/>
          <w:noProof/>
          <w:lang w:eastAsia="en-GB"/>
        </w:rPr>
        <w:drawing>
          <wp:inline distT="0" distB="0" distL="0" distR="0" wp14:anchorId="098E2C53" wp14:editId="2E4710CB">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Default="007630B9" w:rsidP="007630B9">
      <w:pPr>
        <w:pStyle w:val="Heading2"/>
        <w:rPr>
          <w:rFonts w:eastAsia="Cambria"/>
          <w:lang w:val="en-US" w:eastAsia="en-US"/>
        </w:rPr>
      </w:pPr>
      <w:bookmarkStart w:id="128" w:name="_Toc324172774"/>
      <w:r>
        <w:rPr>
          <w:rFonts w:eastAsia="Cambria"/>
          <w:lang w:val="en-US" w:eastAsia="en-US"/>
        </w:rPr>
        <w:lastRenderedPageBreak/>
        <w:t>Other Disciplines</w:t>
      </w:r>
      <w:bookmarkEnd w:id="128"/>
    </w:p>
    <w:p w:rsidR="006F0D89" w:rsidRPr="006F0D89" w:rsidRDefault="00043028" w:rsidP="006F0D89">
      <w:pPr>
        <w:rPr>
          <w:rFonts w:eastAsia="Cambria"/>
          <w:lang w:val="en-US" w:eastAsia="en-US"/>
        </w:rPr>
      </w:pPr>
      <w:r>
        <w:rPr>
          <w:rFonts w:eastAsia="Cambria"/>
          <w:noProof/>
          <w:lang w:eastAsia="en-GB"/>
        </w:rPr>
        <w:drawing>
          <wp:inline distT="0" distB="0" distL="0" distR="0" wp14:anchorId="775C0EC3" wp14:editId="21AF58EF">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rsidR="007630B9" w:rsidRPr="007630B9" w:rsidRDefault="007630B9" w:rsidP="007630B9">
      <w:pPr>
        <w:pStyle w:val="Heading2"/>
        <w:numPr>
          <w:ilvl w:val="0"/>
          <w:numId w:val="0"/>
        </w:numPr>
        <w:rPr>
          <w:rFonts w:eastAsia="Cambria"/>
          <w:lang w:val="en-US" w:eastAsia="en-US"/>
        </w:rPr>
      </w:pPr>
    </w:p>
    <w:p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D34" w:rsidRDefault="00F65D34">
      <w:pPr>
        <w:spacing w:before="0" w:after="0"/>
      </w:pPr>
      <w:r>
        <w:separator/>
      </w:r>
    </w:p>
  </w:endnote>
  <w:endnote w:type="continuationSeparator" w:id="0">
    <w:p w:rsidR="00F65D34" w:rsidRDefault="00F65D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696" w:rsidRDefault="006C1696">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C1696">
      <w:tc>
        <w:tcPr>
          <w:tcW w:w="2764" w:type="dxa"/>
          <w:tcBorders>
            <w:top w:val="single" w:sz="8" w:space="0" w:color="000080"/>
          </w:tcBorders>
        </w:tcPr>
        <w:p w:rsidR="006C1696" w:rsidRPr="0078770C" w:rsidRDefault="006C1696">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6C1696" w:rsidRPr="0078770C" w:rsidRDefault="006C1696"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6C1696" w:rsidRDefault="006C1696">
          <w:pPr>
            <w:pStyle w:val="Footer"/>
            <w:jc w:val="center"/>
            <w:rPr>
              <w:caps/>
            </w:rPr>
          </w:pPr>
          <w:r>
            <w:rPr>
              <w:caps/>
              <w:shd w:val="clear" w:color="auto" w:fill="FFFF00"/>
            </w:rPr>
            <w:t>PUBLIC</w:t>
          </w:r>
          <w:r>
            <w:t xml:space="preserve"> </w:t>
          </w:r>
        </w:p>
      </w:tc>
      <w:tc>
        <w:tcPr>
          <w:tcW w:w="992" w:type="dxa"/>
          <w:tcBorders>
            <w:top w:val="single" w:sz="8" w:space="0" w:color="000080"/>
          </w:tcBorders>
        </w:tcPr>
        <w:p w:rsidR="006C1696" w:rsidRDefault="006C1696">
          <w:pPr>
            <w:pStyle w:val="Footer"/>
            <w:jc w:val="right"/>
          </w:pPr>
          <w:r>
            <w:fldChar w:fldCharType="begin"/>
          </w:r>
          <w:r>
            <w:instrText xml:space="preserve"> PAGE  \* MERGEFORMAT </w:instrText>
          </w:r>
          <w:r>
            <w:fldChar w:fldCharType="separate"/>
          </w:r>
          <w:r w:rsidR="003D6690">
            <w:rPr>
              <w:noProof/>
            </w:rPr>
            <w:t>61</w:t>
          </w:r>
          <w:r>
            <w:fldChar w:fldCharType="end"/>
          </w:r>
          <w:r>
            <w:t xml:space="preserve"> / </w:t>
          </w:r>
          <w:fldSimple w:instr=" NUMPAGES  \* MERGEFORMAT ">
            <w:r w:rsidR="003D6690">
              <w:rPr>
                <w:noProof/>
              </w:rPr>
              <w:t>61</w:t>
            </w:r>
          </w:fldSimple>
        </w:p>
      </w:tc>
    </w:tr>
  </w:tbl>
  <w:p w:rsidR="006C1696" w:rsidRDefault="006C1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D34" w:rsidRDefault="00F65D34">
      <w:pPr>
        <w:spacing w:before="0" w:after="0"/>
      </w:pPr>
      <w:r>
        <w:separator/>
      </w:r>
    </w:p>
  </w:footnote>
  <w:footnote w:type="continuationSeparator" w:id="0">
    <w:p w:rsidR="00F65D34" w:rsidRDefault="00F65D34">
      <w:pPr>
        <w:spacing w:before="0" w:after="0"/>
      </w:pPr>
      <w:r>
        <w:continuationSeparator/>
      </w:r>
    </w:p>
  </w:footnote>
  <w:footnote w:id="1">
    <w:p w:rsidR="006C1696" w:rsidRDefault="006C1696">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rsidR="006C1696" w:rsidRDefault="006C1696">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rsidR="006C1696" w:rsidRDefault="006C1696">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rsidR="006C1696" w:rsidRDefault="006C1696">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5">
    <w:p w:rsidR="006C1696" w:rsidRDefault="006C1696"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rsidR="006C1696" w:rsidRDefault="006C1696"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rsidR="006C1696" w:rsidRDefault="006C1696">
      <w:pPr>
        <w:pStyle w:val="FootnoteText"/>
      </w:pPr>
      <w:r>
        <w:rPr>
          <w:rStyle w:val="FootnoteReference"/>
        </w:rPr>
        <w:footnoteRef/>
      </w:r>
      <w:r>
        <w:t xml:space="preserve"> </w:t>
      </w:r>
      <w:hyperlink r:id="rId6" w:history="1">
        <w:r w:rsidRPr="00062FF2">
          <w:rPr>
            <w:rStyle w:val="Hyperlink"/>
          </w:rPr>
          <w:t>www.mapper-project.eu/</w:t>
        </w:r>
      </w:hyperlink>
    </w:p>
  </w:footnote>
  <w:footnote w:id="8">
    <w:p w:rsidR="006C1696" w:rsidRDefault="006C1696">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p w:rsidR="006C1696" w:rsidRDefault="006C1696">
      <w:pPr>
        <w:pStyle w:val="FootnoteText"/>
      </w:pPr>
    </w:p>
  </w:footnote>
  <w:footnote w:id="9">
    <w:p w:rsidR="006C1696" w:rsidRDefault="006C1696" w:rsidP="002D0A14">
      <w:pPr>
        <w:pStyle w:val="FootnoteText"/>
      </w:pPr>
      <w:r>
        <w:rPr>
          <w:rStyle w:val="FootnoteReference"/>
        </w:rPr>
        <w:footnoteRef/>
      </w:r>
      <w:r>
        <w:t xml:space="preserve"> </w:t>
      </w:r>
      <w:hyperlink r:id="rId8" w:history="1">
        <w:r w:rsidRPr="002801AD">
          <w:rPr>
            <w:rStyle w:val="Hyperlink"/>
          </w:rPr>
          <w:t>http://operations-portal.egi.eu/vo</w:t>
        </w:r>
      </w:hyperlink>
    </w:p>
  </w:footnote>
  <w:footnote w:id="10">
    <w:p w:rsidR="006C1696" w:rsidRDefault="006C1696">
      <w:pPr>
        <w:pStyle w:val="FootnoteText"/>
      </w:pPr>
      <w:r>
        <w:rPr>
          <w:rStyle w:val="FootnoteReference"/>
        </w:rPr>
        <w:footnoteRef/>
      </w:r>
      <w:r>
        <w:t xml:space="preserve"> </w:t>
      </w:r>
      <w:hyperlink r:id="rId9" w:history="1">
        <w:r w:rsidRPr="002801AD">
          <w:rPr>
            <w:rStyle w:val="Hyperlink"/>
          </w:rPr>
          <w:t>http://www.eu-emi.eu/emi-2-matterhorn</w:t>
        </w:r>
      </w:hyperlink>
    </w:p>
  </w:footnote>
  <w:footnote w:id="11">
    <w:p w:rsidR="006C1696" w:rsidRDefault="006C1696">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2">
    <w:p w:rsidR="006C1696" w:rsidRDefault="006C1696" w:rsidP="008F18AA">
      <w:pPr>
        <w:pStyle w:val="FootnoteText"/>
      </w:pPr>
      <w:r>
        <w:rPr>
          <w:rStyle w:val="FootnoteReference"/>
        </w:rPr>
        <w:footnoteRef/>
      </w:r>
      <w:r>
        <w:t xml:space="preserve"> </w:t>
      </w:r>
      <w:hyperlink r:id="rId11" w:history="1">
        <w:r w:rsidRPr="00ED10B3">
          <w:rPr>
            <w:rStyle w:val="Hyperlink"/>
          </w:rPr>
          <w:t>https://wiki.egi.eu/wiki/SLM/RC_Service_Levels</w:t>
        </w:r>
      </w:hyperlink>
    </w:p>
  </w:footnote>
  <w:footnote w:id="13">
    <w:p w:rsidR="006C1696" w:rsidRDefault="006C1696" w:rsidP="008F18AA">
      <w:pPr>
        <w:pStyle w:val="FootnoteText"/>
      </w:pPr>
      <w:r>
        <w:rPr>
          <w:rStyle w:val="FootnoteReference"/>
        </w:rPr>
        <w:footnoteRef/>
      </w:r>
      <w:r>
        <w:t xml:space="preserve"> </w:t>
      </w:r>
      <w:hyperlink r:id="rId12" w:history="1">
        <w:r w:rsidRPr="00ED10B3">
          <w:rPr>
            <w:rStyle w:val="Hyperlink"/>
          </w:rPr>
          <w:t>https://wiki.egi.eu/wiki/SLM/RP_Service_Levels</w:t>
        </w:r>
      </w:hyperlink>
    </w:p>
  </w:footnote>
  <w:footnote w:id="14">
    <w:p w:rsidR="006C1696" w:rsidRDefault="006C1696" w:rsidP="008F18AA">
      <w:pPr>
        <w:pStyle w:val="FootnoteText"/>
        <w:jc w:val="left"/>
      </w:pPr>
      <w:r>
        <w:rPr>
          <w:rStyle w:val="FootnoteReference"/>
        </w:rPr>
        <w:footnoteRef/>
      </w:r>
      <w:r>
        <w:t xml:space="preserve"> </w:t>
      </w:r>
      <w:r w:rsidRPr="00FB1369">
        <w:t>http://grid-monitoring.cern.ch/myegi/sam-pi/metrics_in_profiles?vo_name=ops&amp;profile_name=ROC_CRITICAL</w:t>
      </w:r>
    </w:p>
  </w:footnote>
  <w:footnote w:id="15">
    <w:p w:rsidR="006C1696" w:rsidRDefault="006C1696" w:rsidP="008F18AA">
      <w:pPr>
        <w:pStyle w:val="FootnoteText"/>
        <w:jc w:val="left"/>
      </w:pPr>
      <w:r>
        <w:rPr>
          <w:rStyle w:val="FootnoteReference"/>
        </w:rPr>
        <w:footnoteRef/>
      </w:r>
      <w:r>
        <w:t xml:space="preserve"> </w:t>
      </w:r>
      <w:r w:rsidRPr="00FB1369">
        <w:t>http://grid-monitoring.cern.ch/myegi/sam-pi/metrics_in_profiles?vo_name=ops&amp;profile_name=WLCG_CREAM_LCGCE_CRITICAL</w:t>
      </w:r>
    </w:p>
  </w:footnote>
  <w:footnote w:id="16">
    <w:p w:rsidR="006C1696" w:rsidRDefault="006C1696" w:rsidP="008F18AA">
      <w:pPr>
        <w:pStyle w:val="FootnoteText"/>
      </w:pPr>
      <w:r>
        <w:rPr>
          <w:rStyle w:val="FootnoteReference"/>
        </w:rPr>
        <w:footnoteRef/>
      </w:r>
      <w:r>
        <w:t xml:space="preserve"> </w:t>
      </w:r>
      <w:hyperlink r:id="rId13" w:history="1">
        <w:r w:rsidRPr="002801AD">
          <w:rPr>
            <w:rStyle w:val="Hyperlink"/>
          </w:rPr>
          <w:t>https://wiki.egi.eu/wiki/Grid_operations_oversight/ROD_performance_index#Definition</w:t>
        </w:r>
      </w:hyperlink>
    </w:p>
  </w:footnote>
  <w:footnote w:id="17">
    <w:p w:rsidR="006C1696" w:rsidRDefault="006C1696">
      <w:pPr>
        <w:pStyle w:val="FootnoteText"/>
      </w:pPr>
      <w:r>
        <w:rPr>
          <w:rStyle w:val="FootnoteReference"/>
        </w:rPr>
        <w:footnoteRef/>
      </w:r>
      <w:r>
        <w:t xml:space="preserve"> </w:t>
      </w:r>
      <w:hyperlink r:id="rId14" w:history="1">
        <w:r w:rsidRPr="002801AD">
          <w:rPr>
            <w:rStyle w:val="Hyperlink"/>
          </w:rPr>
          <w:t>https://vodashboard.lip.pt/</w:t>
        </w:r>
      </w:hyperlink>
    </w:p>
  </w:footnote>
  <w:footnote w:id="18">
    <w:p w:rsidR="006C1696" w:rsidRDefault="006C1696">
      <w:pPr>
        <w:pStyle w:val="FootnoteText"/>
      </w:pPr>
      <w:r>
        <w:rPr>
          <w:rStyle w:val="FootnoteReference"/>
        </w:rPr>
        <w:footnoteRef/>
      </w:r>
      <w:r>
        <w:t xml:space="preserve"> </w:t>
      </w:r>
      <w:hyperlink r:id="rId15" w:history="1">
        <w:r w:rsidRPr="002801AD">
          <w:rPr>
            <w:rStyle w:val="Hyperlink"/>
          </w:rPr>
          <w:t>https://wiki.egi.eu/wiki/SAM_Tests</w:t>
        </w:r>
      </w:hyperlink>
    </w:p>
  </w:footnote>
  <w:footnote w:id="19">
    <w:p w:rsidR="006C1696" w:rsidRDefault="006C1696" w:rsidP="002E747B">
      <w:pPr>
        <w:pStyle w:val="FootnoteText"/>
      </w:pPr>
      <w:r>
        <w:rPr>
          <w:rStyle w:val="FootnoteReference"/>
        </w:rPr>
        <w:footnoteRef/>
      </w:r>
      <w:r>
        <w:t xml:space="preserve"> </w:t>
      </w:r>
      <w:hyperlink r:id="rId16" w:history="1">
        <w:r w:rsidRPr="002801AD">
          <w:rPr>
            <w:rStyle w:val="Hyperlink"/>
          </w:rPr>
          <w:t>http://www.egi.eu/community/collaborations/MAPPER.html</w:t>
        </w:r>
      </w:hyperlink>
    </w:p>
  </w:footnote>
  <w:footnote w:id="20">
    <w:p w:rsidR="006C1696" w:rsidRDefault="006C1696">
      <w:pPr>
        <w:pStyle w:val="FootnoteText"/>
      </w:pPr>
      <w:r>
        <w:rPr>
          <w:rStyle w:val="FootnoteReference"/>
        </w:rPr>
        <w:footnoteRef/>
      </w:r>
      <w:r>
        <w:t xml:space="preserve"> </w:t>
      </w:r>
      <w:hyperlink r:id="rId17" w:history="1">
        <w:r w:rsidRPr="002801AD">
          <w:rPr>
            <w:rStyle w:val="Hyperlink"/>
          </w:rPr>
          <w:t>http://www.egi.eu/community/collaborations/EDGI.html</w:t>
        </w:r>
      </w:hyperlink>
    </w:p>
  </w:footnote>
  <w:footnote w:id="21">
    <w:p w:rsidR="006C1696" w:rsidRDefault="006C1696">
      <w:pPr>
        <w:pStyle w:val="FootnoteText"/>
      </w:pPr>
      <w:r>
        <w:rPr>
          <w:rStyle w:val="FootnoteReference"/>
        </w:rPr>
        <w:footnoteRef/>
      </w:r>
      <w:r>
        <w:t xml:space="preserve"> </w:t>
      </w:r>
      <w:hyperlink r:id="rId18" w:history="1">
        <w:r w:rsidRPr="002801AD">
          <w:rPr>
            <w:rStyle w:val="Hyperlink"/>
          </w:rPr>
          <w:t>https://wiki.egi.eu/wiki/GOCDB/services</w:t>
        </w:r>
      </w:hyperlink>
    </w:p>
  </w:footnote>
  <w:footnote w:id="22">
    <w:p w:rsidR="006C1696" w:rsidRDefault="006C1696">
      <w:pPr>
        <w:pStyle w:val="FootnoteText"/>
      </w:pPr>
      <w:r>
        <w:rPr>
          <w:rStyle w:val="FootnoteReference"/>
        </w:rPr>
        <w:footnoteRef/>
      </w:r>
      <w:r>
        <w:t xml:space="preserve"> </w:t>
      </w:r>
      <w:hyperlink r:id="rId19" w:history="1">
        <w:r w:rsidRPr="002801AD">
          <w:rPr>
            <w:rStyle w:val="Hyperlink"/>
          </w:rPr>
          <w:t>https://wiki.egi.eu/wiki/TCB:Accounting_Task_Force</w:t>
        </w:r>
      </w:hyperlink>
    </w:p>
  </w:footnote>
  <w:footnote w:id="23">
    <w:p w:rsidR="006C1696" w:rsidRPr="00E249BB" w:rsidRDefault="006C1696" w:rsidP="00613095">
      <w:pPr>
        <w:pStyle w:val="FootnoteText"/>
        <w:rPr>
          <w:lang w:val="en-US"/>
        </w:rPr>
      </w:pPr>
      <w:r>
        <w:rPr>
          <w:rStyle w:val="FootnoteReference"/>
        </w:rPr>
        <w:footnoteRef/>
      </w:r>
      <w:r>
        <w:t xml:space="preserve"> </w:t>
      </w:r>
      <w:r w:rsidRPr="00E249BB">
        <w:t xml:space="preserve">gLite 3.1 support calendar: </w:t>
      </w:r>
      <w:hyperlink r:id="rId20" w:tgtFrame="_blank" w:history="1">
        <w:r w:rsidRPr="00E249BB">
          <w:rPr>
            <w:rStyle w:val="Hyperlink"/>
          </w:rPr>
          <w:t>http://glite.cern.ch/R3.1/</w:t>
        </w:r>
      </w:hyperlink>
    </w:p>
  </w:footnote>
  <w:footnote w:id="24">
    <w:p w:rsidR="006C1696" w:rsidRDefault="006C1696">
      <w:pPr>
        <w:pStyle w:val="FootnoteText"/>
      </w:pPr>
      <w:r>
        <w:rPr>
          <w:rStyle w:val="FootnoteReference"/>
        </w:rPr>
        <w:footnoteRef/>
      </w:r>
      <w:r>
        <w:t xml:space="preserve"> PRACE workshop agenda at the Community Forum 2012:</w:t>
      </w:r>
    </w:p>
    <w:p w:rsidR="006C1696" w:rsidRDefault="006C1696">
      <w:pPr>
        <w:pStyle w:val="FootnoteText"/>
      </w:pPr>
      <w:r>
        <w:t xml:space="preserve"> </w:t>
      </w:r>
      <w:hyperlink r:id="rId21" w:history="1">
        <w:r w:rsidRPr="002801AD">
          <w:rPr>
            <w:rStyle w:val="Hyperlink"/>
          </w:rPr>
          <w:t>https://www.egi.eu/indico/sessionDisplay.py?sessionId=28&amp;confId=679#20120328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4"/>
      <w:gridCol w:w="3670"/>
      <w:gridCol w:w="3336"/>
    </w:tblGrid>
    <w:tr w:rsidR="006C1696">
      <w:trPr>
        <w:trHeight w:val="1131"/>
      </w:trPr>
      <w:tc>
        <w:tcPr>
          <w:tcW w:w="2559" w:type="dxa"/>
        </w:tcPr>
        <w:p w:rsidR="006C1696" w:rsidRDefault="006C1696" w:rsidP="00207D16">
          <w:pPr>
            <w:pStyle w:val="Header"/>
            <w:tabs>
              <w:tab w:val="right" w:pos="9072"/>
            </w:tabs>
            <w:jc w:val="left"/>
          </w:pPr>
          <w:r>
            <w:rPr>
              <w:noProof/>
              <w:lang w:eastAsia="en-GB"/>
            </w:rPr>
            <w:drawing>
              <wp:inline distT="0" distB="0" distL="0" distR="0" wp14:anchorId="6B67FA7B" wp14:editId="0F0131E7">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6C1696" w:rsidRDefault="006C1696" w:rsidP="00207D16">
          <w:pPr>
            <w:pStyle w:val="Header"/>
            <w:tabs>
              <w:tab w:val="right" w:pos="9072"/>
            </w:tabs>
            <w:jc w:val="center"/>
          </w:pPr>
          <w:r>
            <w:rPr>
              <w:noProof/>
              <w:lang w:eastAsia="en-GB"/>
            </w:rPr>
            <w:drawing>
              <wp:inline distT="0" distB="0" distL="0" distR="0" wp14:anchorId="3BE43014" wp14:editId="3C153BD8">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rsidR="006C1696" w:rsidRDefault="006C1696" w:rsidP="00207D16">
          <w:pPr>
            <w:pStyle w:val="Header"/>
            <w:tabs>
              <w:tab w:val="right" w:pos="9072"/>
            </w:tabs>
            <w:jc w:val="right"/>
          </w:pPr>
          <w:r>
            <w:rPr>
              <w:noProof/>
              <w:lang w:eastAsia="en-GB"/>
            </w:rPr>
            <w:drawing>
              <wp:inline distT="0" distB="0" distL="0" distR="0" wp14:anchorId="15A59960" wp14:editId="0CF9AB6E">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rsidR="006C1696" w:rsidRDefault="006C1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2">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4"/>
  </w:num>
  <w:num w:numId="4">
    <w:abstractNumId w:val="13"/>
  </w:num>
  <w:num w:numId="5">
    <w:abstractNumId w:val="1"/>
  </w:num>
  <w:num w:numId="6">
    <w:abstractNumId w:val="7"/>
  </w:num>
  <w:num w:numId="7">
    <w:abstractNumId w:val="8"/>
  </w:num>
  <w:num w:numId="8">
    <w:abstractNumId w:val="6"/>
  </w:num>
  <w:num w:numId="9">
    <w:abstractNumId w:val="9"/>
  </w:num>
  <w:num w:numId="10">
    <w:abstractNumId w:val="0"/>
  </w:num>
  <w:num w:numId="11">
    <w:abstractNumId w:val="2"/>
  </w:num>
  <w:num w:numId="12">
    <w:abstractNumId w:val="10"/>
  </w:num>
  <w:num w:numId="13">
    <w:abstractNumId w:val="5"/>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6B7"/>
    <w:rsid w:val="0001329B"/>
    <w:rsid w:val="0002426D"/>
    <w:rsid w:val="000314DA"/>
    <w:rsid w:val="0003595C"/>
    <w:rsid w:val="00037C85"/>
    <w:rsid w:val="00043028"/>
    <w:rsid w:val="000542F5"/>
    <w:rsid w:val="000617B1"/>
    <w:rsid w:val="00063388"/>
    <w:rsid w:val="0006339D"/>
    <w:rsid w:val="000662CB"/>
    <w:rsid w:val="0006761A"/>
    <w:rsid w:val="00072A53"/>
    <w:rsid w:val="00080074"/>
    <w:rsid w:val="000902B4"/>
    <w:rsid w:val="000953BD"/>
    <w:rsid w:val="000A2B1B"/>
    <w:rsid w:val="000A436A"/>
    <w:rsid w:val="000B4252"/>
    <w:rsid w:val="000B7A03"/>
    <w:rsid w:val="000C2C3A"/>
    <w:rsid w:val="000E009D"/>
    <w:rsid w:val="000F0FE0"/>
    <w:rsid w:val="001058E2"/>
    <w:rsid w:val="00112EAE"/>
    <w:rsid w:val="00124E76"/>
    <w:rsid w:val="001306EE"/>
    <w:rsid w:val="00140311"/>
    <w:rsid w:val="001601BF"/>
    <w:rsid w:val="00162C97"/>
    <w:rsid w:val="00170AB1"/>
    <w:rsid w:val="001742C3"/>
    <w:rsid w:val="00183CAF"/>
    <w:rsid w:val="00190731"/>
    <w:rsid w:val="0019110C"/>
    <w:rsid w:val="00195593"/>
    <w:rsid w:val="001A7C62"/>
    <w:rsid w:val="001B7777"/>
    <w:rsid w:val="001C71C9"/>
    <w:rsid w:val="001D5C64"/>
    <w:rsid w:val="001D7B2E"/>
    <w:rsid w:val="001E1E7E"/>
    <w:rsid w:val="001E50CB"/>
    <w:rsid w:val="00207D16"/>
    <w:rsid w:val="00214FC8"/>
    <w:rsid w:val="002172EB"/>
    <w:rsid w:val="002173BD"/>
    <w:rsid w:val="00224E68"/>
    <w:rsid w:val="002306CE"/>
    <w:rsid w:val="00234366"/>
    <w:rsid w:val="00255F83"/>
    <w:rsid w:val="00260DAF"/>
    <w:rsid w:val="00266283"/>
    <w:rsid w:val="00274252"/>
    <w:rsid w:val="002878C1"/>
    <w:rsid w:val="002A0036"/>
    <w:rsid w:val="002A03B2"/>
    <w:rsid w:val="002B1814"/>
    <w:rsid w:val="002B30AD"/>
    <w:rsid w:val="002C4E7A"/>
    <w:rsid w:val="002D0A14"/>
    <w:rsid w:val="002D3596"/>
    <w:rsid w:val="002E747B"/>
    <w:rsid w:val="002F63F4"/>
    <w:rsid w:val="00301EA1"/>
    <w:rsid w:val="003023EA"/>
    <w:rsid w:val="00302AFD"/>
    <w:rsid w:val="00307520"/>
    <w:rsid w:val="00312231"/>
    <w:rsid w:val="00312D12"/>
    <w:rsid w:val="003132EE"/>
    <w:rsid w:val="00313621"/>
    <w:rsid w:val="00314BE8"/>
    <w:rsid w:val="003203AE"/>
    <w:rsid w:val="003274BD"/>
    <w:rsid w:val="003276F2"/>
    <w:rsid w:val="00327BCA"/>
    <w:rsid w:val="00346E8D"/>
    <w:rsid w:val="0035365B"/>
    <w:rsid w:val="003538CC"/>
    <w:rsid w:val="00361543"/>
    <w:rsid w:val="0036423E"/>
    <w:rsid w:val="00367442"/>
    <w:rsid w:val="00371B32"/>
    <w:rsid w:val="003964F9"/>
    <w:rsid w:val="003974F1"/>
    <w:rsid w:val="00397511"/>
    <w:rsid w:val="003A38FF"/>
    <w:rsid w:val="003B4AA5"/>
    <w:rsid w:val="003C0741"/>
    <w:rsid w:val="003C391F"/>
    <w:rsid w:val="003C3B9D"/>
    <w:rsid w:val="003D0B1B"/>
    <w:rsid w:val="003D35D3"/>
    <w:rsid w:val="003D6690"/>
    <w:rsid w:val="003D6E91"/>
    <w:rsid w:val="003E1F5E"/>
    <w:rsid w:val="003F41E1"/>
    <w:rsid w:val="00400D42"/>
    <w:rsid w:val="00421685"/>
    <w:rsid w:val="004266E2"/>
    <w:rsid w:val="004274C3"/>
    <w:rsid w:val="00433700"/>
    <w:rsid w:val="004372D0"/>
    <w:rsid w:val="0044280E"/>
    <w:rsid w:val="004448A7"/>
    <w:rsid w:val="00444D20"/>
    <w:rsid w:val="00452522"/>
    <w:rsid w:val="00466642"/>
    <w:rsid w:val="00467B40"/>
    <w:rsid w:val="004714BE"/>
    <w:rsid w:val="00472801"/>
    <w:rsid w:val="00477985"/>
    <w:rsid w:val="0048514C"/>
    <w:rsid w:val="00492372"/>
    <w:rsid w:val="00494E64"/>
    <w:rsid w:val="0049731A"/>
    <w:rsid w:val="004B181C"/>
    <w:rsid w:val="004B3C47"/>
    <w:rsid w:val="004B6C4D"/>
    <w:rsid w:val="004B6DDF"/>
    <w:rsid w:val="004C2302"/>
    <w:rsid w:val="004C4D2F"/>
    <w:rsid w:val="004D7296"/>
    <w:rsid w:val="004E2605"/>
    <w:rsid w:val="004F2CF1"/>
    <w:rsid w:val="004F541C"/>
    <w:rsid w:val="004F659B"/>
    <w:rsid w:val="00500757"/>
    <w:rsid w:val="00522571"/>
    <w:rsid w:val="00526608"/>
    <w:rsid w:val="005357E9"/>
    <w:rsid w:val="00535A88"/>
    <w:rsid w:val="00535F82"/>
    <w:rsid w:val="0054473B"/>
    <w:rsid w:val="0054674C"/>
    <w:rsid w:val="00551236"/>
    <w:rsid w:val="00557DFA"/>
    <w:rsid w:val="0056138A"/>
    <w:rsid w:val="0056603B"/>
    <w:rsid w:val="00570DBC"/>
    <w:rsid w:val="0057142A"/>
    <w:rsid w:val="00594DD0"/>
    <w:rsid w:val="005A5D9D"/>
    <w:rsid w:val="005A6941"/>
    <w:rsid w:val="005A7ADD"/>
    <w:rsid w:val="005B3B66"/>
    <w:rsid w:val="005B3C6D"/>
    <w:rsid w:val="005B7AAB"/>
    <w:rsid w:val="005C3321"/>
    <w:rsid w:val="005C73D3"/>
    <w:rsid w:val="005D53DD"/>
    <w:rsid w:val="0060102F"/>
    <w:rsid w:val="00613095"/>
    <w:rsid w:val="00616BB5"/>
    <w:rsid w:val="00621C69"/>
    <w:rsid w:val="006368C4"/>
    <w:rsid w:val="006375E7"/>
    <w:rsid w:val="0064098D"/>
    <w:rsid w:val="006425FC"/>
    <w:rsid w:val="00645690"/>
    <w:rsid w:val="00646CCE"/>
    <w:rsid w:val="00646FF7"/>
    <w:rsid w:val="006537BB"/>
    <w:rsid w:val="006578D7"/>
    <w:rsid w:val="0066745C"/>
    <w:rsid w:val="00681486"/>
    <w:rsid w:val="00686FA7"/>
    <w:rsid w:val="00687C18"/>
    <w:rsid w:val="00696684"/>
    <w:rsid w:val="00696969"/>
    <w:rsid w:val="006B33F8"/>
    <w:rsid w:val="006C1696"/>
    <w:rsid w:val="006C1841"/>
    <w:rsid w:val="006C51C3"/>
    <w:rsid w:val="006D6F41"/>
    <w:rsid w:val="006E6B71"/>
    <w:rsid w:val="006F0D89"/>
    <w:rsid w:val="006F7826"/>
    <w:rsid w:val="006F7DA7"/>
    <w:rsid w:val="00704B3A"/>
    <w:rsid w:val="00721DB6"/>
    <w:rsid w:val="00722A4E"/>
    <w:rsid w:val="007401E3"/>
    <w:rsid w:val="0074145F"/>
    <w:rsid w:val="00741BF3"/>
    <w:rsid w:val="007451F2"/>
    <w:rsid w:val="00755364"/>
    <w:rsid w:val="00757BA6"/>
    <w:rsid w:val="007630B9"/>
    <w:rsid w:val="00771B5E"/>
    <w:rsid w:val="00773B70"/>
    <w:rsid w:val="007761F3"/>
    <w:rsid w:val="00777FA7"/>
    <w:rsid w:val="007826C5"/>
    <w:rsid w:val="0078439B"/>
    <w:rsid w:val="00796C86"/>
    <w:rsid w:val="007A05C7"/>
    <w:rsid w:val="007B1C48"/>
    <w:rsid w:val="007B285A"/>
    <w:rsid w:val="007B5A96"/>
    <w:rsid w:val="007C5189"/>
    <w:rsid w:val="007C79AE"/>
    <w:rsid w:val="007D33CD"/>
    <w:rsid w:val="007D683E"/>
    <w:rsid w:val="007F29DB"/>
    <w:rsid w:val="007F3EEF"/>
    <w:rsid w:val="00805BB2"/>
    <w:rsid w:val="00815BBE"/>
    <w:rsid w:val="008178F8"/>
    <w:rsid w:val="008229CB"/>
    <w:rsid w:val="00822FD7"/>
    <w:rsid w:val="0082421F"/>
    <w:rsid w:val="008276BB"/>
    <w:rsid w:val="00831900"/>
    <w:rsid w:val="00835709"/>
    <w:rsid w:val="00835ADE"/>
    <w:rsid w:val="008442DB"/>
    <w:rsid w:val="008554B0"/>
    <w:rsid w:val="008633B1"/>
    <w:rsid w:val="00870D46"/>
    <w:rsid w:val="00873B50"/>
    <w:rsid w:val="00883601"/>
    <w:rsid w:val="008911FB"/>
    <w:rsid w:val="00892948"/>
    <w:rsid w:val="00896897"/>
    <w:rsid w:val="00897038"/>
    <w:rsid w:val="008A7EA5"/>
    <w:rsid w:val="008B07CA"/>
    <w:rsid w:val="008B1A2E"/>
    <w:rsid w:val="008B1CE6"/>
    <w:rsid w:val="008C38F8"/>
    <w:rsid w:val="008C4D99"/>
    <w:rsid w:val="008D0693"/>
    <w:rsid w:val="008D3D61"/>
    <w:rsid w:val="008D5CA5"/>
    <w:rsid w:val="008E3807"/>
    <w:rsid w:val="008E470E"/>
    <w:rsid w:val="008E5FBF"/>
    <w:rsid w:val="008F18AA"/>
    <w:rsid w:val="008F49F1"/>
    <w:rsid w:val="00901236"/>
    <w:rsid w:val="00917A16"/>
    <w:rsid w:val="009429AD"/>
    <w:rsid w:val="00946F50"/>
    <w:rsid w:val="009477C8"/>
    <w:rsid w:val="00960188"/>
    <w:rsid w:val="0096200D"/>
    <w:rsid w:val="009654B8"/>
    <w:rsid w:val="009818E6"/>
    <w:rsid w:val="00985A93"/>
    <w:rsid w:val="00986DBE"/>
    <w:rsid w:val="00994CB7"/>
    <w:rsid w:val="009A1165"/>
    <w:rsid w:val="009A208E"/>
    <w:rsid w:val="009B1455"/>
    <w:rsid w:val="009B72C6"/>
    <w:rsid w:val="009C2E5B"/>
    <w:rsid w:val="009D28B3"/>
    <w:rsid w:val="009D35F1"/>
    <w:rsid w:val="009D3D26"/>
    <w:rsid w:val="009D6D90"/>
    <w:rsid w:val="009F5D90"/>
    <w:rsid w:val="00A1092F"/>
    <w:rsid w:val="00A156C9"/>
    <w:rsid w:val="00A16291"/>
    <w:rsid w:val="00A218C1"/>
    <w:rsid w:val="00A242A2"/>
    <w:rsid w:val="00A24A20"/>
    <w:rsid w:val="00A2567D"/>
    <w:rsid w:val="00A40637"/>
    <w:rsid w:val="00A47E4A"/>
    <w:rsid w:val="00A53EA8"/>
    <w:rsid w:val="00A54BFB"/>
    <w:rsid w:val="00A66C66"/>
    <w:rsid w:val="00A71BDD"/>
    <w:rsid w:val="00A83A78"/>
    <w:rsid w:val="00A843A9"/>
    <w:rsid w:val="00A9017F"/>
    <w:rsid w:val="00A91144"/>
    <w:rsid w:val="00AA1846"/>
    <w:rsid w:val="00AA6BA0"/>
    <w:rsid w:val="00AA763F"/>
    <w:rsid w:val="00AB3A0F"/>
    <w:rsid w:val="00AC3922"/>
    <w:rsid w:val="00AC3FB7"/>
    <w:rsid w:val="00AC5DA4"/>
    <w:rsid w:val="00AD48D5"/>
    <w:rsid w:val="00AD5937"/>
    <w:rsid w:val="00AE2D5C"/>
    <w:rsid w:val="00AF69ED"/>
    <w:rsid w:val="00AF7706"/>
    <w:rsid w:val="00B07BCE"/>
    <w:rsid w:val="00B12B85"/>
    <w:rsid w:val="00B16FA1"/>
    <w:rsid w:val="00B20926"/>
    <w:rsid w:val="00B21CC3"/>
    <w:rsid w:val="00B245B9"/>
    <w:rsid w:val="00B30664"/>
    <w:rsid w:val="00B4432F"/>
    <w:rsid w:val="00B46BBF"/>
    <w:rsid w:val="00B46CA6"/>
    <w:rsid w:val="00B541F2"/>
    <w:rsid w:val="00B54C79"/>
    <w:rsid w:val="00B62501"/>
    <w:rsid w:val="00B6440B"/>
    <w:rsid w:val="00B65469"/>
    <w:rsid w:val="00B76EA8"/>
    <w:rsid w:val="00B86A2B"/>
    <w:rsid w:val="00B93F3B"/>
    <w:rsid w:val="00BA0043"/>
    <w:rsid w:val="00BA2FB8"/>
    <w:rsid w:val="00BB23C2"/>
    <w:rsid w:val="00BC0E18"/>
    <w:rsid w:val="00BC4451"/>
    <w:rsid w:val="00BC655B"/>
    <w:rsid w:val="00BD08EE"/>
    <w:rsid w:val="00BD7D7B"/>
    <w:rsid w:val="00BE133A"/>
    <w:rsid w:val="00BE6B1D"/>
    <w:rsid w:val="00BE73AB"/>
    <w:rsid w:val="00C01D37"/>
    <w:rsid w:val="00C031AE"/>
    <w:rsid w:val="00C11B3B"/>
    <w:rsid w:val="00C21E4B"/>
    <w:rsid w:val="00C3017F"/>
    <w:rsid w:val="00C376E8"/>
    <w:rsid w:val="00C50374"/>
    <w:rsid w:val="00C50C55"/>
    <w:rsid w:val="00C51E51"/>
    <w:rsid w:val="00C57BD3"/>
    <w:rsid w:val="00C60359"/>
    <w:rsid w:val="00C66314"/>
    <w:rsid w:val="00C70ABF"/>
    <w:rsid w:val="00C81DBD"/>
    <w:rsid w:val="00C9521E"/>
    <w:rsid w:val="00C95A7B"/>
    <w:rsid w:val="00C963ED"/>
    <w:rsid w:val="00CC427E"/>
    <w:rsid w:val="00CC4AE4"/>
    <w:rsid w:val="00CC5100"/>
    <w:rsid w:val="00CE555D"/>
    <w:rsid w:val="00CF1A1A"/>
    <w:rsid w:val="00CF5098"/>
    <w:rsid w:val="00CF6B49"/>
    <w:rsid w:val="00D0238B"/>
    <w:rsid w:val="00D030DF"/>
    <w:rsid w:val="00D04BBE"/>
    <w:rsid w:val="00D25D9E"/>
    <w:rsid w:val="00D275D0"/>
    <w:rsid w:val="00D35740"/>
    <w:rsid w:val="00D4099D"/>
    <w:rsid w:val="00D41313"/>
    <w:rsid w:val="00D416B8"/>
    <w:rsid w:val="00D4676D"/>
    <w:rsid w:val="00D505F4"/>
    <w:rsid w:val="00D60112"/>
    <w:rsid w:val="00D74AAE"/>
    <w:rsid w:val="00D823C9"/>
    <w:rsid w:val="00D90F39"/>
    <w:rsid w:val="00DB67B3"/>
    <w:rsid w:val="00DC0146"/>
    <w:rsid w:val="00DC23D8"/>
    <w:rsid w:val="00DD29D9"/>
    <w:rsid w:val="00DD4AE8"/>
    <w:rsid w:val="00DE4F1B"/>
    <w:rsid w:val="00DE6338"/>
    <w:rsid w:val="00DF0F98"/>
    <w:rsid w:val="00DF5215"/>
    <w:rsid w:val="00E10576"/>
    <w:rsid w:val="00E10C0A"/>
    <w:rsid w:val="00E21FEB"/>
    <w:rsid w:val="00E26F29"/>
    <w:rsid w:val="00E45ED8"/>
    <w:rsid w:val="00E5776A"/>
    <w:rsid w:val="00E740EC"/>
    <w:rsid w:val="00E82085"/>
    <w:rsid w:val="00E9029F"/>
    <w:rsid w:val="00E916DB"/>
    <w:rsid w:val="00E94CE0"/>
    <w:rsid w:val="00E97166"/>
    <w:rsid w:val="00EA0176"/>
    <w:rsid w:val="00EA788D"/>
    <w:rsid w:val="00EE01EF"/>
    <w:rsid w:val="00EE1FC0"/>
    <w:rsid w:val="00EE2884"/>
    <w:rsid w:val="00EF085F"/>
    <w:rsid w:val="00EF38B4"/>
    <w:rsid w:val="00F00862"/>
    <w:rsid w:val="00F05EEB"/>
    <w:rsid w:val="00F1231A"/>
    <w:rsid w:val="00F12A75"/>
    <w:rsid w:val="00F22481"/>
    <w:rsid w:val="00F263AC"/>
    <w:rsid w:val="00F27E40"/>
    <w:rsid w:val="00F30E43"/>
    <w:rsid w:val="00F65D34"/>
    <w:rsid w:val="00F82514"/>
    <w:rsid w:val="00F85A8A"/>
    <w:rsid w:val="00F8629B"/>
    <w:rsid w:val="00F934AC"/>
    <w:rsid w:val="00FA71FA"/>
    <w:rsid w:val="00FB1369"/>
    <w:rsid w:val="00FB1A3C"/>
    <w:rsid w:val="00FB1A93"/>
    <w:rsid w:val="00FB478C"/>
    <w:rsid w:val="00FB77A7"/>
    <w:rsid w:val="00FC2C9B"/>
    <w:rsid w:val="00FC5028"/>
    <w:rsid w:val="00FD3EF3"/>
    <w:rsid w:val="00FD70C0"/>
    <w:rsid w:val="00FE2C65"/>
    <w:rsid w:val="00FE34C3"/>
    <w:rsid w:val="00FF63E2"/>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styleId="MediumGrid1-Accent2">
    <w:name w:val="Medium Grid 1 Accent 2"/>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hyperlink" Target="https://wiki.egi.eu/wiki/Availability_and_reliability_monthly_statistics#Resource_Centres" TargetMode="External"/><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hyperlink" Target="https://documents.egi.eu/document/763" TargetMode="External"/><Relationship Id="rId63" Type="http://schemas.openxmlformats.org/officeDocument/2006/relationships/hyperlink" Target="https://wiki.egi.eu/wiki/MAN05" TargetMode="External"/><Relationship Id="rId68" Type="http://schemas.openxmlformats.org/officeDocument/2006/relationships/hyperlink" Target="https://wiki.egi.eu/wiki/Performance" TargetMode="External"/><Relationship Id="rId76" Type="http://schemas.openxmlformats.org/officeDocument/2006/relationships/hyperlink" Target="https://documents.egi.eu/document/1098" TargetMode="External"/><Relationship Id="rId84" Type="http://schemas.openxmlformats.org/officeDocument/2006/relationships/image" Target="media/image39.png"/><Relationship Id="rId89" Type="http://schemas.openxmlformats.org/officeDocument/2006/relationships/image" Target="media/image44.png"/><Relationship Id="rId7" Type="http://schemas.openxmlformats.org/officeDocument/2006/relationships/footnotes" Target="footnotes.xml"/><Relationship Id="rId71" Type="http://schemas.openxmlformats.org/officeDocument/2006/relationships/hyperlink" Target="https://documents.egi.eu/document/3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www.egi.eu"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chart" Target="charts/chart1.xm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event.twgrid.org/isgc2010/abstract/AnAPELToolBasedCPUUsageAccountingInfrastructureforLargeScaleComputingGrids.pdf" TargetMode="External"/><Relationship Id="rId58" Type="http://schemas.openxmlformats.org/officeDocument/2006/relationships/hyperlink" Target="https://wiki.egi.eu/wiki/VO_Services/Documentation" TargetMode="External"/><Relationship Id="rId66" Type="http://schemas.openxmlformats.org/officeDocument/2006/relationships/hyperlink" Target="https://documents.egi.eu/document/963" TargetMode="External"/><Relationship Id="rId74" Type="http://schemas.openxmlformats.org/officeDocument/2006/relationships/hyperlink" Target="https://wiki.egi.eu/wiki/Services_and_Tools_Portfolio" TargetMode="External"/><Relationship Id="rId79" Type="http://schemas.openxmlformats.org/officeDocument/2006/relationships/hyperlink" Target="https://operations-portal.egi.eu/voDashboard" TargetMode="External"/><Relationship Id="rId87" Type="http://schemas.openxmlformats.org/officeDocument/2006/relationships/image" Target="media/image42.png"/><Relationship Id="rId5" Type="http://schemas.openxmlformats.org/officeDocument/2006/relationships/settings" Target="settings.xml"/><Relationship Id="rId61" Type="http://schemas.openxmlformats.org/officeDocument/2006/relationships/hyperlink" Target="https://wiki.egi.eu/wiki/HEP_SPEC06" TargetMode="External"/><Relationship Id="rId82" Type="http://schemas.openxmlformats.org/officeDocument/2006/relationships/hyperlink" Target="https://documents.egi.eu/document/8560" TargetMode="External"/><Relationship Id="rId90" Type="http://schemas.openxmlformats.org/officeDocument/2006/relationships/image" Target="media/image45.png"/><Relationship Id="rId19" Type="http://schemas.openxmlformats.org/officeDocument/2006/relationships/image" Target="media/image8.png"/><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iki.egi.eu/wiki/Availability_and_reliability_monthly_statistics#NGIs.2FEIROs"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documents.egi.eu/document/863" TargetMode="External"/><Relationship Id="rId64" Type="http://schemas.openxmlformats.org/officeDocument/2006/relationships/hyperlink" Target="http://www.mapper-project.eu/" TargetMode="External"/><Relationship Id="rId69" Type="http://schemas.openxmlformats.org/officeDocument/2006/relationships/hyperlink" Target="https://wiki.egi.eu/wiki/SAM#Profiles" TargetMode="External"/><Relationship Id="rId77" Type="http://schemas.openxmlformats.org/officeDocument/2006/relationships/hyperlink" Target="http://repository.egi.eu/category/umd_releases/distribution/umd_1/"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hyperlink" Target="https://documents.egi.eu/document/463" TargetMode="External"/><Relationship Id="rId80" Type="http://schemas.openxmlformats.org/officeDocument/2006/relationships/hyperlink" Target="https://wiki.egi.eu/wiki/VO_Services" TargetMode="External"/><Relationship Id="rId85" Type="http://schemas.openxmlformats.org/officeDocument/2006/relationships/image" Target="media/image40.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iki.egi.eu/wiki/Glossary" TargetMode="External"/><Relationship Id="rId67" Type="http://schemas.openxmlformats.org/officeDocument/2006/relationships/hyperlink" Target="https://documents.egi.eu/document/1057" TargetMode="External"/><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hyperlink" Target="https://www.egi.eu/infrastructure/Figures_and_utilisation/Availability_reliability.html" TargetMode="External"/><Relationship Id="rId62" Type="http://schemas.openxmlformats.org/officeDocument/2006/relationships/hyperlink" Target="http://wiki.healthgrid.org/Biomed-Shifts:LFCBrowseSE" TargetMode="External"/><Relationship Id="rId70" Type="http://schemas.openxmlformats.org/officeDocument/2006/relationships/hyperlink" Target="https://documents.egi.eu/document/999" TargetMode="External"/><Relationship Id="rId75" Type="http://schemas.openxmlformats.org/officeDocument/2006/relationships/hyperlink" Target="https://wiki.egi.eu/wiki/Staged-Rollout" TargetMode="External"/><Relationship Id="rId83" Type="http://schemas.openxmlformats.org/officeDocument/2006/relationships/hyperlink" Target="https://documents.egi.eu/document/1055" TargetMode="External"/><Relationship Id="rId88" Type="http://schemas.openxmlformats.org/officeDocument/2006/relationships/image" Target="media/image43.jpeg"/><Relationship Id="rId9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hyperlink" Target="https://documents.egi.eu/document/1063" TargetMode="External"/><Relationship Id="rId10" Type="http://schemas.openxmlformats.org/officeDocument/2006/relationships/hyperlink" Target="http://creativecommons.org/licenses/by-nc/3.0/" TargetMode="External"/><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hyperlink" Target="https://documents.egi.eu/document/961" TargetMode="External"/><Relationship Id="rId65" Type="http://schemas.openxmlformats.org/officeDocument/2006/relationships/hyperlink" Target="https://documents.egi.eu/document/961" TargetMode="External"/><Relationship Id="rId73" Type="http://schemas.openxmlformats.org/officeDocument/2006/relationships/hyperlink" Target="https://documents.egi.eu/document/495" TargetMode="External"/><Relationship Id="rId78" Type="http://schemas.openxmlformats.org/officeDocument/2006/relationships/hyperlink" Target="https://wiki.egi.eu/wiki/VO_Services/VO_Admin_Dashboard" TargetMode="External"/><Relationship Id="rId81" Type="http://schemas.openxmlformats.org/officeDocument/2006/relationships/hyperlink" Target="https://wiki.egi.eu/wiki/VO_Services/VO_Service_Availability_Monitoring" TargetMode="External"/><Relationship Id="rId86"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hyperlink" Target="http://www.egi.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operations-portal.egi.eu/vo" TargetMode="External"/><Relationship Id="rId13" Type="http://schemas.openxmlformats.org/officeDocument/2006/relationships/hyperlink" Target="https://wiki.egi.eu/wiki/Grid_operations_oversight/ROD_performance_index#Definition" TargetMode="External"/><Relationship Id="rId18" Type="http://schemas.openxmlformats.org/officeDocument/2006/relationships/hyperlink" Target="https://wiki.egi.eu/wiki/GOCDB/services" TargetMode="External"/><Relationship Id="rId3" Type="http://schemas.openxmlformats.org/officeDocument/2006/relationships/hyperlink" Target="https://wiki.egi.eu/wiki/Underperforming_sites_and_suspensions" TargetMode="External"/><Relationship Id="rId21" Type="http://schemas.openxmlformats.org/officeDocument/2006/relationships/hyperlink" Target="https://www.egi.eu/indico/sessionDisplay.py?sessionId=28&amp;confId=679#20120328" TargetMode="External"/><Relationship Id="rId7" Type="http://schemas.openxmlformats.org/officeDocument/2006/relationships/hyperlink" Target="https://wiki.egi.eu/wiki/MAPPER-PRACE-EGI_Task_Force_%28MTF%29-II" TargetMode="External"/><Relationship Id="rId12" Type="http://schemas.openxmlformats.org/officeDocument/2006/relationships/hyperlink" Target="https://wiki.egi.eu/wiki/SLM/RP_Service_Levels" TargetMode="External"/><Relationship Id="rId17" Type="http://schemas.openxmlformats.org/officeDocument/2006/relationships/hyperlink" Target="http://www.egi.eu/community/collaborations/EDGI.html" TargetMode="External"/><Relationship Id="rId2" Type="http://schemas.openxmlformats.org/officeDocument/2006/relationships/hyperlink" Target="https://wiki.egi.eu/wiki/Interoperations" TargetMode="External"/><Relationship Id="rId16" Type="http://schemas.openxmlformats.org/officeDocument/2006/relationships/hyperlink" Target="http://www.egi.eu/community/collaborations/MAPPER.html" TargetMode="External"/><Relationship Id="rId20" Type="http://schemas.openxmlformats.org/officeDocument/2006/relationships/hyperlink" Target="http://glite.cern.ch/R3.1/" TargetMode="External"/><Relationship Id="rId1" Type="http://schemas.openxmlformats.org/officeDocument/2006/relationships/hyperlink" Target="https://www.egi.eu/indico/getFile.py/access?contribId=3&amp;resId=0&amp;materialId=1&amp;confId=618" TargetMode="External"/><Relationship Id="rId6" Type="http://schemas.openxmlformats.org/officeDocument/2006/relationships/hyperlink" Target="http://www.mapper-project.eu/" TargetMode="External"/><Relationship Id="rId11" Type="http://schemas.openxmlformats.org/officeDocument/2006/relationships/hyperlink" Target="https://wiki.egi.eu/wiki/SLM/RC_Service_Levels" TargetMode="External"/><Relationship Id="rId5" Type="http://schemas.openxmlformats.org/officeDocument/2006/relationships/hyperlink" Target="http://www.infinibandta.org/" TargetMode="External"/><Relationship Id="rId15" Type="http://schemas.openxmlformats.org/officeDocument/2006/relationships/hyperlink" Target="https://wiki.egi.eu/wiki/SAM_Tests" TargetMode="External"/><Relationship Id="rId10" Type="http://schemas.openxmlformats.org/officeDocument/2006/relationships/hyperlink" Target="http://www4.egee.cesga.es/accounting/egee_view.php" TargetMode="External"/><Relationship Id="rId19" Type="http://schemas.openxmlformats.org/officeDocument/2006/relationships/hyperlink" Target="https://wiki.egi.eu/wiki/TCB:Accounting_Task_Force" TargetMode="External"/><Relationship Id="rId4" Type="http://schemas.openxmlformats.org/officeDocument/2006/relationships/hyperlink" Target="http://www.myri.com/myrinet/overview/" TargetMode="External"/><Relationship Id="rId9" Type="http://schemas.openxmlformats.org/officeDocument/2006/relationships/hyperlink" Target="http://www.eu-emi.eu/emi-2-matterhorn" TargetMode="External"/><Relationship Id="rId14" Type="http://schemas.openxmlformats.org/officeDocument/2006/relationships/hyperlink" Target="https://vodashboard.lip.p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ferrari\inspire\dissemination\2012winter\availability-topbdii-tf.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tx>
                <c:rich>
                  <a:bodyPr/>
                  <a:lstStyle/>
                  <a:p>
                    <a:r>
                      <a:rPr lang="en-US"/>
                      <a:t>47%</a:t>
                    </a:r>
                  </a:p>
                </c:rich>
              </c:tx>
              <c:showLegendKey val="0"/>
              <c:showVal val="0"/>
              <c:showCatName val="0"/>
              <c:showSerName val="1"/>
              <c:showPercent val="0"/>
              <c:showBubbleSize val="0"/>
            </c:dLbl>
            <c:dLbl>
              <c:idx val="1"/>
              <c:tx>
                <c:rich>
                  <a:bodyPr/>
                  <a:lstStyle/>
                  <a:p>
                    <a:r>
                      <a:rPr lang="en-US"/>
                      <a:t>18%</a:t>
                    </a:r>
                  </a:p>
                </c:rich>
              </c:tx>
              <c:showLegendKey val="0"/>
              <c:showVal val="0"/>
              <c:showCatName val="0"/>
              <c:showSerName val="1"/>
              <c:showPercent val="0"/>
              <c:showBubbleSize val="0"/>
            </c:dLbl>
            <c:dLbl>
              <c:idx val="2"/>
              <c:tx>
                <c:rich>
                  <a:bodyPr/>
                  <a:lstStyle/>
                  <a:p>
                    <a:r>
                      <a:rPr lang="en-US"/>
                      <a:t>12%</a:t>
                    </a:r>
                  </a:p>
                </c:rich>
              </c:tx>
              <c:showLegendKey val="0"/>
              <c:showVal val="0"/>
              <c:showCatName val="0"/>
              <c:showSerName val="1"/>
              <c:showPercent val="0"/>
              <c:showBubbleSize val="0"/>
            </c:dLbl>
            <c:dLbl>
              <c:idx val="3"/>
              <c:tx>
                <c:rich>
                  <a:bodyPr/>
                  <a:lstStyle/>
                  <a:p>
                    <a:r>
                      <a:rPr lang="en-US"/>
                      <a:t>23%</a:t>
                    </a:r>
                  </a:p>
                </c:rich>
              </c:tx>
              <c:showLegendKey val="0"/>
              <c:showVal val="0"/>
              <c:showCatName val="0"/>
              <c:showSerName val="1"/>
              <c:showPercent val="0"/>
              <c:showBubbleSize val="0"/>
            </c:dLbl>
            <c:txPr>
              <a:bodyPr/>
              <a:lstStyle/>
              <a:p>
                <a:pPr>
                  <a:defRPr sz="1500"/>
                </a:pPr>
                <a:endParaRPr lang="en-US"/>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c:v>
                </c:pt>
                <c:pt idx="1">
                  <c:v>6</c:v>
                </c:pt>
                <c:pt idx="2">
                  <c:v>4</c:v>
                </c:pt>
                <c:pt idx="3" formatCode="General">
                  <c:v>8</c:v>
                </c:pt>
              </c:numCache>
            </c:numRef>
          </c:val>
        </c:ser>
        <c:dLbls>
          <c:showLegendKey val="0"/>
          <c:showVal val="0"/>
          <c:showCatName val="0"/>
          <c:showSerName val="0"/>
          <c:showPercent val="0"/>
          <c:showBubbleSize val="0"/>
        </c:dLbls>
        <c:gapWidth val="100"/>
        <c:axId val="333667328"/>
        <c:axId val="333665024"/>
      </c:barChart>
      <c:valAx>
        <c:axId val="333665024"/>
        <c:scaling>
          <c:orientation val="minMax"/>
        </c:scaling>
        <c:delete val="0"/>
        <c:axPos val="l"/>
        <c:majorGridlines/>
        <c:title>
          <c:tx>
            <c:rich>
              <a:bodyPr rot="-5400000" vert="horz"/>
              <a:lstStyle/>
              <a:p>
                <a:pPr>
                  <a:defRPr/>
                </a:pPr>
                <a:r>
                  <a:rPr lang="en-GB"/>
                  <a:t>Number</a:t>
                </a:r>
                <a:r>
                  <a:rPr lang="en-GB" baseline="0"/>
                  <a:t> of NGIs</a:t>
                </a:r>
                <a:endParaRPr lang="en-GB"/>
              </a:p>
            </c:rich>
          </c:tx>
          <c:overlay val="0"/>
        </c:title>
        <c:numFmt formatCode="0" sourceLinked="1"/>
        <c:majorTickMark val="out"/>
        <c:minorTickMark val="none"/>
        <c:tickLblPos val="nextTo"/>
        <c:crossAx val="333667328"/>
        <c:crosses val="autoZero"/>
        <c:crossBetween val="between"/>
      </c:valAx>
      <c:catAx>
        <c:axId val="333667328"/>
        <c:scaling>
          <c:orientation val="minMax"/>
        </c:scaling>
        <c:delete val="0"/>
        <c:axPos val="b"/>
        <c:title>
          <c:tx>
            <c:rich>
              <a:bodyPr/>
              <a:lstStyle/>
              <a:p>
                <a:pPr>
                  <a:defRPr/>
                </a:pPr>
                <a:r>
                  <a:rPr lang="en-GB" baseline="0"/>
                  <a:t>Monthly Availability (arithmetic mean, Sep 2011-Jan 2012)</a:t>
                </a:r>
                <a:endParaRPr lang="en-GB"/>
              </a:p>
            </c:rich>
          </c:tx>
          <c:overlay val="0"/>
        </c:title>
        <c:numFmt formatCode="0%" sourceLinked="1"/>
        <c:majorTickMark val="out"/>
        <c:minorTickMark val="none"/>
        <c:tickLblPos val="nextTo"/>
        <c:crossAx val="333665024"/>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C8E17-8639-41E2-86B6-C858230F8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61</Pages>
  <Words>14853</Words>
  <Characters>84664</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99319</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pippo</cp:lastModifiedBy>
  <cp:revision>8</cp:revision>
  <cp:lastPrinted>2012-05-07T14:49:00Z</cp:lastPrinted>
  <dcterms:created xsi:type="dcterms:W3CDTF">2012-05-07T14:27:00Z</dcterms:created>
  <dcterms:modified xsi:type="dcterms:W3CDTF">2012-05-07T14:51:00Z</dcterms:modified>
</cp:coreProperties>
</file>