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BDACA" w14:textId="77777777" w:rsidR="00207D16" w:rsidRPr="00371B32" w:rsidRDefault="00207D16"/>
    <w:p w14:paraId="078526D1" w14:textId="77777777" w:rsidR="00207D16" w:rsidRPr="00371B32" w:rsidRDefault="00207D16" w:rsidP="00207D16"/>
    <w:p w14:paraId="1A2ED295" w14:textId="77777777" w:rsidR="00207D16" w:rsidRPr="00371B32" w:rsidRDefault="00207D16" w:rsidP="00207D16"/>
    <w:p w14:paraId="0DFADE85" w14:textId="75FD79BB" w:rsidR="004D5517" w:rsidRPr="00371B32" w:rsidRDefault="00B87206" w:rsidP="00B87206">
      <w:pPr>
        <w:tabs>
          <w:tab w:val="left" w:pos="431"/>
          <w:tab w:val="left" w:pos="573"/>
        </w:tabs>
        <w:spacing w:line="240" w:lineRule="atLeast"/>
        <w:jc w:val="center"/>
        <w:rPr>
          <w:b/>
          <w:color w:val="000080"/>
          <w:spacing w:val="80"/>
          <w:sz w:val="60"/>
        </w:rPr>
      </w:pPr>
      <w:r>
        <w:rPr>
          <w:b/>
          <w:color w:val="000080"/>
          <w:spacing w:val="80"/>
          <w:sz w:val="60"/>
        </w:rPr>
        <w:t>EGI policy for the usage of the TMPDIR variable in jobs’ environment</w:t>
      </w:r>
    </w:p>
    <w:p w14:paraId="78374318" w14:textId="77777777" w:rsidR="00207D16" w:rsidRPr="00371B32" w:rsidRDefault="00207D16" w:rsidP="00207D16"/>
    <w:p w14:paraId="7B15E098" w14:textId="77777777" w:rsidR="00207D16" w:rsidRPr="00371B32" w:rsidRDefault="00207D16" w:rsidP="00207D16"/>
    <w:p w14:paraId="11562CF8" w14:textId="77777777" w:rsidR="00207D16" w:rsidRPr="00371B32" w:rsidRDefault="00207D16" w:rsidP="00207D16"/>
    <w:p w14:paraId="3207E26A" w14:textId="77777777" w:rsidR="00207D16" w:rsidRPr="00371B32" w:rsidRDefault="00207D16" w:rsidP="00207D16">
      <w:pPr>
        <w:rPr>
          <w:i/>
        </w:rPr>
      </w:pPr>
    </w:p>
    <w:p w14:paraId="7385B873" w14:textId="77777777" w:rsidR="00207D16" w:rsidRPr="00371B32" w:rsidRDefault="00207D16" w:rsidP="00207D16"/>
    <w:p w14:paraId="6C01F99A" w14:textId="77777777" w:rsidR="00207D16" w:rsidRPr="00371B32" w:rsidRDefault="00207D16" w:rsidP="00207D16"/>
    <w:p w14:paraId="22D18375" w14:textId="77777777" w:rsidR="00207D16" w:rsidRPr="00371B32" w:rsidRDefault="00207D16" w:rsidP="00207D16"/>
    <w:p w14:paraId="0C507362" w14:textId="77777777" w:rsidR="00973397" w:rsidRDefault="00207D16" w:rsidP="00973397">
      <w:pPr>
        <w:pStyle w:val="Preface"/>
      </w:pPr>
      <w:r w:rsidRPr="00371B32">
        <w:br w:type="page"/>
      </w:r>
    </w:p>
    <w:p w14:paraId="4EE0DFC5" w14:textId="10BCFF95" w:rsidR="00F956D6" w:rsidRDefault="00973397" w:rsidP="00973397">
      <w:pPr>
        <w:pStyle w:val="Heading1"/>
      </w:pPr>
      <w:r>
        <w:lastRenderedPageBreak/>
        <w:t xml:space="preserve"> </w:t>
      </w:r>
      <w:r w:rsidR="00B87206">
        <w:t>Introduction</w:t>
      </w:r>
    </w:p>
    <w:p w14:paraId="04F3F32D" w14:textId="59196B7A" w:rsidR="00B87206" w:rsidRDefault="00B87206" w:rsidP="00B87206">
      <w:r>
        <w:t xml:space="preserve">Virtual Organisations list the minimum resources needed by the users’ jobs to properly run on a Worker Node. Those information are published in the VO ID card, and every site who support a specific VO needs to </w:t>
      </w:r>
      <w:r w:rsidR="00D2248C">
        <w:t>make sure that the WNs fulfil the requirements.</w:t>
      </w:r>
    </w:p>
    <w:p w14:paraId="4334BBE7" w14:textId="0B6FF0B1" w:rsidR="00D2248C" w:rsidRDefault="00D2248C" w:rsidP="00B87206">
      <w:r>
        <w:t xml:space="preserve"> One parameter that VOs can require is the amount of disk spac</w:t>
      </w:r>
      <w:r w:rsidR="00755B70">
        <w:t xml:space="preserve">e for the job’s temporary files, the </w:t>
      </w:r>
      <w:r w:rsidR="00755B70">
        <w:rPr>
          <w:b/>
        </w:rPr>
        <w:t xml:space="preserve">scratch </w:t>
      </w:r>
      <w:r w:rsidR="00BF676D">
        <w:rPr>
          <w:b/>
        </w:rPr>
        <w:t>space</w:t>
      </w:r>
      <w:r w:rsidR="00755B70">
        <w:t>.</w:t>
      </w:r>
    </w:p>
    <w:p w14:paraId="3FD21355" w14:textId="77777777" w:rsidR="00F65F37" w:rsidRDefault="00755B70" w:rsidP="00B87206">
      <w:r>
        <w:t xml:space="preserve"> This do</w:t>
      </w:r>
      <w:r w:rsidR="00CA6AAD">
        <w:t xml:space="preserve">cument provides a policy that aims to uniform </w:t>
      </w:r>
      <w:r w:rsidR="00033C9A">
        <w:t xml:space="preserve">across the sites </w:t>
      </w:r>
      <w:r w:rsidR="00CA6AAD">
        <w:t>the usage of environment variables used to communicate to the jobs th</w:t>
      </w:r>
      <w:r w:rsidR="00033C9A">
        <w:t>e location of such scratch area</w:t>
      </w:r>
      <w:r w:rsidR="00CA6AAD">
        <w:t xml:space="preserve">. </w:t>
      </w:r>
    </w:p>
    <w:p w14:paraId="4B32FF91" w14:textId="1A563E9C" w:rsidR="00755B70" w:rsidRDefault="00FE34E8" w:rsidP="00B87206">
      <w:r>
        <w:t xml:space="preserve"> </w:t>
      </w:r>
      <w:r w:rsidR="00F65F37">
        <w:t>Without a specific policy accepted throughout the infrastructure every site can implement his own policy, assuming that the scratch area is either the user’s home directory, job work-directory or a path advertised using a job’s environment variable.</w:t>
      </w:r>
    </w:p>
    <w:p w14:paraId="63B46366" w14:textId="06C68799" w:rsidR="00FE34E8" w:rsidRDefault="00FE34E8" w:rsidP="00B87206">
      <w:r>
        <w:t xml:space="preserve"> With a common best practice in place, </w:t>
      </w:r>
      <w:r w:rsidR="00397F59">
        <w:t xml:space="preserve">users can expect the same configuration -regarding this topic- in every execution environment, and adjust the code </w:t>
      </w:r>
      <w:r w:rsidR="003B10DB">
        <w:t>or</w:t>
      </w:r>
      <w:r w:rsidR="00397F59">
        <w:t xml:space="preserve"> the jobs’ wrappers accordingly.</w:t>
      </w:r>
    </w:p>
    <w:p w14:paraId="09267B7C" w14:textId="77777777" w:rsidR="00CA6AAD" w:rsidRDefault="00CA6AAD" w:rsidP="00B87206"/>
    <w:p w14:paraId="245BEB50" w14:textId="16BA64B1" w:rsidR="00CA6AAD" w:rsidRDefault="00F65F37" w:rsidP="00EB1734">
      <w:pPr>
        <w:pStyle w:val="Heading2"/>
      </w:pPr>
      <w:r>
        <w:t>To which</w:t>
      </w:r>
      <w:r w:rsidR="00FE34E8">
        <w:t xml:space="preserve"> services</w:t>
      </w:r>
      <w:r w:rsidR="00EB1734">
        <w:t xml:space="preserve"> </w:t>
      </w:r>
      <w:r>
        <w:t xml:space="preserve">the policy applies </w:t>
      </w:r>
    </w:p>
    <w:p w14:paraId="3976AE4A" w14:textId="1CB5F705" w:rsidR="00F65F37" w:rsidRDefault="000F679F" w:rsidP="00F65F37">
      <w:r>
        <w:t xml:space="preserve">The </w:t>
      </w:r>
      <w:r w:rsidR="00F65F37">
        <w:t xml:space="preserve">policy applies to the </w:t>
      </w:r>
      <w:r>
        <w:t xml:space="preserve">sites deploying </w:t>
      </w:r>
      <w:r w:rsidR="00F65F37" w:rsidRPr="00F65F37">
        <w:rPr>
          <w:i/>
        </w:rPr>
        <w:t>CREAM CEs</w:t>
      </w:r>
      <w:r w:rsidR="00F65F37">
        <w:t xml:space="preserve"> and </w:t>
      </w:r>
      <w:r w:rsidR="00F65F37" w:rsidRPr="00F65F37">
        <w:rPr>
          <w:i/>
        </w:rPr>
        <w:t>WN</w:t>
      </w:r>
      <w:r w:rsidR="00FE34E8">
        <w:rPr>
          <w:i/>
        </w:rPr>
        <w:t xml:space="preserve"> </w:t>
      </w:r>
      <w:r w:rsidR="00FE34E8">
        <w:t>(</w:t>
      </w:r>
      <w:r w:rsidR="00126561">
        <w:t xml:space="preserve">both </w:t>
      </w:r>
      <w:r w:rsidR="00FE34E8">
        <w:t>EMI and gLite)</w:t>
      </w:r>
      <w:r w:rsidR="00F65F37">
        <w:t>. Other middleware stacks seem to not have this ambiguity</w:t>
      </w:r>
      <w:r w:rsidR="00B55C5C">
        <w:t xml:space="preserve">. An extension of this policy </w:t>
      </w:r>
      <w:r w:rsidR="00126561">
        <w:t>for</w:t>
      </w:r>
      <w:r w:rsidR="00B55C5C">
        <w:t xml:space="preserve"> other midd</w:t>
      </w:r>
      <w:r w:rsidR="00126561">
        <w:t>leware stacks can be added in the further</w:t>
      </w:r>
      <w:r w:rsidR="009D4AEC">
        <w:t xml:space="preserve"> releases, if needed.</w:t>
      </w:r>
    </w:p>
    <w:p w14:paraId="01B4E783" w14:textId="01009DDB" w:rsidR="00126561" w:rsidRDefault="00126561" w:rsidP="00126561">
      <w:pPr>
        <w:pStyle w:val="Heading2"/>
      </w:pPr>
      <w:r>
        <w:t>Use of TMPDIR variable</w:t>
      </w:r>
    </w:p>
    <w:p w14:paraId="2C632726" w14:textId="3556EF18" w:rsidR="00B36272" w:rsidRDefault="00B36272" w:rsidP="00B36272">
      <w:r>
        <w:t xml:space="preserve">The policy </w:t>
      </w:r>
      <w:r w:rsidR="00853CBD">
        <w:t>consists in three points:</w:t>
      </w:r>
    </w:p>
    <w:p w14:paraId="4FAE7E72" w14:textId="77777777" w:rsidR="00091D5A" w:rsidRPr="00B36272" w:rsidRDefault="00091D5A" w:rsidP="00B36272"/>
    <w:p w14:paraId="14224012" w14:textId="3B7E9545" w:rsidR="00126561" w:rsidRDefault="00B36272" w:rsidP="00B41A5B">
      <w:pPr>
        <w:pStyle w:val="ListParagraph"/>
        <w:numPr>
          <w:ilvl w:val="0"/>
          <w:numId w:val="46"/>
        </w:numPr>
      </w:pPr>
      <w:r>
        <w:t xml:space="preserve">In </w:t>
      </w:r>
      <w:r w:rsidR="009D4AEC">
        <w:t>a</w:t>
      </w:r>
      <w:r>
        <w:t xml:space="preserve"> </w:t>
      </w:r>
      <w:r w:rsidR="009D4AEC">
        <w:t xml:space="preserve">grid </w:t>
      </w:r>
      <w:r>
        <w:t>job’s environment, t</w:t>
      </w:r>
      <w:r w:rsidR="00B41A5B">
        <w:t xml:space="preserve">he </w:t>
      </w:r>
      <w:r>
        <w:rPr>
          <w:b/>
        </w:rPr>
        <w:t>TMPDIR</w:t>
      </w:r>
      <w:r>
        <w:t xml:space="preserve"> variable </w:t>
      </w:r>
      <w:r w:rsidR="009D4AEC">
        <w:t xml:space="preserve">always </w:t>
      </w:r>
      <w:r>
        <w:t>contains the path to the location that can be used by the job as a scratch area for temporary files</w:t>
      </w:r>
    </w:p>
    <w:p w14:paraId="04ECF069" w14:textId="2F3C10E8" w:rsidR="00B36272" w:rsidRDefault="00B36272" w:rsidP="00B41A5B">
      <w:pPr>
        <w:pStyle w:val="ListParagraph"/>
        <w:numPr>
          <w:ilvl w:val="0"/>
          <w:numId w:val="46"/>
        </w:numPr>
      </w:pPr>
      <w:r>
        <w:t xml:space="preserve">If the </w:t>
      </w:r>
      <w:r>
        <w:rPr>
          <w:b/>
        </w:rPr>
        <w:t>TMPDIR</w:t>
      </w:r>
      <w:r>
        <w:t xml:space="preserve"> variable is not set, the jobs</w:t>
      </w:r>
      <w:r w:rsidR="00853CBD">
        <w:t xml:space="preserve"> can consider the </w:t>
      </w:r>
      <w:r w:rsidR="00853CBD" w:rsidRPr="00853CBD">
        <w:rPr>
          <w:b/>
        </w:rPr>
        <w:t>current working directory</w:t>
      </w:r>
      <w:r w:rsidR="00853CBD">
        <w:t xml:space="preserve"> as the assigned scratch area.</w:t>
      </w:r>
    </w:p>
    <w:p w14:paraId="399768B5" w14:textId="77777777" w:rsidR="00965B52" w:rsidRDefault="00965B52" w:rsidP="00965B52">
      <w:pPr>
        <w:pStyle w:val="ListParagraph"/>
      </w:pPr>
    </w:p>
    <w:p w14:paraId="64ECB912" w14:textId="01362D8B" w:rsidR="00965B52" w:rsidRDefault="00965B52" w:rsidP="00965B52">
      <w:pPr>
        <w:pStyle w:val="ListParagraph"/>
        <w:ind w:left="0"/>
      </w:pPr>
      <w:r>
        <w:t>The following comments clarify the boundaries of the policy:</w:t>
      </w:r>
    </w:p>
    <w:p w14:paraId="7435AD3C" w14:textId="77777777" w:rsidR="00091D5A" w:rsidRDefault="00091D5A" w:rsidP="00965B52">
      <w:pPr>
        <w:pStyle w:val="ListParagraph"/>
        <w:ind w:left="0"/>
      </w:pPr>
    </w:p>
    <w:p w14:paraId="49C76338" w14:textId="3E816B94" w:rsidR="00965B52" w:rsidRDefault="00965B52" w:rsidP="00965B52">
      <w:pPr>
        <w:pStyle w:val="ListParagraph"/>
        <w:numPr>
          <w:ilvl w:val="0"/>
          <w:numId w:val="48"/>
        </w:numPr>
      </w:pPr>
      <w:r>
        <w:t>The scratch area should have enough free space to fulfil the VO ID card requirements (if it does not, users should open a GGUS</w:t>
      </w:r>
      <w:r w:rsidR="00963AA7">
        <w:rPr>
          <w:rStyle w:val="FootnoteReference"/>
        </w:rPr>
        <w:footnoteReference w:id="1"/>
      </w:r>
      <w:r w:rsidR="009D4AEC">
        <w:t xml:space="preserve"> </w:t>
      </w:r>
      <w:r>
        <w:t>ticket VS the site)</w:t>
      </w:r>
    </w:p>
    <w:p w14:paraId="72DBD0E9" w14:textId="2084E80C" w:rsidR="00965B52" w:rsidRDefault="00965B52" w:rsidP="00965B52">
      <w:pPr>
        <w:pStyle w:val="ListParagraph"/>
        <w:numPr>
          <w:ilvl w:val="0"/>
          <w:numId w:val="48"/>
        </w:numPr>
      </w:pPr>
      <w:r>
        <w:t xml:space="preserve">The current version </w:t>
      </w:r>
      <w:r w:rsidR="00963AA7">
        <w:t xml:space="preserve">of the policy </w:t>
      </w:r>
      <w:r w:rsidR="00963AA7" w:rsidRPr="00963AA7">
        <w:t>does not</w:t>
      </w:r>
      <w:r w:rsidR="00963AA7">
        <w:t xml:space="preserve"> assume that the scratch area</w:t>
      </w:r>
      <w:r w:rsidR="00BF676D">
        <w:t>s</w:t>
      </w:r>
      <w:r w:rsidR="00963AA7">
        <w:t xml:space="preserve"> are s</w:t>
      </w:r>
      <w:r w:rsidR="00091D5A">
        <w:t xml:space="preserve">hared between worker nodes. This document </w:t>
      </w:r>
      <w:r w:rsidR="00963AA7">
        <w:t>will be refined to include also this information (the location of a shared area if needed by parallel jobs) in the job’s environment, or a new policy will be released.</w:t>
      </w:r>
      <w:r w:rsidR="009D4AEC">
        <w:br/>
        <w:t xml:space="preserve"> More in general, this policy does not assume that the scratch area has any</w:t>
      </w:r>
      <w:r w:rsidR="00BF676D">
        <w:t xml:space="preserve"> specific</w:t>
      </w:r>
      <w:r w:rsidR="009D4AEC">
        <w:t xml:space="preserve"> feature, but the disk space.</w:t>
      </w:r>
    </w:p>
    <w:p w14:paraId="28A7D7F0" w14:textId="20709EF5" w:rsidR="00963AA7" w:rsidRDefault="00963AA7" w:rsidP="00965B52">
      <w:pPr>
        <w:pStyle w:val="ListParagraph"/>
        <w:numPr>
          <w:ilvl w:val="0"/>
          <w:numId w:val="48"/>
        </w:numPr>
      </w:pPr>
      <w:r>
        <w:t>If the TMPDIR variable contains an invalid pa</w:t>
      </w:r>
      <w:bookmarkStart w:id="0" w:name="_GoBack"/>
      <w:bookmarkEnd w:id="0"/>
      <w:r>
        <w:t xml:space="preserve">th, this does not mean that the job’s current workdir </w:t>
      </w:r>
      <w:r w:rsidR="000F679F">
        <w:t>can be considered</w:t>
      </w:r>
      <w:r>
        <w:t xml:space="preserve"> the assigned scratch area. This is a configuration error and the users </w:t>
      </w:r>
      <w:r w:rsidR="00BF676D">
        <w:t>should</w:t>
      </w:r>
      <w:r>
        <w:t xml:space="preserve"> open a GGUS ticket </w:t>
      </w:r>
      <w:r w:rsidR="000F679F">
        <w:t>VS</w:t>
      </w:r>
      <w:r>
        <w:t xml:space="preserve"> the affected site.</w:t>
      </w:r>
    </w:p>
    <w:p w14:paraId="287A27F1" w14:textId="77777777" w:rsidR="00965B52" w:rsidRPr="00126561" w:rsidRDefault="00965B52" w:rsidP="00965B52"/>
    <w:sectPr w:rsidR="00965B52" w:rsidRPr="00126561" w:rsidSect="00207D16">
      <w:headerReference w:type="default" r:id="rId8"/>
      <w:footerReference w:type="default" r:id="rId9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DE17C" w14:textId="77777777" w:rsidR="009D4AEC" w:rsidRDefault="009D4AEC">
      <w:pPr>
        <w:spacing w:before="0" w:after="0"/>
      </w:pPr>
      <w:r>
        <w:separator/>
      </w:r>
    </w:p>
  </w:endnote>
  <w:endnote w:type="continuationSeparator" w:id="0">
    <w:p w14:paraId="44589E85" w14:textId="77777777" w:rsidR="009D4AEC" w:rsidRDefault="009D4A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A5C46" w14:textId="77777777" w:rsidR="009D4AEC" w:rsidRDefault="009D4AEC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9D4AEC" w14:paraId="0C9DE777" w14:textId="77777777">
      <w:tc>
        <w:tcPr>
          <w:tcW w:w="2764" w:type="dxa"/>
          <w:tcBorders>
            <w:top w:val="single" w:sz="8" w:space="0" w:color="000080"/>
          </w:tcBorders>
        </w:tcPr>
        <w:p w14:paraId="1252D22F" w14:textId="77777777" w:rsidR="009D4AEC" w:rsidRPr="0078770C" w:rsidRDefault="009D4AEC">
          <w:pPr>
            <w:pStyle w:val="Footer"/>
            <w:rPr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>EGI-InSPIRE</w:t>
          </w:r>
          <w:r>
            <w:rPr>
              <w:color w:val="000000"/>
              <w:sz w:val="18"/>
              <w:szCs w:val="18"/>
            </w:rPr>
            <w:t xml:space="preserve"> INFSO-RI-261323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0E560601" w14:textId="77777777" w:rsidR="009D4AEC" w:rsidRPr="0078770C" w:rsidRDefault="009D4AEC" w:rsidP="00207D16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>© Members of EGI-InSPIRE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14:paraId="15311F4B" w14:textId="00B1EC10" w:rsidR="009D4AEC" w:rsidRDefault="008572C0">
          <w:pPr>
            <w:pStyle w:val="Footer"/>
            <w:jc w:val="center"/>
            <w:rPr>
              <w:caps/>
            </w:rPr>
          </w:pPr>
          <w:r>
            <w:rPr>
              <w:caps/>
              <w:shd w:val="clear" w:color="auto" w:fill="FFFF00"/>
            </w:rPr>
            <w:t>DRAFT</w:t>
          </w:r>
          <w:r w:rsidR="009D4AEC"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188A4C4D" w14:textId="77777777" w:rsidR="009D4AEC" w:rsidRDefault="009D4AEC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572C0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MERGEFORMAT ">
            <w:r w:rsidR="008572C0">
              <w:rPr>
                <w:noProof/>
              </w:rPr>
              <w:t>2</w:t>
            </w:r>
          </w:fldSimple>
        </w:p>
      </w:tc>
    </w:tr>
  </w:tbl>
  <w:p w14:paraId="20C56A44" w14:textId="77777777" w:rsidR="009D4AEC" w:rsidRDefault="009D4A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1D462" w14:textId="77777777" w:rsidR="009D4AEC" w:rsidRDefault="009D4AEC">
      <w:pPr>
        <w:spacing w:before="0" w:after="0"/>
      </w:pPr>
      <w:r>
        <w:separator/>
      </w:r>
    </w:p>
  </w:footnote>
  <w:footnote w:type="continuationSeparator" w:id="0">
    <w:p w14:paraId="0263FBBD" w14:textId="77777777" w:rsidR="009D4AEC" w:rsidRDefault="009D4AEC">
      <w:pPr>
        <w:spacing w:before="0" w:after="0"/>
      </w:pPr>
      <w:r>
        <w:continuationSeparator/>
      </w:r>
    </w:p>
  </w:footnote>
  <w:footnote w:id="1">
    <w:p w14:paraId="2DE7228E" w14:textId="3E77F2C2" w:rsidR="009D4AEC" w:rsidRPr="00963AA7" w:rsidRDefault="009D4AE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63AA7">
        <w:t>https://ggus.eu/pages/ticket.php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403"/>
      <w:gridCol w:w="3671"/>
      <w:gridCol w:w="3336"/>
    </w:tblGrid>
    <w:tr w:rsidR="009D4AEC" w14:paraId="5E8E8FFC" w14:textId="77777777">
      <w:trPr>
        <w:trHeight w:val="1131"/>
      </w:trPr>
      <w:tc>
        <w:tcPr>
          <w:tcW w:w="2559" w:type="dxa"/>
        </w:tcPr>
        <w:p w14:paraId="4DFC2E26" w14:textId="77777777" w:rsidR="009D4AEC" w:rsidRDefault="009D4AEC" w:rsidP="00207D16">
          <w:pPr>
            <w:pStyle w:val="Header"/>
            <w:tabs>
              <w:tab w:val="right" w:pos="9072"/>
            </w:tabs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770D6C95" wp14:editId="590B981F">
                <wp:extent cx="1042035" cy="786765"/>
                <wp:effectExtent l="0" t="0" r="0" b="635"/>
                <wp:docPr id="1" name="Picture 1" descr="EGI-LogoR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-LogoR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3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14:paraId="5E8341F1" w14:textId="77777777" w:rsidR="009D4AEC" w:rsidRDefault="009D4AEC" w:rsidP="00207D16">
          <w:pPr>
            <w:pStyle w:val="Header"/>
            <w:tabs>
              <w:tab w:val="right" w:pos="9072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CD7D12D" wp14:editId="6E80851C">
                <wp:extent cx="1099820" cy="798830"/>
                <wp:effectExtent l="0" t="0" r="0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82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14:paraId="6C85A818" w14:textId="77777777" w:rsidR="009D4AEC" w:rsidRDefault="009D4AEC" w:rsidP="00207D16">
          <w:pPr>
            <w:pStyle w:val="Header"/>
            <w:tabs>
              <w:tab w:val="right" w:pos="9072"/>
            </w:tabs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537F743D" wp14:editId="5B9B25BF">
                <wp:extent cx="1979295" cy="798830"/>
                <wp:effectExtent l="0" t="0" r="1905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29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36ACB6" w14:textId="77777777" w:rsidR="009D4AEC" w:rsidRDefault="009D4AE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8628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E6017"/>
    <w:multiLevelType w:val="multilevel"/>
    <w:tmpl w:val="957C28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38E1E8B"/>
    <w:multiLevelType w:val="hybridMultilevel"/>
    <w:tmpl w:val="FD286F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1529F"/>
    <w:multiLevelType w:val="multilevel"/>
    <w:tmpl w:val="693A56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0D12253D"/>
    <w:multiLevelType w:val="multilevel"/>
    <w:tmpl w:val="B05AEB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EC551EF"/>
    <w:multiLevelType w:val="multilevel"/>
    <w:tmpl w:val="72EC38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4D96E9C"/>
    <w:multiLevelType w:val="multilevel"/>
    <w:tmpl w:val="5730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01E6F"/>
    <w:multiLevelType w:val="multilevel"/>
    <w:tmpl w:val="7F345A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67D77A9"/>
    <w:multiLevelType w:val="hybridMultilevel"/>
    <w:tmpl w:val="DE3ADF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23312"/>
    <w:multiLevelType w:val="multilevel"/>
    <w:tmpl w:val="7F345A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B720B07"/>
    <w:multiLevelType w:val="multilevel"/>
    <w:tmpl w:val="58004B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CB20211"/>
    <w:multiLevelType w:val="multilevel"/>
    <w:tmpl w:val="6F0CB2DC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>
    <w:nsid w:val="1EB7121C"/>
    <w:multiLevelType w:val="hybridMultilevel"/>
    <w:tmpl w:val="4C04C4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34F02696"/>
    <w:multiLevelType w:val="multilevel"/>
    <w:tmpl w:val="42EA99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34F96AAB"/>
    <w:multiLevelType w:val="multilevel"/>
    <w:tmpl w:val="841003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7C24976"/>
    <w:multiLevelType w:val="hybridMultilevel"/>
    <w:tmpl w:val="D232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F5A67"/>
    <w:multiLevelType w:val="multilevel"/>
    <w:tmpl w:val="DF58EC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3CBA7C1A"/>
    <w:multiLevelType w:val="multilevel"/>
    <w:tmpl w:val="AB9AC4EA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Restart w:val="0"/>
      <w:suff w:val="space"/>
      <w:lvlText w:val="%1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3CF542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75137DD"/>
    <w:multiLevelType w:val="multilevel"/>
    <w:tmpl w:val="BA340EF8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1">
    <w:nsid w:val="48DC6AF7"/>
    <w:multiLevelType w:val="hybridMultilevel"/>
    <w:tmpl w:val="A7AE6FFC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>
    <w:nsid w:val="4C6A56C2"/>
    <w:multiLevelType w:val="hybridMultilevel"/>
    <w:tmpl w:val="3C7C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833F9"/>
    <w:multiLevelType w:val="multilevel"/>
    <w:tmpl w:val="7F345A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04D5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0E65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4370EDF"/>
    <w:multiLevelType w:val="multilevel"/>
    <w:tmpl w:val="B63EEF0C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7">
    <w:nsid w:val="563904D4"/>
    <w:multiLevelType w:val="multilevel"/>
    <w:tmpl w:val="5BC40B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56BD533D"/>
    <w:multiLevelType w:val="hybridMultilevel"/>
    <w:tmpl w:val="FF0C0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FA73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76C0753"/>
    <w:multiLevelType w:val="multilevel"/>
    <w:tmpl w:val="8FDC8C04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1">
    <w:nsid w:val="5D07196F"/>
    <w:multiLevelType w:val="multilevel"/>
    <w:tmpl w:val="709C6D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5E2860E9"/>
    <w:multiLevelType w:val="hybridMultilevel"/>
    <w:tmpl w:val="6B6A2604"/>
    <w:lvl w:ilvl="0" w:tplc="F3BAB3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16F89"/>
    <w:multiLevelType w:val="multilevel"/>
    <w:tmpl w:val="43E620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D4672A4"/>
    <w:multiLevelType w:val="multilevel"/>
    <w:tmpl w:val="53707E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36">
    <w:nsid w:val="701C2F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1231A7"/>
    <w:multiLevelType w:val="multilevel"/>
    <w:tmpl w:val="FCC6C2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76723EC1"/>
    <w:multiLevelType w:val="multilevel"/>
    <w:tmpl w:val="4016ED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>
    <w:nsid w:val="7716632F"/>
    <w:multiLevelType w:val="multilevel"/>
    <w:tmpl w:val="01D6D8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8622C4E"/>
    <w:multiLevelType w:val="multilevel"/>
    <w:tmpl w:val="B6DEF3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7D5F7F2F"/>
    <w:multiLevelType w:val="hybridMultilevel"/>
    <w:tmpl w:val="FEC2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C6BC1"/>
    <w:multiLevelType w:val="multilevel"/>
    <w:tmpl w:val="7DEEAB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1"/>
  </w:num>
  <w:num w:numId="2">
    <w:abstractNumId w:val="35"/>
  </w:num>
  <w:num w:numId="3">
    <w:abstractNumId w:val="12"/>
  </w:num>
  <w:num w:numId="4">
    <w:abstractNumId w:val="15"/>
  </w:num>
  <w:num w:numId="5">
    <w:abstractNumId w:val="39"/>
  </w:num>
  <w:num w:numId="6">
    <w:abstractNumId w:val="25"/>
  </w:num>
  <w:num w:numId="7">
    <w:abstractNumId w:val="11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9"/>
  </w:num>
  <w:num w:numId="11">
    <w:abstractNumId w:val="36"/>
  </w:num>
  <w:num w:numId="12">
    <w:abstractNumId w:val="20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4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4"/>
  </w:num>
  <w:num w:numId="22">
    <w:abstractNumId w:val="37"/>
  </w:num>
  <w:num w:numId="23">
    <w:abstractNumId w:val="3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9"/>
  </w:num>
  <w:num w:numId="27">
    <w:abstractNumId w:val="7"/>
  </w:num>
  <w:num w:numId="28">
    <w:abstractNumId w:val="5"/>
  </w:num>
  <w:num w:numId="29">
    <w:abstractNumId w:val="34"/>
  </w:num>
  <w:num w:numId="30">
    <w:abstractNumId w:val="42"/>
  </w:num>
  <w:num w:numId="31">
    <w:abstractNumId w:val="10"/>
  </w:num>
  <w:num w:numId="32">
    <w:abstractNumId w:val="1"/>
  </w:num>
  <w:num w:numId="33">
    <w:abstractNumId w:val="27"/>
  </w:num>
  <w:num w:numId="34">
    <w:abstractNumId w:val="17"/>
  </w:num>
  <w:num w:numId="35">
    <w:abstractNumId w:val="40"/>
  </w:num>
  <w:num w:numId="36">
    <w:abstractNumId w:val="18"/>
  </w:num>
  <w:num w:numId="37">
    <w:abstractNumId w:val="29"/>
  </w:num>
  <w:num w:numId="38">
    <w:abstractNumId w:val="33"/>
  </w:num>
  <w:num w:numId="39">
    <w:abstractNumId w:val="13"/>
  </w:num>
  <w:num w:numId="40">
    <w:abstractNumId w:val="0"/>
  </w:num>
  <w:num w:numId="41">
    <w:abstractNumId w:val="6"/>
  </w:num>
  <w:num w:numId="42">
    <w:abstractNumId w:val="28"/>
  </w:num>
  <w:num w:numId="43">
    <w:abstractNumId w:val="16"/>
  </w:num>
  <w:num w:numId="44">
    <w:abstractNumId w:val="21"/>
  </w:num>
  <w:num w:numId="45">
    <w:abstractNumId w:val="22"/>
  </w:num>
  <w:num w:numId="46">
    <w:abstractNumId w:val="32"/>
  </w:num>
  <w:num w:numId="47">
    <w:abstractNumId w:val="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3148A"/>
    <w:rsid w:val="00033C9A"/>
    <w:rsid w:val="00091D5A"/>
    <w:rsid w:val="000F679F"/>
    <w:rsid w:val="00126561"/>
    <w:rsid w:val="00160F5B"/>
    <w:rsid w:val="0018071D"/>
    <w:rsid w:val="00207D16"/>
    <w:rsid w:val="002579A6"/>
    <w:rsid w:val="002B1814"/>
    <w:rsid w:val="0031339A"/>
    <w:rsid w:val="003417BA"/>
    <w:rsid w:val="00370520"/>
    <w:rsid w:val="00371B32"/>
    <w:rsid w:val="00385306"/>
    <w:rsid w:val="00397F59"/>
    <w:rsid w:val="003B10DB"/>
    <w:rsid w:val="003C253E"/>
    <w:rsid w:val="003F1452"/>
    <w:rsid w:val="003F4F39"/>
    <w:rsid w:val="00472DB3"/>
    <w:rsid w:val="00473F66"/>
    <w:rsid w:val="00485CBB"/>
    <w:rsid w:val="004D5517"/>
    <w:rsid w:val="004D7296"/>
    <w:rsid w:val="00507927"/>
    <w:rsid w:val="00601195"/>
    <w:rsid w:val="006528AA"/>
    <w:rsid w:val="006A5053"/>
    <w:rsid w:val="006C51C3"/>
    <w:rsid w:val="006F5955"/>
    <w:rsid w:val="00754818"/>
    <w:rsid w:val="00755B70"/>
    <w:rsid w:val="00790258"/>
    <w:rsid w:val="008400ED"/>
    <w:rsid w:val="00853CBD"/>
    <w:rsid w:val="008572C0"/>
    <w:rsid w:val="00862AB7"/>
    <w:rsid w:val="008916FA"/>
    <w:rsid w:val="00893AFD"/>
    <w:rsid w:val="00894E68"/>
    <w:rsid w:val="00963AA7"/>
    <w:rsid w:val="00965B52"/>
    <w:rsid w:val="00973397"/>
    <w:rsid w:val="009A520E"/>
    <w:rsid w:val="009D4AEC"/>
    <w:rsid w:val="00B234FA"/>
    <w:rsid w:val="00B36272"/>
    <w:rsid w:val="00B41A5B"/>
    <w:rsid w:val="00B55C5C"/>
    <w:rsid w:val="00B76014"/>
    <w:rsid w:val="00B87206"/>
    <w:rsid w:val="00B876F6"/>
    <w:rsid w:val="00BA5C17"/>
    <w:rsid w:val="00BF676D"/>
    <w:rsid w:val="00C1180C"/>
    <w:rsid w:val="00C2420F"/>
    <w:rsid w:val="00C755BE"/>
    <w:rsid w:val="00CA6AAD"/>
    <w:rsid w:val="00D10823"/>
    <w:rsid w:val="00D2248C"/>
    <w:rsid w:val="00D438D4"/>
    <w:rsid w:val="00D80A02"/>
    <w:rsid w:val="00D96398"/>
    <w:rsid w:val="00E20A43"/>
    <w:rsid w:val="00E2230C"/>
    <w:rsid w:val="00E61912"/>
    <w:rsid w:val="00EA5DA9"/>
    <w:rsid w:val="00EB1734"/>
    <w:rsid w:val="00F65F37"/>
    <w:rsid w:val="00F956D6"/>
    <w:rsid w:val="00FE34E8"/>
    <w:rsid w:val="00FF0C0F"/>
    <w:rsid w:val="00FF51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7CE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D3209A"/>
    <w:pPr>
      <w:keepNext/>
      <w:pageBreakBefore/>
      <w:numPr>
        <w:numId w:val="39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39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39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39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39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39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39"/>
      </w:numPr>
      <w:spacing w:before="240" w:after="60"/>
      <w:outlineLvl w:val="6"/>
    </w:pPr>
    <w:rPr>
      <w:rFonts w:ascii="Cambria" w:hAnsi="Cambria"/>
      <w:sz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39"/>
      </w:numPr>
      <w:spacing w:before="240" w:after="60"/>
      <w:outlineLvl w:val="7"/>
    </w:pPr>
    <w:rPr>
      <w:rFonts w:ascii="Cambria" w:hAnsi="Cambria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39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D3209A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character" w:customStyle="1" w:styleId="il">
    <w:name w:val="il"/>
    <w:rsid w:val="009A520E"/>
  </w:style>
  <w:style w:type="paragraph" w:styleId="ListParagraph">
    <w:name w:val="List Paragraph"/>
    <w:basedOn w:val="Normal"/>
    <w:rsid w:val="00C755B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63AA7"/>
    <w:pPr>
      <w:spacing w:before="0"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963AA7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rsid w:val="00963AA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D3209A"/>
    <w:pPr>
      <w:keepNext/>
      <w:pageBreakBefore/>
      <w:numPr>
        <w:numId w:val="39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39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39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39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39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39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39"/>
      </w:numPr>
      <w:spacing w:before="240" w:after="60"/>
      <w:outlineLvl w:val="6"/>
    </w:pPr>
    <w:rPr>
      <w:rFonts w:ascii="Cambria" w:hAnsi="Cambria"/>
      <w:sz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39"/>
      </w:numPr>
      <w:spacing w:before="240" w:after="60"/>
      <w:outlineLvl w:val="7"/>
    </w:pPr>
    <w:rPr>
      <w:rFonts w:ascii="Cambria" w:hAnsi="Cambria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39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D3209A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character" w:customStyle="1" w:styleId="il">
    <w:name w:val="il"/>
    <w:rsid w:val="009A520E"/>
  </w:style>
  <w:style w:type="paragraph" w:styleId="ListParagraph">
    <w:name w:val="List Paragraph"/>
    <w:basedOn w:val="Normal"/>
    <w:rsid w:val="00C755B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63AA7"/>
    <w:pPr>
      <w:spacing w:before="0"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963AA7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rsid w:val="0096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380</Words>
  <Characters>2167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2542</CharactersWithSpaces>
  <SharedDoc>false</SharedDoc>
  <HLinks>
    <vt:vector size="36" baseType="variant">
      <vt:variant>
        <vt:i4>5373983</vt:i4>
      </vt:variant>
      <vt:variant>
        <vt:i4>21</vt:i4>
      </vt:variant>
      <vt:variant>
        <vt:i4>0</vt:i4>
      </vt:variant>
      <vt:variant>
        <vt:i4>5</vt:i4>
      </vt:variant>
      <vt:variant>
        <vt:lpwstr>http://www.egi.eu/about/glossary/</vt:lpwstr>
      </vt:variant>
      <vt:variant>
        <vt:lpwstr/>
      </vt:variant>
      <vt:variant>
        <vt:i4>3997818</vt:i4>
      </vt:variant>
      <vt:variant>
        <vt:i4>18</vt:i4>
      </vt:variant>
      <vt:variant>
        <vt:i4>0</vt:i4>
      </vt:variant>
      <vt:variant>
        <vt:i4>5</vt:i4>
      </vt:variant>
      <vt:variant>
        <vt:lpwstr>https://wiki.egi.eu/wiki/Procedures</vt:lpwstr>
      </vt:variant>
      <vt:variant>
        <vt:lpwstr/>
      </vt:variant>
      <vt:variant>
        <vt:i4>7143532</vt:i4>
      </vt:variant>
      <vt:variant>
        <vt:i4>15</vt:i4>
      </vt:variant>
      <vt:variant>
        <vt:i4>0</vt:i4>
      </vt:variant>
      <vt:variant>
        <vt:i4>5</vt:i4>
      </vt:variant>
      <vt:variant>
        <vt:lpwstr>http://www.egi.eu/</vt:lpwstr>
      </vt:variant>
      <vt:variant>
        <vt:lpwstr/>
      </vt:variant>
      <vt:variant>
        <vt:i4>2555946</vt:i4>
      </vt:variant>
      <vt:variant>
        <vt:i4>12</vt:i4>
      </vt:variant>
      <vt:variant>
        <vt:i4>0</vt:i4>
      </vt:variant>
      <vt:variant>
        <vt:i4>5</vt:i4>
      </vt:variant>
      <vt:variant>
        <vt:lpwstr>http://creativecommons.org/licenses/by-nc/3.0/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http://www.egi.eu/</vt:lpwstr>
      </vt:variant>
      <vt:variant>
        <vt:lpwstr/>
      </vt:variant>
      <vt:variant>
        <vt:i4>1048649</vt:i4>
      </vt:variant>
      <vt:variant>
        <vt:i4>6</vt:i4>
      </vt:variant>
      <vt:variant>
        <vt:i4>0</vt:i4>
      </vt:variant>
      <vt:variant>
        <vt:i4>5</vt:i4>
      </vt:variant>
      <vt:variant>
        <vt:lpwstr>https://documents.egi.eu/document/33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Andreozzi</dc:creator>
  <cp:keywords/>
  <dc:description/>
  <cp:lastModifiedBy>Peter Solagna</cp:lastModifiedBy>
  <cp:revision>7</cp:revision>
  <cp:lastPrinted>2010-08-25T09:02:00Z</cp:lastPrinted>
  <dcterms:created xsi:type="dcterms:W3CDTF">2012-05-02T15:23:00Z</dcterms:created>
  <dcterms:modified xsi:type="dcterms:W3CDTF">2012-05-03T14:33:00Z</dcterms:modified>
</cp:coreProperties>
</file>