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33FFF6" w14:textId="07486968" w:rsidR="00201186" w:rsidRPr="00A223AE" w:rsidRDefault="00017C1C" w:rsidP="00686506">
      <w:pPr>
        <w:ind w:left="-284" w:firstLine="284"/>
        <w:rPr>
          <w:lang w:val="en-GB"/>
        </w:rPr>
      </w:pPr>
      <w:r w:rsidRPr="00A223AE">
        <w:rPr>
          <w:noProof/>
          <w:lang w:eastAsia="en-US"/>
        </w:rPr>
        <w:drawing>
          <wp:anchor distT="0" distB="0" distL="114300" distR="114300" simplePos="0" relativeHeight="251657728" behindDoc="0" locked="1" layoutInCell="0" allowOverlap="0" wp14:anchorId="1D3A5DF4" wp14:editId="63330CE4">
            <wp:simplePos x="0" y="0"/>
            <wp:positionH relativeFrom="page">
              <wp:posOffset>-8255</wp:posOffset>
            </wp:positionH>
            <wp:positionV relativeFrom="page">
              <wp:posOffset>0</wp:posOffset>
            </wp:positionV>
            <wp:extent cx="757682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68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B499F" w14:textId="56F1BB92" w:rsidR="00A22BEE" w:rsidRPr="00A223AE" w:rsidRDefault="00150B19" w:rsidP="009E5C5D">
      <w:pPr>
        <w:pStyle w:val="Title"/>
        <w:spacing w:before="120" w:after="120"/>
        <w:ind w:left="-284" w:firstLine="284"/>
        <w:rPr>
          <w:rFonts w:ascii="Arial" w:hAnsi="Arial" w:cs="Arial"/>
          <w:sz w:val="36"/>
          <w:szCs w:val="36"/>
          <w:lang w:val="en-GB"/>
        </w:rPr>
      </w:pPr>
      <w:r w:rsidRPr="00150B19">
        <w:rPr>
          <w:rFonts w:ascii="Arial" w:hAnsi="Arial" w:cs="Arial"/>
          <w:sz w:val="36"/>
          <w:szCs w:val="36"/>
          <w:lang w:val="en-GB"/>
        </w:rPr>
        <w:t xml:space="preserve">EGI Pay-for-Use </w:t>
      </w:r>
      <w:r w:rsidR="0053642B">
        <w:rPr>
          <w:rFonts w:ascii="Arial" w:hAnsi="Arial" w:cs="Arial"/>
          <w:sz w:val="36"/>
          <w:szCs w:val="36"/>
          <w:lang w:val="en-GB"/>
        </w:rPr>
        <w:t>– Tax/Legal</w:t>
      </w:r>
      <w:r w:rsidR="009E5C5D">
        <w:rPr>
          <w:rFonts w:ascii="Arial" w:hAnsi="Arial" w:cs="Arial"/>
          <w:sz w:val="36"/>
          <w:szCs w:val="36"/>
          <w:lang w:val="en-GB"/>
        </w:rPr>
        <w:t xml:space="preserve"> </w:t>
      </w:r>
      <w:r w:rsidR="00C86190">
        <w:rPr>
          <w:rFonts w:ascii="Arial" w:hAnsi="Arial" w:cs="Arial"/>
          <w:sz w:val="36"/>
          <w:szCs w:val="36"/>
          <w:lang w:val="en-GB"/>
        </w:rPr>
        <w:t>Issue</w:t>
      </w:r>
      <w:r w:rsidR="0053642B">
        <w:rPr>
          <w:rFonts w:ascii="Arial" w:hAnsi="Arial" w:cs="Arial"/>
          <w:sz w:val="36"/>
          <w:szCs w:val="36"/>
          <w:lang w:val="en-GB"/>
        </w:rPr>
        <w:t>s</w:t>
      </w:r>
    </w:p>
    <w:p w14:paraId="797BDAA6" w14:textId="69B09211" w:rsidR="00686506" w:rsidRPr="00FE29EF" w:rsidRDefault="00686506" w:rsidP="00FE29EF">
      <w:pPr>
        <w:spacing w:before="120" w:after="120"/>
        <w:ind w:left="-284" w:firstLine="284"/>
        <w:jc w:val="center"/>
        <w:rPr>
          <w:rFonts w:ascii="Arial" w:hAnsi="Arial" w:cs="Arial"/>
          <w:b/>
          <w:sz w:val="24"/>
          <w:szCs w:val="28"/>
          <w:lang w:val="en-GB"/>
        </w:rPr>
        <w:sectPr w:rsidR="00686506" w:rsidRPr="00FE29EF" w:rsidSect="009F2CED">
          <w:footerReference w:type="even" r:id="rId10"/>
          <w:footerReference w:type="default" r:id="rId11"/>
          <w:pgSz w:w="11907" w:h="16839" w:code="9"/>
          <w:pgMar w:top="1440" w:right="850" w:bottom="1440" w:left="851" w:header="708" w:footer="284" w:gutter="0"/>
          <w:cols w:space="708"/>
          <w:docGrid w:linePitch="299" w:charSpace="36864"/>
        </w:sectPr>
      </w:pPr>
    </w:p>
    <w:p w14:paraId="26ABE596" w14:textId="52440B71" w:rsidR="00753B62" w:rsidRPr="007A23C9" w:rsidRDefault="00FE29EF" w:rsidP="007A23C9">
      <w:pPr>
        <w:spacing w:before="80" w:after="80"/>
        <w:ind w:left="-284"/>
        <w:jc w:val="both"/>
        <w:rPr>
          <w:b/>
          <w:color w:val="244061"/>
          <w:sz w:val="24"/>
          <w:szCs w:val="28"/>
          <w:lang w:val="en-GB"/>
        </w:rPr>
      </w:pPr>
      <w:r w:rsidRPr="002260A6">
        <w:rPr>
          <w:b/>
          <w:color w:val="244061"/>
          <w:sz w:val="24"/>
          <w:szCs w:val="28"/>
          <w:lang w:val="en-GB"/>
        </w:rPr>
        <w:lastRenderedPageBreak/>
        <w:t>Introduction</w:t>
      </w:r>
    </w:p>
    <w:p w14:paraId="441A1D44" w14:textId="6852AE51" w:rsidR="0053642B" w:rsidRDefault="009602EA" w:rsidP="0053642B">
      <w:pPr>
        <w:spacing w:before="60" w:after="60"/>
        <w:ind w:left="-284"/>
        <w:jc w:val="both"/>
        <w:rPr>
          <w:rFonts w:eastAsia="Times New Roman"/>
          <w:kern w:val="0"/>
          <w:szCs w:val="24"/>
          <w:lang w:val="en-GB" w:eastAsia="de-DE"/>
        </w:rPr>
      </w:pPr>
      <w:r>
        <w:rPr>
          <w:rFonts w:eastAsia="Times New Roman"/>
          <w:kern w:val="0"/>
          <w:szCs w:val="24"/>
          <w:lang w:val="en-GB" w:eastAsia="de-DE"/>
        </w:rPr>
        <w:t>The r</w:t>
      </w:r>
      <w:r w:rsidR="005836B4" w:rsidRPr="005836B4">
        <w:rPr>
          <w:rFonts w:eastAsia="Times New Roman"/>
          <w:kern w:val="0"/>
          <w:szCs w:val="24"/>
          <w:lang w:val="en-GB" w:eastAsia="de-DE"/>
        </w:rPr>
        <w:t xml:space="preserve">ecently endorsed </w:t>
      </w:r>
      <w:r w:rsidR="00757CE8">
        <w:rPr>
          <w:rFonts w:eastAsia="Times New Roman"/>
          <w:kern w:val="0"/>
          <w:szCs w:val="24"/>
          <w:lang w:val="en-GB" w:eastAsia="de-DE"/>
        </w:rPr>
        <w:t xml:space="preserve">report on </w:t>
      </w:r>
      <w:r w:rsidR="005836B4" w:rsidRPr="005836B4">
        <w:rPr>
          <w:rFonts w:eastAsia="Times New Roman"/>
          <w:kern w:val="0"/>
          <w:szCs w:val="24"/>
          <w:lang w:val="en-GB" w:eastAsia="de-DE"/>
        </w:rPr>
        <w:t xml:space="preserve">pay-per-use models </w:t>
      </w:r>
      <w:r>
        <w:rPr>
          <w:rFonts w:eastAsia="Times New Roman"/>
          <w:kern w:val="0"/>
          <w:szCs w:val="24"/>
          <w:lang w:val="en-GB" w:eastAsia="de-DE"/>
        </w:rPr>
        <w:t xml:space="preserve">from the EGI Council poses </w:t>
      </w:r>
      <w:r w:rsidR="00D37CC7">
        <w:rPr>
          <w:rFonts w:eastAsia="Times New Roman"/>
          <w:kern w:val="0"/>
          <w:szCs w:val="24"/>
          <w:lang w:val="en-GB" w:eastAsia="de-DE"/>
        </w:rPr>
        <w:t xml:space="preserve">the question </w:t>
      </w:r>
      <w:r>
        <w:rPr>
          <w:rFonts w:eastAsia="Times New Roman"/>
          <w:kern w:val="0"/>
          <w:szCs w:val="24"/>
          <w:lang w:val="en-GB" w:eastAsia="de-DE"/>
        </w:rPr>
        <w:t xml:space="preserve">on </w:t>
      </w:r>
      <w:r w:rsidR="00D37CC7">
        <w:rPr>
          <w:rFonts w:eastAsia="Times New Roman"/>
          <w:kern w:val="0"/>
          <w:szCs w:val="24"/>
          <w:lang w:val="en-GB" w:eastAsia="de-DE"/>
        </w:rPr>
        <w:t xml:space="preserve">how </w:t>
      </w:r>
      <w:r>
        <w:rPr>
          <w:rFonts w:eastAsia="Times New Roman"/>
          <w:kern w:val="0"/>
          <w:szCs w:val="24"/>
          <w:lang w:val="en-GB" w:eastAsia="de-DE"/>
        </w:rPr>
        <w:t>users can</w:t>
      </w:r>
      <w:r w:rsidR="005836B4" w:rsidRPr="005836B4">
        <w:rPr>
          <w:rFonts w:eastAsia="Times New Roman"/>
          <w:kern w:val="0"/>
          <w:szCs w:val="24"/>
          <w:lang w:val="en-GB" w:eastAsia="de-DE"/>
        </w:rPr>
        <w:t xml:space="preserve"> </w:t>
      </w:r>
      <w:r w:rsidR="00D37CC7">
        <w:rPr>
          <w:rFonts w:eastAsia="Times New Roman"/>
          <w:kern w:val="0"/>
          <w:szCs w:val="24"/>
          <w:lang w:val="en-GB" w:eastAsia="de-DE"/>
        </w:rPr>
        <w:t xml:space="preserve">be </w:t>
      </w:r>
      <w:r w:rsidR="005836B4" w:rsidRPr="005836B4">
        <w:rPr>
          <w:rFonts w:eastAsia="Times New Roman"/>
          <w:kern w:val="0"/>
          <w:szCs w:val="24"/>
          <w:lang w:val="en-GB" w:eastAsia="de-DE"/>
        </w:rPr>
        <w:t>billed for their usage of EGI resources</w:t>
      </w:r>
      <w:r w:rsidR="005D5466">
        <w:rPr>
          <w:rStyle w:val="FootnoteReference"/>
          <w:rFonts w:eastAsia="Times New Roman"/>
          <w:kern w:val="0"/>
          <w:szCs w:val="24"/>
          <w:lang w:val="en-GB" w:eastAsia="de-DE"/>
        </w:rPr>
        <w:footnoteReference w:id="1"/>
      </w:r>
      <w:r>
        <w:rPr>
          <w:rFonts w:eastAsia="Times New Roman"/>
          <w:kern w:val="0"/>
          <w:szCs w:val="24"/>
          <w:lang w:val="en-GB" w:eastAsia="de-DE"/>
        </w:rPr>
        <w:t>.</w:t>
      </w:r>
      <w:r w:rsidR="0053642B">
        <w:rPr>
          <w:rFonts w:eastAsia="Times New Roman"/>
          <w:kern w:val="0"/>
          <w:szCs w:val="24"/>
          <w:lang w:val="en-GB" w:eastAsia="de-DE"/>
        </w:rPr>
        <w:t xml:space="preserve"> </w:t>
      </w:r>
      <w:r w:rsidR="0053642B">
        <w:t xml:space="preserve">Two </w:t>
      </w:r>
      <w:r w:rsidR="001F012D">
        <w:t>possible payment models have been elaborated.</w:t>
      </w:r>
      <w:r w:rsidR="001F012D">
        <w:rPr>
          <w:rFonts w:eastAsia="Times New Roman"/>
          <w:kern w:val="0"/>
          <w:szCs w:val="24"/>
          <w:lang w:val="en-GB" w:eastAsia="de-DE"/>
        </w:rPr>
        <w:t xml:space="preserve"> </w:t>
      </w:r>
      <w:r w:rsidR="00A83F65">
        <w:rPr>
          <w:rFonts w:eastAsia="Times New Roman"/>
          <w:kern w:val="0"/>
          <w:szCs w:val="24"/>
          <w:lang w:val="en-GB" w:eastAsia="de-DE"/>
        </w:rPr>
        <w:t xml:space="preserve">The first option </w:t>
      </w:r>
      <w:r w:rsidR="00E715AB">
        <w:rPr>
          <w:rFonts w:eastAsia="Times New Roman"/>
          <w:kern w:val="0"/>
          <w:szCs w:val="24"/>
          <w:lang w:val="en-GB" w:eastAsia="de-DE"/>
        </w:rPr>
        <w:t>envisions</w:t>
      </w:r>
      <w:r w:rsidR="00A83F65">
        <w:rPr>
          <w:rFonts w:eastAsia="Times New Roman"/>
          <w:kern w:val="0"/>
          <w:szCs w:val="24"/>
          <w:lang w:val="en-GB" w:eastAsia="de-DE"/>
        </w:rPr>
        <w:t xml:space="preserve"> that </w:t>
      </w:r>
      <w:r w:rsidR="00E715AB">
        <w:rPr>
          <w:rFonts w:eastAsia="Times New Roman"/>
          <w:kern w:val="0"/>
          <w:szCs w:val="24"/>
          <w:lang w:val="en-GB" w:eastAsia="de-DE"/>
        </w:rPr>
        <w:t xml:space="preserve">users pay the </w:t>
      </w:r>
      <w:r w:rsidR="00A83F65">
        <w:rPr>
          <w:rFonts w:eastAsia="Times New Roman"/>
          <w:kern w:val="0"/>
          <w:szCs w:val="24"/>
          <w:lang w:val="en-GB" w:eastAsia="de-DE"/>
        </w:rPr>
        <w:t xml:space="preserve">resource providers </w:t>
      </w:r>
      <w:r w:rsidR="00D46794">
        <w:rPr>
          <w:rFonts w:eastAsia="Times New Roman"/>
          <w:kern w:val="0"/>
          <w:szCs w:val="24"/>
          <w:lang w:val="en-GB" w:eastAsia="de-DE"/>
        </w:rPr>
        <w:t xml:space="preserve">directly </w:t>
      </w:r>
      <w:r w:rsidR="00E715AB">
        <w:rPr>
          <w:rFonts w:eastAsia="Times New Roman"/>
          <w:kern w:val="0"/>
          <w:szCs w:val="24"/>
          <w:lang w:val="en-GB" w:eastAsia="de-DE"/>
        </w:rPr>
        <w:t>(direct payment)</w:t>
      </w:r>
      <w:proofErr w:type="gramStart"/>
      <w:r w:rsidR="00A83F65">
        <w:rPr>
          <w:rFonts w:eastAsia="Times New Roman"/>
          <w:kern w:val="0"/>
          <w:szCs w:val="24"/>
          <w:lang w:val="en-GB" w:eastAsia="de-DE"/>
        </w:rPr>
        <w:t>,</w:t>
      </w:r>
      <w:proofErr w:type="gramEnd"/>
      <w:r w:rsidR="00A83F65">
        <w:rPr>
          <w:rFonts w:eastAsia="Times New Roman"/>
          <w:kern w:val="0"/>
          <w:szCs w:val="24"/>
          <w:lang w:val="en-GB" w:eastAsia="de-DE"/>
        </w:rPr>
        <w:t xml:space="preserve"> the second option </w:t>
      </w:r>
      <w:r w:rsidR="00E715AB">
        <w:rPr>
          <w:rFonts w:eastAsia="Times New Roman"/>
          <w:kern w:val="0"/>
          <w:szCs w:val="24"/>
          <w:lang w:val="en-GB" w:eastAsia="de-DE"/>
        </w:rPr>
        <w:t>envisions that the users pay EGI.eu who in turns provides the money to the resource providers (indirect payment)</w:t>
      </w:r>
      <w:r w:rsidR="006E39AE">
        <w:rPr>
          <w:rFonts w:eastAsia="Times New Roman"/>
          <w:kern w:val="0"/>
          <w:szCs w:val="24"/>
          <w:lang w:val="en-GB" w:eastAsia="de-DE"/>
        </w:rPr>
        <w:t xml:space="preserve">. </w:t>
      </w:r>
    </w:p>
    <w:p w14:paraId="247D6FF6" w14:textId="46F63669" w:rsidR="00C1583D" w:rsidRDefault="00E715AB" w:rsidP="0053642B">
      <w:pPr>
        <w:spacing w:before="60" w:after="60"/>
        <w:ind w:left="-284"/>
        <w:jc w:val="both"/>
        <w:rPr>
          <w:lang w:val="en-GB"/>
        </w:rPr>
      </w:pPr>
      <w:r>
        <w:rPr>
          <w:rFonts w:eastAsia="Times New Roman"/>
          <w:kern w:val="0"/>
          <w:szCs w:val="24"/>
          <w:lang w:val="en-GB" w:eastAsia="de-DE"/>
        </w:rPr>
        <w:t xml:space="preserve">The </w:t>
      </w:r>
      <w:r>
        <w:rPr>
          <w:lang w:val="en-GB"/>
        </w:rPr>
        <w:t>f</w:t>
      </w:r>
      <w:r w:rsidRPr="00902D3F">
        <w:rPr>
          <w:lang w:val="en-GB"/>
        </w:rPr>
        <w:t xml:space="preserve">irst </w:t>
      </w:r>
      <w:r w:rsidR="00F42419" w:rsidRPr="00902D3F">
        <w:rPr>
          <w:lang w:val="en-GB"/>
        </w:rPr>
        <w:t xml:space="preserve">model </w:t>
      </w:r>
      <w:r>
        <w:rPr>
          <w:lang w:val="en-GB"/>
        </w:rPr>
        <w:t>is more suitable for</w:t>
      </w:r>
      <w:r w:rsidR="00F42419" w:rsidRPr="00902D3F">
        <w:rPr>
          <w:lang w:val="en-GB"/>
        </w:rPr>
        <w:t xml:space="preserve"> one-to-one relationship</w:t>
      </w:r>
      <w:r w:rsidR="00D46794">
        <w:rPr>
          <w:lang w:val="en-GB"/>
        </w:rPr>
        <w:t>s</w:t>
      </w:r>
      <w:r w:rsidR="006E39AE" w:rsidRPr="00902D3F">
        <w:rPr>
          <w:lang w:val="en-GB"/>
        </w:rPr>
        <w:t xml:space="preserve"> </w:t>
      </w:r>
      <w:r w:rsidR="0026221A">
        <w:rPr>
          <w:lang w:val="en-GB"/>
        </w:rPr>
        <w:t>where</w:t>
      </w:r>
      <w:r w:rsidR="006E39AE" w:rsidRPr="00902D3F">
        <w:rPr>
          <w:lang w:val="en-GB"/>
        </w:rPr>
        <w:t xml:space="preserve"> </w:t>
      </w:r>
      <w:r w:rsidR="0026221A">
        <w:rPr>
          <w:lang w:val="en-GB"/>
        </w:rPr>
        <w:t>a</w:t>
      </w:r>
      <w:r w:rsidR="006E39AE" w:rsidRPr="00902D3F">
        <w:rPr>
          <w:lang w:val="en-GB"/>
        </w:rPr>
        <w:t xml:space="preserve"> </w:t>
      </w:r>
      <w:r>
        <w:rPr>
          <w:lang w:val="en-GB"/>
        </w:rPr>
        <w:t>resource</w:t>
      </w:r>
      <w:r w:rsidRPr="00902D3F">
        <w:rPr>
          <w:lang w:val="en-GB"/>
        </w:rPr>
        <w:t xml:space="preserve"> </w:t>
      </w:r>
      <w:r w:rsidR="006E39AE" w:rsidRPr="00902D3F">
        <w:rPr>
          <w:lang w:val="en-GB"/>
        </w:rPr>
        <w:t>provider</w:t>
      </w:r>
      <w:r w:rsidR="007A422A" w:rsidRPr="00902D3F">
        <w:rPr>
          <w:lang w:val="en-GB"/>
        </w:rPr>
        <w:t xml:space="preserve"> (e.g.</w:t>
      </w:r>
      <w:r w:rsidR="00902D3F" w:rsidRPr="00902D3F">
        <w:rPr>
          <w:lang w:val="en-GB"/>
        </w:rPr>
        <w:t xml:space="preserve"> </w:t>
      </w:r>
      <w:r w:rsidR="007A422A" w:rsidRPr="00902D3F">
        <w:rPr>
          <w:lang w:val="en-GB"/>
        </w:rPr>
        <w:t>NGI, RC)</w:t>
      </w:r>
      <w:r w:rsidR="006E39AE" w:rsidRPr="00902D3F">
        <w:rPr>
          <w:lang w:val="en-GB"/>
        </w:rPr>
        <w:t xml:space="preserve"> </w:t>
      </w:r>
      <w:r w:rsidR="008933E1">
        <w:rPr>
          <w:lang w:val="en-GB"/>
        </w:rPr>
        <w:t>provides directly services to</w:t>
      </w:r>
      <w:r w:rsidR="006E39AE" w:rsidRPr="00902D3F">
        <w:rPr>
          <w:lang w:val="en-GB"/>
        </w:rPr>
        <w:t xml:space="preserve"> </w:t>
      </w:r>
      <w:r w:rsidR="0026221A">
        <w:rPr>
          <w:lang w:val="en-GB"/>
        </w:rPr>
        <w:t xml:space="preserve">a </w:t>
      </w:r>
      <w:r w:rsidR="006E39AE" w:rsidRPr="00902D3F">
        <w:rPr>
          <w:lang w:val="en-GB"/>
        </w:rPr>
        <w:t>customer</w:t>
      </w:r>
      <w:r w:rsidR="00902D3F">
        <w:rPr>
          <w:lang w:val="en-GB"/>
        </w:rPr>
        <w:t xml:space="preserve"> (e.g. user community)</w:t>
      </w:r>
      <w:r w:rsidR="006E39AE" w:rsidRPr="00902D3F">
        <w:rPr>
          <w:lang w:val="en-GB"/>
        </w:rPr>
        <w:t>.</w:t>
      </w:r>
      <w:r w:rsidR="006E39AE">
        <w:rPr>
          <w:lang w:val="en-GB"/>
        </w:rPr>
        <w:t xml:space="preserve"> </w:t>
      </w:r>
      <w:r>
        <w:rPr>
          <w:lang w:val="en-GB"/>
        </w:rPr>
        <w:t xml:space="preserve">The second </w:t>
      </w:r>
      <w:r w:rsidR="0053642B">
        <w:rPr>
          <w:lang w:val="en-GB"/>
        </w:rPr>
        <w:t xml:space="preserve">model </w:t>
      </w:r>
      <w:r>
        <w:rPr>
          <w:lang w:val="en-GB"/>
        </w:rPr>
        <w:t>is more suitable</w:t>
      </w:r>
      <w:r w:rsidR="00DB2D8E">
        <w:rPr>
          <w:rFonts w:eastAsia="Times New Roman"/>
          <w:kern w:val="0"/>
          <w:szCs w:val="24"/>
          <w:lang w:val="en-GB" w:eastAsia="de-DE"/>
        </w:rPr>
        <w:t xml:space="preserve"> </w:t>
      </w:r>
      <w:r w:rsidR="00DB2D8E">
        <w:rPr>
          <w:lang w:val="en-GB"/>
        </w:rPr>
        <w:t xml:space="preserve">in </w:t>
      </w:r>
      <w:r w:rsidR="00ED3B0A">
        <w:rPr>
          <w:lang w:val="en-GB"/>
        </w:rPr>
        <w:t>a many-to-many relationship</w:t>
      </w:r>
      <w:r>
        <w:rPr>
          <w:lang w:val="en-GB"/>
        </w:rPr>
        <w:t xml:space="preserve"> where</w:t>
      </w:r>
      <w:r w:rsidR="00AB0CA1">
        <w:rPr>
          <w:lang w:val="en-GB"/>
        </w:rPr>
        <w:t xml:space="preserve"> consumers from one country are using computing resources coming from the </w:t>
      </w:r>
      <w:r w:rsidR="00FA41B9">
        <w:rPr>
          <w:lang w:val="en-GB"/>
        </w:rPr>
        <w:t xml:space="preserve">pool of resources collected from many service providers from different countries. </w:t>
      </w:r>
    </w:p>
    <w:p w14:paraId="1E0F8A19" w14:textId="4A9DEA59" w:rsidR="0053642B" w:rsidRDefault="0053642B" w:rsidP="0053642B">
      <w:pPr>
        <w:spacing w:before="60" w:after="60"/>
        <w:ind w:left="-284"/>
        <w:jc w:val="both"/>
        <w:rPr>
          <w:rFonts w:eastAsia="Times New Roman"/>
          <w:kern w:val="0"/>
          <w:szCs w:val="24"/>
          <w:lang w:val="en-GB" w:eastAsia="de-DE"/>
        </w:rPr>
      </w:pPr>
      <w:r>
        <w:rPr>
          <w:rFonts w:eastAsia="Times New Roman"/>
          <w:kern w:val="0"/>
          <w:szCs w:val="24"/>
          <w:lang w:val="en-GB" w:eastAsia="de-DE"/>
        </w:rPr>
        <w:t>This paper aims to kick-off the discussion on two main aspects involved in this new scenarios: 1) taxation/VAT implementation for international service provision and cross-national payments, 2) legal issues.</w:t>
      </w:r>
    </w:p>
    <w:p w14:paraId="6A510363" w14:textId="77777777" w:rsidR="00C1583D" w:rsidRDefault="00C1583D" w:rsidP="00E82FCD">
      <w:pPr>
        <w:spacing w:before="60" w:after="60"/>
        <w:ind w:left="-284"/>
        <w:jc w:val="both"/>
        <w:rPr>
          <w:rFonts w:eastAsia="Times New Roman"/>
          <w:kern w:val="0"/>
          <w:szCs w:val="24"/>
          <w:lang w:val="en-GB" w:eastAsia="de-DE"/>
        </w:rPr>
      </w:pPr>
    </w:p>
    <w:p w14:paraId="228ACA70" w14:textId="77777777" w:rsidR="00E15771" w:rsidRPr="002260A6" w:rsidRDefault="00E15771" w:rsidP="00E15771">
      <w:pPr>
        <w:spacing w:before="80" w:after="80"/>
        <w:ind w:left="-284"/>
        <w:jc w:val="both"/>
        <w:rPr>
          <w:b/>
          <w:color w:val="244061"/>
          <w:sz w:val="24"/>
          <w:szCs w:val="28"/>
          <w:lang w:val="en-GB"/>
        </w:rPr>
      </w:pPr>
      <w:r w:rsidRPr="002260A6">
        <w:rPr>
          <w:b/>
          <w:color w:val="244061"/>
          <w:sz w:val="24"/>
          <w:szCs w:val="28"/>
          <w:lang w:val="en-GB"/>
        </w:rPr>
        <w:t>Survey</w:t>
      </w:r>
      <w:r>
        <w:rPr>
          <w:b/>
          <w:color w:val="244061"/>
          <w:sz w:val="24"/>
          <w:szCs w:val="28"/>
          <w:lang w:val="en-GB"/>
        </w:rPr>
        <w:t xml:space="preserve"> results around VAT and Legal Constraints </w:t>
      </w:r>
    </w:p>
    <w:p w14:paraId="5190ACD4" w14:textId="1947235F" w:rsidR="0026221A" w:rsidRPr="0026221A" w:rsidRDefault="00C1583D" w:rsidP="0026221A">
      <w:pPr>
        <w:spacing w:before="60" w:after="60"/>
        <w:ind w:left="-284"/>
        <w:jc w:val="both"/>
        <w:rPr>
          <w:rFonts w:eastAsia="Times New Roman"/>
          <w:kern w:val="0"/>
          <w:szCs w:val="24"/>
          <w:lang w:val="en-GB" w:eastAsia="de-DE"/>
        </w:rPr>
      </w:pPr>
      <w:r>
        <w:rPr>
          <w:rFonts w:eastAsia="Times New Roman"/>
          <w:kern w:val="0"/>
          <w:szCs w:val="24"/>
          <w:lang w:val="en-GB" w:eastAsia="de-DE"/>
        </w:rPr>
        <w:t xml:space="preserve">According to a recent survey </w:t>
      </w:r>
      <w:r w:rsidR="00D46794">
        <w:rPr>
          <w:rFonts w:eastAsia="Times New Roman"/>
          <w:kern w:val="0"/>
          <w:szCs w:val="24"/>
          <w:lang w:val="en-GB" w:eastAsia="de-DE"/>
        </w:rPr>
        <w:t xml:space="preserve">to both the NGIs and RCs </w:t>
      </w:r>
      <w:r>
        <w:rPr>
          <w:rFonts w:eastAsia="Times New Roman"/>
          <w:kern w:val="0"/>
          <w:szCs w:val="24"/>
          <w:lang w:val="en-GB" w:eastAsia="de-DE"/>
        </w:rPr>
        <w:t xml:space="preserve">to </w:t>
      </w:r>
      <w:r w:rsidR="00964E28">
        <w:rPr>
          <w:rFonts w:eastAsia="Times New Roman"/>
          <w:kern w:val="0"/>
          <w:szCs w:val="24"/>
          <w:lang w:val="en-GB" w:eastAsia="de-DE"/>
        </w:rPr>
        <w:t xml:space="preserve">understand </w:t>
      </w:r>
      <w:r>
        <w:rPr>
          <w:rFonts w:eastAsia="Times New Roman"/>
          <w:kern w:val="0"/>
          <w:szCs w:val="24"/>
          <w:lang w:val="en-GB" w:eastAsia="de-DE"/>
        </w:rPr>
        <w:t xml:space="preserve">the willingness to participate in a pay-for-use experiment, </w:t>
      </w:r>
      <w:r w:rsidR="0026221A">
        <w:rPr>
          <w:rFonts w:eastAsia="Times New Roman"/>
          <w:kern w:val="0"/>
          <w:szCs w:val="24"/>
          <w:lang w:val="en-GB" w:eastAsia="de-DE"/>
        </w:rPr>
        <w:t xml:space="preserve">6 </w:t>
      </w:r>
      <w:r>
        <w:rPr>
          <w:rFonts w:eastAsia="Times New Roman"/>
          <w:kern w:val="0"/>
          <w:szCs w:val="24"/>
          <w:lang w:val="en-GB" w:eastAsia="de-DE"/>
        </w:rPr>
        <w:t xml:space="preserve">respondents expressed the interest for </w:t>
      </w:r>
      <w:r w:rsidR="0026221A">
        <w:rPr>
          <w:rFonts w:eastAsia="Times New Roman"/>
          <w:kern w:val="0"/>
          <w:szCs w:val="24"/>
          <w:lang w:val="en-GB" w:eastAsia="de-DE"/>
        </w:rPr>
        <w:t xml:space="preserve">EGI.eu </w:t>
      </w:r>
      <w:r>
        <w:rPr>
          <w:rFonts w:eastAsia="Times New Roman"/>
          <w:kern w:val="0"/>
          <w:szCs w:val="24"/>
          <w:lang w:val="en-GB" w:eastAsia="de-DE"/>
        </w:rPr>
        <w:t xml:space="preserve">to handle the financial transactions with the customers, while </w:t>
      </w:r>
      <w:r w:rsidR="00D46794">
        <w:rPr>
          <w:rFonts w:eastAsia="Times New Roman"/>
          <w:kern w:val="0"/>
          <w:szCs w:val="24"/>
          <w:lang w:val="en-GB" w:eastAsia="de-DE"/>
        </w:rPr>
        <w:t>6</w:t>
      </w:r>
      <w:r w:rsidR="0026221A">
        <w:rPr>
          <w:rFonts w:eastAsia="Times New Roman"/>
          <w:kern w:val="0"/>
          <w:szCs w:val="24"/>
          <w:lang w:val="en-GB" w:eastAsia="de-DE"/>
        </w:rPr>
        <w:t xml:space="preserve"> </w:t>
      </w:r>
      <w:r>
        <w:rPr>
          <w:rFonts w:eastAsia="Times New Roman"/>
          <w:kern w:val="0"/>
          <w:szCs w:val="24"/>
          <w:lang w:val="en-GB" w:eastAsia="de-DE"/>
        </w:rPr>
        <w:t>prefer the direct charge</w:t>
      </w:r>
      <w:r w:rsidR="00577BCD">
        <w:rPr>
          <w:rFonts w:eastAsia="Times New Roman"/>
          <w:kern w:val="0"/>
          <w:szCs w:val="24"/>
          <w:lang w:val="en-GB" w:eastAsia="de-DE"/>
        </w:rPr>
        <w:t xml:space="preserve"> (note: both options were able to be selected, which was done by </w:t>
      </w:r>
      <w:r w:rsidR="002F408C">
        <w:rPr>
          <w:rFonts w:eastAsia="Times New Roman"/>
          <w:kern w:val="0"/>
          <w:szCs w:val="24"/>
          <w:lang w:val="en-GB" w:eastAsia="de-DE"/>
        </w:rPr>
        <w:t>4</w:t>
      </w:r>
      <w:r w:rsidR="00577BCD">
        <w:rPr>
          <w:rFonts w:eastAsia="Times New Roman"/>
          <w:kern w:val="0"/>
          <w:szCs w:val="24"/>
          <w:lang w:val="en-GB" w:eastAsia="de-DE"/>
        </w:rPr>
        <w:t xml:space="preserve"> respondents)</w:t>
      </w:r>
      <w:r w:rsidR="00964E28">
        <w:rPr>
          <w:rFonts w:eastAsia="Times New Roman"/>
          <w:kern w:val="0"/>
          <w:szCs w:val="24"/>
          <w:lang w:val="en-GB" w:eastAsia="de-DE"/>
        </w:rPr>
        <w:t>.</w:t>
      </w:r>
    </w:p>
    <w:p w14:paraId="475BE750" w14:textId="18B2AA97" w:rsidR="007A23C9" w:rsidRDefault="00612EC3" w:rsidP="007A23C9">
      <w:pPr>
        <w:spacing w:before="60" w:after="60"/>
        <w:ind w:left="-284"/>
        <w:jc w:val="both"/>
        <w:rPr>
          <w:rFonts w:eastAsia="Times New Roman"/>
          <w:kern w:val="0"/>
          <w:szCs w:val="24"/>
          <w:lang w:val="en-GB" w:eastAsia="de-DE"/>
        </w:rPr>
      </w:pPr>
      <w:proofErr w:type="gramStart"/>
      <w:r>
        <w:rPr>
          <w:lang w:val="en-GB"/>
        </w:rPr>
        <w:t>Invoices</w:t>
      </w:r>
      <w:r w:rsidR="00964E28">
        <w:rPr>
          <w:lang w:val="en-GB"/>
        </w:rPr>
        <w:t xml:space="preserve"> can be </w:t>
      </w:r>
      <w:r>
        <w:rPr>
          <w:lang w:val="en-GB"/>
        </w:rPr>
        <w:t>issue</w:t>
      </w:r>
      <w:r w:rsidR="00BE1E26">
        <w:rPr>
          <w:lang w:val="en-GB"/>
        </w:rPr>
        <w:t>d</w:t>
      </w:r>
      <w:r>
        <w:rPr>
          <w:lang w:val="en-GB"/>
        </w:rPr>
        <w:t xml:space="preserve"> by a resource centre, an NGI acting as national broker, or by EGI.eu acting as international broker</w:t>
      </w:r>
      <w:proofErr w:type="gramEnd"/>
      <w:r>
        <w:rPr>
          <w:lang w:val="en-GB"/>
        </w:rPr>
        <w:t xml:space="preserve">. </w:t>
      </w:r>
      <w:r w:rsidR="00E82FCD">
        <w:rPr>
          <w:rFonts w:eastAsia="Times New Roman"/>
          <w:kern w:val="0"/>
          <w:szCs w:val="24"/>
          <w:lang w:val="en-GB" w:eastAsia="de-DE"/>
        </w:rPr>
        <w:t>Therefore, b</w:t>
      </w:r>
      <w:r w:rsidR="00E82FCD">
        <w:rPr>
          <w:lang w:val="en-GB"/>
        </w:rPr>
        <w:t xml:space="preserve">rokerage </w:t>
      </w:r>
      <w:r w:rsidR="00D4136C" w:rsidRPr="00A91E19">
        <w:rPr>
          <w:lang w:val="en-GB"/>
        </w:rPr>
        <w:t>c</w:t>
      </w:r>
      <w:r w:rsidR="00ED0271">
        <w:rPr>
          <w:lang w:val="en-GB"/>
        </w:rPr>
        <w:t>an</w:t>
      </w:r>
      <w:r w:rsidR="00D4136C" w:rsidRPr="00A91E19">
        <w:rPr>
          <w:lang w:val="en-GB"/>
        </w:rPr>
        <w:t xml:space="preserve"> take two forms.</w:t>
      </w:r>
      <w:r w:rsidR="00D4136C">
        <w:rPr>
          <w:rFonts w:eastAsia="Times New Roman"/>
          <w:kern w:val="0"/>
          <w:szCs w:val="24"/>
          <w:lang w:val="en-GB" w:eastAsia="de-DE"/>
        </w:rPr>
        <w:t xml:space="preserve"> </w:t>
      </w:r>
      <w:r w:rsidR="00ED3B0A">
        <w:rPr>
          <w:rFonts w:eastAsia="Times New Roman"/>
          <w:kern w:val="0"/>
          <w:szCs w:val="24"/>
          <w:lang w:val="en-GB" w:eastAsia="de-DE"/>
        </w:rPr>
        <w:t xml:space="preserve">One is </w:t>
      </w:r>
      <w:r w:rsidR="007D0B4A">
        <w:rPr>
          <w:rFonts w:eastAsia="Times New Roman"/>
          <w:kern w:val="0"/>
          <w:szCs w:val="24"/>
          <w:lang w:val="en-GB" w:eastAsia="de-DE"/>
        </w:rPr>
        <w:t xml:space="preserve">being </w:t>
      </w:r>
      <w:r w:rsidR="00BE1E26">
        <w:rPr>
          <w:rFonts w:eastAsia="Times New Roman"/>
          <w:kern w:val="0"/>
          <w:szCs w:val="24"/>
          <w:lang w:val="en-GB" w:eastAsia="de-DE"/>
        </w:rPr>
        <w:t xml:space="preserve">a </w:t>
      </w:r>
      <w:r w:rsidR="007D0B4A">
        <w:rPr>
          <w:rFonts w:eastAsia="Times New Roman"/>
          <w:kern w:val="0"/>
          <w:szCs w:val="24"/>
          <w:lang w:val="en-GB" w:eastAsia="de-DE"/>
        </w:rPr>
        <w:t>broker for providing servic</w:t>
      </w:r>
      <w:r w:rsidR="00701C19">
        <w:rPr>
          <w:rFonts w:eastAsia="Times New Roman"/>
          <w:kern w:val="0"/>
          <w:szCs w:val="24"/>
          <w:lang w:val="en-GB" w:eastAsia="de-DE"/>
        </w:rPr>
        <w:t xml:space="preserve">es </w:t>
      </w:r>
      <w:r w:rsidR="006A424F">
        <w:rPr>
          <w:rFonts w:eastAsia="Times New Roman"/>
          <w:kern w:val="0"/>
          <w:szCs w:val="24"/>
          <w:lang w:val="en-GB" w:eastAsia="de-DE"/>
        </w:rPr>
        <w:t xml:space="preserve">internally </w:t>
      </w:r>
      <w:r w:rsidR="00701C19">
        <w:rPr>
          <w:rFonts w:eastAsia="Times New Roman"/>
          <w:kern w:val="0"/>
          <w:szCs w:val="24"/>
          <w:lang w:val="en-GB" w:eastAsia="de-DE"/>
        </w:rPr>
        <w:t>within one country</w:t>
      </w:r>
      <w:r w:rsidR="007A23C9">
        <w:rPr>
          <w:rFonts w:eastAsia="Times New Roman"/>
          <w:kern w:val="0"/>
          <w:szCs w:val="24"/>
          <w:lang w:val="en-GB" w:eastAsia="de-DE"/>
        </w:rPr>
        <w:t>,</w:t>
      </w:r>
      <w:r w:rsidR="00701C19">
        <w:rPr>
          <w:rFonts w:eastAsia="Times New Roman"/>
          <w:kern w:val="0"/>
          <w:szCs w:val="24"/>
          <w:lang w:val="en-GB" w:eastAsia="de-DE"/>
        </w:rPr>
        <w:t xml:space="preserve"> while</w:t>
      </w:r>
      <w:r w:rsidR="007A23C9">
        <w:rPr>
          <w:rFonts w:eastAsia="Times New Roman"/>
          <w:kern w:val="0"/>
          <w:szCs w:val="24"/>
          <w:lang w:val="en-GB" w:eastAsia="de-DE"/>
        </w:rPr>
        <w:t xml:space="preserve"> other one is</w:t>
      </w:r>
      <w:r w:rsidR="00701C19">
        <w:rPr>
          <w:rFonts w:eastAsia="Times New Roman"/>
          <w:kern w:val="0"/>
          <w:szCs w:val="24"/>
          <w:lang w:val="en-GB" w:eastAsia="de-DE"/>
        </w:rPr>
        <w:t xml:space="preserve"> having</w:t>
      </w:r>
      <w:r w:rsidR="007D0B4A">
        <w:rPr>
          <w:rFonts w:eastAsia="Times New Roman"/>
          <w:kern w:val="0"/>
          <w:szCs w:val="24"/>
          <w:lang w:val="en-GB" w:eastAsia="de-DE"/>
        </w:rPr>
        <w:t xml:space="preserve"> </w:t>
      </w:r>
      <w:r w:rsidR="00577BCD">
        <w:rPr>
          <w:rFonts w:eastAsia="Times New Roman"/>
          <w:kern w:val="0"/>
          <w:szCs w:val="24"/>
          <w:lang w:val="en-GB" w:eastAsia="de-DE"/>
        </w:rPr>
        <w:t xml:space="preserve">a </w:t>
      </w:r>
      <w:r w:rsidR="007D0B4A">
        <w:rPr>
          <w:rFonts w:eastAsia="Times New Roman"/>
          <w:kern w:val="0"/>
          <w:szCs w:val="24"/>
          <w:lang w:val="en-GB" w:eastAsia="de-DE"/>
        </w:rPr>
        <w:t>European broke</w:t>
      </w:r>
      <w:r w:rsidR="00701C19">
        <w:rPr>
          <w:rFonts w:eastAsia="Times New Roman"/>
          <w:kern w:val="0"/>
          <w:szCs w:val="24"/>
          <w:lang w:val="en-GB" w:eastAsia="de-DE"/>
        </w:rPr>
        <w:t>r for the transnational service provisions</w:t>
      </w:r>
      <w:r w:rsidR="007D0B4A">
        <w:rPr>
          <w:rFonts w:eastAsia="Times New Roman"/>
          <w:kern w:val="0"/>
          <w:szCs w:val="24"/>
          <w:lang w:val="en-GB" w:eastAsia="de-DE"/>
        </w:rPr>
        <w:t xml:space="preserve"> and transactions. </w:t>
      </w:r>
      <w:r w:rsidR="00855727">
        <w:rPr>
          <w:lang w:val="en-GB"/>
        </w:rPr>
        <w:t xml:space="preserve">EGI.eu handling the invoices </w:t>
      </w:r>
      <w:r>
        <w:rPr>
          <w:lang w:val="en-GB"/>
        </w:rPr>
        <w:t>is</w:t>
      </w:r>
      <w:r w:rsidR="00855727" w:rsidRPr="00A91E19">
        <w:rPr>
          <w:lang w:val="en-GB"/>
        </w:rPr>
        <w:t xml:space="preserve"> one </w:t>
      </w:r>
      <w:r w:rsidR="00855727">
        <w:rPr>
          <w:lang w:val="en-GB"/>
        </w:rPr>
        <w:t xml:space="preserve">of the </w:t>
      </w:r>
      <w:r w:rsidR="00855727" w:rsidRPr="00A91E19">
        <w:rPr>
          <w:lang w:val="en-GB"/>
        </w:rPr>
        <w:t>option</w:t>
      </w:r>
      <w:r w:rsidR="00855727">
        <w:rPr>
          <w:lang w:val="en-GB"/>
        </w:rPr>
        <w:t>s</w:t>
      </w:r>
      <w:r w:rsidR="00316FE3">
        <w:rPr>
          <w:lang w:val="en-GB"/>
        </w:rPr>
        <w:t xml:space="preserve"> complementing </w:t>
      </w:r>
      <w:r w:rsidR="00577BCD">
        <w:rPr>
          <w:lang w:val="en-GB"/>
        </w:rPr>
        <w:t xml:space="preserve">the </w:t>
      </w:r>
      <w:r w:rsidR="00ED0271">
        <w:rPr>
          <w:lang w:val="en-GB"/>
        </w:rPr>
        <w:t>NGIs</w:t>
      </w:r>
      <w:r w:rsidR="00855727" w:rsidRPr="00A91E19">
        <w:rPr>
          <w:lang w:val="en-GB"/>
        </w:rPr>
        <w:t xml:space="preserve"> or sites</w:t>
      </w:r>
      <w:r w:rsidR="00855727">
        <w:rPr>
          <w:lang w:val="en-GB"/>
        </w:rPr>
        <w:t xml:space="preserve"> capability to handle invoices in certain cases. </w:t>
      </w:r>
    </w:p>
    <w:p w14:paraId="2FE6BFC5" w14:textId="7FCE1E13" w:rsidR="006367A3" w:rsidRPr="00026841" w:rsidRDefault="00741E5D" w:rsidP="00026841">
      <w:pPr>
        <w:spacing w:before="60" w:after="60"/>
        <w:ind w:left="-284"/>
        <w:jc w:val="both"/>
        <w:rPr>
          <w:rFonts w:eastAsia="Times New Roman"/>
          <w:kern w:val="0"/>
          <w:szCs w:val="24"/>
          <w:lang w:val="en-GB" w:eastAsia="de-DE"/>
        </w:rPr>
      </w:pPr>
      <w:r>
        <w:rPr>
          <w:rFonts w:eastAsia="Times New Roman"/>
          <w:kern w:val="0"/>
          <w:szCs w:val="24"/>
          <w:lang w:val="en-GB" w:eastAsia="de-DE"/>
        </w:rPr>
        <w:lastRenderedPageBreak/>
        <w:t>The survey</w:t>
      </w:r>
      <w:r w:rsidR="000D153F">
        <w:rPr>
          <w:rFonts w:eastAsia="Times New Roman"/>
          <w:kern w:val="0"/>
          <w:szCs w:val="24"/>
          <w:lang w:val="en-GB" w:eastAsia="de-DE"/>
        </w:rPr>
        <w:t xml:space="preserve"> </w:t>
      </w:r>
      <w:r>
        <w:rPr>
          <w:rFonts w:eastAsia="Times New Roman"/>
          <w:kern w:val="0"/>
          <w:szCs w:val="24"/>
          <w:lang w:val="en-GB" w:eastAsia="de-DE"/>
        </w:rPr>
        <w:t>contained a question</w:t>
      </w:r>
      <w:r w:rsidR="000D153F">
        <w:rPr>
          <w:rFonts w:eastAsia="Times New Roman"/>
          <w:kern w:val="0"/>
          <w:szCs w:val="24"/>
          <w:lang w:val="en-GB" w:eastAsia="de-DE"/>
        </w:rPr>
        <w:t xml:space="preserve"> </w:t>
      </w:r>
      <w:r w:rsidR="00E15771">
        <w:rPr>
          <w:rFonts w:eastAsia="Times New Roman"/>
          <w:kern w:val="0"/>
          <w:szCs w:val="24"/>
          <w:lang w:val="en-GB" w:eastAsia="de-DE"/>
        </w:rPr>
        <w:t>to understand if the responding resource provider should charge the</w:t>
      </w:r>
      <w:r w:rsidR="000D153F">
        <w:rPr>
          <w:rFonts w:eastAsia="Times New Roman"/>
          <w:kern w:val="0"/>
          <w:szCs w:val="24"/>
          <w:lang w:val="en-GB" w:eastAsia="de-DE"/>
        </w:rPr>
        <w:t xml:space="preserve"> </w:t>
      </w:r>
      <w:r w:rsidR="00ED1E73">
        <w:rPr>
          <w:rFonts w:eastAsia="Times New Roman"/>
          <w:kern w:val="0"/>
          <w:szCs w:val="24"/>
          <w:lang w:val="en-GB" w:eastAsia="de-DE"/>
        </w:rPr>
        <w:t>VAT</w:t>
      </w:r>
      <w:r w:rsidR="000D153F">
        <w:rPr>
          <w:rFonts w:eastAsia="Times New Roman"/>
          <w:kern w:val="0"/>
          <w:szCs w:val="24"/>
          <w:lang w:val="en-GB" w:eastAsia="de-DE"/>
        </w:rPr>
        <w:t xml:space="preserve"> </w:t>
      </w:r>
      <w:r w:rsidR="00E15771">
        <w:rPr>
          <w:rFonts w:eastAsia="Times New Roman"/>
          <w:kern w:val="0"/>
          <w:szCs w:val="24"/>
          <w:lang w:val="en-GB" w:eastAsia="de-DE"/>
        </w:rPr>
        <w:t>for the provided services</w:t>
      </w:r>
      <w:r w:rsidR="00ED1E73">
        <w:rPr>
          <w:rFonts w:eastAsia="Times New Roman"/>
          <w:kern w:val="0"/>
          <w:szCs w:val="24"/>
          <w:lang w:val="en-GB" w:eastAsia="de-DE"/>
        </w:rPr>
        <w:t xml:space="preserve">. </w:t>
      </w:r>
      <w:r w:rsidR="002E5D55">
        <w:rPr>
          <w:rFonts w:eastAsia="Times New Roman"/>
          <w:kern w:val="0"/>
          <w:szCs w:val="24"/>
          <w:lang w:val="en-GB" w:eastAsia="de-DE"/>
        </w:rPr>
        <w:t>Six</w:t>
      </w:r>
      <w:r w:rsidR="006367A3" w:rsidRPr="00026841">
        <w:rPr>
          <w:rFonts w:eastAsia="Times New Roman"/>
          <w:kern w:val="0"/>
          <w:szCs w:val="24"/>
          <w:lang w:val="en-GB" w:eastAsia="de-DE"/>
        </w:rPr>
        <w:t xml:space="preserve"> respondents stated that they are subject to VAT with only one </w:t>
      </w:r>
      <w:r w:rsidR="00ED1E73">
        <w:rPr>
          <w:rFonts w:eastAsia="Times New Roman"/>
          <w:kern w:val="0"/>
          <w:szCs w:val="24"/>
          <w:lang w:val="en-GB" w:eastAsia="de-DE"/>
        </w:rPr>
        <w:t xml:space="preserve">responding </w:t>
      </w:r>
      <w:r w:rsidR="00E15771">
        <w:rPr>
          <w:rFonts w:eastAsia="Times New Roman"/>
          <w:kern w:val="0"/>
          <w:szCs w:val="24"/>
          <w:lang w:val="en-GB" w:eastAsia="de-DE"/>
        </w:rPr>
        <w:t>saying</w:t>
      </w:r>
      <w:r w:rsidR="00E15771" w:rsidRPr="00026841">
        <w:rPr>
          <w:rFonts w:eastAsia="Times New Roman"/>
          <w:kern w:val="0"/>
          <w:szCs w:val="24"/>
          <w:lang w:val="en-GB" w:eastAsia="de-DE"/>
        </w:rPr>
        <w:t xml:space="preserve"> </w:t>
      </w:r>
      <w:r w:rsidR="006367A3" w:rsidRPr="00026841">
        <w:rPr>
          <w:rFonts w:eastAsia="Times New Roman"/>
          <w:kern w:val="0"/>
          <w:szCs w:val="24"/>
          <w:lang w:val="en-GB" w:eastAsia="de-DE"/>
        </w:rPr>
        <w:t>‘No’</w:t>
      </w:r>
      <w:r w:rsidR="00026841" w:rsidRPr="00026841">
        <w:rPr>
          <w:rFonts w:eastAsia="Times New Roman"/>
          <w:kern w:val="0"/>
          <w:szCs w:val="24"/>
          <w:lang w:val="en-GB" w:eastAsia="de-DE"/>
        </w:rPr>
        <w:t xml:space="preserve">. </w:t>
      </w:r>
      <w:r w:rsidR="00026841">
        <w:rPr>
          <w:rFonts w:eastAsia="Times New Roman"/>
          <w:kern w:val="0"/>
          <w:szCs w:val="24"/>
          <w:lang w:val="en-GB" w:eastAsia="de-DE"/>
        </w:rPr>
        <w:t>In terms of</w:t>
      </w:r>
      <w:r w:rsidR="006367A3" w:rsidRPr="00026841">
        <w:rPr>
          <w:rFonts w:eastAsia="Times New Roman"/>
          <w:kern w:val="0"/>
          <w:szCs w:val="24"/>
          <w:lang w:val="en-GB" w:eastAsia="de-DE"/>
        </w:rPr>
        <w:t xml:space="preserve"> legal constraints around issuing invoices for the consumed services</w:t>
      </w:r>
      <w:r w:rsidR="00F02618">
        <w:rPr>
          <w:rFonts w:eastAsia="Times New Roman"/>
          <w:kern w:val="0"/>
          <w:szCs w:val="24"/>
          <w:lang w:val="en-GB" w:eastAsia="de-DE"/>
        </w:rPr>
        <w:t>,</w:t>
      </w:r>
      <w:r w:rsidR="006367A3" w:rsidRPr="00026841">
        <w:rPr>
          <w:rFonts w:eastAsia="Times New Roman"/>
          <w:kern w:val="0"/>
          <w:szCs w:val="24"/>
          <w:lang w:val="en-GB" w:eastAsia="de-DE"/>
        </w:rPr>
        <w:t xml:space="preserve"> </w:t>
      </w:r>
      <w:r w:rsidR="002E5D55">
        <w:rPr>
          <w:rFonts w:eastAsia="Times New Roman"/>
          <w:kern w:val="0"/>
          <w:szCs w:val="24"/>
          <w:lang w:val="en-GB" w:eastAsia="de-DE"/>
        </w:rPr>
        <w:t>five respondents</w:t>
      </w:r>
      <w:r w:rsidR="006367A3" w:rsidRPr="00026841">
        <w:rPr>
          <w:rFonts w:eastAsia="Times New Roman"/>
          <w:kern w:val="0"/>
          <w:szCs w:val="24"/>
          <w:lang w:val="en-GB" w:eastAsia="de-DE"/>
        </w:rPr>
        <w:t xml:space="preserve"> </w:t>
      </w:r>
      <w:r w:rsidR="00F02618">
        <w:rPr>
          <w:rFonts w:eastAsia="Times New Roman"/>
          <w:kern w:val="0"/>
          <w:szCs w:val="24"/>
          <w:lang w:val="en-GB" w:eastAsia="de-DE"/>
        </w:rPr>
        <w:t xml:space="preserve">stated </w:t>
      </w:r>
      <w:r w:rsidR="006367A3" w:rsidRPr="00026841">
        <w:rPr>
          <w:rFonts w:eastAsia="Times New Roman"/>
          <w:kern w:val="0"/>
          <w:szCs w:val="24"/>
          <w:lang w:val="en-GB" w:eastAsia="de-DE"/>
        </w:rPr>
        <w:t xml:space="preserve">that there </w:t>
      </w:r>
      <w:r w:rsidR="00F02618">
        <w:rPr>
          <w:rFonts w:eastAsia="Times New Roman"/>
          <w:kern w:val="0"/>
          <w:szCs w:val="24"/>
          <w:lang w:val="en-GB" w:eastAsia="de-DE"/>
        </w:rPr>
        <w:t>are</w:t>
      </w:r>
      <w:r w:rsidR="00F02618" w:rsidRPr="00026841">
        <w:rPr>
          <w:rFonts w:eastAsia="Times New Roman"/>
          <w:kern w:val="0"/>
          <w:szCs w:val="24"/>
          <w:lang w:val="en-GB" w:eastAsia="de-DE"/>
        </w:rPr>
        <w:t xml:space="preserve"> </w:t>
      </w:r>
      <w:r w:rsidR="006367A3" w:rsidRPr="00026841">
        <w:rPr>
          <w:rFonts w:eastAsia="Times New Roman"/>
          <w:kern w:val="0"/>
          <w:szCs w:val="24"/>
          <w:lang w:val="en-GB" w:eastAsia="de-DE"/>
        </w:rPr>
        <w:t xml:space="preserve">no legal constraints around issuing invoices. </w:t>
      </w:r>
    </w:p>
    <w:tbl>
      <w:tblPr>
        <w:tblStyle w:val="MediumShading1-Accent1"/>
        <w:tblW w:w="0" w:type="auto"/>
        <w:tblInd w:w="-176" w:type="dxa"/>
        <w:tblBorders>
          <w:insideV w:val="single" w:sz="8" w:space="0" w:color="7BA0CD" w:themeColor="accent1" w:themeTint="BF"/>
        </w:tblBorders>
        <w:tblLook w:val="04A0" w:firstRow="1" w:lastRow="0" w:firstColumn="1" w:lastColumn="0" w:noHBand="0" w:noVBand="1"/>
      </w:tblPr>
      <w:tblGrid>
        <w:gridCol w:w="2838"/>
        <w:gridCol w:w="1003"/>
        <w:gridCol w:w="1157"/>
      </w:tblGrid>
      <w:tr w:rsidR="00913979" w14:paraId="4D1BCF7C" w14:textId="77777777" w:rsidTr="009139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0777A304" w14:textId="4383E3FB" w:rsidR="00806070" w:rsidRPr="00554E47" w:rsidRDefault="00AD7930" w:rsidP="005836B4">
            <w:pPr>
              <w:spacing w:before="60" w:after="60"/>
              <w:jc w:val="both"/>
              <w:rPr>
                <w:rFonts w:eastAsia="Times New Roman"/>
                <w:kern w:val="0"/>
                <w:sz w:val="18"/>
                <w:szCs w:val="18"/>
                <w:lang w:val="en-GB" w:eastAsia="de-DE"/>
              </w:rPr>
            </w:pPr>
            <w:r w:rsidRPr="00554E47">
              <w:rPr>
                <w:rFonts w:eastAsia="Times New Roman"/>
                <w:kern w:val="0"/>
                <w:sz w:val="18"/>
                <w:szCs w:val="18"/>
                <w:lang w:val="en-GB" w:eastAsia="de-DE"/>
              </w:rPr>
              <w:t>NGI/RC</w:t>
            </w:r>
          </w:p>
        </w:tc>
        <w:tc>
          <w:tcPr>
            <w:tcW w:w="1003" w:type="dxa"/>
          </w:tcPr>
          <w:p w14:paraId="3442602F" w14:textId="77777777" w:rsidR="00806070" w:rsidRDefault="00806070" w:rsidP="00FE3060">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18"/>
                <w:szCs w:val="18"/>
                <w:lang w:val="en-GB" w:eastAsia="de-DE"/>
              </w:rPr>
            </w:pPr>
            <w:r w:rsidRPr="00554E47">
              <w:rPr>
                <w:rFonts w:eastAsia="Times New Roman"/>
                <w:kern w:val="0"/>
                <w:sz w:val="18"/>
                <w:szCs w:val="18"/>
                <w:lang w:val="en-GB" w:eastAsia="de-DE"/>
              </w:rPr>
              <w:t>VAT</w:t>
            </w:r>
          </w:p>
          <w:p w14:paraId="13B57459" w14:textId="7170AD88" w:rsidR="00173834" w:rsidRPr="00554E47" w:rsidRDefault="00173834" w:rsidP="00FE3060">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auto"/>
                <w:kern w:val="0"/>
                <w:sz w:val="18"/>
                <w:szCs w:val="18"/>
                <w:lang w:val="en-GB" w:eastAsia="de-DE"/>
              </w:rPr>
            </w:pPr>
            <w:r>
              <w:rPr>
                <w:rFonts w:eastAsia="Times New Roman"/>
                <w:kern w:val="0"/>
                <w:sz w:val="18"/>
                <w:szCs w:val="18"/>
                <w:lang w:val="en-GB" w:eastAsia="de-DE"/>
              </w:rPr>
              <w:t>Applicable</w:t>
            </w:r>
          </w:p>
        </w:tc>
        <w:tc>
          <w:tcPr>
            <w:tcW w:w="1157" w:type="dxa"/>
          </w:tcPr>
          <w:p w14:paraId="333D2E09" w14:textId="33A02071" w:rsidR="00806070" w:rsidRPr="00554E47" w:rsidRDefault="00806070" w:rsidP="00806070">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Legal Constraint</w:t>
            </w:r>
          </w:p>
        </w:tc>
      </w:tr>
      <w:tr w:rsidR="00913979" w14:paraId="45882A5C" w14:textId="77777777" w:rsidTr="00913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3EF39513" w14:textId="20EC85ED" w:rsidR="00806070" w:rsidRPr="00554E47" w:rsidRDefault="00B11829" w:rsidP="00B11829">
            <w:pPr>
              <w:suppressAutoHyphens w:val="0"/>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NGI-DE</w:t>
            </w:r>
          </w:p>
        </w:tc>
        <w:tc>
          <w:tcPr>
            <w:tcW w:w="1003" w:type="dxa"/>
          </w:tcPr>
          <w:p w14:paraId="21AAC941" w14:textId="63EC16AB" w:rsidR="00806070" w:rsidRPr="00554E47" w:rsidRDefault="00B11829" w:rsidP="00554E47">
            <w:pPr>
              <w:spacing w:before="60" w:after="60"/>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c>
          <w:tcPr>
            <w:tcW w:w="1157" w:type="dxa"/>
          </w:tcPr>
          <w:p w14:paraId="2FF783CD" w14:textId="732E7A81" w:rsidR="00806070" w:rsidRPr="00554E47" w:rsidRDefault="00B11829" w:rsidP="005836B4">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r>
      <w:tr w:rsidR="00913979" w14:paraId="5BE9002D" w14:textId="77777777" w:rsidTr="009139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13CDF1ED" w14:textId="2CDA9FF4" w:rsidR="00806070" w:rsidRPr="00554E47" w:rsidRDefault="00AD7930" w:rsidP="00E4434D">
            <w:pPr>
              <w:spacing w:before="60" w:after="60"/>
              <w:jc w:val="both"/>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 xml:space="preserve">RC </w:t>
            </w:r>
            <w:r w:rsidR="00B11829" w:rsidRPr="00554E47">
              <w:rPr>
                <w:rFonts w:eastAsia="Times New Roman"/>
                <w:b w:val="0"/>
                <w:bCs w:val="0"/>
                <w:kern w:val="0"/>
                <w:sz w:val="18"/>
                <w:szCs w:val="18"/>
                <w:lang w:val="en-GB" w:eastAsia="de-DE"/>
              </w:rPr>
              <w:t>Leibniz Supercomputing Centre</w:t>
            </w:r>
          </w:p>
        </w:tc>
        <w:tc>
          <w:tcPr>
            <w:tcW w:w="1003" w:type="dxa"/>
          </w:tcPr>
          <w:p w14:paraId="5EC6D727" w14:textId="1102DD89" w:rsidR="00806070" w:rsidRPr="00554E47" w:rsidRDefault="00173834" w:rsidP="00173834">
            <w:pPr>
              <w:spacing w:before="60" w:after="60"/>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Pr>
                <w:rFonts w:eastAsia="Times New Roman"/>
                <w:kern w:val="0"/>
                <w:sz w:val="18"/>
                <w:szCs w:val="18"/>
                <w:lang w:val="en-GB" w:eastAsia="de-DE"/>
              </w:rPr>
              <w:t>D</w:t>
            </w:r>
            <w:r w:rsidR="00CD5361" w:rsidRPr="00554E47">
              <w:rPr>
                <w:rFonts w:eastAsia="Times New Roman"/>
                <w:kern w:val="0"/>
                <w:sz w:val="18"/>
                <w:szCs w:val="18"/>
                <w:lang w:val="en-GB" w:eastAsia="de-DE"/>
              </w:rPr>
              <w:t>o</w:t>
            </w:r>
            <w:r>
              <w:rPr>
                <w:rFonts w:eastAsia="Times New Roman"/>
                <w:kern w:val="0"/>
                <w:sz w:val="18"/>
                <w:szCs w:val="18"/>
                <w:lang w:val="en-GB" w:eastAsia="de-DE"/>
              </w:rPr>
              <w:t xml:space="preserve"> </w:t>
            </w:r>
            <w:r w:rsidR="00CD5361" w:rsidRPr="00554E47">
              <w:rPr>
                <w:rFonts w:eastAsia="Times New Roman"/>
                <w:kern w:val="0"/>
                <w:sz w:val="18"/>
                <w:szCs w:val="18"/>
                <w:lang w:val="en-GB" w:eastAsia="de-DE"/>
              </w:rPr>
              <w:t>n</w:t>
            </w:r>
            <w:r>
              <w:rPr>
                <w:rFonts w:eastAsia="Times New Roman"/>
                <w:kern w:val="0"/>
                <w:sz w:val="18"/>
                <w:szCs w:val="18"/>
                <w:lang w:val="en-GB" w:eastAsia="de-DE"/>
              </w:rPr>
              <w:t>o</w:t>
            </w:r>
            <w:r w:rsidR="00CD5361" w:rsidRPr="00554E47">
              <w:rPr>
                <w:rFonts w:eastAsia="Times New Roman"/>
                <w:kern w:val="0"/>
                <w:sz w:val="18"/>
                <w:szCs w:val="18"/>
                <w:lang w:val="en-GB" w:eastAsia="de-DE"/>
              </w:rPr>
              <w:t>t know yet</w:t>
            </w:r>
          </w:p>
        </w:tc>
        <w:tc>
          <w:tcPr>
            <w:tcW w:w="1157" w:type="dxa"/>
          </w:tcPr>
          <w:p w14:paraId="0D38ED01" w14:textId="264BECD0" w:rsidR="00806070" w:rsidRPr="00554E47" w:rsidRDefault="00CD5361" w:rsidP="00E4434D">
            <w:pPr>
              <w:suppressAutoHyphens w:val="0"/>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r>
      <w:tr w:rsidR="00913979" w14:paraId="6D6CD0E7" w14:textId="77777777" w:rsidTr="00913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14B89CC3" w14:textId="00F1C685" w:rsidR="00806070" w:rsidRPr="00554E47" w:rsidRDefault="00AD7930" w:rsidP="00657DAA">
            <w:pPr>
              <w:suppressAutoHyphens w:val="0"/>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 xml:space="preserve">NGI </w:t>
            </w:r>
            <w:r w:rsidR="009D057D" w:rsidRPr="00554E47">
              <w:rPr>
                <w:rFonts w:eastAsia="Times New Roman"/>
                <w:b w:val="0"/>
                <w:bCs w:val="0"/>
                <w:kern w:val="0"/>
                <w:sz w:val="18"/>
                <w:szCs w:val="18"/>
                <w:lang w:val="en-GB" w:eastAsia="de-DE"/>
              </w:rPr>
              <w:t>UIIP NASB</w:t>
            </w:r>
          </w:p>
        </w:tc>
        <w:tc>
          <w:tcPr>
            <w:tcW w:w="1003" w:type="dxa"/>
          </w:tcPr>
          <w:p w14:paraId="09629339" w14:textId="61F8E31B" w:rsidR="00806070" w:rsidRPr="00554E47" w:rsidRDefault="009D057D" w:rsidP="00554E47">
            <w:pPr>
              <w:spacing w:before="60" w:after="60"/>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No</w:t>
            </w:r>
          </w:p>
        </w:tc>
        <w:tc>
          <w:tcPr>
            <w:tcW w:w="1157" w:type="dxa"/>
          </w:tcPr>
          <w:p w14:paraId="25B6B5E5" w14:textId="242D7454" w:rsidR="00806070" w:rsidRPr="00554E47" w:rsidRDefault="009D057D" w:rsidP="005836B4">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No</w:t>
            </w:r>
          </w:p>
        </w:tc>
      </w:tr>
      <w:tr w:rsidR="00913979" w14:paraId="2EC7C4BB" w14:textId="77777777" w:rsidTr="00657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bottom w:val="single" w:sz="8" w:space="0" w:color="7BA0CD" w:themeColor="accent1" w:themeTint="BF"/>
            </w:tcBorders>
          </w:tcPr>
          <w:p w14:paraId="02972F66" w14:textId="56599CE7" w:rsidR="00806070" w:rsidRPr="00554E47" w:rsidRDefault="00E142D7" w:rsidP="00657DAA">
            <w:pPr>
              <w:suppressAutoHyphens w:val="0"/>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 xml:space="preserve">RC </w:t>
            </w:r>
            <w:r w:rsidR="009D057D" w:rsidRPr="00554E47">
              <w:rPr>
                <w:rFonts w:eastAsia="Times New Roman"/>
                <w:b w:val="0"/>
                <w:bCs w:val="0"/>
                <w:kern w:val="0"/>
                <w:sz w:val="18"/>
                <w:szCs w:val="18"/>
                <w:lang w:val="en-GB" w:eastAsia="de-DE"/>
              </w:rPr>
              <w:t>SARA</w:t>
            </w:r>
          </w:p>
        </w:tc>
        <w:tc>
          <w:tcPr>
            <w:tcW w:w="1003" w:type="dxa"/>
            <w:tcBorders>
              <w:bottom w:val="single" w:sz="8" w:space="0" w:color="7BA0CD" w:themeColor="accent1" w:themeTint="BF"/>
            </w:tcBorders>
          </w:tcPr>
          <w:p w14:paraId="7D020ABB" w14:textId="59677914" w:rsidR="00806070" w:rsidRPr="00554E47" w:rsidRDefault="00CD5361" w:rsidP="00554E47">
            <w:pPr>
              <w:spacing w:before="60" w:after="60"/>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c>
          <w:tcPr>
            <w:tcW w:w="1157" w:type="dxa"/>
            <w:tcBorders>
              <w:bottom w:val="single" w:sz="8" w:space="0" w:color="7BA0CD" w:themeColor="accent1" w:themeTint="BF"/>
            </w:tcBorders>
          </w:tcPr>
          <w:p w14:paraId="5262AE5B" w14:textId="30B1C8E9" w:rsidR="00806070" w:rsidRPr="00554E47" w:rsidRDefault="00CD5361" w:rsidP="005836B4">
            <w:pPr>
              <w:spacing w:before="60" w:after="60"/>
              <w:jc w:val="both"/>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No</w:t>
            </w:r>
          </w:p>
        </w:tc>
      </w:tr>
      <w:tr w:rsidR="00913979" w14:paraId="239DF525" w14:textId="77777777" w:rsidTr="00657DAA">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07F57401" w14:textId="46E539C9" w:rsidR="009D057D" w:rsidRPr="00554E47" w:rsidRDefault="00AD7930" w:rsidP="00657DAA">
            <w:pPr>
              <w:suppressAutoHyphens w:val="0"/>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 xml:space="preserve">NGI </w:t>
            </w:r>
            <w:r w:rsidR="00046BBB" w:rsidRPr="00554E47">
              <w:rPr>
                <w:rFonts w:eastAsia="Times New Roman"/>
                <w:b w:val="0"/>
                <w:bCs w:val="0"/>
                <w:kern w:val="0"/>
                <w:sz w:val="18"/>
                <w:szCs w:val="18"/>
                <w:lang w:val="en-GB" w:eastAsia="de-DE"/>
              </w:rPr>
              <w:t>TUBITAK ULAKBIM</w:t>
            </w:r>
          </w:p>
        </w:tc>
        <w:tc>
          <w:tcPr>
            <w:tcW w:w="1003" w:type="dxa"/>
          </w:tcPr>
          <w:p w14:paraId="6E6FF080" w14:textId="69F86E51" w:rsidR="009D057D" w:rsidRPr="00554E47" w:rsidRDefault="00CD5361" w:rsidP="00657DAA">
            <w:pPr>
              <w:spacing w:before="60" w:after="60"/>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c>
          <w:tcPr>
            <w:tcW w:w="1157" w:type="dxa"/>
          </w:tcPr>
          <w:p w14:paraId="576A49CC" w14:textId="1A8A0132" w:rsidR="009D057D" w:rsidRPr="00554E47" w:rsidRDefault="00CD5361" w:rsidP="00CD5361">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No</w:t>
            </w:r>
          </w:p>
        </w:tc>
      </w:tr>
      <w:tr w:rsidR="00913979" w14:paraId="105586A0" w14:textId="77777777" w:rsidTr="00657DAA">
        <w:tblPrEx>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bottom w:val="single" w:sz="8" w:space="0" w:color="7BA0CD" w:themeColor="accent1" w:themeTint="BF"/>
            </w:tcBorders>
          </w:tcPr>
          <w:p w14:paraId="0B6E4C8C" w14:textId="62E6C097" w:rsidR="009D057D" w:rsidRPr="00554E47" w:rsidRDefault="00E142D7" w:rsidP="00657DAA">
            <w:pPr>
              <w:suppressAutoHyphens w:val="0"/>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RC Albert Einstein Center, University of Bern</w:t>
            </w:r>
          </w:p>
        </w:tc>
        <w:tc>
          <w:tcPr>
            <w:tcW w:w="1003" w:type="dxa"/>
            <w:tcBorders>
              <w:bottom w:val="single" w:sz="8" w:space="0" w:color="7BA0CD" w:themeColor="accent1" w:themeTint="BF"/>
            </w:tcBorders>
          </w:tcPr>
          <w:p w14:paraId="217B53C7" w14:textId="79ECB557" w:rsidR="009D057D" w:rsidRPr="00554E47" w:rsidRDefault="00DC6220" w:rsidP="00657DAA">
            <w:pPr>
              <w:suppressAutoHyphens w:val="0"/>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Pr>
                <w:rFonts w:eastAsia="Times New Roman"/>
                <w:kern w:val="0"/>
                <w:sz w:val="18"/>
                <w:szCs w:val="18"/>
                <w:lang w:val="en-GB" w:eastAsia="de-DE"/>
              </w:rPr>
              <w:t>Depends on type of institution</w:t>
            </w:r>
          </w:p>
        </w:tc>
        <w:tc>
          <w:tcPr>
            <w:tcW w:w="1157" w:type="dxa"/>
            <w:tcBorders>
              <w:bottom w:val="single" w:sz="8" w:space="0" w:color="7BA0CD" w:themeColor="accent1" w:themeTint="BF"/>
            </w:tcBorders>
          </w:tcPr>
          <w:p w14:paraId="1349C69F" w14:textId="2E95884B" w:rsidR="009D057D" w:rsidRPr="00554E47" w:rsidRDefault="00E142D7" w:rsidP="00CD5361">
            <w:pPr>
              <w:spacing w:before="60" w:after="60"/>
              <w:jc w:val="both"/>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No</w:t>
            </w:r>
          </w:p>
        </w:tc>
      </w:tr>
      <w:tr w:rsidR="00913979" w:rsidRPr="00BA701E" w14:paraId="26D32CF6" w14:textId="77777777" w:rsidTr="00657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bottom w:val="single" w:sz="8" w:space="0" w:color="7BA0CD" w:themeColor="accent1" w:themeTint="BF"/>
            </w:tcBorders>
          </w:tcPr>
          <w:p w14:paraId="64944512" w14:textId="44C5E44C" w:rsidR="00BA701E" w:rsidRPr="00554E47" w:rsidRDefault="00554E47" w:rsidP="0026221A">
            <w:pPr>
              <w:suppressAutoHyphens w:val="0"/>
              <w:rPr>
                <w:rFonts w:eastAsia="Times New Roman"/>
                <w:b w:val="0"/>
                <w:bCs w:val="0"/>
                <w:kern w:val="0"/>
                <w:sz w:val="18"/>
                <w:szCs w:val="18"/>
                <w:lang w:val="en-GB" w:eastAsia="de-DE"/>
              </w:rPr>
            </w:pPr>
            <w:r w:rsidRPr="00554E47">
              <w:rPr>
                <w:rFonts w:eastAsia="Times New Roman"/>
                <w:b w:val="0"/>
                <w:bCs w:val="0"/>
                <w:kern w:val="0"/>
                <w:sz w:val="18"/>
                <w:szCs w:val="18"/>
                <w:lang w:val="en-GB" w:eastAsia="de-DE"/>
              </w:rPr>
              <w:t>NGI</w:t>
            </w:r>
            <w:r w:rsidR="002A3BFD" w:rsidRPr="002A3BFD">
              <w:rPr>
                <w:rFonts w:eastAsia="Times New Roman"/>
                <w:b w:val="0"/>
                <w:bCs w:val="0"/>
                <w:kern w:val="0"/>
                <w:sz w:val="18"/>
                <w:szCs w:val="18"/>
                <w:lang w:val="en-GB" w:eastAsia="de-DE"/>
              </w:rPr>
              <w:t xml:space="preserve"> PL-GRID</w:t>
            </w:r>
          </w:p>
        </w:tc>
        <w:tc>
          <w:tcPr>
            <w:tcW w:w="1003" w:type="dxa"/>
            <w:tcBorders>
              <w:bottom w:val="single" w:sz="8" w:space="0" w:color="7BA0CD" w:themeColor="accent1" w:themeTint="BF"/>
            </w:tcBorders>
          </w:tcPr>
          <w:p w14:paraId="272ABFB2" w14:textId="205C6378" w:rsidR="00BA701E" w:rsidRPr="00554E47" w:rsidRDefault="002A3BFD" w:rsidP="00657DAA">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c>
          <w:tcPr>
            <w:tcW w:w="1157" w:type="dxa"/>
            <w:tcBorders>
              <w:bottom w:val="single" w:sz="8" w:space="0" w:color="7BA0CD" w:themeColor="accent1" w:themeTint="BF"/>
            </w:tcBorders>
          </w:tcPr>
          <w:p w14:paraId="2E08E8AE" w14:textId="1360AD57" w:rsidR="00BA701E" w:rsidRPr="00554E47" w:rsidRDefault="002A3BFD" w:rsidP="00BA701E">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r>
      <w:tr w:rsidR="00913979" w:rsidRPr="00554E47" w14:paraId="24BA8B33" w14:textId="77777777" w:rsidTr="00657DA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Borders>
              <w:bottom w:val="single" w:sz="8" w:space="0" w:color="7BA0CD" w:themeColor="accent1" w:themeTint="BF"/>
            </w:tcBorders>
          </w:tcPr>
          <w:p w14:paraId="3B75C7B6" w14:textId="4E0A3EBC" w:rsidR="00AD46CF" w:rsidRPr="00FA6061" w:rsidRDefault="00DC6220" w:rsidP="00AD46CF">
            <w:pPr>
              <w:suppressAutoHyphens w:val="0"/>
              <w:rPr>
                <w:rFonts w:eastAsia="Times New Roman"/>
                <w:b w:val="0"/>
                <w:bCs w:val="0"/>
                <w:kern w:val="0"/>
                <w:sz w:val="18"/>
                <w:szCs w:val="18"/>
                <w:lang w:val="en-GB" w:eastAsia="de-DE"/>
              </w:rPr>
            </w:pPr>
            <w:r w:rsidRPr="00FA6061">
              <w:rPr>
                <w:rFonts w:eastAsia="Times New Roman"/>
                <w:b w:val="0"/>
                <w:kern w:val="0"/>
                <w:sz w:val="18"/>
                <w:szCs w:val="18"/>
                <w:lang w:val="en-GB" w:eastAsia="de-DE"/>
              </w:rPr>
              <w:t>RC MASTER-UP</w:t>
            </w:r>
            <w:r w:rsidRPr="00FA6061">
              <w:rPr>
                <w:rFonts w:eastAsia="Times New Roman"/>
                <w:b w:val="0"/>
                <w:bCs w:val="0"/>
                <w:kern w:val="0"/>
                <w:sz w:val="18"/>
                <w:szCs w:val="18"/>
                <w:lang w:val="en-GB" w:eastAsia="de-DE"/>
              </w:rPr>
              <w:t xml:space="preserve"> S.R.L</w:t>
            </w:r>
          </w:p>
        </w:tc>
        <w:tc>
          <w:tcPr>
            <w:tcW w:w="1003" w:type="dxa"/>
            <w:tcBorders>
              <w:bottom w:val="single" w:sz="8" w:space="0" w:color="7BA0CD" w:themeColor="accent1" w:themeTint="BF"/>
            </w:tcBorders>
          </w:tcPr>
          <w:p w14:paraId="307B5B39" w14:textId="77777777" w:rsidR="00AD46CF" w:rsidRPr="00554E47" w:rsidRDefault="00AD46CF" w:rsidP="00657DAA">
            <w:pPr>
              <w:spacing w:before="60" w:after="60"/>
              <w:jc w:val="both"/>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sidRPr="00554E47">
              <w:rPr>
                <w:rFonts w:eastAsia="Times New Roman"/>
                <w:kern w:val="0"/>
                <w:sz w:val="18"/>
                <w:szCs w:val="18"/>
                <w:lang w:val="en-GB" w:eastAsia="de-DE"/>
              </w:rPr>
              <w:t>Yes</w:t>
            </w:r>
          </w:p>
        </w:tc>
        <w:tc>
          <w:tcPr>
            <w:tcW w:w="1157" w:type="dxa"/>
            <w:tcBorders>
              <w:bottom w:val="single" w:sz="8" w:space="0" w:color="7BA0CD" w:themeColor="accent1" w:themeTint="BF"/>
            </w:tcBorders>
          </w:tcPr>
          <w:p w14:paraId="076765D7" w14:textId="54C08391" w:rsidR="00AD46CF" w:rsidRPr="00554E47" w:rsidRDefault="00DC6220" w:rsidP="00AD46CF">
            <w:pPr>
              <w:spacing w:before="60" w:after="60"/>
              <w:jc w:val="both"/>
              <w:cnfStyle w:val="000000010000" w:firstRow="0" w:lastRow="0" w:firstColumn="0" w:lastColumn="0" w:oddVBand="0" w:evenVBand="0" w:oddHBand="0" w:evenHBand="1" w:firstRowFirstColumn="0" w:firstRowLastColumn="0" w:lastRowFirstColumn="0" w:lastRowLastColumn="0"/>
              <w:rPr>
                <w:rFonts w:eastAsia="Times New Roman"/>
                <w:kern w:val="0"/>
                <w:sz w:val="18"/>
                <w:szCs w:val="18"/>
                <w:lang w:val="en-GB" w:eastAsia="de-DE"/>
              </w:rPr>
            </w:pPr>
            <w:r>
              <w:rPr>
                <w:rFonts w:eastAsia="Times New Roman"/>
                <w:kern w:val="0"/>
                <w:sz w:val="18"/>
                <w:szCs w:val="18"/>
                <w:lang w:val="en-GB" w:eastAsia="de-DE"/>
              </w:rPr>
              <w:t>No</w:t>
            </w:r>
          </w:p>
        </w:tc>
      </w:tr>
      <w:tr w:rsidR="00913979" w:rsidRPr="00554E47" w14:paraId="2488F514" w14:textId="77777777" w:rsidTr="00657DAA">
        <w:tblPrEx>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8" w:type="dxa"/>
          </w:tcPr>
          <w:p w14:paraId="55CB1273" w14:textId="1B37D9CC" w:rsidR="00DC6220" w:rsidRPr="00554E47" w:rsidRDefault="002E5D55" w:rsidP="00DC6220">
            <w:pPr>
              <w:suppressAutoHyphens w:val="0"/>
              <w:rPr>
                <w:rFonts w:eastAsia="Times New Roman"/>
                <w:b w:val="0"/>
                <w:bCs w:val="0"/>
                <w:kern w:val="0"/>
                <w:sz w:val="18"/>
                <w:szCs w:val="18"/>
                <w:lang w:val="en-GB" w:eastAsia="de-DE"/>
              </w:rPr>
            </w:pPr>
            <w:r w:rsidRPr="002E5D55">
              <w:rPr>
                <w:rFonts w:eastAsia="Times New Roman"/>
                <w:b w:val="0"/>
                <w:bCs w:val="0"/>
                <w:kern w:val="0"/>
                <w:sz w:val="18"/>
                <w:szCs w:val="18"/>
                <w:lang w:val="en-GB" w:eastAsia="de-DE"/>
              </w:rPr>
              <w:t>IGI JRU - NGI_IT</w:t>
            </w:r>
          </w:p>
        </w:tc>
        <w:tc>
          <w:tcPr>
            <w:tcW w:w="1003" w:type="dxa"/>
          </w:tcPr>
          <w:p w14:paraId="6A8F981F" w14:textId="043806BA" w:rsidR="00DC6220" w:rsidRPr="00554E47" w:rsidRDefault="002E5D55" w:rsidP="00657DAA">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Pr>
                <w:rFonts w:eastAsia="Times New Roman"/>
                <w:kern w:val="0"/>
                <w:sz w:val="18"/>
                <w:szCs w:val="18"/>
                <w:lang w:val="en-GB" w:eastAsia="de-DE"/>
              </w:rPr>
              <w:t>Probably</w:t>
            </w:r>
          </w:p>
        </w:tc>
        <w:tc>
          <w:tcPr>
            <w:tcW w:w="1157" w:type="dxa"/>
          </w:tcPr>
          <w:p w14:paraId="21CBDA78" w14:textId="30B7D8F7" w:rsidR="00DC6220" w:rsidRPr="00554E47" w:rsidRDefault="002E5D55" w:rsidP="00DC6220">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kern w:val="0"/>
                <w:sz w:val="18"/>
                <w:szCs w:val="18"/>
                <w:lang w:val="en-GB" w:eastAsia="de-DE"/>
              </w:rPr>
            </w:pPr>
            <w:r>
              <w:rPr>
                <w:rFonts w:eastAsia="Times New Roman"/>
                <w:kern w:val="0"/>
                <w:sz w:val="18"/>
                <w:szCs w:val="18"/>
                <w:lang w:val="en-GB" w:eastAsia="de-DE"/>
              </w:rPr>
              <w:t>U</w:t>
            </w:r>
            <w:r w:rsidRPr="002E5D55">
              <w:rPr>
                <w:rFonts w:eastAsia="Times New Roman"/>
                <w:kern w:val="0"/>
                <w:sz w:val="18"/>
                <w:szCs w:val="18"/>
                <w:lang w:val="en-GB" w:eastAsia="de-DE"/>
              </w:rPr>
              <w:t>nder investigation</w:t>
            </w:r>
          </w:p>
        </w:tc>
      </w:tr>
    </w:tbl>
    <w:p w14:paraId="66DF2800" w14:textId="15DA1D6A" w:rsidR="00984B50" w:rsidRDefault="00ED1E73" w:rsidP="00984B50">
      <w:pPr>
        <w:spacing w:before="80" w:after="80"/>
        <w:ind w:left="-284"/>
        <w:jc w:val="both"/>
        <w:rPr>
          <w:rFonts w:eastAsia="Times New Roman"/>
          <w:kern w:val="0"/>
          <w:szCs w:val="24"/>
          <w:lang w:val="en-GB" w:eastAsia="de-DE"/>
        </w:rPr>
      </w:pPr>
      <w:r w:rsidRPr="00984B50">
        <w:rPr>
          <w:rFonts w:eastAsia="Times New Roman"/>
          <w:kern w:val="0"/>
          <w:szCs w:val="24"/>
          <w:lang w:val="en-GB" w:eastAsia="de-DE"/>
        </w:rPr>
        <w:t xml:space="preserve">These results show that in most cases </w:t>
      </w:r>
      <w:r w:rsidR="00984B50" w:rsidRPr="00984B50">
        <w:rPr>
          <w:rFonts w:eastAsia="Times New Roman"/>
          <w:kern w:val="0"/>
          <w:szCs w:val="24"/>
          <w:lang w:val="en-GB" w:eastAsia="de-DE"/>
        </w:rPr>
        <w:t>invoices are subject to VAT</w:t>
      </w:r>
      <w:r w:rsidR="002503F8">
        <w:rPr>
          <w:rFonts w:eastAsia="Times New Roman"/>
          <w:kern w:val="0"/>
          <w:szCs w:val="24"/>
          <w:lang w:val="en-GB" w:eastAsia="de-DE"/>
        </w:rPr>
        <w:t xml:space="preserve"> for the service provision within the country</w:t>
      </w:r>
      <w:r w:rsidR="00984B50" w:rsidRPr="00984B50">
        <w:rPr>
          <w:rFonts w:eastAsia="Times New Roman"/>
          <w:kern w:val="0"/>
          <w:szCs w:val="24"/>
          <w:lang w:val="en-GB" w:eastAsia="de-DE"/>
        </w:rPr>
        <w:t xml:space="preserve">, while legal constraints are </w:t>
      </w:r>
      <w:r w:rsidR="002503F8">
        <w:rPr>
          <w:rFonts w:eastAsia="Times New Roman"/>
          <w:kern w:val="0"/>
          <w:szCs w:val="24"/>
          <w:lang w:val="en-GB" w:eastAsia="de-DE"/>
        </w:rPr>
        <w:t xml:space="preserve">mostly </w:t>
      </w:r>
      <w:r w:rsidR="00984B50" w:rsidRPr="00984B50">
        <w:rPr>
          <w:rFonts w:eastAsia="Times New Roman"/>
          <w:kern w:val="0"/>
          <w:szCs w:val="24"/>
          <w:lang w:val="en-GB" w:eastAsia="de-DE"/>
        </w:rPr>
        <w:t xml:space="preserve">not the issue </w:t>
      </w:r>
      <w:r w:rsidR="002503F8">
        <w:rPr>
          <w:rFonts w:eastAsia="Times New Roman"/>
          <w:kern w:val="0"/>
          <w:szCs w:val="24"/>
          <w:lang w:val="en-GB" w:eastAsia="de-DE"/>
        </w:rPr>
        <w:t>common to the</w:t>
      </w:r>
      <w:r w:rsidR="00984B50" w:rsidRPr="00984B50">
        <w:rPr>
          <w:rFonts w:eastAsia="Times New Roman"/>
          <w:kern w:val="0"/>
          <w:szCs w:val="24"/>
          <w:lang w:val="en-GB" w:eastAsia="de-DE"/>
        </w:rPr>
        <w:t xml:space="preserve"> the majority of the respondents</w:t>
      </w:r>
      <w:r w:rsidR="002503F8">
        <w:rPr>
          <w:rFonts w:eastAsia="Times New Roman"/>
          <w:kern w:val="0"/>
          <w:szCs w:val="24"/>
          <w:lang w:val="en-GB" w:eastAsia="de-DE"/>
        </w:rPr>
        <w:t xml:space="preserve"> willing to participate in the experiment</w:t>
      </w:r>
      <w:r w:rsidR="00984B50" w:rsidRPr="00984B50">
        <w:rPr>
          <w:rFonts w:eastAsia="Times New Roman"/>
          <w:kern w:val="0"/>
          <w:szCs w:val="24"/>
          <w:lang w:val="en-GB" w:eastAsia="de-DE"/>
        </w:rPr>
        <w:t xml:space="preserve">. </w:t>
      </w:r>
    </w:p>
    <w:p w14:paraId="5944726C" w14:textId="77777777" w:rsidR="00741E5D" w:rsidRDefault="00741E5D" w:rsidP="00984B50">
      <w:pPr>
        <w:spacing w:before="80" w:after="80"/>
        <w:ind w:left="-284"/>
        <w:jc w:val="both"/>
        <w:rPr>
          <w:rFonts w:eastAsia="Times New Roman"/>
          <w:kern w:val="0"/>
          <w:szCs w:val="24"/>
          <w:lang w:val="en-GB" w:eastAsia="de-DE"/>
        </w:rPr>
      </w:pPr>
    </w:p>
    <w:p w14:paraId="3B031723" w14:textId="47A7D39C" w:rsidR="00E35952" w:rsidRDefault="00B36F53" w:rsidP="00E35952">
      <w:pPr>
        <w:spacing w:before="80" w:after="80"/>
        <w:ind w:left="-284"/>
        <w:jc w:val="both"/>
        <w:rPr>
          <w:rFonts w:eastAsia="Times New Roman"/>
          <w:kern w:val="0"/>
          <w:szCs w:val="24"/>
          <w:lang w:val="en-GB" w:eastAsia="de-DE"/>
        </w:rPr>
      </w:pPr>
      <w:r w:rsidRPr="002260A6">
        <w:rPr>
          <w:b/>
          <w:color w:val="244061"/>
          <w:sz w:val="24"/>
          <w:szCs w:val="28"/>
          <w:lang w:val="en-GB"/>
        </w:rPr>
        <w:t xml:space="preserve">Taxation </w:t>
      </w:r>
      <w:r w:rsidR="0096646E" w:rsidRPr="002260A6">
        <w:rPr>
          <w:b/>
          <w:color w:val="244061"/>
          <w:sz w:val="24"/>
          <w:szCs w:val="28"/>
          <w:lang w:val="en-GB"/>
        </w:rPr>
        <w:t xml:space="preserve">of Services </w:t>
      </w:r>
      <w:r w:rsidR="00C555A0">
        <w:rPr>
          <w:b/>
          <w:color w:val="244061"/>
          <w:sz w:val="24"/>
          <w:szCs w:val="28"/>
          <w:lang w:val="en-GB"/>
        </w:rPr>
        <w:t xml:space="preserve">in case of </w:t>
      </w:r>
      <w:r w:rsidR="005F1A09">
        <w:rPr>
          <w:b/>
          <w:color w:val="244061"/>
          <w:sz w:val="24"/>
          <w:szCs w:val="28"/>
          <w:lang w:val="en-GB"/>
        </w:rPr>
        <w:t xml:space="preserve">indirect payment through </w:t>
      </w:r>
      <w:r w:rsidR="00C555A0">
        <w:rPr>
          <w:b/>
          <w:color w:val="244061"/>
          <w:sz w:val="24"/>
          <w:szCs w:val="28"/>
          <w:lang w:val="en-GB"/>
        </w:rPr>
        <w:t>EGI.eu</w:t>
      </w:r>
    </w:p>
    <w:p w14:paraId="0093227F" w14:textId="74E051F6" w:rsidR="00DB5CBA" w:rsidRDefault="00E35952" w:rsidP="003763DA">
      <w:pPr>
        <w:spacing w:before="80" w:after="80"/>
        <w:ind w:left="-284"/>
        <w:jc w:val="both"/>
        <w:rPr>
          <w:lang w:val="en-GB"/>
        </w:rPr>
      </w:pPr>
      <w:r>
        <w:rPr>
          <w:lang w:val="en-GB"/>
        </w:rPr>
        <w:t xml:space="preserve">In </w:t>
      </w:r>
      <w:r w:rsidR="00BE1E26">
        <w:rPr>
          <w:lang w:val="en-GB"/>
        </w:rPr>
        <w:t xml:space="preserve">the </w:t>
      </w:r>
      <w:r>
        <w:rPr>
          <w:lang w:val="en-GB"/>
        </w:rPr>
        <w:t xml:space="preserve">case of </w:t>
      </w:r>
      <w:r w:rsidR="00BE1E26">
        <w:rPr>
          <w:lang w:val="en-GB"/>
        </w:rPr>
        <w:t xml:space="preserve">the </w:t>
      </w:r>
      <w:r>
        <w:rPr>
          <w:lang w:val="en-GB"/>
        </w:rPr>
        <w:t>indirect payment model</w:t>
      </w:r>
      <w:r w:rsidR="00DB5CBA">
        <w:rPr>
          <w:lang w:val="en-GB"/>
        </w:rPr>
        <w:t xml:space="preserve">, </w:t>
      </w:r>
      <w:r w:rsidR="002415F0">
        <w:rPr>
          <w:lang w:val="en-GB"/>
        </w:rPr>
        <w:t xml:space="preserve">the </w:t>
      </w:r>
      <w:r>
        <w:rPr>
          <w:lang w:val="en-GB"/>
        </w:rPr>
        <w:t xml:space="preserve">main question that arises </w:t>
      </w:r>
      <w:r w:rsidR="002415F0">
        <w:rPr>
          <w:lang w:val="en-GB"/>
        </w:rPr>
        <w:t>is</w:t>
      </w:r>
      <w:r>
        <w:rPr>
          <w:lang w:val="en-GB"/>
        </w:rPr>
        <w:t xml:space="preserve"> how will EGI.eu as a broker </w:t>
      </w:r>
      <w:r w:rsidRPr="00A91E19">
        <w:rPr>
          <w:lang w:val="en-GB"/>
        </w:rPr>
        <w:t>reconcile the tax burdens across Europe?</w:t>
      </w:r>
    </w:p>
    <w:p w14:paraId="794B04F0" w14:textId="207C7E45" w:rsidR="00932B9B" w:rsidRDefault="00741E5D" w:rsidP="003A23C0">
      <w:pPr>
        <w:spacing w:before="80" w:after="80"/>
        <w:ind w:left="-284"/>
        <w:jc w:val="both"/>
        <w:rPr>
          <w:rFonts w:eastAsia="Times New Roman"/>
          <w:kern w:val="0"/>
          <w:szCs w:val="24"/>
          <w:lang w:val="en-GB" w:eastAsia="de-DE"/>
        </w:rPr>
      </w:pPr>
      <w:r>
        <w:rPr>
          <w:rFonts w:eastAsia="Times New Roman"/>
          <w:kern w:val="0"/>
          <w:szCs w:val="24"/>
          <w:lang w:val="en-GB" w:eastAsia="de-DE"/>
        </w:rPr>
        <w:t xml:space="preserve">According to the </w:t>
      </w:r>
      <w:r w:rsidR="00E35952">
        <w:rPr>
          <w:rFonts w:eastAsia="Times New Roman"/>
          <w:kern w:val="0"/>
          <w:szCs w:val="24"/>
          <w:lang w:val="en-GB" w:eastAsia="de-DE"/>
        </w:rPr>
        <w:t>EC</w:t>
      </w:r>
      <w:r w:rsidR="00E35952" w:rsidRPr="00E35952">
        <w:rPr>
          <w:rFonts w:eastAsia="Times New Roman"/>
          <w:kern w:val="0"/>
          <w:szCs w:val="24"/>
          <w:lang w:val="en-GB" w:eastAsia="de-DE"/>
        </w:rPr>
        <w:t> </w:t>
      </w:r>
      <w:r w:rsidR="00E35952" w:rsidRPr="00E35952">
        <w:rPr>
          <w:rFonts w:eastAsia="Times New Roman"/>
          <w:kern w:val="0"/>
          <w:szCs w:val="24"/>
          <w:lang w:val="en-GB" w:eastAsia="de-DE"/>
        </w:rPr>
        <w:fldChar w:fldCharType="begin"/>
      </w:r>
      <w:r w:rsidR="00E35952" w:rsidRPr="00E35952">
        <w:rPr>
          <w:rFonts w:eastAsia="Times New Roman"/>
          <w:kern w:val="0"/>
          <w:szCs w:val="24"/>
          <w:lang w:val="en-GB" w:eastAsia="de-DE"/>
        </w:rPr>
        <w:instrText xml:space="preserve"> HYPERLINK "http://eur-lex.europa.eu/LexUriServ/LexUriServ.do?uri=OJ:L:2008:044:0011:0022:EN:PDF" \t "_blank" </w:instrText>
      </w:r>
      <w:r w:rsidR="00E35952" w:rsidRPr="00E35952">
        <w:rPr>
          <w:rFonts w:eastAsia="Times New Roman"/>
          <w:kern w:val="0"/>
          <w:szCs w:val="24"/>
          <w:lang w:val="en-GB" w:eastAsia="de-DE"/>
        </w:rPr>
        <w:fldChar w:fldCharType="separate"/>
      </w:r>
      <w:r w:rsidR="00E35952" w:rsidRPr="00E35952">
        <w:rPr>
          <w:rFonts w:eastAsia="Times New Roman"/>
          <w:kern w:val="0"/>
          <w:szCs w:val="24"/>
          <w:lang w:val="en-GB" w:eastAsia="de-DE"/>
        </w:rPr>
        <w:t>Directive 2008/8/EC</w:t>
      </w:r>
      <w:r w:rsidR="00E35952" w:rsidRPr="00E35952">
        <w:rPr>
          <w:rFonts w:eastAsia="Times New Roman"/>
          <w:kern w:val="0"/>
          <w:szCs w:val="24"/>
          <w:lang w:val="en-GB" w:eastAsia="de-DE"/>
        </w:rPr>
        <w:fldChar w:fldCharType="end"/>
      </w:r>
      <w:r w:rsidR="00E35952">
        <w:rPr>
          <w:rStyle w:val="FootnoteReference"/>
          <w:rFonts w:eastAsia="Times New Roman"/>
          <w:kern w:val="0"/>
          <w:szCs w:val="24"/>
          <w:lang w:val="en-GB" w:eastAsia="de-DE"/>
        </w:rPr>
        <w:footnoteReference w:id="2"/>
      </w:r>
      <w:r w:rsidR="00E35952">
        <w:rPr>
          <w:rFonts w:eastAsia="Times New Roman"/>
          <w:kern w:val="0"/>
          <w:szCs w:val="24"/>
          <w:lang w:val="en-GB" w:eastAsia="de-DE"/>
        </w:rPr>
        <w:t>, t</w:t>
      </w:r>
      <w:r w:rsidR="0096646E" w:rsidRPr="0096646E">
        <w:rPr>
          <w:rFonts w:eastAsia="Times New Roman"/>
          <w:kern w:val="0"/>
          <w:szCs w:val="24"/>
          <w:lang w:val="en-GB" w:eastAsia="de-DE"/>
        </w:rPr>
        <w:t xml:space="preserve">he place of taxation is determined by where the services are supplied. This depends not only on the nature of the </w:t>
      </w:r>
      <w:r w:rsidR="0096646E" w:rsidRPr="0096646E">
        <w:rPr>
          <w:rFonts w:eastAsia="Times New Roman"/>
          <w:kern w:val="0"/>
          <w:szCs w:val="24"/>
          <w:lang w:val="en-GB" w:eastAsia="de-DE"/>
        </w:rPr>
        <w:lastRenderedPageBreak/>
        <w:t xml:space="preserve">service supplied but also on the status of the customer receiving the service. A distinction </w:t>
      </w:r>
      <w:r w:rsidR="002415F0">
        <w:rPr>
          <w:rFonts w:eastAsia="Times New Roman"/>
          <w:kern w:val="0"/>
          <w:szCs w:val="24"/>
          <w:lang w:val="en-GB" w:eastAsia="de-DE"/>
        </w:rPr>
        <w:t>should</w:t>
      </w:r>
      <w:r w:rsidR="002415F0" w:rsidRPr="0096646E">
        <w:rPr>
          <w:rFonts w:eastAsia="Times New Roman"/>
          <w:kern w:val="0"/>
          <w:szCs w:val="24"/>
          <w:lang w:val="en-GB" w:eastAsia="de-DE"/>
        </w:rPr>
        <w:t xml:space="preserve"> </w:t>
      </w:r>
      <w:r w:rsidR="0096646E" w:rsidRPr="0096646E">
        <w:rPr>
          <w:rFonts w:eastAsia="Times New Roman"/>
          <w:kern w:val="0"/>
          <w:szCs w:val="24"/>
          <w:lang w:val="en-GB" w:eastAsia="de-DE"/>
        </w:rPr>
        <w:t xml:space="preserve">be made between a taxable person </w:t>
      </w:r>
      <w:r w:rsidR="00831BF0">
        <w:rPr>
          <w:rFonts w:eastAsia="Times New Roman"/>
          <w:kern w:val="0"/>
          <w:szCs w:val="24"/>
          <w:lang w:val="en-GB" w:eastAsia="de-DE"/>
        </w:rPr>
        <w:t>(i.e</w:t>
      </w:r>
      <w:r w:rsidR="00913979">
        <w:rPr>
          <w:rFonts w:eastAsia="Times New Roman"/>
          <w:kern w:val="0"/>
          <w:szCs w:val="24"/>
          <w:lang w:val="en-GB" w:eastAsia="de-DE"/>
        </w:rPr>
        <w:t>.</w:t>
      </w:r>
      <w:r w:rsidR="00831BF0">
        <w:rPr>
          <w:rFonts w:eastAsia="Times New Roman"/>
          <w:kern w:val="0"/>
          <w:szCs w:val="24"/>
          <w:lang w:val="en-GB" w:eastAsia="de-DE"/>
        </w:rPr>
        <w:t xml:space="preserve">, VAT-registered business) </w:t>
      </w:r>
      <w:r w:rsidR="0096646E" w:rsidRPr="0096646E">
        <w:rPr>
          <w:rFonts w:eastAsia="Times New Roman"/>
          <w:kern w:val="0"/>
          <w:szCs w:val="24"/>
          <w:lang w:val="en-GB" w:eastAsia="de-DE"/>
        </w:rPr>
        <w:t>and a non-taxable person (a private indivi</w:t>
      </w:r>
      <w:r w:rsidR="0096646E">
        <w:rPr>
          <w:rFonts w:eastAsia="Times New Roman"/>
          <w:kern w:val="0"/>
          <w:szCs w:val="24"/>
          <w:lang w:val="en-GB" w:eastAsia="de-DE"/>
        </w:rPr>
        <w:t xml:space="preserve">dual who is the final consumer). </w:t>
      </w:r>
      <w:r w:rsidR="00D0300F">
        <w:rPr>
          <w:rFonts w:eastAsia="Times New Roman"/>
          <w:kern w:val="0"/>
          <w:szCs w:val="24"/>
          <w:lang w:val="en-GB" w:eastAsia="de-DE"/>
        </w:rPr>
        <w:t xml:space="preserve">The place </w:t>
      </w:r>
      <w:r w:rsidR="00D0300F" w:rsidRPr="0096646E">
        <w:rPr>
          <w:rFonts w:eastAsia="Times New Roman"/>
          <w:kern w:val="0"/>
          <w:szCs w:val="24"/>
          <w:lang w:val="en-GB" w:eastAsia="de-DE"/>
        </w:rPr>
        <w:t xml:space="preserve">where the services are supplied </w:t>
      </w:r>
      <w:r w:rsidR="00D0300F">
        <w:rPr>
          <w:rFonts w:eastAsia="Times New Roman"/>
          <w:kern w:val="0"/>
          <w:szCs w:val="24"/>
          <w:lang w:val="en-GB" w:eastAsia="de-DE"/>
        </w:rPr>
        <w:t xml:space="preserve">can </w:t>
      </w:r>
      <w:r w:rsidR="00D0300F" w:rsidRPr="0096646E">
        <w:rPr>
          <w:rFonts w:eastAsia="Times New Roman"/>
          <w:kern w:val="0"/>
          <w:szCs w:val="24"/>
          <w:lang w:val="en-GB" w:eastAsia="de-DE"/>
        </w:rPr>
        <w:t>be correctly determined</w:t>
      </w:r>
      <w:r w:rsidR="00D0300F">
        <w:rPr>
          <w:rFonts w:eastAsia="Times New Roman"/>
          <w:kern w:val="0"/>
          <w:szCs w:val="24"/>
          <w:lang w:val="en-GB" w:eastAsia="de-DE"/>
        </w:rPr>
        <w:t xml:space="preserve"> o</w:t>
      </w:r>
      <w:r w:rsidR="0096646E" w:rsidRPr="0096646E">
        <w:rPr>
          <w:rFonts w:eastAsia="Times New Roman"/>
          <w:kern w:val="0"/>
          <w:szCs w:val="24"/>
          <w:lang w:val="en-GB" w:eastAsia="de-DE"/>
        </w:rPr>
        <w:t xml:space="preserve">nly </w:t>
      </w:r>
      <w:r w:rsidR="005246F6">
        <w:rPr>
          <w:rFonts w:eastAsia="Times New Roman"/>
          <w:kern w:val="0"/>
          <w:szCs w:val="24"/>
          <w:lang w:val="en-GB" w:eastAsia="de-DE"/>
        </w:rPr>
        <w:t xml:space="preserve">when </w:t>
      </w:r>
      <w:r w:rsidR="0096646E" w:rsidRPr="0096646E">
        <w:rPr>
          <w:rFonts w:eastAsia="Times New Roman"/>
          <w:kern w:val="0"/>
          <w:szCs w:val="24"/>
          <w:lang w:val="en-GB" w:eastAsia="de-DE"/>
        </w:rPr>
        <w:t xml:space="preserve">the status of the customer </w:t>
      </w:r>
      <w:r w:rsidR="000703BE">
        <w:rPr>
          <w:rFonts w:eastAsia="Times New Roman"/>
          <w:kern w:val="0"/>
          <w:szCs w:val="24"/>
          <w:lang w:val="en-GB" w:eastAsia="de-DE"/>
        </w:rPr>
        <w:t>is</w:t>
      </w:r>
      <w:r w:rsidR="000703BE" w:rsidRPr="0096646E">
        <w:rPr>
          <w:rFonts w:eastAsia="Times New Roman"/>
          <w:kern w:val="0"/>
          <w:szCs w:val="24"/>
          <w:lang w:val="en-GB" w:eastAsia="de-DE"/>
        </w:rPr>
        <w:t xml:space="preserve"> </w:t>
      </w:r>
      <w:r w:rsidR="0096646E" w:rsidRPr="0096646E">
        <w:rPr>
          <w:rFonts w:eastAsia="Times New Roman"/>
          <w:kern w:val="0"/>
          <w:szCs w:val="24"/>
          <w:lang w:val="en-GB" w:eastAsia="de-DE"/>
        </w:rPr>
        <w:t>known.</w:t>
      </w:r>
      <w:r w:rsidR="0070176F">
        <w:rPr>
          <w:rFonts w:eastAsia="Times New Roman"/>
          <w:kern w:val="0"/>
          <w:szCs w:val="24"/>
          <w:lang w:val="en-GB" w:eastAsia="de-DE"/>
        </w:rPr>
        <w:t xml:space="preserve"> </w:t>
      </w:r>
      <w:r w:rsidR="0096646E" w:rsidRPr="0096646E">
        <w:rPr>
          <w:rFonts w:eastAsia="Times New Roman"/>
          <w:kern w:val="0"/>
          <w:szCs w:val="24"/>
          <w:lang w:val="en-GB" w:eastAsia="de-DE"/>
        </w:rPr>
        <w:t>The supply of services between businesses (B2B services) is in principle taxed at the customer's place of establishment, while services supplied to private individuals (B2C services) are taxed at the supplier's place of establishment</w:t>
      </w:r>
      <w:r w:rsidR="0070176F" w:rsidRPr="003F73CD">
        <w:rPr>
          <w:vertAlign w:val="superscript"/>
        </w:rPr>
        <w:footnoteReference w:id="3"/>
      </w:r>
      <w:r w:rsidR="003F73CD">
        <w:rPr>
          <w:rFonts w:eastAsia="Times New Roman"/>
          <w:kern w:val="0"/>
          <w:szCs w:val="24"/>
          <w:lang w:val="en-GB" w:eastAsia="de-DE"/>
        </w:rPr>
        <w:t>.</w:t>
      </w:r>
      <w:r w:rsidR="0069509D" w:rsidRPr="00DB7EF0">
        <w:rPr>
          <w:rFonts w:eastAsia="Times New Roman"/>
          <w:kern w:val="0"/>
          <w:szCs w:val="24"/>
          <w:lang w:val="en-GB" w:eastAsia="de-DE"/>
        </w:rPr>
        <w:t xml:space="preserve"> </w:t>
      </w:r>
    </w:p>
    <w:p w14:paraId="509F6428" w14:textId="0F9AB9A7" w:rsidR="0067246B" w:rsidRDefault="00932B9B" w:rsidP="003A23C0">
      <w:pPr>
        <w:spacing w:before="80" w:after="80"/>
        <w:ind w:left="-284"/>
        <w:jc w:val="both"/>
        <w:rPr>
          <w:rFonts w:eastAsia="Times New Roman"/>
          <w:kern w:val="0"/>
          <w:szCs w:val="24"/>
          <w:lang w:val="en-GB" w:eastAsia="de-DE"/>
        </w:rPr>
      </w:pPr>
      <w:r>
        <w:rPr>
          <w:rFonts w:eastAsia="Times New Roman"/>
          <w:kern w:val="0"/>
          <w:szCs w:val="24"/>
          <w:lang w:val="en-GB" w:eastAsia="de-DE"/>
        </w:rPr>
        <w:t xml:space="preserve">From </w:t>
      </w:r>
      <w:r w:rsidR="003A23C0" w:rsidRPr="003A23C0">
        <w:rPr>
          <w:rFonts w:eastAsia="Times New Roman"/>
          <w:kern w:val="0"/>
          <w:szCs w:val="24"/>
          <w:lang w:val="en-GB" w:eastAsia="de-DE"/>
        </w:rPr>
        <w:t>1 January 2015</w:t>
      </w:r>
      <w:r>
        <w:rPr>
          <w:rFonts w:eastAsia="Times New Roman"/>
          <w:kern w:val="0"/>
          <w:szCs w:val="24"/>
          <w:lang w:val="en-GB" w:eastAsia="de-DE"/>
        </w:rPr>
        <w:t>,</w:t>
      </w:r>
      <w:r w:rsidR="003A23C0" w:rsidRPr="003A23C0">
        <w:rPr>
          <w:rFonts w:eastAsia="Times New Roman"/>
          <w:kern w:val="0"/>
          <w:szCs w:val="24"/>
          <w:lang w:val="en-GB" w:eastAsia="de-DE"/>
        </w:rPr>
        <w:t xml:space="preserve"> B2C telecommunications, broadcasting and electronically supplied services will be taxed at the place where the private customer is established, has his permanent address or usually resi</w:t>
      </w:r>
      <w:r w:rsidR="003A23C0">
        <w:rPr>
          <w:rFonts w:eastAsia="Times New Roman"/>
          <w:kern w:val="0"/>
          <w:szCs w:val="24"/>
          <w:lang w:val="en-GB" w:eastAsia="de-DE"/>
        </w:rPr>
        <w:t>des. For example</w:t>
      </w:r>
      <w:r w:rsidR="007F79EF">
        <w:rPr>
          <w:rFonts w:eastAsia="Times New Roman"/>
          <w:kern w:val="0"/>
          <w:szCs w:val="24"/>
          <w:lang w:val="en-GB" w:eastAsia="de-DE"/>
        </w:rPr>
        <w:t>, w</w:t>
      </w:r>
      <w:r w:rsidR="003A23C0" w:rsidRPr="003A23C0">
        <w:rPr>
          <w:rFonts w:eastAsia="Times New Roman"/>
          <w:kern w:val="0"/>
          <w:szCs w:val="24"/>
          <w:lang w:val="en-GB" w:eastAsia="de-DE"/>
        </w:rPr>
        <w:t>hen webhosting is supplied to a private customer living in Lisbon, Portuguese VAT must be charged irrespective of whether the supplier is established in Portugal, in another EU Member State or outside the EU.</w:t>
      </w:r>
      <w:r w:rsidR="006F7567">
        <w:rPr>
          <w:rStyle w:val="FootnoteReference"/>
          <w:rFonts w:eastAsia="Times New Roman"/>
          <w:kern w:val="0"/>
          <w:szCs w:val="24"/>
          <w:lang w:val="en-GB" w:eastAsia="de-DE"/>
        </w:rPr>
        <w:footnoteReference w:id="4"/>
      </w:r>
    </w:p>
    <w:p w14:paraId="0DD243FA" w14:textId="7EE115AC" w:rsidR="0067246B" w:rsidRDefault="00384A32" w:rsidP="00DC19CC">
      <w:pPr>
        <w:spacing w:before="60" w:after="60"/>
        <w:ind w:left="-284"/>
        <w:jc w:val="both"/>
        <w:rPr>
          <w:rFonts w:eastAsia="Times New Roman"/>
          <w:kern w:val="0"/>
          <w:szCs w:val="24"/>
          <w:lang w:val="en-GB" w:eastAsia="de-DE"/>
        </w:rPr>
      </w:pPr>
      <w:r>
        <w:rPr>
          <w:rFonts w:eastAsia="Times New Roman"/>
          <w:kern w:val="0"/>
          <w:szCs w:val="24"/>
          <w:lang w:val="en-GB" w:eastAsia="de-DE"/>
        </w:rPr>
        <w:t>E</w:t>
      </w:r>
      <w:r w:rsidRPr="00384A32">
        <w:rPr>
          <w:rFonts w:eastAsia="Times New Roman"/>
          <w:kern w:val="0"/>
          <w:szCs w:val="24"/>
          <w:lang w:val="en-GB" w:eastAsia="de-DE"/>
        </w:rPr>
        <w:t xml:space="preserve">GI.eu is a not-for-profit foundation established under </w:t>
      </w:r>
      <w:r w:rsidR="00932B9B">
        <w:rPr>
          <w:rFonts w:eastAsia="Times New Roman"/>
          <w:kern w:val="0"/>
          <w:szCs w:val="24"/>
          <w:lang w:val="en-GB" w:eastAsia="de-DE"/>
        </w:rPr>
        <w:t xml:space="preserve">the </w:t>
      </w:r>
      <w:r w:rsidRPr="00384A32">
        <w:rPr>
          <w:rFonts w:eastAsia="Times New Roman"/>
          <w:kern w:val="0"/>
          <w:szCs w:val="24"/>
          <w:lang w:val="en-GB" w:eastAsia="de-DE"/>
        </w:rPr>
        <w:t>Dutch law</w:t>
      </w:r>
      <w:r>
        <w:rPr>
          <w:rFonts w:eastAsia="Times New Roman"/>
          <w:kern w:val="0"/>
          <w:szCs w:val="24"/>
          <w:lang w:val="en-GB" w:eastAsia="de-DE"/>
        </w:rPr>
        <w:t xml:space="preserve"> as a Stichting</w:t>
      </w:r>
      <w:r w:rsidR="0074430B">
        <w:rPr>
          <w:rFonts w:eastAsia="Times New Roman"/>
          <w:kern w:val="0"/>
          <w:szCs w:val="24"/>
          <w:lang w:val="en-GB" w:eastAsia="de-DE"/>
        </w:rPr>
        <w:t xml:space="preserve"> (</w:t>
      </w:r>
      <w:r w:rsidR="00757CE8">
        <w:rPr>
          <w:rFonts w:eastAsia="Times New Roman"/>
          <w:kern w:val="0"/>
          <w:szCs w:val="24"/>
          <w:lang w:val="en-GB" w:eastAsia="de-DE"/>
        </w:rPr>
        <w:t>Dutch Foundation)</w:t>
      </w:r>
      <w:r w:rsidR="003F73CD">
        <w:rPr>
          <w:rFonts w:eastAsia="Times New Roman"/>
          <w:kern w:val="0"/>
          <w:szCs w:val="24"/>
          <w:lang w:val="en-GB" w:eastAsia="de-DE"/>
        </w:rPr>
        <w:t>.</w:t>
      </w:r>
      <w:r w:rsidR="00841EEB">
        <w:rPr>
          <w:rFonts w:eastAsia="Times New Roman"/>
          <w:kern w:val="0"/>
          <w:szCs w:val="24"/>
          <w:lang w:val="en-GB" w:eastAsia="de-DE"/>
        </w:rPr>
        <w:t xml:space="preserve"> </w:t>
      </w:r>
      <w:r w:rsidR="003F73CD">
        <w:rPr>
          <w:rFonts w:eastAsia="Times New Roman"/>
          <w:kern w:val="0"/>
          <w:szCs w:val="24"/>
          <w:lang w:val="en-GB" w:eastAsia="de-DE"/>
        </w:rPr>
        <w:t>EGI.eu</w:t>
      </w:r>
      <w:r w:rsidR="002415F0">
        <w:rPr>
          <w:rFonts w:eastAsia="Times New Roman"/>
          <w:kern w:val="0"/>
          <w:szCs w:val="24"/>
          <w:lang w:val="en-GB" w:eastAsia="de-DE"/>
        </w:rPr>
        <w:t xml:space="preserve"> </w:t>
      </w:r>
      <w:r w:rsidR="003F73CD">
        <w:rPr>
          <w:rFonts w:eastAsia="Times New Roman"/>
          <w:kern w:val="0"/>
          <w:szCs w:val="24"/>
          <w:lang w:val="en-GB" w:eastAsia="de-DE"/>
        </w:rPr>
        <w:t xml:space="preserve">currently </w:t>
      </w:r>
      <w:r w:rsidR="00932B9B">
        <w:rPr>
          <w:rFonts w:eastAsia="Times New Roman"/>
          <w:kern w:val="0"/>
          <w:szCs w:val="24"/>
          <w:lang w:val="en-GB" w:eastAsia="de-DE"/>
        </w:rPr>
        <w:t>does not have a</w:t>
      </w:r>
      <w:r w:rsidR="002415F0">
        <w:rPr>
          <w:rFonts w:eastAsia="Times New Roman"/>
          <w:kern w:val="0"/>
          <w:szCs w:val="24"/>
          <w:lang w:val="en-GB" w:eastAsia="de-DE"/>
        </w:rPr>
        <w:t xml:space="preserve"> VAT number</w:t>
      </w:r>
      <w:r w:rsidR="003F73CD">
        <w:rPr>
          <w:rFonts w:eastAsia="Times New Roman"/>
          <w:kern w:val="0"/>
          <w:szCs w:val="24"/>
          <w:lang w:val="en-GB" w:eastAsia="de-DE"/>
        </w:rPr>
        <w:t xml:space="preserve">, </w:t>
      </w:r>
      <w:r w:rsidR="00932B9B">
        <w:rPr>
          <w:rFonts w:eastAsia="Times New Roman"/>
          <w:kern w:val="0"/>
          <w:szCs w:val="24"/>
          <w:lang w:val="en-GB" w:eastAsia="de-DE"/>
        </w:rPr>
        <w:t xml:space="preserve">but it could easily get it so to be able to </w:t>
      </w:r>
      <w:r w:rsidR="002415F0">
        <w:rPr>
          <w:rFonts w:eastAsia="Times New Roman"/>
          <w:kern w:val="0"/>
          <w:szCs w:val="24"/>
          <w:lang w:val="en-GB" w:eastAsia="de-DE"/>
        </w:rPr>
        <w:t xml:space="preserve">issue invoices. </w:t>
      </w:r>
    </w:p>
    <w:p w14:paraId="1FED5B50" w14:textId="4C5DBC4D" w:rsidR="00B86E88" w:rsidRDefault="000703BE" w:rsidP="004D1A1C">
      <w:pPr>
        <w:spacing w:before="60" w:after="60"/>
        <w:ind w:left="-284"/>
        <w:jc w:val="both"/>
        <w:rPr>
          <w:rFonts w:eastAsia="Times New Roman"/>
          <w:kern w:val="0"/>
          <w:szCs w:val="24"/>
          <w:lang w:val="en-GB" w:eastAsia="de-DE"/>
        </w:rPr>
      </w:pPr>
      <w:r>
        <w:rPr>
          <w:rFonts w:eastAsia="Times New Roman"/>
          <w:kern w:val="0"/>
          <w:szCs w:val="24"/>
          <w:lang w:val="en-GB" w:eastAsia="de-DE"/>
        </w:rPr>
        <w:t xml:space="preserve">According to the Dutch law, </w:t>
      </w:r>
      <w:proofErr w:type="gramStart"/>
      <w:r w:rsidR="00BD364C">
        <w:rPr>
          <w:rFonts w:eastAsia="Times New Roman"/>
          <w:kern w:val="0"/>
          <w:szCs w:val="24"/>
          <w:lang w:val="en-GB" w:eastAsia="de-DE"/>
        </w:rPr>
        <w:t>If</w:t>
      </w:r>
      <w:proofErr w:type="gramEnd"/>
      <w:r w:rsidR="00BD364C">
        <w:rPr>
          <w:rFonts w:eastAsia="Times New Roman"/>
          <w:kern w:val="0"/>
          <w:szCs w:val="24"/>
          <w:lang w:val="en-GB" w:eastAsia="de-DE"/>
        </w:rPr>
        <w:t xml:space="preserve"> an</w:t>
      </w:r>
      <w:r w:rsidR="003157EB">
        <w:rPr>
          <w:rFonts w:eastAsia="Times New Roman"/>
          <w:kern w:val="0"/>
          <w:szCs w:val="24"/>
          <w:lang w:val="en-GB" w:eastAsia="de-DE"/>
        </w:rPr>
        <w:t xml:space="preserve"> organisation based in the Netherlands</w:t>
      </w:r>
      <w:r w:rsidR="00F57CD4" w:rsidRPr="00F57CD4">
        <w:rPr>
          <w:rFonts w:eastAsia="Times New Roman"/>
          <w:kern w:val="0"/>
          <w:szCs w:val="24"/>
          <w:lang w:val="en-GB" w:eastAsia="de-DE"/>
        </w:rPr>
        <w:t xml:space="preserve"> purchase services from other EU countries, </w:t>
      </w:r>
      <w:r w:rsidR="004D1A1C">
        <w:rPr>
          <w:rFonts w:eastAsia="Times New Roman"/>
          <w:kern w:val="0"/>
          <w:szCs w:val="24"/>
          <w:lang w:val="en-GB" w:eastAsia="de-DE"/>
        </w:rPr>
        <w:t>it</w:t>
      </w:r>
      <w:r w:rsidR="00F57CD4" w:rsidRPr="00F57CD4">
        <w:rPr>
          <w:rFonts w:eastAsia="Times New Roman"/>
          <w:kern w:val="0"/>
          <w:szCs w:val="24"/>
          <w:lang w:val="en-GB" w:eastAsia="de-DE"/>
        </w:rPr>
        <w:t xml:space="preserve"> will receive an invoice that </w:t>
      </w:r>
      <w:r w:rsidR="00C335AC">
        <w:rPr>
          <w:rFonts w:eastAsia="Times New Roman"/>
          <w:kern w:val="0"/>
          <w:szCs w:val="24"/>
          <w:lang w:val="en-GB" w:eastAsia="de-DE"/>
        </w:rPr>
        <w:t>states</w:t>
      </w:r>
      <w:r w:rsidR="00F57CD4" w:rsidRPr="00F57CD4">
        <w:rPr>
          <w:rFonts w:eastAsia="Times New Roman"/>
          <w:kern w:val="0"/>
          <w:szCs w:val="24"/>
          <w:lang w:val="en-GB" w:eastAsia="de-DE"/>
        </w:rPr>
        <w:t xml:space="preserve"> "VAT deferred". This means that </w:t>
      </w:r>
      <w:r w:rsidR="004D1A1C">
        <w:rPr>
          <w:rFonts w:eastAsia="Times New Roman"/>
          <w:kern w:val="0"/>
          <w:szCs w:val="24"/>
          <w:lang w:val="en-GB" w:eastAsia="de-DE"/>
        </w:rPr>
        <w:t xml:space="preserve">an organisation </w:t>
      </w:r>
      <w:r w:rsidR="00F57CD4" w:rsidRPr="00F57CD4">
        <w:rPr>
          <w:rFonts w:eastAsia="Times New Roman"/>
          <w:kern w:val="0"/>
          <w:szCs w:val="24"/>
          <w:lang w:val="en-GB" w:eastAsia="de-DE"/>
        </w:rPr>
        <w:t>should pay the VAT in the Netherlands. This, however, does not</w:t>
      </w:r>
      <w:r w:rsidR="005605E7">
        <w:rPr>
          <w:rFonts w:eastAsia="Times New Roman"/>
          <w:kern w:val="0"/>
          <w:szCs w:val="24"/>
          <w:lang w:val="en-GB" w:eastAsia="de-DE"/>
        </w:rPr>
        <w:t xml:space="preserve"> apply to s</w:t>
      </w:r>
      <w:r w:rsidR="00F57CD4">
        <w:rPr>
          <w:rFonts w:eastAsia="Times New Roman"/>
          <w:kern w:val="0"/>
          <w:szCs w:val="24"/>
          <w:lang w:val="en-GB" w:eastAsia="de-DE"/>
        </w:rPr>
        <w:t>ome services in the area of the sciences</w:t>
      </w:r>
      <w:r w:rsidR="00F57CD4" w:rsidRPr="00F57CD4">
        <w:rPr>
          <w:rFonts w:eastAsia="Times New Roman"/>
          <w:kern w:val="0"/>
          <w:szCs w:val="24"/>
          <w:lang w:val="en-GB" w:eastAsia="de-DE"/>
        </w:rPr>
        <w:t xml:space="preserve"> </w:t>
      </w:r>
      <w:r w:rsidR="00F57CD4">
        <w:rPr>
          <w:rFonts w:eastAsia="Times New Roman"/>
          <w:kern w:val="0"/>
          <w:szCs w:val="24"/>
          <w:lang w:val="en-GB" w:eastAsia="de-DE"/>
        </w:rPr>
        <w:t>and</w:t>
      </w:r>
      <w:r w:rsidR="00452DFF">
        <w:rPr>
          <w:rFonts w:eastAsia="Times New Roman"/>
          <w:kern w:val="0"/>
          <w:szCs w:val="24"/>
          <w:lang w:val="en-GB" w:eastAsia="de-DE"/>
        </w:rPr>
        <w:t xml:space="preserve"> education. </w:t>
      </w:r>
      <w:r w:rsidR="00F57CD4" w:rsidRPr="00F57CD4">
        <w:rPr>
          <w:rFonts w:eastAsia="Times New Roman"/>
          <w:kern w:val="0"/>
          <w:szCs w:val="24"/>
          <w:lang w:val="en-GB" w:eastAsia="de-DE"/>
        </w:rPr>
        <w:t xml:space="preserve">These services are taxed in the country of the </w:t>
      </w:r>
      <w:proofErr w:type="gramStart"/>
      <w:r w:rsidR="00F57CD4" w:rsidRPr="00F57CD4">
        <w:rPr>
          <w:rFonts w:eastAsia="Times New Roman"/>
          <w:kern w:val="0"/>
          <w:szCs w:val="24"/>
          <w:lang w:val="en-GB" w:eastAsia="de-DE"/>
        </w:rPr>
        <w:t>business</w:t>
      </w:r>
      <w:r w:rsidR="005F1A09">
        <w:rPr>
          <w:rFonts w:eastAsia="Times New Roman"/>
          <w:kern w:val="0"/>
          <w:szCs w:val="24"/>
          <w:lang w:val="en-GB" w:eastAsia="de-DE"/>
        </w:rPr>
        <w:t xml:space="preserve"> </w:t>
      </w:r>
      <w:r w:rsidR="00F57CD4" w:rsidRPr="00F57CD4">
        <w:rPr>
          <w:rFonts w:eastAsia="Times New Roman"/>
          <w:kern w:val="0"/>
          <w:szCs w:val="24"/>
          <w:lang w:val="en-GB" w:eastAsia="de-DE"/>
        </w:rPr>
        <w:t>person</w:t>
      </w:r>
      <w:proofErr w:type="gramEnd"/>
      <w:r w:rsidR="00F57CD4" w:rsidRPr="00F57CD4">
        <w:rPr>
          <w:rFonts w:eastAsia="Times New Roman"/>
          <w:kern w:val="0"/>
          <w:szCs w:val="24"/>
          <w:lang w:val="en-GB" w:eastAsia="de-DE"/>
        </w:rPr>
        <w:t xml:space="preserve"> who supplies the service. This </w:t>
      </w:r>
      <w:proofErr w:type="gramStart"/>
      <w:r w:rsidR="00F57CD4" w:rsidRPr="00F57CD4">
        <w:rPr>
          <w:rFonts w:eastAsia="Times New Roman"/>
          <w:kern w:val="0"/>
          <w:szCs w:val="24"/>
          <w:lang w:val="en-GB" w:eastAsia="de-DE"/>
        </w:rPr>
        <w:t>business</w:t>
      </w:r>
      <w:r w:rsidR="005F1A09">
        <w:rPr>
          <w:rFonts w:eastAsia="Times New Roman"/>
          <w:kern w:val="0"/>
          <w:szCs w:val="24"/>
          <w:lang w:val="en-GB" w:eastAsia="de-DE"/>
        </w:rPr>
        <w:t xml:space="preserve"> </w:t>
      </w:r>
      <w:r w:rsidR="00F57CD4" w:rsidRPr="00F57CD4">
        <w:rPr>
          <w:rFonts w:eastAsia="Times New Roman"/>
          <w:kern w:val="0"/>
          <w:szCs w:val="24"/>
          <w:lang w:val="en-GB" w:eastAsia="de-DE"/>
        </w:rPr>
        <w:t>person</w:t>
      </w:r>
      <w:proofErr w:type="gramEnd"/>
      <w:r w:rsidR="00F57CD4" w:rsidRPr="00F57CD4">
        <w:rPr>
          <w:rFonts w:eastAsia="Times New Roman"/>
          <w:kern w:val="0"/>
          <w:szCs w:val="24"/>
          <w:lang w:val="en-GB" w:eastAsia="de-DE"/>
        </w:rPr>
        <w:t xml:space="preserve"> will charge VAT. If </w:t>
      </w:r>
      <w:r w:rsidR="00B86E88">
        <w:rPr>
          <w:rFonts w:eastAsia="Times New Roman"/>
          <w:kern w:val="0"/>
          <w:szCs w:val="24"/>
          <w:lang w:val="en-GB" w:eastAsia="de-DE"/>
        </w:rPr>
        <w:t>the</w:t>
      </w:r>
      <w:r w:rsidR="00B86E88" w:rsidRPr="00F57CD4">
        <w:rPr>
          <w:rFonts w:eastAsia="Times New Roman"/>
          <w:kern w:val="0"/>
          <w:szCs w:val="24"/>
          <w:lang w:val="en-GB" w:eastAsia="de-DE"/>
        </w:rPr>
        <w:t xml:space="preserve"> </w:t>
      </w:r>
      <w:r w:rsidR="00B86E88">
        <w:rPr>
          <w:rFonts w:eastAsia="Times New Roman"/>
          <w:kern w:val="0"/>
          <w:szCs w:val="24"/>
          <w:lang w:val="en-GB" w:eastAsia="de-DE"/>
        </w:rPr>
        <w:t xml:space="preserve">services are </w:t>
      </w:r>
      <w:r w:rsidR="00F57CD4" w:rsidRPr="00F57CD4">
        <w:rPr>
          <w:rFonts w:eastAsia="Times New Roman"/>
          <w:kern w:val="0"/>
          <w:szCs w:val="24"/>
          <w:lang w:val="en-GB" w:eastAsia="de-DE"/>
        </w:rPr>
        <w:t>use</w:t>
      </w:r>
      <w:r w:rsidR="00B86E88">
        <w:rPr>
          <w:rFonts w:eastAsia="Times New Roman"/>
          <w:kern w:val="0"/>
          <w:szCs w:val="24"/>
          <w:lang w:val="en-GB" w:eastAsia="de-DE"/>
        </w:rPr>
        <w:t>d</w:t>
      </w:r>
      <w:r w:rsidR="00F57CD4" w:rsidRPr="00F57CD4">
        <w:rPr>
          <w:rFonts w:eastAsia="Times New Roman"/>
          <w:kern w:val="0"/>
          <w:szCs w:val="24"/>
          <w:lang w:val="en-GB" w:eastAsia="de-DE"/>
        </w:rPr>
        <w:t xml:space="preserve"> for </w:t>
      </w:r>
      <w:r w:rsidR="00B86E88">
        <w:rPr>
          <w:rFonts w:eastAsia="Times New Roman"/>
          <w:kern w:val="0"/>
          <w:szCs w:val="24"/>
          <w:lang w:val="en-GB" w:eastAsia="de-DE"/>
        </w:rPr>
        <w:t xml:space="preserve">commercial </w:t>
      </w:r>
      <w:r w:rsidR="00F57CD4" w:rsidRPr="00F57CD4">
        <w:rPr>
          <w:rFonts w:eastAsia="Times New Roman"/>
          <w:kern w:val="0"/>
          <w:szCs w:val="24"/>
          <w:lang w:val="en-GB" w:eastAsia="de-DE"/>
        </w:rPr>
        <w:t>activities</w:t>
      </w:r>
      <w:r w:rsidR="00B86E88">
        <w:rPr>
          <w:rFonts w:eastAsia="Times New Roman"/>
          <w:kern w:val="0"/>
          <w:szCs w:val="24"/>
          <w:lang w:val="en-GB" w:eastAsia="de-DE"/>
        </w:rPr>
        <w:t xml:space="preserve">, then they are </w:t>
      </w:r>
      <w:proofErr w:type="gramStart"/>
      <w:r w:rsidR="00B86E88">
        <w:rPr>
          <w:rFonts w:eastAsia="Times New Roman"/>
          <w:kern w:val="0"/>
          <w:szCs w:val="24"/>
          <w:lang w:val="en-GB" w:eastAsia="de-DE"/>
        </w:rPr>
        <w:t>V</w:t>
      </w:r>
      <w:r w:rsidR="00F57CD4" w:rsidRPr="00F57CD4">
        <w:rPr>
          <w:rFonts w:eastAsia="Times New Roman"/>
          <w:kern w:val="0"/>
          <w:szCs w:val="24"/>
          <w:lang w:val="en-GB" w:eastAsia="de-DE"/>
        </w:rPr>
        <w:t>AT</w:t>
      </w:r>
      <w:proofErr w:type="gramEnd"/>
      <w:r w:rsidR="00F57CD4" w:rsidRPr="00F57CD4">
        <w:rPr>
          <w:rFonts w:eastAsia="Times New Roman"/>
          <w:kern w:val="0"/>
          <w:szCs w:val="24"/>
          <w:lang w:val="en-GB" w:eastAsia="de-DE"/>
        </w:rPr>
        <w:t xml:space="preserve"> taxed</w:t>
      </w:r>
      <w:r w:rsidR="00B86E88">
        <w:rPr>
          <w:rFonts w:eastAsia="Times New Roman"/>
          <w:kern w:val="0"/>
          <w:szCs w:val="24"/>
          <w:lang w:val="en-GB" w:eastAsia="de-DE"/>
        </w:rPr>
        <w:t xml:space="preserve"> and the consuming</w:t>
      </w:r>
      <w:r w:rsidR="004D1A1C">
        <w:rPr>
          <w:rFonts w:eastAsia="Times New Roman"/>
          <w:kern w:val="0"/>
          <w:szCs w:val="24"/>
          <w:lang w:val="en-GB" w:eastAsia="de-DE"/>
        </w:rPr>
        <w:t xml:space="preserve"> organisation</w:t>
      </w:r>
      <w:r w:rsidR="004D1A1C" w:rsidRPr="00F57CD4">
        <w:rPr>
          <w:rFonts w:eastAsia="Times New Roman"/>
          <w:kern w:val="0"/>
          <w:szCs w:val="24"/>
          <w:lang w:val="en-GB" w:eastAsia="de-DE"/>
        </w:rPr>
        <w:t xml:space="preserve"> </w:t>
      </w:r>
      <w:r w:rsidR="00F57CD4" w:rsidRPr="00F57CD4">
        <w:rPr>
          <w:rFonts w:eastAsia="Times New Roman"/>
          <w:kern w:val="0"/>
          <w:szCs w:val="24"/>
          <w:lang w:val="en-GB" w:eastAsia="de-DE"/>
        </w:rPr>
        <w:t>can request for a VAT refund in the Netherlands.</w:t>
      </w:r>
      <w:r w:rsidR="006B1DDD">
        <w:rPr>
          <w:rStyle w:val="FootnoteReference"/>
          <w:rFonts w:eastAsia="Times New Roman"/>
          <w:kern w:val="0"/>
          <w:szCs w:val="24"/>
          <w:lang w:val="en-GB" w:eastAsia="de-DE"/>
        </w:rPr>
        <w:footnoteReference w:id="5"/>
      </w:r>
      <w:r w:rsidRPr="000703BE">
        <w:rPr>
          <w:rFonts w:eastAsia="Times New Roman"/>
          <w:kern w:val="0"/>
          <w:szCs w:val="24"/>
          <w:lang w:val="en-GB" w:eastAsia="de-DE"/>
        </w:rPr>
        <w:t xml:space="preserve"> </w:t>
      </w:r>
    </w:p>
    <w:p w14:paraId="664ACF06" w14:textId="6FD4C664" w:rsidR="004401B5" w:rsidRDefault="000703BE" w:rsidP="004D1A1C">
      <w:pPr>
        <w:spacing w:before="60" w:after="60"/>
        <w:ind w:left="-284"/>
        <w:jc w:val="both"/>
        <w:rPr>
          <w:rFonts w:eastAsia="Times New Roman"/>
          <w:kern w:val="0"/>
          <w:szCs w:val="24"/>
          <w:lang w:val="en-GB" w:eastAsia="de-DE"/>
        </w:rPr>
      </w:pPr>
      <w:r>
        <w:rPr>
          <w:rFonts w:eastAsia="Times New Roman"/>
          <w:kern w:val="0"/>
          <w:szCs w:val="24"/>
          <w:lang w:val="en-GB" w:eastAsia="de-DE"/>
        </w:rPr>
        <w:t xml:space="preserve">If EGI.eu becomes an ERIC, it can </w:t>
      </w:r>
      <w:r w:rsidRPr="00452DFF">
        <w:rPr>
          <w:rFonts w:eastAsia="Times New Roman"/>
          <w:kern w:val="0"/>
          <w:szCs w:val="24"/>
          <w:lang w:val="en-GB" w:eastAsia="de-DE"/>
        </w:rPr>
        <w:t xml:space="preserve">potentially </w:t>
      </w:r>
      <w:r>
        <w:rPr>
          <w:rFonts w:eastAsia="Times New Roman"/>
          <w:kern w:val="0"/>
          <w:szCs w:val="24"/>
          <w:lang w:val="en-GB" w:eastAsia="de-DE"/>
        </w:rPr>
        <w:t xml:space="preserve">negotiate </w:t>
      </w:r>
      <w:r w:rsidRPr="00452DFF">
        <w:rPr>
          <w:rFonts w:eastAsia="Times New Roman"/>
          <w:kern w:val="0"/>
          <w:szCs w:val="24"/>
          <w:lang w:val="en-GB" w:eastAsia="de-DE"/>
        </w:rPr>
        <w:t>VAT exempt</w:t>
      </w:r>
      <w:r>
        <w:rPr>
          <w:rFonts w:eastAsia="Times New Roman"/>
          <w:kern w:val="0"/>
          <w:szCs w:val="24"/>
          <w:lang w:val="en-GB" w:eastAsia="de-DE"/>
        </w:rPr>
        <w:t>ion</w:t>
      </w:r>
      <w:r w:rsidRPr="00452DFF">
        <w:rPr>
          <w:rFonts w:eastAsia="Times New Roman"/>
          <w:kern w:val="0"/>
          <w:szCs w:val="24"/>
          <w:lang w:val="en-GB" w:eastAsia="de-DE"/>
        </w:rPr>
        <w:t xml:space="preserve"> with the host government and establish </w:t>
      </w:r>
      <w:r>
        <w:rPr>
          <w:rFonts w:eastAsia="Times New Roman"/>
          <w:kern w:val="0"/>
          <w:szCs w:val="24"/>
          <w:lang w:val="en-GB" w:eastAsia="de-DE"/>
        </w:rPr>
        <w:t xml:space="preserve">a </w:t>
      </w:r>
      <w:r w:rsidRPr="00452DFF">
        <w:rPr>
          <w:rFonts w:eastAsia="Times New Roman"/>
          <w:kern w:val="0"/>
          <w:szCs w:val="24"/>
          <w:lang w:val="en-GB" w:eastAsia="de-DE"/>
        </w:rPr>
        <w:t>central tax-free purchasing mechanism. However, any tax benefit would be dependent on the exemption given by the host country</w:t>
      </w:r>
      <w:r w:rsidRPr="00452DFF">
        <w:rPr>
          <w:rStyle w:val="FootnoteReference"/>
          <w:rFonts w:eastAsia="Times New Roman"/>
          <w:kern w:val="0"/>
          <w:szCs w:val="24"/>
          <w:lang w:val="en-GB" w:eastAsia="de-DE"/>
        </w:rPr>
        <w:t xml:space="preserve"> </w:t>
      </w:r>
      <w:r>
        <w:rPr>
          <w:rFonts w:eastAsia="Times New Roman"/>
          <w:kern w:val="0"/>
          <w:szCs w:val="24"/>
          <w:lang w:val="en-GB" w:eastAsia="de-DE"/>
        </w:rPr>
        <w:t>not by default</w:t>
      </w:r>
      <w:r w:rsidRPr="00452DFF">
        <w:rPr>
          <w:rFonts w:eastAsia="Times New Roman"/>
          <w:kern w:val="0"/>
          <w:szCs w:val="24"/>
          <w:lang w:val="en-GB" w:eastAsia="de-DE"/>
        </w:rPr>
        <w:t>.</w:t>
      </w:r>
      <w:r w:rsidRPr="00452DFF">
        <w:rPr>
          <w:rStyle w:val="FootnoteReference"/>
          <w:rFonts w:eastAsia="Times New Roman"/>
          <w:kern w:val="0"/>
          <w:szCs w:val="24"/>
          <w:lang w:val="en-GB" w:eastAsia="de-DE"/>
        </w:rPr>
        <w:footnoteReference w:id="6"/>
      </w:r>
    </w:p>
    <w:p w14:paraId="171C8AD1" w14:textId="77777777" w:rsidR="002C30F6" w:rsidRDefault="002C30F6" w:rsidP="00B86E88">
      <w:pPr>
        <w:spacing w:before="80" w:after="80"/>
        <w:ind w:left="-284"/>
        <w:jc w:val="both"/>
        <w:rPr>
          <w:b/>
          <w:color w:val="244061"/>
          <w:sz w:val="24"/>
          <w:szCs w:val="28"/>
          <w:lang w:val="en-GB"/>
        </w:rPr>
      </w:pPr>
    </w:p>
    <w:p w14:paraId="3D063052" w14:textId="77777777" w:rsidR="002C30F6" w:rsidRDefault="002C30F6" w:rsidP="00B86E88">
      <w:pPr>
        <w:spacing w:before="80" w:after="80"/>
        <w:ind w:left="-284"/>
        <w:jc w:val="both"/>
        <w:rPr>
          <w:b/>
          <w:color w:val="244061"/>
          <w:sz w:val="24"/>
          <w:szCs w:val="28"/>
          <w:lang w:val="en-GB"/>
        </w:rPr>
      </w:pPr>
    </w:p>
    <w:p w14:paraId="085E37AD" w14:textId="5CEF9E7E" w:rsidR="00840375" w:rsidRDefault="00B86E88" w:rsidP="00B86E88">
      <w:pPr>
        <w:spacing w:before="80" w:after="80"/>
        <w:ind w:left="-284"/>
        <w:jc w:val="both"/>
        <w:rPr>
          <w:rFonts w:eastAsia="Times New Roman"/>
          <w:kern w:val="0"/>
          <w:szCs w:val="24"/>
          <w:lang w:val="en-GB" w:eastAsia="de-DE"/>
        </w:rPr>
      </w:pPr>
      <w:r>
        <w:rPr>
          <w:b/>
          <w:color w:val="244061"/>
          <w:sz w:val="24"/>
          <w:szCs w:val="28"/>
          <w:lang w:val="en-GB"/>
        </w:rPr>
        <w:lastRenderedPageBreak/>
        <w:t>Electronically supplied services from n</w:t>
      </w:r>
      <w:r w:rsidR="00840375">
        <w:rPr>
          <w:b/>
          <w:color w:val="244061"/>
          <w:sz w:val="24"/>
          <w:szCs w:val="28"/>
          <w:lang w:val="en-GB"/>
        </w:rPr>
        <w:t>on-EU Organisations and VAT</w:t>
      </w:r>
    </w:p>
    <w:p w14:paraId="218A8E70" w14:textId="3968AB42" w:rsidR="00840375" w:rsidRPr="00626168" w:rsidRDefault="00840375" w:rsidP="00840375">
      <w:pPr>
        <w:spacing w:before="60" w:after="60"/>
        <w:ind w:left="-284"/>
        <w:jc w:val="both"/>
        <w:rPr>
          <w:rFonts w:eastAsia="Times New Roman"/>
          <w:kern w:val="0"/>
          <w:szCs w:val="24"/>
          <w:lang w:val="en-GB" w:eastAsia="de-DE"/>
        </w:rPr>
      </w:pPr>
      <w:r>
        <w:rPr>
          <w:rFonts w:eastAsia="Times New Roman"/>
          <w:kern w:val="0"/>
          <w:szCs w:val="24"/>
          <w:lang w:val="en-GB" w:eastAsia="de-DE"/>
        </w:rPr>
        <w:t>All n</w:t>
      </w:r>
      <w:r>
        <w:t xml:space="preserve">on-EU </w:t>
      </w:r>
      <w:proofErr w:type="spellStart"/>
      <w:r>
        <w:t>organisations</w:t>
      </w:r>
      <w:proofErr w:type="spellEnd"/>
      <w:r>
        <w:t xml:space="preserve"> </w:t>
      </w:r>
      <w:r w:rsidR="00B86E88">
        <w:t xml:space="preserve">providing electrically supplied services </w:t>
      </w:r>
      <w:r>
        <w:t>need to be</w:t>
      </w:r>
      <w:r w:rsidRPr="00F47623">
        <w:t xml:space="preserve"> registered for EU VAT under the Electronically Supplied Services (ESS) simplified VAT registration regime</w:t>
      </w:r>
      <w:r>
        <w:t xml:space="preserve"> to do business in EU</w:t>
      </w:r>
      <w:r w:rsidRPr="00F47623">
        <w:t>.</w:t>
      </w:r>
      <w:r w:rsidRPr="002B0CAB">
        <w:t xml:space="preserve"> </w:t>
      </w:r>
      <w:r>
        <w:t>For example, Amazon Web Services (AWS), charges as a requirement VAT</w:t>
      </w:r>
      <w:r w:rsidRPr="006C301C">
        <w:t xml:space="preserve"> on sales of </w:t>
      </w:r>
      <w:r>
        <w:t>their s</w:t>
      </w:r>
      <w:r w:rsidRPr="006C301C">
        <w:t xml:space="preserve">ervices to private (non-business) </w:t>
      </w:r>
      <w:r>
        <w:t>EU</w:t>
      </w:r>
      <w:r w:rsidRPr="006C301C">
        <w:t xml:space="preserve"> customers.</w:t>
      </w:r>
      <w:r>
        <w:t xml:space="preserve"> </w:t>
      </w:r>
      <w:r w:rsidRPr="00F47623">
        <w:t xml:space="preserve">All VAT collected from customers in the </w:t>
      </w:r>
      <w:r>
        <w:t>EU</w:t>
      </w:r>
      <w:r w:rsidRPr="00F47623">
        <w:t xml:space="preserve"> will be paid to the tax authority of the appropriate EU member state. </w:t>
      </w:r>
      <w:r>
        <w:t xml:space="preserve">However, AWS </w:t>
      </w:r>
      <w:r w:rsidRPr="00F53B23">
        <w:t>is not required to charge VAT to European U</w:t>
      </w:r>
      <w:r>
        <w:t xml:space="preserve">nion business customers. In order not to get charged, </w:t>
      </w:r>
      <w:r w:rsidRPr="00F53B23">
        <w:t xml:space="preserve">EU </w:t>
      </w:r>
      <w:r>
        <w:t xml:space="preserve">business consuming AWS should get </w:t>
      </w:r>
      <w:r w:rsidRPr="00F53B23">
        <w:t>a valid EU VAT registrati</w:t>
      </w:r>
      <w:r>
        <w:t xml:space="preserve">on number issued </w:t>
      </w:r>
      <w:r w:rsidRPr="00F53B23">
        <w:t>by one of the EU member states</w:t>
      </w:r>
      <w:r>
        <w:t xml:space="preserve">. </w:t>
      </w:r>
      <w:r w:rsidRPr="00B90DF9">
        <w:t xml:space="preserve">Upon verification of the VAT number </w:t>
      </w:r>
      <w:r>
        <w:t xml:space="preserve">Amazon will exempt business </w:t>
      </w:r>
      <w:r w:rsidRPr="00B90DF9">
        <w:t>account from VAT on future p</w:t>
      </w:r>
      <w:r>
        <w:t xml:space="preserve">urchases of AWS. </w:t>
      </w:r>
    </w:p>
    <w:p w14:paraId="66F41DF9" w14:textId="77777777" w:rsidR="004401B5" w:rsidRDefault="004401B5" w:rsidP="00F24055">
      <w:pPr>
        <w:spacing w:before="60" w:after="60"/>
        <w:ind w:left="-284"/>
        <w:jc w:val="both"/>
        <w:rPr>
          <w:rFonts w:eastAsia="Times New Roman"/>
          <w:kern w:val="0"/>
          <w:sz w:val="14"/>
          <w:szCs w:val="24"/>
          <w:lang w:val="en-GB" w:eastAsia="de-DE"/>
        </w:rPr>
      </w:pPr>
    </w:p>
    <w:p w14:paraId="2AA75C91" w14:textId="7DA48342" w:rsidR="00D12A60" w:rsidRDefault="00D12A60" w:rsidP="00D12A60">
      <w:pPr>
        <w:spacing w:before="80" w:after="80"/>
        <w:ind w:left="-284"/>
        <w:jc w:val="both"/>
        <w:rPr>
          <w:b/>
          <w:color w:val="244061"/>
          <w:sz w:val="24"/>
          <w:szCs w:val="28"/>
          <w:lang w:val="en-GB"/>
        </w:rPr>
      </w:pPr>
      <w:r>
        <w:rPr>
          <w:b/>
          <w:color w:val="244061"/>
          <w:sz w:val="24"/>
          <w:szCs w:val="28"/>
          <w:lang w:val="en-GB"/>
        </w:rPr>
        <w:t xml:space="preserve">Legal </w:t>
      </w:r>
      <w:r w:rsidR="004401B5">
        <w:rPr>
          <w:b/>
          <w:color w:val="244061"/>
          <w:sz w:val="24"/>
          <w:szCs w:val="28"/>
          <w:lang w:val="en-GB"/>
        </w:rPr>
        <w:t>Considerations</w:t>
      </w:r>
    </w:p>
    <w:p w14:paraId="4F2913D0" w14:textId="4907B9AD" w:rsidR="00A64771" w:rsidRPr="00657DAA" w:rsidRDefault="00A64771" w:rsidP="00657DAA">
      <w:pPr>
        <w:spacing w:before="60" w:after="60"/>
        <w:ind w:left="-284"/>
        <w:jc w:val="both"/>
        <w:rPr>
          <w:rFonts w:eastAsia="Times New Roman"/>
          <w:kern w:val="0"/>
          <w:szCs w:val="24"/>
          <w:lang w:val="en-GB" w:eastAsia="de-DE"/>
        </w:rPr>
      </w:pPr>
      <w:r w:rsidRPr="00657DAA">
        <w:rPr>
          <w:rFonts w:eastAsia="Times New Roman"/>
          <w:kern w:val="0"/>
          <w:szCs w:val="24"/>
          <w:lang w:val="en-GB" w:eastAsia="de-DE"/>
        </w:rPr>
        <w:t xml:space="preserve">Each resource centre entering a pay-for-use service provision model should clearly </w:t>
      </w:r>
      <w:r w:rsidR="00420DA8">
        <w:rPr>
          <w:rFonts w:eastAsia="Times New Roman"/>
          <w:kern w:val="0"/>
          <w:szCs w:val="24"/>
          <w:lang w:val="en-GB" w:eastAsia="de-DE"/>
        </w:rPr>
        <w:t xml:space="preserve">state </w:t>
      </w:r>
      <w:r w:rsidRPr="00657DAA">
        <w:rPr>
          <w:rFonts w:eastAsia="Times New Roman"/>
          <w:kern w:val="0"/>
          <w:szCs w:val="24"/>
          <w:lang w:val="en-GB" w:eastAsia="de-DE"/>
        </w:rPr>
        <w:t xml:space="preserve">the policy around who can access the services in order to avoid incurring </w:t>
      </w:r>
      <w:r w:rsidR="00B86E88">
        <w:rPr>
          <w:rFonts w:eastAsia="Times New Roman"/>
          <w:kern w:val="0"/>
          <w:szCs w:val="24"/>
          <w:lang w:val="en-GB" w:eastAsia="de-DE"/>
        </w:rPr>
        <w:t xml:space="preserve">in </w:t>
      </w:r>
      <w:r w:rsidRPr="00657DAA">
        <w:rPr>
          <w:rFonts w:eastAsia="Times New Roman"/>
          <w:kern w:val="0"/>
          <w:szCs w:val="24"/>
          <w:lang w:val="en-GB" w:eastAsia="de-DE"/>
        </w:rPr>
        <w:t>unfair competition with the commercial sector.</w:t>
      </w:r>
      <w:r w:rsidR="002C30F6">
        <w:rPr>
          <w:rFonts w:eastAsia="Times New Roman"/>
          <w:kern w:val="0"/>
          <w:szCs w:val="24"/>
          <w:lang w:val="en-GB" w:eastAsia="de-DE"/>
        </w:rPr>
        <w:t xml:space="preserve"> This matter needs to be further developed as federated marketplaces for cloud services are emerging potentially bridging both commercial and not-for-profit suppliers.</w:t>
      </w:r>
      <w:r w:rsidRPr="00657DAA">
        <w:rPr>
          <w:rFonts w:eastAsia="Times New Roman"/>
          <w:kern w:val="0"/>
          <w:szCs w:val="24"/>
          <w:lang w:val="en-GB" w:eastAsia="de-DE"/>
        </w:rPr>
        <w:t xml:space="preserve"> Therefore, questions to be answered are:</w:t>
      </w:r>
    </w:p>
    <w:p w14:paraId="6157BAC2" w14:textId="5CB2C8A4" w:rsidR="004401B5" w:rsidRPr="00657DAA" w:rsidRDefault="00A64771" w:rsidP="00657DAA">
      <w:pPr>
        <w:pStyle w:val="ListParagraph"/>
        <w:numPr>
          <w:ilvl w:val="0"/>
          <w:numId w:val="21"/>
        </w:numPr>
        <w:spacing w:before="80" w:after="80"/>
        <w:ind w:left="284"/>
        <w:jc w:val="both"/>
        <w:rPr>
          <w:szCs w:val="28"/>
          <w:lang w:val="en-GB"/>
        </w:rPr>
      </w:pPr>
      <w:r w:rsidRPr="00657DAA">
        <w:rPr>
          <w:szCs w:val="28"/>
          <w:lang w:val="en-GB"/>
        </w:rPr>
        <w:t>What type of customers can be served?</w:t>
      </w:r>
    </w:p>
    <w:p w14:paraId="11D3A1D2" w14:textId="76B05753" w:rsidR="004401B5" w:rsidRPr="00DE5BAF" w:rsidRDefault="00E76084" w:rsidP="00767F34">
      <w:pPr>
        <w:pStyle w:val="ListParagraph"/>
        <w:numPr>
          <w:ilvl w:val="0"/>
          <w:numId w:val="21"/>
        </w:numPr>
        <w:spacing w:before="80" w:after="80"/>
        <w:ind w:left="284"/>
        <w:jc w:val="both"/>
        <w:rPr>
          <w:b/>
          <w:color w:val="244061"/>
          <w:sz w:val="24"/>
          <w:szCs w:val="28"/>
          <w:lang w:val="en-GB"/>
        </w:rPr>
      </w:pPr>
      <w:r>
        <w:rPr>
          <w:szCs w:val="28"/>
          <w:lang w:val="en-GB"/>
        </w:rPr>
        <w:t xml:space="preserve">For what </w:t>
      </w:r>
      <w:r w:rsidR="00A64771" w:rsidRPr="00767F34">
        <w:rPr>
          <w:szCs w:val="28"/>
          <w:lang w:val="en-GB"/>
        </w:rPr>
        <w:t>kind of activities? (</w:t>
      </w:r>
      <w:proofErr w:type="gramStart"/>
      <w:r w:rsidR="00A64771" w:rsidRPr="00767F34">
        <w:rPr>
          <w:szCs w:val="28"/>
          <w:lang w:val="en-GB"/>
        </w:rPr>
        <w:t>e</w:t>
      </w:r>
      <w:proofErr w:type="gramEnd"/>
      <w:r w:rsidR="00575252">
        <w:rPr>
          <w:szCs w:val="28"/>
          <w:lang w:val="en-GB"/>
        </w:rPr>
        <w:t>.</w:t>
      </w:r>
      <w:r w:rsidR="00A64771" w:rsidRPr="00767F34">
        <w:rPr>
          <w:szCs w:val="28"/>
          <w:lang w:val="en-GB"/>
        </w:rPr>
        <w:t>g. research-only, pre-competitive research)</w:t>
      </w:r>
    </w:p>
    <w:p w14:paraId="486B0DE5" w14:textId="12CB9D7F" w:rsidR="002C30F6" w:rsidRPr="00767F34" w:rsidRDefault="002C30F6" w:rsidP="00767F34">
      <w:pPr>
        <w:pStyle w:val="ListParagraph"/>
        <w:numPr>
          <w:ilvl w:val="0"/>
          <w:numId w:val="21"/>
        </w:numPr>
        <w:spacing w:before="80" w:after="80"/>
        <w:ind w:left="284"/>
        <w:jc w:val="both"/>
        <w:rPr>
          <w:b/>
          <w:color w:val="244061"/>
          <w:sz w:val="24"/>
          <w:szCs w:val="28"/>
          <w:lang w:val="en-GB"/>
        </w:rPr>
      </w:pPr>
      <w:r>
        <w:rPr>
          <w:szCs w:val="28"/>
          <w:lang w:val="en-GB"/>
        </w:rPr>
        <w:t>How the pricing should be defined?</w:t>
      </w:r>
    </w:p>
    <w:p w14:paraId="64EE7264" w14:textId="77777777" w:rsidR="00D12A60" w:rsidRPr="00C96831" w:rsidRDefault="00D12A60" w:rsidP="00F24055">
      <w:pPr>
        <w:spacing w:before="60" w:after="60"/>
        <w:ind w:left="-284"/>
        <w:jc w:val="both"/>
        <w:rPr>
          <w:rFonts w:eastAsia="Times New Roman"/>
          <w:kern w:val="0"/>
          <w:sz w:val="14"/>
          <w:szCs w:val="24"/>
          <w:lang w:val="en-GB" w:eastAsia="de-DE"/>
        </w:rPr>
      </w:pPr>
    </w:p>
    <w:p w14:paraId="19FBEF05" w14:textId="5CDDA71F" w:rsidR="00F05BF6" w:rsidRDefault="00617C2B" w:rsidP="00F05BF6">
      <w:pPr>
        <w:spacing w:before="80" w:after="80"/>
        <w:ind w:left="-284"/>
        <w:jc w:val="both"/>
        <w:rPr>
          <w:b/>
          <w:color w:val="244061"/>
          <w:sz w:val="24"/>
          <w:szCs w:val="28"/>
          <w:lang w:val="en-GB"/>
        </w:rPr>
      </w:pPr>
      <w:r>
        <w:rPr>
          <w:b/>
          <w:color w:val="244061"/>
          <w:sz w:val="24"/>
          <w:szCs w:val="28"/>
          <w:lang w:val="en-GB"/>
        </w:rPr>
        <w:t>Conclusion</w:t>
      </w:r>
    </w:p>
    <w:p w14:paraId="399BEBDB" w14:textId="4846BA1F" w:rsidR="00913979" w:rsidRDefault="008F0924" w:rsidP="00D12A60">
      <w:pPr>
        <w:spacing w:before="80" w:after="80"/>
        <w:ind w:left="-284"/>
        <w:jc w:val="both"/>
        <w:rPr>
          <w:b/>
          <w:color w:val="244061"/>
          <w:sz w:val="24"/>
          <w:szCs w:val="28"/>
          <w:lang w:val="en-GB"/>
        </w:rPr>
      </w:pPr>
      <w:r>
        <w:rPr>
          <w:rFonts w:eastAsia="Times New Roman"/>
          <w:kern w:val="0"/>
          <w:szCs w:val="24"/>
          <w:lang w:val="en-GB" w:eastAsia="de-DE"/>
        </w:rPr>
        <w:t xml:space="preserve">This report provides </w:t>
      </w:r>
      <w:r w:rsidR="002C30F6">
        <w:rPr>
          <w:rFonts w:eastAsia="Times New Roman"/>
          <w:kern w:val="0"/>
          <w:szCs w:val="24"/>
          <w:lang w:val="en-GB" w:eastAsia="de-DE"/>
        </w:rPr>
        <w:t>an initial analysis of tax and legal issues around the provision of pay-for-use services by the EGI community</w:t>
      </w:r>
      <w:r>
        <w:rPr>
          <w:rFonts w:eastAsia="Times New Roman"/>
          <w:kern w:val="0"/>
          <w:szCs w:val="24"/>
          <w:lang w:val="en-GB" w:eastAsia="de-DE"/>
        </w:rPr>
        <w:t xml:space="preserve">. </w:t>
      </w:r>
      <w:r w:rsidR="00DE5BAF">
        <w:rPr>
          <w:rFonts w:eastAsia="Times New Roman"/>
          <w:kern w:val="0"/>
          <w:szCs w:val="24"/>
          <w:lang w:val="en-GB" w:eastAsia="de-DE"/>
        </w:rPr>
        <w:t>The material can provide a base to kick-off the discussion at the “Evolving EGI Workshop”</w:t>
      </w:r>
      <w:r w:rsidR="00DE5BAF" w:rsidRPr="00DE5BAF">
        <w:rPr>
          <w:rStyle w:val="FootnoteReference"/>
          <w:lang w:val="en-GB"/>
        </w:rPr>
        <w:t xml:space="preserve"> </w:t>
      </w:r>
      <w:r w:rsidR="00DE5BAF">
        <w:rPr>
          <w:rStyle w:val="FootnoteReference"/>
          <w:lang w:val="en-GB"/>
        </w:rPr>
        <w:footnoteReference w:id="7"/>
      </w:r>
      <w:r w:rsidR="00DE5BAF">
        <w:rPr>
          <w:rFonts w:eastAsia="Times New Roman"/>
          <w:kern w:val="0"/>
          <w:szCs w:val="24"/>
          <w:lang w:val="en-GB" w:eastAsia="de-DE"/>
        </w:rPr>
        <w:t>, nevertheless, the involvements of tax advisors and legal experts should be considered.</w:t>
      </w:r>
    </w:p>
    <w:p w14:paraId="4DB35CB1" w14:textId="77777777" w:rsidR="00D12A60" w:rsidRPr="002E67B3" w:rsidRDefault="00D12A60" w:rsidP="002E67B3">
      <w:pPr>
        <w:spacing w:before="80" w:after="80"/>
        <w:jc w:val="both"/>
        <w:rPr>
          <w:rFonts w:eastAsia="Times New Roman"/>
          <w:kern w:val="0"/>
          <w:szCs w:val="24"/>
          <w:lang w:val="en-GB" w:eastAsia="de-DE"/>
        </w:rPr>
      </w:pPr>
    </w:p>
    <w:sectPr w:rsidR="00D12A60" w:rsidRPr="002E67B3" w:rsidSect="00D46794">
      <w:footerReference w:type="even" r:id="rId12"/>
      <w:footerReference w:type="default" r:id="rId13"/>
      <w:type w:val="continuous"/>
      <w:pgSz w:w="11907" w:h="16839" w:code="9"/>
      <w:pgMar w:top="1247" w:right="851" w:bottom="993" w:left="1134" w:header="709" w:footer="249" w:gutter="0"/>
      <w:cols w:num="2" w:space="709"/>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413D8" w14:textId="77777777" w:rsidR="002C30F6" w:rsidRDefault="002C30F6" w:rsidP="001C10DC">
      <w:r>
        <w:separator/>
      </w:r>
    </w:p>
  </w:endnote>
  <w:endnote w:type="continuationSeparator" w:id="0">
    <w:p w14:paraId="257212CD" w14:textId="77777777" w:rsidR="002C30F6" w:rsidRDefault="002C30F6" w:rsidP="001C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OpenSymbol">
    <w:altName w:val="MT Extra"/>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20"/>
      <w:gridCol w:w="10016"/>
    </w:tblGrid>
    <w:tr w:rsidR="002C30F6" w:rsidRPr="0025191F" w14:paraId="4FB24BA1" w14:textId="77777777" w:rsidTr="002B2DA0">
      <w:tc>
        <w:tcPr>
          <w:tcW w:w="201" w:type="pct"/>
          <w:tcBorders>
            <w:bottom w:val="nil"/>
            <w:right w:val="single" w:sz="4" w:space="0" w:color="BFBFBF"/>
          </w:tcBorders>
        </w:tcPr>
        <w:p w14:paraId="0B0A14C7" w14:textId="77777777" w:rsidR="002C30F6" w:rsidRPr="007B7F10" w:rsidRDefault="002C30F6" w:rsidP="002B2DA0">
          <w:pPr>
            <w:jc w:val="right"/>
            <w:rPr>
              <w:rFonts w:eastAsia="Cambria"/>
              <w:b/>
              <w:color w:val="595959" w:themeColor="text1" w:themeTint="A6"/>
              <w:sz w:val="24"/>
              <w:szCs w:val="24"/>
            </w:rPr>
          </w:pPr>
          <w:r w:rsidRPr="007B7F10">
            <w:rPr>
              <w:b/>
              <w:color w:val="595959" w:themeColor="text1" w:themeTint="A6"/>
              <w:sz w:val="24"/>
              <w:szCs w:val="24"/>
            </w:rPr>
            <w:fldChar w:fldCharType="begin"/>
          </w:r>
          <w:r w:rsidRPr="007B7F10">
            <w:rPr>
              <w:b/>
              <w:color w:val="595959" w:themeColor="text1" w:themeTint="A6"/>
              <w:sz w:val="24"/>
              <w:szCs w:val="24"/>
            </w:rPr>
            <w:instrText xml:space="preserve"> PAGE   \* MERGEFORMAT </w:instrText>
          </w:r>
          <w:r w:rsidRPr="007B7F10">
            <w:rPr>
              <w:b/>
              <w:color w:val="595959" w:themeColor="text1" w:themeTint="A6"/>
              <w:sz w:val="24"/>
              <w:szCs w:val="24"/>
            </w:rPr>
            <w:fldChar w:fldCharType="separate"/>
          </w:r>
          <w:r>
            <w:rPr>
              <w:b/>
              <w:noProof/>
              <w:color w:val="595959" w:themeColor="text1" w:themeTint="A6"/>
              <w:sz w:val="24"/>
              <w:szCs w:val="24"/>
            </w:rPr>
            <w:t>2</w:t>
          </w:r>
          <w:r w:rsidRPr="007B7F10">
            <w:rPr>
              <w:b/>
              <w:color w:val="595959" w:themeColor="text1" w:themeTint="A6"/>
              <w:sz w:val="24"/>
              <w:szCs w:val="24"/>
            </w:rPr>
            <w:fldChar w:fldCharType="end"/>
          </w:r>
        </w:p>
      </w:tc>
      <w:tc>
        <w:tcPr>
          <w:tcW w:w="4799" w:type="pct"/>
          <w:tcBorders>
            <w:left w:val="single" w:sz="4" w:space="0" w:color="BFBFBF"/>
            <w:bottom w:val="nil"/>
          </w:tcBorders>
        </w:tcPr>
        <w:p w14:paraId="1CCBC0DB" w14:textId="77777777" w:rsidR="002C30F6" w:rsidRPr="0025191F" w:rsidRDefault="002C30F6" w:rsidP="002B2DA0">
          <w:pPr>
            <w:rPr>
              <w:rFonts w:eastAsia="Cambria"/>
              <w:color w:val="595959" w:themeColor="text1" w:themeTint="A6"/>
              <w:sz w:val="24"/>
              <w:szCs w:val="24"/>
            </w:rPr>
          </w:pPr>
          <w:sdt>
            <w:sdtPr>
              <w:rPr>
                <w:b/>
                <w:bCs/>
                <w:caps/>
                <w:color w:val="595959" w:themeColor="text1" w:themeTint="A6"/>
                <w:sz w:val="24"/>
                <w:szCs w:val="24"/>
              </w:rPr>
              <w:alias w:val="Title"/>
              <w:id w:val="165832010"/>
              <w:placeholder>
                <w:docPart w:val="BE92533291DC4C46A4773F4ED843623D"/>
              </w:placeholder>
              <w:dataBinding w:prefixMappings="xmlns:ns0='http://schemas.openxmlformats.org/package/2006/metadata/core-properties' xmlns:ns1='http://purl.org/dc/elements/1.1/'" w:xpath="/ns0:coreProperties[1]/ns1:title[1]" w:storeItemID="{6C3C8BC8-F283-45AE-878A-BAB7291924A1}"/>
              <w:text/>
            </w:sdtPr>
            <w:sdtContent>
              <w:r>
                <w:rPr>
                  <w:b/>
                  <w:bCs/>
                  <w:caps/>
                  <w:color w:val="595959" w:themeColor="text1" w:themeTint="A6"/>
                  <w:sz w:val="24"/>
                  <w:szCs w:val="24"/>
                </w:rPr>
                <w:t>Director’s Letter July 2010</w:t>
              </w:r>
            </w:sdtContent>
          </w:sdt>
        </w:p>
      </w:tc>
    </w:tr>
  </w:tbl>
  <w:p w14:paraId="060C3091" w14:textId="77777777" w:rsidR="002C30F6" w:rsidRDefault="002C30F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2E9F" w14:textId="77777777" w:rsidR="002C30F6" w:rsidRPr="00686506" w:rsidRDefault="002C30F6" w:rsidP="00085352">
    <w:pPr>
      <w:pStyle w:val="Footer"/>
      <w:jc w:val="center"/>
      <w:rPr>
        <w:rFonts w:cs="Calibri"/>
        <w:sz w:val="20"/>
        <w:szCs w:val="20"/>
      </w:rPr>
    </w:pPr>
    <w:r w:rsidRPr="001C10DC">
      <w:rPr>
        <w:rFonts w:cs="Calibri"/>
        <w:sz w:val="20"/>
        <w:szCs w:val="20"/>
      </w:rPr>
      <w:t>EGI.eu</w:t>
    </w:r>
    <w:r>
      <w:rPr>
        <w:rFonts w:cs="Calibri"/>
        <w:sz w:val="20"/>
        <w:szCs w:val="20"/>
      </w:rPr>
      <w:t xml:space="preserve">, Amsterdam (NL), </w:t>
    </w:r>
    <w:hyperlink r:id="rId1" w:history="1">
      <w:r w:rsidRPr="00D72859">
        <w:rPr>
          <w:rStyle w:val="Hyperlink"/>
          <w:rFonts w:cs="Calibri"/>
          <w:sz w:val="20"/>
          <w:szCs w:val="20"/>
        </w:rPr>
        <w:t>policy@egi.eu</w:t>
      </w:r>
    </w:hyperlink>
    <w:r w:rsidRPr="001C10DC">
      <w:rPr>
        <w:rFonts w:cs="Calibri"/>
        <w:sz w:val="20"/>
        <w:szCs w:val="20"/>
      </w:rPr>
      <w:t xml:space="preserve">, </w:t>
    </w:r>
    <w:hyperlink r:id="rId2" w:history="1">
      <w:r w:rsidRPr="00306514">
        <w:rPr>
          <w:rStyle w:val="Hyperlink"/>
          <w:rFonts w:cs="Calibri"/>
          <w:sz w:val="20"/>
          <w:szCs w:val="20"/>
        </w:rPr>
        <w:t>www.egi.eu</w:t>
      </w:r>
    </w:hyperlink>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08"/>
      <w:gridCol w:w="9744"/>
    </w:tblGrid>
    <w:tr w:rsidR="002C30F6" w:rsidRPr="0025191F" w14:paraId="22B09516" w14:textId="77777777" w:rsidTr="002B2DA0">
      <w:tc>
        <w:tcPr>
          <w:tcW w:w="201" w:type="pct"/>
          <w:tcBorders>
            <w:bottom w:val="nil"/>
            <w:right w:val="single" w:sz="4" w:space="0" w:color="BFBFBF"/>
          </w:tcBorders>
        </w:tcPr>
        <w:p w14:paraId="381BD887" w14:textId="77777777" w:rsidR="002C30F6" w:rsidRPr="007B7F10" w:rsidRDefault="002C30F6" w:rsidP="002B2DA0">
          <w:pPr>
            <w:jc w:val="right"/>
            <w:rPr>
              <w:rFonts w:eastAsia="Cambria"/>
              <w:b/>
              <w:color w:val="595959" w:themeColor="text1" w:themeTint="A6"/>
              <w:sz w:val="24"/>
              <w:szCs w:val="24"/>
            </w:rPr>
          </w:pPr>
          <w:r w:rsidRPr="007B7F10">
            <w:rPr>
              <w:b/>
              <w:color w:val="595959" w:themeColor="text1" w:themeTint="A6"/>
              <w:sz w:val="24"/>
              <w:szCs w:val="24"/>
            </w:rPr>
            <w:fldChar w:fldCharType="begin"/>
          </w:r>
          <w:r w:rsidRPr="007B7F10">
            <w:rPr>
              <w:b/>
              <w:color w:val="595959" w:themeColor="text1" w:themeTint="A6"/>
              <w:sz w:val="24"/>
              <w:szCs w:val="24"/>
            </w:rPr>
            <w:instrText xml:space="preserve"> PAGE   \* MERGEFORMAT </w:instrText>
          </w:r>
          <w:r w:rsidRPr="007B7F10">
            <w:rPr>
              <w:b/>
              <w:color w:val="595959" w:themeColor="text1" w:themeTint="A6"/>
              <w:sz w:val="24"/>
              <w:szCs w:val="24"/>
            </w:rPr>
            <w:fldChar w:fldCharType="separate"/>
          </w:r>
          <w:r>
            <w:rPr>
              <w:b/>
              <w:noProof/>
              <w:color w:val="595959" w:themeColor="text1" w:themeTint="A6"/>
              <w:sz w:val="24"/>
              <w:szCs w:val="24"/>
            </w:rPr>
            <w:t>2</w:t>
          </w:r>
          <w:r w:rsidRPr="007B7F10">
            <w:rPr>
              <w:b/>
              <w:color w:val="595959" w:themeColor="text1" w:themeTint="A6"/>
              <w:sz w:val="24"/>
              <w:szCs w:val="24"/>
            </w:rPr>
            <w:fldChar w:fldCharType="end"/>
          </w:r>
        </w:p>
      </w:tc>
      <w:tc>
        <w:tcPr>
          <w:tcW w:w="4799" w:type="pct"/>
          <w:tcBorders>
            <w:left w:val="single" w:sz="4" w:space="0" w:color="BFBFBF"/>
            <w:bottom w:val="nil"/>
          </w:tcBorders>
        </w:tcPr>
        <w:p w14:paraId="1F4E877D" w14:textId="1190B441" w:rsidR="002C30F6" w:rsidRPr="0025191F" w:rsidRDefault="002C30F6" w:rsidP="002B2DA0">
          <w:pPr>
            <w:rPr>
              <w:rFonts w:eastAsia="Cambria"/>
              <w:color w:val="595959" w:themeColor="text1" w:themeTint="A6"/>
              <w:sz w:val="24"/>
              <w:szCs w:val="24"/>
            </w:rPr>
          </w:pPr>
          <w:sdt>
            <w:sdtPr>
              <w:rPr>
                <w:b/>
                <w:bCs/>
                <w:caps/>
                <w:color w:val="595959" w:themeColor="text1" w:themeTint="A6"/>
                <w:sz w:val="24"/>
                <w:szCs w:val="24"/>
              </w:rPr>
              <w:alias w:val="Title"/>
              <w:id w:val="-1812397384"/>
              <w:placeholder>
                <w:docPart w:val="BE92533291DC4C46A4773F4ED843623D"/>
              </w:placeholder>
              <w:dataBinding w:prefixMappings="xmlns:ns0='http://schemas.openxmlformats.org/package/2006/metadata/core-properties' xmlns:ns1='http://purl.org/dc/elements/1.1/'" w:xpath="/ns0:coreProperties[1]/ns1:title[1]" w:storeItemID="{6C3C8BC8-F283-45AE-878A-BAB7291924A1}"/>
              <w:text/>
            </w:sdtPr>
            <w:sdtContent>
              <w:r>
                <w:rPr>
                  <w:b/>
                  <w:bCs/>
                  <w:caps/>
                  <w:color w:val="595959" w:themeColor="text1" w:themeTint="A6"/>
                  <w:sz w:val="24"/>
                  <w:szCs w:val="24"/>
                </w:rPr>
                <w:t>Director’s Letter July 2010</w:t>
              </w:r>
            </w:sdtContent>
          </w:sdt>
        </w:p>
      </w:tc>
    </w:tr>
  </w:tbl>
  <w:p w14:paraId="193BBED9" w14:textId="77777777" w:rsidR="002C30F6" w:rsidRDefault="002C30F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FE1CD" w14:textId="7ABBD4C6" w:rsidR="002C30F6" w:rsidRPr="00686506" w:rsidRDefault="002C30F6" w:rsidP="00085352">
    <w:pPr>
      <w:pStyle w:val="Footer"/>
      <w:jc w:val="center"/>
      <w:rPr>
        <w:rFonts w:cs="Calibri"/>
        <w:sz w:val="20"/>
        <w:szCs w:val="20"/>
      </w:rPr>
    </w:pPr>
    <w:r w:rsidRPr="001C10DC">
      <w:rPr>
        <w:rFonts w:cs="Calibri"/>
        <w:sz w:val="20"/>
        <w:szCs w:val="20"/>
      </w:rPr>
      <w:t>EGI.eu</w:t>
    </w:r>
    <w:r>
      <w:rPr>
        <w:rFonts w:cs="Calibri"/>
        <w:sz w:val="20"/>
        <w:szCs w:val="20"/>
      </w:rPr>
      <w:t xml:space="preserve">, Amsterdam (NL), </w:t>
    </w:r>
    <w:hyperlink r:id="rId1" w:history="1">
      <w:r w:rsidRPr="00D72859">
        <w:rPr>
          <w:rStyle w:val="Hyperlink"/>
          <w:rFonts w:cs="Calibri"/>
          <w:sz w:val="20"/>
          <w:szCs w:val="20"/>
        </w:rPr>
        <w:t>policy@egi.eu</w:t>
      </w:r>
    </w:hyperlink>
    <w:r w:rsidRPr="001C10DC">
      <w:rPr>
        <w:rFonts w:cs="Calibri"/>
        <w:sz w:val="20"/>
        <w:szCs w:val="20"/>
      </w:rPr>
      <w:t xml:space="preserve">, </w:t>
    </w:r>
    <w:hyperlink r:id="rId2" w:history="1">
      <w:r w:rsidRPr="00306514">
        <w:rPr>
          <w:rStyle w:val="Hyperlink"/>
          <w:rFonts w:cs="Calibri"/>
          <w:sz w:val="20"/>
          <w:szCs w:val="20"/>
        </w:rPr>
        <w:t>www.egi.eu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ED197" w14:textId="77777777" w:rsidR="002C30F6" w:rsidRDefault="002C30F6" w:rsidP="001C10DC">
      <w:r>
        <w:separator/>
      </w:r>
    </w:p>
  </w:footnote>
  <w:footnote w:type="continuationSeparator" w:id="0">
    <w:p w14:paraId="287D0F90" w14:textId="77777777" w:rsidR="002C30F6" w:rsidRDefault="002C30F6" w:rsidP="001C10DC">
      <w:r>
        <w:continuationSeparator/>
      </w:r>
    </w:p>
  </w:footnote>
  <w:footnote w:id="1">
    <w:p w14:paraId="3EA607EC" w14:textId="77777777" w:rsidR="002C30F6" w:rsidRPr="00173834" w:rsidRDefault="002C30F6" w:rsidP="00E82FCD">
      <w:pPr>
        <w:rPr>
          <w:sz w:val="18"/>
          <w:szCs w:val="20"/>
        </w:rPr>
      </w:pPr>
      <w:r w:rsidRPr="00173834">
        <w:rPr>
          <w:sz w:val="18"/>
          <w:szCs w:val="20"/>
        </w:rPr>
        <w:footnoteRef/>
      </w:r>
      <w:r w:rsidRPr="00173834">
        <w:rPr>
          <w:sz w:val="18"/>
          <w:szCs w:val="20"/>
        </w:rPr>
        <w:t xml:space="preserve"> EGI Pay for Use Models – Council Report</w:t>
      </w:r>
    </w:p>
    <w:p w14:paraId="47D32943" w14:textId="028ABD68" w:rsidR="002C30F6" w:rsidRPr="00173834" w:rsidRDefault="002C30F6" w:rsidP="00E82FCD">
      <w:pPr>
        <w:rPr>
          <w:sz w:val="18"/>
          <w:szCs w:val="20"/>
        </w:rPr>
      </w:pPr>
      <w:r w:rsidRPr="00173834">
        <w:rPr>
          <w:sz w:val="18"/>
          <w:szCs w:val="20"/>
        </w:rPr>
        <w:t>http://go.egi.eu/1391</w:t>
      </w:r>
    </w:p>
    <w:p w14:paraId="00B2159C" w14:textId="02E67F91" w:rsidR="002C30F6" w:rsidRDefault="002C30F6">
      <w:pPr>
        <w:pStyle w:val="FootnoteText"/>
      </w:pPr>
    </w:p>
  </w:footnote>
  <w:footnote w:id="2">
    <w:p w14:paraId="6258DF17" w14:textId="2B6CD611" w:rsidR="002C30F6" w:rsidRPr="00DC1D87" w:rsidRDefault="002C30F6" w:rsidP="00767F34">
      <w:pPr>
        <w:pStyle w:val="FootnoteText"/>
        <w:ind w:left="-284"/>
        <w:rPr>
          <w:sz w:val="18"/>
          <w:szCs w:val="18"/>
        </w:rPr>
      </w:pPr>
      <w:r w:rsidRPr="00DC1D87">
        <w:rPr>
          <w:rStyle w:val="FootnoteReference"/>
          <w:sz w:val="18"/>
          <w:szCs w:val="18"/>
        </w:rPr>
        <w:footnoteRef/>
      </w:r>
      <w:r w:rsidRPr="00DC1D87">
        <w:rPr>
          <w:sz w:val="18"/>
          <w:szCs w:val="18"/>
        </w:rPr>
        <w:t xml:space="preserve"> http://eur-lex.europa.eu/LexUriServ/LexUriServ.do</w:t>
      </w:r>
      <w:proofErr w:type="gramStart"/>
      <w:r w:rsidRPr="00DC1D87">
        <w:rPr>
          <w:sz w:val="18"/>
          <w:szCs w:val="18"/>
        </w:rPr>
        <w:t>?uri</w:t>
      </w:r>
      <w:proofErr w:type="gramEnd"/>
      <w:r w:rsidRPr="00DC1D87">
        <w:rPr>
          <w:sz w:val="18"/>
          <w:szCs w:val="18"/>
        </w:rPr>
        <w:t>=OJ:L:2008:044:0011:0022:EN:PDF</w:t>
      </w:r>
    </w:p>
  </w:footnote>
  <w:footnote w:id="3">
    <w:p w14:paraId="3AC28F17" w14:textId="2AA1F4E8" w:rsidR="002C30F6" w:rsidRDefault="002C30F6">
      <w:pPr>
        <w:pStyle w:val="FootnoteText"/>
      </w:pPr>
      <w:r w:rsidRPr="00DC1D87">
        <w:rPr>
          <w:rStyle w:val="FootnoteReference"/>
          <w:sz w:val="18"/>
          <w:szCs w:val="18"/>
        </w:rPr>
        <w:footnoteRef/>
      </w:r>
      <w:r w:rsidRPr="00DC1D87">
        <w:rPr>
          <w:rFonts w:eastAsia="Times New Roman"/>
          <w:kern w:val="0"/>
          <w:sz w:val="18"/>
          <w:szCs w:val="18"/>
          <w:lang w:val="en-GB" w:eastAsia="de-DE"/>
        </w:rPr>
        <w:t>http://ec.europa.eu/taxation_customs/taxation/vat/how_vat_works/vat_on_services/index_en.htm</w:t>
      </w:r>
    </w:p>
  </w:footnote>
  <w:footnote w:id="4">
    <w:p w14:paraId="4FDEEDD0" w14:textId="07115A40" w:rsidR="002C30F6" w:rsidRPr="00DC1D87" w:rsidRDefault="002C30F6">
      <w:pPr>
        <w:pStyle w:val="FootnoteText"/>
        <w:rPr>
          <w:sz w:val="18"/>
          <w:szCs w:val="18"/>
        </w:rPr>
      </w:pPr>
      <w:r w:rsidRPr="00DC1D87">
        <w:rPr>
          <w:rStyle w:val="FootnoteReference"/>
          <w:sz w:val="18"/>
          <w:szCs w:val="18"/>
        </w:rPr>
        <w:footnoteRef/>
      </w:r>
      <w:r w:rsidRPr="00DC1D87">
        <w:rPr>
          <w:sz w:val="18"/>
          <w:szCs w:val="18"/>
        </w:rPr>
        <w:t xml:space="preserve"> http://www.revenue.ie/en/tax/vat/leaflets/place-of-supply-of-services.html</w:t>
      </w:r>
    </w:p>
  </w:footnote>
  <w:footnote w:id="5">
    <w:p w14:paraId="7350C4AB" w14:textId="2B0148DB" w:rsidR="002C30F6" w:rsidRDefault="002C30F6">
      <w:pPr>
        <w:pStyle w:val="FootnoteText"/>
      </w:pPr>
      <w:r w:rsidRPr="00DC1D87">
        <w:rPr>
          <w:rStyle w:val="FootnoteReference"/>
          <w:sz w:val="18"/>
          <w:szCs w:val="18"/>
        </w:rPr>
        <w:footnoteRef/>
      </w:r>
      <w:r w:rsidRPr="00DC1D87">
        <w:rPr>
          <w:sz w:val="18"/>
          <w:szCs w:val="18"/>
        </w:rPr>
        <w:t xml:space="preserve"> http://www.answersforbusiness.nl/VAT-products-services-other-EU-countries</w:t>
      </w:r>
      <w:bookmarkStart w:id="0" w:name="_GoBack"/>
      <w:bookmarkEnd w:id="0"/>
    </w:p>
  </w:footnote>
  <w:footnote w:id="6">
    <w:p w14:paraId="168FA4C8" w14:textId="77777777" w:rsidR="002C30F6" w:rsidRPr="00DC1D87" w:rsidRDefault="002C30F6" w:rsidP="000703BE">
      <w:pPr>
        <w:rPr>
          <w:sz w:val="18"/>
          <w:szCs w:val="18"/>
        </w:rPr>
      </w:pPr>
      <w:r w:rsidRPr="00DC1D87">
        <w:rPr>
          <w:rStyle w:val="FootnoteReference"/>
          <w:sz w:val="18"/>
          <w:szCs w:val="18"/>
        </w:rPr>
        <w:footnoteRef/>
      </w:r>
      <w:r w:rsidRPr="00DC1D87">
        <w:rPr>
          <w:sz w:val="18"/>
          <w:szCs w:val="18"/>
        </w:rPr>
        <w:t xml:space="preserve"> </w:t>
      </w:r>
      <w:hyperlink r:id="rId1" w:history="1">
        <w:r w:rsidRPr="00DC1D87">
          <w:rPr>
            <w:sz w:val="18"/>
            <w:szCs w:val="18"/>
          </w:rPr>
          <w:t>https://documents.egi.eu/document/1339</w:t>
        </w:r>
      </w:hyperlink>
    </w:p>
  </w:footnote>
  <w:footnote w:id="7">
    <w:p w14:paraId="0A181D82" w14:textId="77777777" w:rsidR="00DE5BAF" w:rsidRPr="00DC1D87" w:rsidRDefault="00DE5BAF" w:rsidP="00DE5BAF">
      <w:pPr>
        <w:pStyle w:val="FootnoteText"/>
        <w:rPr>
          <w:sz w:val="18"/>
          <w:szCs w:val="18"/>
        </w:rPr>
      </w:pPr>
      <w:r w:rsidRPr="00DC1D87">
        <w:rPr>
          <w:rStyle w:val="FootnoteReference"/>
          <w:sz w:val="18"/>
          <w:szCs w:val="18"/>
        </w:rPr>
        <w:footnoteRef/>
      </w:r>
      <w:r w:rsidRPr="00DC1D87">
        <w:rPr>
          <w:sz w:val="18"/>
          <w:szCs w:val="18"/>
        </w:rPr>
        <w:t xml:space="preserve"> http://go.egi.eu/Evolving-EGI-WS-2013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F80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68"/>
    <w:multiLevelType w:val="hybridMultilevel"/>
    <w:tmpl w:val="0000006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292D6C84"/>
    <w:multiLevelType w:val="hybridMultilevel"/>
    <w:tmpl w:val="A0E626D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2B0E009D"/>
    <w:multiLevelType w:val="hybridMultilevel"/>
    <w:tmpl w:val="57A6CF1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5">
    <w:nsid w:val="2B9F3ABB"/>
    <w:multiLevelType w:val="hybridMultilevel"/>
    <w:tmpl w:val="968AC5F6"/>
    <w:lvl w:ilvl="0" w:tplc="04090001">
      <w:start w:val="1"/>
      <w:numFmt w:val="bullet"/>
      <w:lvlText w:val=""/>
      <w:lvlJc w:val="left"/>
      <w:pPr>
        <w:ind w:left="496" w:hanging="360"/>
      </w:pPr>
      <w:rPr>
        <w:rFonts w:ascii="Symbol" w:hAnsi="Symbol" w:hint="default"/>
      </w:rPr>
    </w:lvl>
    <w:lvl w:ilvl="1" w:tplc="04090003" w:tentative="1">
      <w:start w:val="1"/>
      <w:numFmt w:val="bullet"/>
      <w:lvlText w:val="o"/>
      <w:lvlJc w:val="left"/>
      <w:pPr>
        <w:ind w:left="1216" w:hanging="360"/>
      </w:pPr>
      <w:rPr>
        <w:rFonts w:ascii="Courier New" w:hAnsi="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6">
    <w:nsid w:val="3212270D"/>
    <w:multiLevelType w:val="hybridMultilevel"/>
    <w:tmpl w:val="808CFE00"/>
    <w:lvl w:ilvl="0" w:tplc="BC3AB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9D0279"/>
    <w:multiLevelType w:val="hybridMultilevel"/>
    <w:tmpl w:val="F1FA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CE69F2"/>
    <w:multiLevelType w:val="hybridMultilevel"/>
    <w:tmpl w:val="8FE82F9E"/>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9">
    <w:nsid w:val="417A2205"/>
    <w:multiLevelType w:val="hybridMultilevel"/>
    <w:tmpl w:val="8BF0DBD4"/>
    <w:lvl w:ilvl="0" w:tplc="04090001">
      <w:start w:val="1"/>
      <w:numFmt w:val="bullet"/>
      <w:lvlText w:val=""/>
      <w:lvlJc w:val="left"/>
      <w:pPr>
        <w:ind w:left="439" w:hanging="360"/>
      </w:pPr>
      <w:rPr>
        <w:rFonts w:ascii="Symbol" w:hAnsi="Symbol"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0">
    <w:nsid w:val="438043AC"/>
    <w:multiLevelType w:val="hybridMultilevel"/>
    <w:tmpl w:val="C83C56E2"/>
    <w:lvl w:ilvl="0" w:tplc="0409000F">
      <w:start w:val="1"/>
      <w:numFmt w:val="decimal"/>
      <w:lvlText w:val="%1."/>
      <w:lvlJc w:val="left"/>
      <w:pPr>
        <w:ind w:left="439" w:hanging="360"/>
      </w:pPr>
      <w:rPr>
        <w:rFonts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1">
    <w:nsid w:val="438F0803"/>
    <w:multiLevelType w:val="hybridMultilevel"/>
    <w:tmpl w:val="3E78CC40"/>
    <w:lvl w:ilvl="0" w:tplc="64E89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F76552"/>
    <w:multiLevelType w:val="hybridMultilevel"/>
    <w:tmpl w:val="A47A4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B97114"/>
    <w:multiLevelType w:val="hybridMultilevel"/>
    <w:tmpl w:val="A13E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03739C"/>
    <w:multiLevelType w:val="hybridMultilevel"/>
    <w:tmpl w:val="0344B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5F2801"/>
    <w:multiLevelType w:val="hybridMultilevel"/>
    <w:tmpl w:val="8422A4A8"/>
    <w:lvl w:ilvl="0" w:tplc="08090001">
      <w:start w:val="1"/>
      <w:numFmt w:val="bullet"/>
      <w:lvlText w:val=""/>
      <w:lvlJc w:val="left"/>
      <w:pPr>
        <w:ind w:left="720" w:hanging="360"/>
      </w:pPr>
      <w:rPr>
        <w:rFonts w:ascii="Symbol" w:hAnsi="Symbol" w:hint="default"/>
      </w:rPr>
    </w:lvl>
    <w:lvl w:ilvl="1" w:tplc="46D6D71C">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8A15DB"/>
    <w:multiLevelType w:val="hybridMultilevel"/>
    <w:tmpl w:val="2FA4FED0"/>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nsid w:val="6B5C7F40"/>
    <w:multiLevelType w:val="hybridMultilevel"/>
    <w:tmpl w:val="19B47AC4"/>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8">
    <w:nsid w:val="77886367"/>
    <w:multiLevelType w:val="hybridMultilevel"/>
    <w:tmpl w:val="8B0E3F9C"/>
    <w:lvl w:ilvl="0" w:tplc="0409000F">
      <w:start w:val="1"/>
      <w:numFmt w:val="decimal"/>
      <w:lvlText w:val="%1."/>
      <w:lvlJc w:val="left"/>
      <w:pPr>
        <w:ind w:left="439" w:hanging="360"/>
      </w:p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9">
    <w:nsid w:val="79685909"/>
    <w:multiLevelType w:val="hybridMultilevel"/>
    <w:tmpl w:val="CF1E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5F209E"/>
    <w:multiLevelType w:val="hybridMultilevel"/>
    <w:tmpl w:val="220A2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1"/>
  </w:num>
  <w:num w:numId="3">
    <w:abstractNumId w:val="13"/>
  </w:num>
  <w:num w:numId="4">
    <w:abstractNumId w:val="15"/>
  </w:num>
  <w:num w:numId="5">
    <w:abstractNumId w:val="7"/>
  </w:num>
  <w:num w:numId="6">
    <w:abstractNumId w:val="6"/>
  </w:num>
  <w:num w:numId="7">
    <w:abstractNumId w:val="0"/>
  </w:num>
  <w:num w:numId="8">
    <w:abstractNumId w:val="16"/>
  </w:num>
  <w:num w:numId="9">
    <w:abstractNumId w:val="14"/>
  </w:num>
  <w:num w:numId="10">
    <w:abstractNumId w:val="19"/>
  </w:num>
  <w:num w:numId="11">
    <w:abstractNumId w:val="2"/>
  </w:num>
  <w:num w:numId="12">
    <w:abstractNumId w:val="4"/>
  </w:num>
  <w:num w:numId="13">
    <w:abstractNumId w:val="9"/>
  </w:num>
  <w:num w:numId="14">
    <w:abstractNumId w:val="10"/>
  </w:num>
  <w:num w:numId="15">
    <w:abstractNumId w:val="3"/>
  </w:num>
  <w:num w:numId="16">
    <w:abstractNumId w:val="18"/>
  </w:num>
  <w:num w:numId="17">
    <w:abstractNumId w:val="20"/>
  </w:num>
  <w:num w:numId="18">
    <w:abstractNumId w:val="12"/>
  </w:num>
  <w:num w:numId="19">
    <w:abstractNumId w:val="8"/>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DFD"/>
    <w:rsid w:val="000047E3"/>
    <w:rsid w:val="00006706"/>
    <w:rsid w:val="00017461"/>
    <w:rsid w:val="00017C1C"/>
    <w:rsid w:val="00023C57"/>
    <w:rsid w:val="00024D62"/>
    <w:rsid w:val="00026841"/>
    <w:rsid w:val="000323DB"/>
    <w:rsid w:val="00032B5E"/>
    <w:rsid w:val="000438F9"/>
    <w:rsid w:val="00045D66"/>
    <w:rsid w:val="00046BBB"/>
    <w:rsid w:val="000472E9"/>
    <w:rsid w:val="00047361"/>
    <w:rsid w:val="00053DB7"/>
    <w:rsid w:val="00060553"/>
    <w:rsid w:val="0006112C"/>
    <w:rsid w:val="00063AA8"/>
    <w:rsid w:val="00066C82"/>
    <w:rsid w:val="000703BE"/>
    <w:rsid w:val="0008451E"/>
    <w:rsid w:val="000852D7"/>
    <w:rsid w:val="00085352"/>
    <w:rsid w:val="000908CC"/>
    <w:rsid w:val="00091895"/>
    <w:rsid w:val="000923FE"/>
    <w:rsid w:val="000952AC"/>
    <w:rsid w:val="00097AE2"/>
    <w:rsid w:val="000A1B93"/>
    <w:rsid w:val="000A2A01"/>
    <w:rsid w:val="000A569C"/>
    <w:rsid w:val="000A6C91"/>
    <w:rsid w:val="000A7BAF"/>
    <w:rsid w:val="000C549B"/>
    <w:rsid w:val="000C57BA"/>
    <w:rsid w:val="000D153F"/>
    <w:rsid w:val="000E0DAF"/>
    <w:rsid w:val="0010218F"/>
    <w:rsid w:val="001031B5"/>
    <w:rsid w:val="00105DF8"/>
    <w:rsid w:val="001120F5"/>
    <w:rsid w:val="0011270E"/>
    <w:rsid w:val="00121238"/>
    <w:rsid w:val="00121FB9"/>
    <w:rsid w:val="00125E86"/>
    <w:rsid w:val="001323FD"/>
    <w:rsid w:val="001334F2"/>
    <w:rsid w:val="00135201"/>
    <w:rsid w:val="0013767B"/>
    <w:rsid w:val="001428B3"/>
    <w:rsid w:val="00144FB3"/>
    <w:rsid w:val="0015034E"/>
    <w:rsid w:val="00150B19"/>
    <w:rsid w:val="0015162D"/>
    <w:rsid w:val="00155EEB"/>
    <w:rsid w:val="00162809"/>
    <w:rsid w:val="001651B5"/>
    <w:rsid w:val="00166C5D"/>
    <w:rsid w:val="00170F07"/>
    <w:rsid w:val="00173834"/>
    <w:rsid w:val="001753F8"/>
    <w:rsid w:val="001759FC"/>
    <w:rsid w:val="001765ED"/>
    <w:rsid w:val="001824F3"/>
    <w:rsid w:val="001826FE"/>
    <w:rsid w:val="0019057E"/>
    <w:rsid w:val="0019632C"/>
    <w:rsid w:val="00197471"/>
    <w:rsid w:val="00197CBC"/>
    <w:rsid w:val="001A6473"/>
    <w:rsid w:val="001B5BD9"/>
    <w:rsid w:val="001C0F71"/>
    <w:rsid w:val="001C10DC"/>
    <w:rsid w:val="001C1507"/>
    <w:rsid w:val="001C2A87"/>
    <w:rsid w:val="001C693D"/>
    <w:rsid w:val="001D079C"/>
    <w:rsid w:val="001D21AE"/>
    <w:rsid w:val="001E3D98"/>
    <w:rsid w:val="001E46C1"/>
    <w:rsid w:val="001E73B3"/>
    <w:rsid w:val="001F012D"/>
    <w:rsid w:val="001F0813"/>
    <w:rsid w:val="00200621"/>
    <w:rsid w:val="00201186"/>
    <w:rsid w:val="002062DA"/>
    <w:rsid w:val="00212FC8"/>
    <w:rsid w:val="002200D1"/>
    <w:rsid w:val="00221F9D"/>
    <w:rsid w:val="002260A6"/>
    <w:rsid w:val="0022750A"/>
    <w:rsid w:val="002415F0"/>
    <w:rsid w:val="00241C63"/>
    <w:rsid w:val="0024233A"/>
    <w:rsid w:val="002428E6"/>
    <w:rsid w:val="00245111"/>
    <w:rsid w:val="002503F8"/>
    <w:rsid w:val="00250679"/>
    <w:rsid w:val="00251495"/>
    <w:rsid w:val="00251961"/>
    <w:rsid w:val="0025322D"/>
    <w:rsid w:val="0026221A"/>
    <w:rsid w:val="00267387"/>
    <w:rsid w:val="00272807"/>
    <w:rsid w:val="002758B5"/>
    <w:rsid w:val="00275946"/>
    <w:rsid w:val="002779EF"/>
    <w:rsid w:val="00283B74"/>
    <w:rsid w:val="002845A5"/>
    <w:rsid w:val="002861DB"/>
    <w:rsid w:val="00291316"/>
    <w:rsid w:val="002A113A"/>
    <w:rsid w:val="002A3BFD"/>
    <w:rsid w:val="002A6CDB"/>
    <w:rsid w:val="002B0830"/>
    <w:rsid w:val="002B0CAB"/>
    <w:rsid w:val="002B2DA0"/>
    <w:rsid w:val="002B4940"/>
    <w:rsid w:val="002B496C"/>
    <w:rsid w:val="002B6457"/>
    <w:rsid w:val="002B75CE"/>
    <w:rsid w:val="002C30F6"/>
    <w:rsid w:val="002C7F28"/>
    <w:rsid w:val="002D1003"/>
    <w:rsid w:val="002D58DE"/>
    <w:rsid w:val="002E5D55"/>
    <w:rsid w:val="002E67B3"/>
    <w:rsid w:val="002F3DE3"/>
    <w:rsid w:val="002F408C"/>
    <w:rsid w:val="003012DF"/>
    <w:rsid w:val="00301FCB"/>
    <w:rsid w:val="00315619"/>
    <w:rsid w:val="003157EB"/>
    <w:rsid w:val="00316FE3"/>
    <w:rsid w:val="00320F9E"/>
    <w:rsid w:val="00326260"/>
    <w:rsid w:val="003307BD"/>
    <w:rsid w:val="003412E7"/>
    <w:rsid w:val="003433A9"/>
    <w:rsid w:val="00351555"/>
    <w:rsid w:val="003576F5"/>
    <w:rsid w:val="00357B4C"/>
    <w:rsid w:val="003624F7"/>
    <w:rsid w:val="0036297A"/>
    <w:rsid w:val="00373935"/>
    <w:rsid w:val="003763DA"/>
    <w:rsid w:val="00384A32"/>
    <w:rsid w:val="00385FFB"/>
    <w:rsid w:val="00390E63"/>
    <w:rsid w:val="00394BC4"/>
    <w:rsid w:val="003A23C0"/>
    <w:rsid w:val="003A6972"/>
    <w:rsid w:val="003B1B7C"/>
    <w:rsid w:val="003B3878"/>
    <w:rsid w:val="003B4BBB"/>
    <w:rsid w:val="003B4D2D"/>
    <w:rsid w:val="003B6215"/>
    <w:rsid w:val="003B7E48"/>
    <w:rsid w:val="003C551E"/>
    <w:rsid w:val="003C6334"/>
    <w:rsid w:val="003C7CB0"/>
    <w:rsid w:val="003D1A08"/>
    <w:rsid w:val="003E04D4"/>
    <w:rsid w:val="003E06B8"/>
    <w:rsid w:val="003E32A9"/>
    <w:rsid w:val="003F5D6A"/>
    <w:rsid w:val="003F63AF"/>
    <w:rsid w:val="003F73CD"/>
    <w:rsid w:val="003F7A8B"/>
    <w:rsid w:val="00403831"/>
    <w:rsid w:val="00404D14"/>
    <w:rsid w:val="004053B9"/>
    <w:rsid w:val="00412FA2"/>
    <w:rsid w:val="00420DA8"/>
    <w:rsid w:val="0042189D"/>
    <w:rsid w:val="00421BA7"/>
    <w:rsid w:val="00424DCA"/>
    <w:rsid w:val="00430992"/>
    <w:rsid w:val="00432668"/>
    <w:rsid w:val="00435F5F"/>
    <w:rsid w:val="004401B5"/>
    <w:rsid w:val="0044759E"/>
    <w:rsid w:val="00447C3B"/>
    <w:rsid w:val="00450F10"/>
    <w:rsid w:val="004515DD"/>
    <w:rsid w:val="00452DFF"/>
    <w:rsid w:val="00462F9A"/>
    <w:rsid w:val="004645A8"/>
    <w:rsid w:val="004721DF"/>
    <w:rsid w:val="00480F25"/>
    <w:rsid w:val="00482E4E"/>
    <w:rsid w:val="00485306"/>
    <w:rsid w:val="00486F64"/>
    <w:rsid w:val="00492DE7"/>
    <w:rsid w:val="004A4BAB"/>
    <w:rsid w:val="004A7226"/>
    <w:rsid w:val="004B1EE3"/>
    <w:rsid w:val="004C32BC"/>
    <w:rsid w:val="004C5E59"/>
    <w:rsid w:val="004C653C"/>
    <w:rsid w:val="004D1A1C"/>
    <w:rsid w:val="004D5536"/>
    <w:rsid w:val="004D6496"/>
    <w:rsid w:val="004D7929"/>
    <w:rsid w:val="004F1CDC"/>
    <w:rsid w:val="004F5C47"/>
    <w:rsid w:val="0050031D"/>
    <w:rsid w:val="005013DB"/>
    <w:rsid w:val="00503689"/>
    <w:rsid w:val="005040E5"/>
    <w:rsid w:val="00505149"/>
    <w:rsid w:val="0051787F"/>
    <w:rsid w:val="00517B28"/>
    <w:rsid w:val="00517F90"/>
    <w:rsid w:val="005246F6"/>
    <w:rsid w:val="005260DF"/>
    <w:rsid w:val="0053642B"/>
    <w:rsid w:val="0055310F"/>
    <w:rsid w:val="00553EB2"/>
    <w:rsid w:val="00554E47"/>
    <w:rsid w:val="005605E7"/>
    <w:rsid w:val="00560F81"/>
    <w:rsid w:val="00562BE1"/>
    <w:rsid w:val="0057144D"/>
    <w:rsid w:val="00575252"/>
    <w:rsid w:val="00577BCD"/>
    <w:rsid w:val="005836B4"/>
    <w:rsid w:val="005904E8"/>
    <w:rsid w:val="00591394"/>
    <w:rsid w:val="005A1AD2"/>
    <w:rsid w:val="005A3A3A"/>
    <w:rsid w:val="005A747A"/>
    <w:rsid w:val="005A7533"/>
    <w:rsid w:val="005B274B"/>
    <w:rsid w:val="005C4203"/>
    <w:rsid w:val="005C4AFA"/>
    <w:rsid w:val="005D5466"/>
    <w:rsid w:val="005E0200"/>
    <w:rsid w:val="005E168A"/>
    <w:rsid w:val="005E4593"/>
    <w:rsid w:val="005E607F"/>
    <w:rsid w:val="005E74D1"/>
    <w:rsid w:val="005E76FA"/>
    <w:rsid w:val="005F1A09"/>
    <w:rsid w:val="005F236A"/>
    <w:rsid w:val="005F789E"/>
    <w:rsid w:val="00605B90"/>
    <w:rsid w:val="00607E74"/>
    <w:rsid w:val="00612EC3"/>
    <w:rsid w:val="00617C2B"/>
    <w:rsid w:val="0062435C"/>
    <w:rsid w:val="00624ECB"/>
    <w:rsid w:val="00626168"/>
    <w:rsid w:val="006367A3"/>
    <w:rsid w:val="00636A33"/>
    <w:rsid w:val="00637577"/>
    <w:rsid w:val="006409B0"/>
    <w:rsid w:val="00651C1E"/>
    <w:rsid w:val="0065523D"/>
    <w:rsid w:val="00657DAA"/>
    <w:rsid w:val="00657E61"/>
    <w:rsid w:val="0066450D"/>
    <w:rsid w:val="006649C1"/>
    <w:rsid w:val="00665090"/>
    <w:rsid w:val="00666936"/>
    <w:rsid w:val="00667BEE"/>
    <w:rsid w:val="00670C31"/>
    <w:rsid w:val="00670C55"/>
    <w:rsid w:val="0067165D"/>
    <w:rsid w:val="0067246B"/>
    <w:rsid w:val="006739F3"/>
    <w:rsid w:val="006844B7"/>
    <w:rsid w:val="00686506"/>
    <w:rsid w:val="0069509D"/>
    <w:rsid w:val="006966A9"/>
    <w:rsid w:val="00697E98"/>
    <w:rsid w:val="006A1A57"/>
    <w:rsid w:val="006A424F"/>
    <w:rsid w:val="006A4F58"/>
    <w:rsid w:val="006A78D8"/>
    <w:rsid w:val="006B089B"/>
    <w:rsid w:val="006B1DDD"/>
    <w:rsid w:val="006B32B3"/>
    <w:rsid w:val="006B7A64"/>
    <w:rsid w:val="006C301C"/>
    <w:rsid w:val="006C45CF"/>
    <w:rsid w:val="006C5433"/>
    <w:rsid w:val="006D4E93"/>
    <w:rsid w:val="006D79F5"/>
    <w:rsid w:val="006E341A"/>
    <w:rsid w:val="006E39AE"/>
    <w:rsid w:val="006F278B"/>
    <w:rsid w:val="006F36F7"/>
    <w:rsid w:val="006F3DA2"/>
    <w:rsid w:val="006F7567"/>
    <w:rsid w:val="006F771F"/>
    <w:rsid w:val="0070176F"/>
    <w:rsid w:val="00701C19"/>
    <w:rsid w:val="0071052E"/>
    <w:rsid w:val="00712984"/>
    <w:rsid w:val="00714C5F"/>
    <w:rsid w:val="00720B0D"/>
    <w:rsid w:val="00741E5D"/>
    <w:rsid w:val="00742570"/>
    <w:rsid w:val="0074396F"/>
    <w:rsid w:val="0074430B"/>
    <w:rsid w:val="007444CB"/>
    <w:rsid w:val="0074590F"/>
    <w:rsid w:val="007522BA"/>
    <w:rsid w:val="00753B62"/>
    <w:rsid w:val="00757CE8"/>
    <w:rsid w:val="00766896"/>
    <w:rsid w:val="00767F34"/>
    <w:rsid w:val="00772B60"/>
    <w:rsid w:val="00775188"/>
    <w:rsid w:val="007757F7"/>
    <w:rsid w:val="00775BCF"/>
    <w:rsid w:val="00786C02"/>
    <w:rsid w:val="007A14D4"/>
    <w:rsid w:val="007A23C9"/>
    <w:rsid w:val="007A2C8F"/>
    <w:rsid w:val="007A3578"/>
    <w:rsid w:val="007A422A"/>
    <w:rsid w:val="007B341C"/>
    <w:rsid w:val="007C3F7E"/>
    <w:rsid w:val="007C6CCE"/>
    <w:rsid w:val="007D0B4A"/>
    <w:rsid w:val="007D1E7F"/>
    <w:rsid w:val="007D4E4D"/>
    <w:rsid w:val="007E0970"/>
    <w:rsid w:val="007E16BA"/>
    <w:rsid w:val="007E375F"/>
    <w:rsid w:val="007E455C"/>
    <w:rsid w:val="007E4810"/>
    <w:rsid w:val="007E56EC"/>
    <w:rsid w:val="007F262C"/>
    <w:rsid w:val="007F4C0A"/>
    <w:rsid w:val="007F79EF"/>
    <w:rsid w:val="00801883"/>
    <w:rsid w:val="00802BC2"/>
    <w:rsid w:val="008038A3"/>
    <w:rsid w:val="00804A81"/>
    <w:rsid w:val="00806070"/>
    <w:rsid w:val="0081084B"/>
    <w:rsid w:val="0081249F"/>
    <w:rsid w:val="00831358"/>
    <w:rsid w:val="00831BF0"/>
    <w:rsid w:val="00832398"/>
    <w:rsid w:val="0083358C"/>
    <w:rsid w:val="0083471B"/>
    <w:rsid w:val="00834DE0"/>
    <w:rsid w:val="00836E8D"/>
    <w:rsid w:val="00840375"/>
    <w:rsid w:val="0084056D"/>
    <w:rsid w:val="00841371"/>
    <w:rsid w:val="00841EEB"/>
    <w:rsid w:val="008517CC"/>
    <w:rsid w:val="0085358E"/>
    <w:rsid w:val="00855727"/>
    <w:rsid w:val="00867694"/>
    <w:rsid w:val="0088627F"/>
    <w:rsid w:val="00890DE6"/>
    <w:rsid w:val="00891593"/>
    <w:rsid w:val="008933E1"/>
    <w:rsid w:val="008939A6"/>
    <w:rsid w:val="00896AF7"/>
    <w:rsid w:val="00896CD2"/>
    <w:rsid w:val="008A2E1F"/>
    <w:rsid w:val="008A5CFE"/>
    <w:rsid w:val="008B0A07"/>
    <w:rsid w:val="008B471E"/>
    <w:rsid w:val="008C0DC2"/>
    <w:rsid w:val="008C1549"/>
    <w:rsid w:val="008C1C87"/>
    <w:rsid w:val="008C220F"/>
    <w:rsid w:val="008C4FE6"/>
    <w:rsid w:val="008D1BD2"/>
    <w:rsid w:val="008E315F"/>
    <w:rsid w:val="008E32DF"/>
    <w:rsid w:val="008E4C30"/>
    <w:rsid w:val="008F0924"/>
    <w:rsid w:val="008F2C4B"/>
    <w:rsid w:val="008F630C"/>
    <w:rsid w:val="00902D3F"/>
    <w:rsid w:val="00902EB4"/>
    <w:rsid w:val="009127F3"/>
    <w:rsid w:val="00912B23"/>
    <w:rsid w:val="00913979"/>
    <w:rsid w:val="00920201"/>
    <w:rsid w:val="00923578"/>
    <w:rsid w:val="00924980"/>
    <w:rsid w:val="009270AB"/>
    <w:rsid w:val="009277FD"/>
    <w:rsid w:val="00932B9B"/>
    <w:rsid w:val="00934045"/>
    <w:rsid w:val="00934099"/>
    <w:rsid w:val="00934AE1"/>
    <w:rsid w:val="00937293"/>
    <w:rsid w:val="00940A52"/>
    <w:rsid w:val="00940E25"/>
    <w:rsid w:val="009602EA"/>
    <w:rsid w:val="0096332A"/>
    <w:rsid w:val="00964E28"/>
    <w:rsid w:val="0096646E"/>
    <w:rsid w:val="00967BE7"/>
    <w:rsid w:val="009731B7"/>
    <w:rsid w:val="009757DC"/>
    <w:rsid w:val="0097689A"/>
    <w:rsid w:val="00984B50"/>
    <w:rsid w:val="00987259"/>
    <w:rsid w:val="00994EB3"/>
    <w:rsid w:val="009A12BC"/>
    <w:rsid w:val="009A3FAF"/>
    <w:rsid w:val="009B694B"/>
    <w:rsid w:val="009C7BFB"/>
    <w:rsid w:val="009D057D"/>
    <w:rsid w:val="009D0662"/>
    <w:rsid w:val="009D3F8C"/>
    <w:rsid w:val="009D582A"/>
    <w:rsid w:val="009E4358"/>
    <w:rsid w:val="009E5C5D"/>
    <w:rsid w:val="009E688C"/>
    <w:rsid w:val="009E743B"/>
    <w:rsid w:val="009F19B5"/>
    <w:rsid w:val="009F2CED"/>
    <w:rsid w:val="00A01615"/>
    <w:rsid w:val="00A066F0"/>
    <w:rsid w:val="00A223AE"/>
    <w:rsid w:val="00A22BEE"/>
    <w:rsid w:val="00A23358"/>
    <w:rsid w:val="00A25DFA"/>
    <w:rsid w:val="00A31EBB"/>
    <w:rsid w:val="00A3526A"/>
    <w:rsid w:val="00A3542A"/>
    <w:rsid w:val="00A359FE"/>
    <w:rsid w:val="00A4024B"/>
    <w:rsid w:val="00A45341"/>
    <w:rsid w:val="00A54744"/>
    <w:rsid w:val="00A5565C"/>
    <w:rsid w:val="00A61D21"/>
    <w:rsid w:val="00A64771"/>
    <w:rsid w:val="00A65542"/>
    <w:rsid w:val="00A6642C"/>
    <w:rsid w:val="00A67519"/>
    <w:rsid w:val="00A71903"/>
    <w:rsid w:val="00A73594"/>
    <w:rsid w:val="00A83F65"/>
    <w:rsid w:val="00A86250"/>
    <w:rsid w:val="00A865D6"/>
    <w:rsid w:val="00A951B4"/>
    <w:rsid w:val="00AB055F"/>
    <w:rsid w:val="00AB0CA1"/>
    <w:rsid w:val="00AB40C8"/>
    <w:rsid w:val="00AC149F"/>
    <w:rsid w:val="00AC19A4"/>
    <w:rsid w:val="00AC38C5"/>
    <w:rsid w:val="00AD0EBF"/>
    <w:rsid w:val="00AD1017"/>
    <w:rsid w:val="00AD1987"/>
    <w:rsid w:val="00AD46CF"/>
    <w:rsid w:val="00AD6318"/>
    <w:rsid w:val="00AD7930"/>
    <w:rsid w:val="00AE294A"/>
    <w:rsid w:val="00AE2CB1"/>
    <w:rsid w:val="00AE3A00"/>
    <w:rsid w:val="00AE48C6"/>
    <w:rsid w:val="00AE4BC7"/>
    <w:rsid w:val="00AE531E"/>
    <w:rsid w:val="00AE7D46"/>
    <w:rsid w:val="00AF219B"/>
    <w:rsid w:val="00AF40EF"/>
    <w:rsid w:val="00AF65BD"/>
    <w:rsid w:val="00AF7F25"/>
    <w:rsid w:val="00B02923"/>
    <w:rsid w:val="00B03A86"/>
    <w:rsid w:val="00B044ED"/>
    <w:rsid w:val="00B11829"/>
    <w:rsid w:val="00B12318"/>
    <w:rsid w:val="00B130DC"/>
    <w:rsid w:val="00B23C90"/>
    <w:rsid w:val="00B315C6"/>
    <w:rsid w:val="00B36197"/>
    <w:rsid w:val="00B36F53"/>
    <w:rsid w:val="00B41C01"/>
    <w:rsid w:val="00B45AFA"/>
    <w:rsid w:val="00B55E11"/>
    <w:rsid w:val="00B566A6"/>
    <w:rsid w:val="00B57E19"/>
    <w:rsid w:val="00B62ED8"/>
    <w:rsid w:val="00B70F22"/>
    <w:rsid w:val="00B712E4"/>
    <w:rsid w:val="00B71D2B"/>
    <w:rsid w:val="00B738E2"/>
    <w:rsid w:val="00B77BE3"/>
    <w:rsid w:val="00B805FC"/>
    <w:rsid w:val="00B81198"/>
    <w:rsid w:val="00B81ADA"/>
    <w:rsid w:val="00B86E88"/>
    <w:rsid w:val="00B90DF9"/>
    <w:rsid w:val="00B95D42"/>
    <w:rsid w:val="00B95DE5"/>
    <w:rsid w:val="00BA4A86"/>
    <w:rsid w:val="00BA6867"/>
    <w:rsid w:val="00BA6C6B"/>
    <w:rsid w:val="00BA701E"/>
    <w:rsid w:val="00BB2F1E"/>
    <w:rsid w:val="00BC560A"/>
    <w:rsid w:val="00BC6582"/>
    <w:rsid w:val="00BC6750"/>
    <w:rsid w:val="00BD3379"/>
    <w:rsid w:val="00BD364C"/>
    <w:rsid w:val="00BD4C6F"/>
    <w:rsid w:val="00BE1193"/>
    <w:rsid w:val="00BE1E26"/>
    <w:rsid w:val="00BE652C"/>
    <w:rsid w:val="00BE69E4"/>
    <w:rsid w:val="00BE7709"/>
    <w:rsid w:val="00BF4143"/>
    <w:rsid w:val="00BF7EB9"/>
    <w:rsid w:val="00C050AD"/>
    <w:rsid w:val="00C12DC2"/>
    <w:rsid w:val="00C141D8"/>
    <w:rsid w:val="00C1583D"/>
    <w:rsid w:val="00C2500E"/>
    <w:rsid w:val="00C31026"/>
    <w:rsid w:val="00C335AC"/>
    <w:rsid w:val="00C367BE"/>
    <w:rsid w:val="00C40430"/>
    <w:rsid w:val="00C41CFC"/>
    <w:rsid w:val="00C42372"/>
    <w:rsid w:val="00C42AAB"/>
    <w:rsid w:val="00C555A0"/>
    <w:rsid w:val="00C75443"/>
    <w:rsid w:val="00C77EB5"/>
    <w:rsid w:val="00C8324C"/>
    <w:rsid w:val="00C86190"/>
    <w:rsid w:val="00C91374"/>
    <w:rsid w:val="00C9270E"/>
    <w:rsid w:val="00C92A89"/>
    <w:rsid w:val="00C92B23"/>
    <w:rsid w:val="00C939A1"/>
    <w:rsid w:val="00C96831"/>
    <w:rsid w:val="00C977A9"/>
    <w:rsid w:val="00CA40AA"/>
    <w:rsid w:val="00CB12A0"/>
    <w:rsid w:val="00CB4C8F"/>
    <w:rsid w:val="00CC506F"/>
    <w:rsid w:val="00CD17F6"/>
    <w:rsid w:val="00CD5361"/>
    <w:rsid w:val="00CE1D2E"/>
    <w:rsid w:val="00CE31B5"/>
    <w:rsid w:val="00CE4B9F"/>
    <w:rsid w:val="00D0300F"/>
    <w:rsid w:val="00D049E2"/>
    <w:rsid w:val="00D05699"/>
    <w:rsid w:val="00D063CA"/>
    <w:rsid w:val="00D07A42"/>
    <w:rsid w:val="00D12A60"/>
    <w:rsid w:val="00D3428F"/>
    <w:rsid w:val="00D37CC7"/>
    <w:rsid w:val="00D40D95"/>
    <w:rsid w:val="00D4136C"/>
    <w:rsid w:val="00D43F5C"/>
    <w:rsid w:val="00D447D3"/>
    <w:rsid w:val="00D46794"/>
    <w:rsid w:val="00D5257E"/>
    <w:rsid w:val="00D52B1F"/>
    <w:rsid w:val="00D64CEE"/>
    <w:rsid w:val="00D76723"/>
    <w:rsid w:val="00D77C46"/>
    <w:rsid w:val="00D81F8E"/>
    <w:rsid w:val="00D82508"/>
    <w:rsid w:val="00D826B4"/>
    <w:rsid w:val="00D8440E"/>
    <w:rsid w:val="00D92208"/>
    <w:rsid w:val="00D93291"/>
    <w:rsid w:val="00D93D64"/>
    <w:rsid w:val="00D944CB"/>
    <w:rsid w:val="00D95106"/>
    <w:rsid w:val="00DA2667"/>
    <w:rsid w:val="00DA30F0"/>
    <w:rsid w:val="00DA546B"/>
    <w:rsid w:val="00DB1E92"/>
    <w:rsid w:val="00DB2D8E"/>
    <w:rsid w:val="00DB558D"/>
    <w:rsid w:val="00DB5CBA"/>
    <w:rsid w:val="00DB7EF0"/>
    <w:rsid w:val="00DC19CC"/>
    <w:rsid w:val="00DC1D87"/>
    <w:rsid w:val="00DC6220"/>
    <w:rsid w:val="00DC72B8"/>
    <w:rsid w:val="00DD2C97"/>
    <w:rsid w:val="00DD3630"/>
    <w:rsid w:val="00DD7C07"/>
    <w:rsid w:val="00DE17A2"/>
    <w:rsid w:val="00DE55E4"/>
    <w:rsid w:val="00DE5927"/>
    <w:rsid w:val="00DE5BAF"/>
    <w:rsid w:val="00DE5C08"/>
    <w:rsid w:val="00DF0F39"/>
    <w:rsid w:val="00DF51BB"/>
    <w:rsid w:val="00E10A5C"/>
    <w:rsid w:val="00E10D65"/>
    <w:rsid w:val="00E13717"/>
    <w:rsid w:val="00E13BD5"/>
    <w:rsid w:val="00E142D7"/>
    <w:rsid w:val="00E14A7E"/>
    <w:rsid w:val="00E15771"/>
    <w:rsid w:val="00E20310"/>
    <w:rsid w:val="00E206E1"/>
    <w:rsid w:val="00E27840"/>
    <w:rsid w:val="00E35212"/>
    <w:rsid w:val="00E35952"/>
    <w:rsid w:val="00E37916"/>
    <w:rsid w:val="00E4434D"/>
    <w:rsid w:val="00E50CCE"/>
    <w:rsid w:val="00E5397F"/>
    <w:rsid w:val="00E5638A"/>
    <w:rsid w:val="00E57858"/>
    <w:rsid w:val="00E632C7"/>
    <w:rsid w:val="00E715AB"/>
    <w:rsid w:val="00E740D8"/>
    <w:rsid w:val="00E76084"/>
    <w:rsid w:val="00E76E6A"/>
    <w:rsid w:val="00E7701B"/>
    <w:rsid w:val="00E8100C"/>
    <w:rsid w:val="00E82FCD"/>
    <w:rsid w:val="00E846B3"/>
    <w:rsid w:val="00E86722"/>
    <w:rsid w:val="00E90E63"/>
    <w:rsid w:val="00E93570"/>
    <w:rsid w:val="00E95077"/>
    <w:rsid w:val="00EA0EBE"/>
    <w:rsid w:val="00EA6FA6"/>
    <w:rsid w:val="00EB0EE8"/>
    <w:rsid w:val="00EB357B"/>
    <w:rsid w:val="00EB6028"/>
    <w:rsid w:val="00EB672A"/>
    <w:rsid w:val="00EC27A6"/>
    <w:rsid w:val="00ED0271"/>
    <w:rsid w:val="00ED0550"/>
    <w:rsid w:val="00ED1E73"/>
    <w:rsid w:val="00ED3B0A"/>
    <w:rsid w:val="00ED7EE9"/>
    <w:rsid w:val="00EE0775"/>
    <w:rsid w:val="00EE2ADA"/>
    <w:rsid w:val="00EE31D1"/>
    <w:rsid w:val="00EE50AE"/>
    <w:rsid w:val="00F00006"/>
    <w:rsid w:val="00F00B2F"/>
    <w:rsid w:val="00F01B65"/>
    <w:rsid w:val="00F02618"/>
    <w:rsid w:val="00F03254"/>
    <w:rsid w:val="00F05BF6"/>
    <w:rsid w:val="00F06A3E"/>
    <w:rsid w:val="00F234B6"/>
    <w:rsid w:val="00F24055"/>
    <w:rsid w:val="00F328FC"/>
    <w:rsid w:val="00F33AE2"/>
    <w:rsid w:val="00F401DE"/>
    <w:rsid w:val="00F4235B"/>
    <w:rsid w:val="00F42419"/>
    <w:rsid w:val="00F45033"/>
    <w:rsid w:val="00F47623"/>
    <w:rsid w:val="00F476D8"/>
    <w:rsid w:val="00F477B6"/>
    <w:rsid w:val="00F5327E"/>
    <w:rsid w:val="00F53B23"/>
    <w:rsid w:val="00F57CD4"/>
    <w:rsid w:val="00F61503"/>
    <w:rsid w:val="00F77DA6"/>
    <w:rsid w:val="00F85185"/>
    <w:rsid w:val="00F91430"/>
    <w:rsid w:val="00F97471"/>
    <w:rsid w:val="00FA0793"/>
    <w:rsid w:val="00FA41B9"/>
    <w:rsid w:val="00FA6061"/>
    <w:rsid w:val="00FA71E5"/>
    <w:rsid w:val="00FA7E36"/>
    <w:rsid w:val="00FB1C5F"/>
    <w:rsid w:val="00FB53D6"/>
    <w:rsid w:val="00FC15C2"/>
    <w:rsid w:val="00FD4516"/>
    <w:rsid w:val="00FE13E2"/>
    <w:rsid w:val="00FE272D"/>
    <w:rsid w:val="00FE29EF"/>
    <w:rsid w:val="00FE3060"/>
    <w:rsid w:val="00FE6338"/>
    <w:rsid w:val="00FE6672"/>
    <w:rsid w:val="00FE6B9A"/>
    <w:rsid w:val="00FF39B2"/>
    <w:rsid w:val="00FF4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7A3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tabs>
        <w:tab w:val="num" w:pos="0"/>
      </w:tabs>
      <w:suppressAutoHyphens w:val="0"/>
      <w:spacing w:before="280" w:after="280"/>
      <w:ind w:left="432" w:hanging="432"/>
      <w:outlineLvl w:val="0"/>
    </w:pPr>
    <w:rPr>
      <w:rFonts w:ascii="Times New Roman" w:eastAsia="Times New Roman" w:hAnsi="Times New Roman"/>
      <w:b/>
      <w:bCs/>
      <w:sz w:val="48"/>
      <w:szCs w:val="48"/>
      <w:lang w:val="en-GB"/>
    </w:rPr>
  </w:style>
  <w:style w:type="paragraph" w:styleId="Heading2">
    <w:name w:val="heading 2"/>
    <w:basedOn w:val="Normal"/>
    <w:next w:val="Normal"/>
    <w:link w:val="Heading2Char"/>
    <w:uiPriority w:val="9"/>
    <w:unhideWhenUsed/>
    <w:qFormat/>
    <w:rsid w:val="00FE29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semiHidden/>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iPriority w:val="99"/>
    <w:unhideWhenUsed/>
    <w:rsid w:val="00AD0EBF"/>
    <w:rPr>
      <w:sz w:val="20"/>
      <w:szCs w:val="20"/>
    </w:rPr>
  </w:style>
  <w:style w:type="character" w:customStyle="1" w:styleId="FootnoteTextChar">
    <w:name w:val="Footnote Text Char"/>
    <w:link w:val="FootnoteText"/>
    <w:uiPriority w:val="99"/>
    <w:rsid w:val="00AD0EBF"/>
    <w:rPr>
      <w:rFonts w:ascii="Calibri" w:eastAsia="Calibri" w:hAnsi="Calibri"/>
      <w:kern w:val="1"/>
      <w:lang w:val="en-US" w:eastAsia="ar-SA"/>
    </w:rPr>
  </w:style>
  <w:style w:type="character" w:styleId="FootnoteReference">
    <w:name w:val="footnote reference"/>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891593"/>
    <w:pPr>
      <w:suppressAutoHyphens w:val="0"/>
      <w:spacing w:before="100" w:beforeAutospacing="1" w:after="100" w:afterAutospacing="1"/>
    </w:pPr>
    <w:rPr>
      <w:rFonts w:ascii="Times" w:eastAsiaTheme="minorEastAsia" w:hAnsi="Times"/>
      <w:kern w:val="0"/>
      <w:sz w:val="20"/>
      <w:szCs w:val="20"/>
      <w:lang w:eastAsia="en-US"/>
    </w:rPr>
  </w:style>
  <w:style w:type="character" w:customStyle="1" w:styleId="Heading2Char">
    <w:name w:val="Heading 2 Char"/>
    <w:basedOn w:val="DefaultParagraphFont"/>
    <w:link w:val="Heading2"/>
    <w:uiPriority w:val="9"/>
    <w:rsid w:val="00FE29EF"/>
    <w:rPr>
      <w:rFonts w:asciiTheme="majorHAnsi" w:eastAsiaTheme="majorEastAsia" w:hAnsiTheme="majorHAnsi" w:cstheme="majorBidi"/>
      <w:b/>
      <w:bCs/>
      <w:color w:val="4F81BD" w:themeColor="accent1"/>
      <w:kern w:val="1"/>
      <w:sz w:val="26"/>
      <w:szCs w:val="26"/>
      <w:lang w:eastAsia="ar-SA"/>
    </w:rPr>
  </w:style>
  <w:style w:type="table" w:styleId="TableGrid">
    <w:name w:val="Table Grid"/>
    <w:basedOn w:val="TableNormal"/>
    <w:uiPriority w:val="59"/>
    <w:rsid w:val="0080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uiPriority w:val="29"/>
    <w:qFormat/>
    <w:rsid w:val="0080607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
    <w:name w:val="Medium Grid 3"/>
    <w:basedOn w:val="TableNormal"/>
    <w:uiPriority w:val="64"/>
    <w:rsid w:val="0080607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Accent1">
    <w:name w:val="Medium Shading 1 Accent 1"/>
    <w:basedOn w:val="TableNormal"/>
    <w:uiPriority w:val="68"/>
    <w:rsid w:val="0080607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tabs>
        <w:tab w:val="num" w:pos="0"/>
      </w:tabs>
      <w:suppressAutoHyphens w:val="0"/>
      <w:spacing w:before="280" w:after="280"/>
      <w:ind w:left="432" w:hanging="432"/>
      <w:outlineLvl w:val="0"/>
    </w:pPr>
    <w:rPr>
      <w:rFonts w:ascii="Times New Roman" w:eastAsia="Times New Roman" w:hAnsi="Times New Roman"/>
      <w:b/>
      <w:bCs/>
      <w:sz w:val="48"/>
      <w:szCs w:val="48"/>
      <w:lang w:val="en-GB"/>
    </w:rPr>
  </w:style>
  <w:style w:type="paragraph" w:styleId="Heading2">
    <w:name w:val="heading 2"/>
    <w:basedOn w:val="Normal"/>
    <w:next w:val="Normal"/>
    <w:link w:val="Heading2Char"/>
    <w:uiPriority w:val="9"/>
    <w:unhideWhenUsed/>
    <w:qFormat/>
    <w:rsid w:val="00FE29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semiHidden/>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iPriority w:val="99"/>
    <w:unhideWhenUsed/>
    <w:rsid w:val="00AD0EBF"/>
    <w:rPr>
      <w:sz w:val="20"/>
      <w:szCs w:val="20"/>
    </w:rPr>
  </w:style>
  <w:style w:type="character" w:customStyle="1" w:styleId="FootnoteTextChar">
    <w:name w:val="Footnote Text Char"/>
    <w:link w:val="FootnoteText"/>
    <w:uiPriority w:val="99"/>
    <w:rsid w:val="00AD0EBF"/>
    <w:rPr>
      <w:rFonts w:ascii="Calibri" w:eastAsia="Calibri" w:hAnsi="Calibri"/>
      <w:kern w:val="1"/>
      <w:lang w:val="en-US" w:eastAsia="ar-SA"/>
    </w:rPr>
  </w:style>
  <w:style w:type="character" w:styleId="FootnoteReference">
    <w:name w:val="footnote reference"/>
    <w:uiPriority w:val="99"/>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891593"/>
    <w:pPr>
      <w:suppressAutoHyphens w:val="0"/>
      <w:spacing w:before="100" w:beforeAutospacing="1" w:after="100" w:afterAutospacing="1"/>
    </w:pPr>
    <w:rPr>
      <w:rFonts w:ascii="Times" w:eastAsiaTheme="minorEastAsia" w:hAnsi="Times"/>
      <w:kern w:val="0"/>
      <w:sz w:val="20"/>
      <w:szCs w:val="20"/>
      <w:lang w:eastAsia="en-US"/>
    </w:rPr>
  </w:style>
  <w:style w:type="character" w:customStyle="1" w:styleId="Heading2Char">
    <w:name w:val="Heading 2 Char"/>
    <w:basedOn w:val="DefaultParagraphFont"/>
    <w:link w:val="Heading2"/>
    <w:uiPriority w:val="9"/>
    <w:rsid w:val="00FE29EF"/>
    <w:rPr>
      <w:rFonts w:asciiTheme="majorHAnsi" w:eastAsiaTheme="majorEastAsia" w:hAnsiTheme="majorHAnsi" w:cstheme="majorBidi"/>
      <w:b/>
      <w:bCs/>
      <w:color w:val="4F81BD" w:themeColor="accent1"/>
      <w:kern w:val="1"/>
      <w:sz w:val="26"/>
      <w:szCs w:val="26"/>
      <w:lang w:eastAsia="ar-SA"/>
    </w:rPr>
  </w:style>
  <w:style w:type="table" w:styleId="TableGrid">
    <w:name w:val="Table Grid"/>
    <w:basedOn w:val="TableNormal"/>
    <w:uiPriority w:val="59"/>
    <w:rsid w:val="0080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uiPriority w:val="29"/>
    <w:qFormat/>
    <w:rsid w:val="00806070"/>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
    <w:name w:val="Medium Grid 3"/>
    <w:basedOn w:val="TableNormal"/>
    <w:uiPriority w:val="64"/>
    <w:rsid w:val="0080607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Accent1">
    <w:name w:val="Medium Shading 1 Accent 1"/>
    <w:basedOn w:val="TableNormal"/>
    <w:uiPriority w:val="68"/>
    <w:rsid w:val="0080607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6061">
      <w:bodyDiv w:val="1"/>
      <w:marLeft w:val="0"/>
      <w:marRight w:val="0"/>
      <w:marTop w:val="0"/>
      <w:marBottom w:val="0"/>
      <w:divBdr>
        <w:top w:val="none" w:sz="0" w:space="0" w:color="auto"/>
        <w:left w:val="none" w:sz="0" w:space="0" w:color="auto"/>
        <w:bottom w:val="none" w:sz="0" w:space="0" w:color="auto"/>
        <w:right w:val="none" w:sz="0" w:space="0" w:color="auto"/>
      </w:divBdr>
    </w:div>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336003529">
      <w:bodyDiv w:val="1"/>
      <w:marLeft w:val="0"/>
      <w:marRight w:val="0"/>
      <w:marTop w:val="0"/>
      <w:marBottom w:val="0"/>
      <w:divBdr>
        <w:top w:val="none" w:sz="0" w:space="0" w:color="auto"/>
        <w:left w:val="none" w:sz="0" w:space="0" w:color="auto"/>
        <w:bottom w:val="none" w:sz="0" w:space="0" w:color="auto"/>
        <w:right w:val="none" w:sz="0" w:space="0" w:color="auto"/>
      </w:divBdr>
    </w:div>
    <w:div w:id="466315606">
      <w:bodyDiv w:val="1"/>
      <w:marLeft w:val="0"/>
      <w:marRight w:val="0"/>
      <w:marTop w:val="0"/>
      <w:marBottom w:val="0"/>
      <w:divBdr>
        <w:top w:val="none" w:sz="0" w:space="0" w:color="auto"/>
        <w:left w:val="none" w:sz="0" w:space="0" w:color="auto"/>
        <w:bottom w:val="none" w:sz="0" w:space="0" w:color="auto"/>
        <w:right w:val="none" w:sz="0" w:space="0" w:color="auto"/>
      </w:divBdr>
    </w:div>
    <w:div w:id="519129718">
      <w:bodyDiv w:val="1"/>
      <w:marLeft w:val="0"/>
      <w:marRight w:val="0"/>
      <w:marTop w:val="0"/>
      <w:marBottom w:val="0"/>
      <w:divBdr>
        <w:top w:val="none" w:sz="0" w:space="0" w:color="auto"/>
        <w:left w:val="none" w:sz="0" w:space="0" w:color="auto"/>
        <w:bottom w:val="none" w:sz="0" w:space="0" w:color="auto"/>
        <w:right w:val="none" w:sz="0" w:space="0" w:color="auto"/>
      </w:divBdr>
    </w:div>
    <w:div w:id="578298197">
      <w:bodyDiv w:val="1"/>
      <w:marLeft w:val="0"/>
      <w:marRight w:val="0"/>
      <w:marTop w:val="0"/>
      <w:marBottom w:val="0"/>
      <w:divBdr>
        <w:top w:val="none" w:sz="0" w:space="0" w:color="auto"/>
        <w:left w:val="none" w:sz="0" w:space="0" w:color="auto"/>
        <w:bottom w:val="none" w:sz="0" w:space="0" w:color="auto"/>
        <w:right w:val="none" w:sz="0" w:space="0" w:color="auto"/>
      </w:divBdr>
    </w:div>
    <w:div w:id="584346315">
      <w:bodyDiv w:val="1"/>
      <w:marLeft w:val="0"/>
      <w:marRight w:val="0"/>
      <w:marTop w:val="0"/>
      <w:marBottom w:val="0"/>
      <w:divBdr>
        <w:top w:val="none" w:sz="0" w:space="0" w:color="auto"/>
        <w:left w:val="none" w:sz="0" w:space="0" w:color="auto"/>
        <w:bottom w:val="none" w:sz="0" w:space="0" w:color="auto"/>
        <w:right w:val="none" w:sz="0" w:space="0" w:color="auto"/>
      </w:divBdr>
    </w:div>
    <w:div w:id="712122754">
      <w:bodyDiv w:val="1"/>
      <w:marLeft w:val="0"/>
      <w:marRight w:val="0"/>
      <w:marTop w:val="0"/>
      <w:marBottom w:val="0"/>
      <w:divBdr>
        <w:top w:val="none" w:sz="0" w:space="0" w:color="auto"/>
        <w:left w:val="none" w:sz="0" w:space="0" w:color="auto"/>
        <w:bottom w:val="none" w:sz="0" w:space="0" w:color="auto"/>
        <w:right w:val="none" w:sz="0" w:space="0" w:color="auto"/>
      </w:divBdr>
    </w:div>
    <w:div w:id="770054563">
      <w:bodyDiv w:val="1"/>
      <w:marLeft w:val="0"/>
      <w:marRight w:val="0"/>
      <w:marTop w:val="0"/>
      <w:marBottom w:val="0"/>
      <w:divBdr>
        <w:top w:val="none" w:sz="0" w:space="0" w:color="auto"/>
        <w:left w:val="none" w:sz="0" w:space="0" w:color="auto"/>
        <w:bottom w:val="none" w:sz="0" w:space="0" w:color="auto"/>
        <w:right w:val="none" w:sz="0" w:space="0" w:color="auto"/>
      </w:divBdr>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846598129">
      <w:bodyDiv w:val="1"/>
      <w:marLeft w:val="0"/>
      <w:marRight w:val="0"/>
      <w:marTop w:val="0"/>
      <w:marBottom w:val="0"/>
      <w:divBdr>
        <w:top w:val="none" w:sz="0" w:space="0" w:color="auto"/>
        <w:left w:val="none" w:sz="0" w:space="0" w:color="auto"/>
        <w:bottom w:val="none" w:sz="0" w:space="0" w:color="auto"/>
        <w:right w:val="none" w:sz="0" w:space="0" w:color="auto"/>
      </w:divBdr>
    </w:div>
    <w:div w:id="890263240">
      <w:bodyDiv w:val="1"/>
      <w:marLeft w:val="0"/>
      <w:marRight w:val="0"/>
      <w:marTop w:val="0"/>
      <w:marBottom w:val="0"/>
      <w:divBdr>
        <w:top w:val="none" w:sz="0" w:space="0" w:color="auto"/>
        <w:left w:val="none" w:sz="0" w:space="0" w:color="auto"/>
        <w:bottom w:val="none" w:sz="0" w:space="0" w:color="auto"/>
        <w:right w:val="none" w:sz="0" w:space="0" w:color="auto"/>
      </w:divBdr>
    </w:div>
    <w:div w:id="946499969">
      <w:bodyDiv w:val="1"/>
      <w:marLeft w:val="0"/>
      <w:marRight w:val="0"/>
      <w:marTop w:val="0"/>
      <w:marBottom w:val="0"/>
      <w:divBdr>
        <w:top w:val="none" w:sz="0" w:space="0" w:color="auto"/>
        <w:left w:val="none" w:sz="0" w:space="0" w:color="auto"/>
        <w:bottom w:val="none" w:sz="0" w:space="0" w:color="auto"/>
        <w:right w:val="none" w:sz="0" w:space="0" w:color="auto"/>
      </w:divBdr>
    </w:div>
    <w:div w:id="973606773">
      <w:bodyDiv w:val="1"/>
      <w:marLeft w:val="0"/>
      <w:marRight w:val="0"/>
      <w:marTop w:val="0"/>
      <w:marBottom w:val="0"/>
      <w:divBdr>
        <w:top w:val="none" w:sz="0" w:space="0" w:color="auto"/>
        <w:left w:val="none" w:sz="0" w:space="0" w:color="auto"/>
        <w:bottom w:val="none" w:sz="0" w:space="0" w:color="auto"/>
        <w:right w:val="none" w:sz="0" w:space="0" w:color="auto"/>
      </w:divBdr>
    </w:div>
    <w:div w:id="1001473701">
      <w:bodyDiv w:val="1"/>
      <w:marLeft w:val="0"/>
      <w:marRight w:val="0"/>
      <w:marTop w:val="0"/>
      <w:marBottom w:val="0"/>
      <w:divBdr>
        <w:top w:val="none" w:sz="0" w:space="0" w:color="auto"/>
        <w:left w:val="none" w:sz="0" w:space="0" w:color="auto"/>
        <w:bottom w:val="none" w:sz="0" w:space="0" w:color="auto"/>
        <w:right w:val="none" w:sz="0" w:space="0" w:color="auto"/>
      </w:divBdr>
    </w:div>
    <w:div w:id="1157498665">
      <w:bodyDiv w:val="1"/>
      <w:marLeft w:val="0"/>
      <w:marRight w:val="0"/>
      <w:marTop w:val="0"/>
      <w:marBottom w:val="0"/>
      <w:divBdr>
        <w:top w:val="none" w:sz="0" w:space="0" w:color="auto"/>
        <w:left w:val="none" w:sz="0" w:space="0" w:color="auto"/>
        <w:bottom w:val="none" w:sz="0" w:space="0" w:color="auto"/>
        <w:right w:val="none" w:sz="0" w:space="0" w:color="auto"/>
      </w:divBdr>
    </w:div>
    <w:div w:id="1263105778">
      <w:bodyDiv w:val="1"/>
      <w:marLeft w:val="0"/>
      <w:marRight w:val="0"/>
      <w:marTop w:val="0"/>
      <w:marBottom w:val="0"/>
      <w:divBdr>
        <w:top w:val="none" w:sz="0" w:space="0" w:color="auto"/>
        <w:left w:val="none" w:sz="0" w:space="0" w:color="auto"/>
        <w:bottom w:val="none" w:sz="0" w:space="0" w:color="auto"/>
        <w:right w:val="none" w:sz="0" w:space="0" w:color="auto"/>
      </w:divBdr>
    </w:div>
    <w:div w:id="1329939376">
      <w:bodyDiv w:val="1"/>
      <w:marLeft w:val="0"/>
      <w:marRight w:val="0"/>
      <w:marTop w:val="0"/>
      <w:marBottom w:val="0"/>
      <w:divBdr>
        <w:top w:val="none" w:sz="0" w:space="0" w:color="auto"/>
        <w:left w:val="none" w:sz="0" w:space="0" w:color="auto"/>
        <w:bottom w:val="none" w:sz="0" w:space="0" w:color="auto"/>
        <w:right w:val="none" w:sz="0" w:space="0" w:color="auto"/>
      </w:divBdr>
    </w:div>
    <w:div w:id="1440026523">
      <w:bodyDiv w:val="1"/>
      <w:marLeft w:val="0"/>
      <w:marRight w:val="0"/>
      <w:marTop w:val="0"/>
      <w:marBottom w:val="0"/>
      <w:divBdr>
        <w:top w:val="none" w:sz="0" w:space="0" w:color="auto"/>
        <w:left w:val="none" w:sz="0" w:space="0" w:color="auto"/>
        <w:bottom w:val="none" w:sz="0" w:space="0" w:color="auto"/>
        <w:right w:val="none" w:sz="0" w:space="0" w:color="auto"/>
      </w:divBdr>
    </w:div>
    <w:div w:id="1579898172">
      <w:bodyDiv w:val="1"/>
      <w:marLeft w:val="0"/>
      <w:marRight w:val="0"/>
      <w:marTop w:val="0"/>
      <w:marBottom w:val="0"/>
      <w:divBdr>
        <w:top w:val="none" w:sz="0" w:space="0" w:color="auto"/>
        <w:left w:val="none" w:sz="0" w:space="0" w:color="auto"/>
        <w:bottom w:val="none" w:sz="0" w:space="0" w:color="auto"/>
        <w:right w:val="none" w:sz="0" w:space="0" w:color="auto"/>
      </w:divBdr>
    </w:div>
    <w:div w:id="1801067019">
      <w:bodyDiv w:val="1"/>
      <w:marLeft w:val="0"/>
      <w:marRight w:val="0"/>
      <w:marTop w:val="0"/>
      <w:marBottom w:val="0"/>
      <w:divBdr>
        <w:top w:val="none" w:sz="0" w:space="0" w:color="auto"/>
        <w:left w:val="none" w:sz="0" w:space="0" w:color="auto"/>
        <w:bottom w:val="none" w:sz="0" w:space="0" w:color="auto"/>
        <w:right w:val="none" w:sz="0" w:space="0" w:color="auto"/>
      </w:divBdr>
    </w:div>
    <w:div w:id="1952128016">
      <w:bodyDiv w:val="1"/>
      <w:marLeft w:val="0"/>
      <w:marRight w:val="0"/>
      <w:marTop w:val="0"/>
      <w:marBottom w:val="0"/>
      <w:divBdr>
        <w:top w:val="none" w:sz="0" w:space="0" w:color="auto"/>
        <w:left w:val="none" w:sz="0" w:space="0" w:color="auto"/>
        <w:bottom w:val="none" w:sz="0" w:space="0" w:color="auto"/>
        <w:right w:val="none" w:sz="0" w:space="0" w:color="auto"/>
      </w:divBdr>
    </w:div>
    <w:div w:id="2089495214">
      <w:bodyDiv w:val="1"/>
      <w:marLeft w:val="0"/>
      <w:marRight w:val="0"/>
      <w:marTop w:val="0"/>
      <w:marBottom w:val="0"/>
      <w:divBdr>
        <w:top w:val="none" w:sz="0" w:space="0" w:color="auto"/>
        <w:left w:val="none" w:sz="0" w:space="0" w:color="auto"/>
        <w:bottom w:val="none" w:sz="0" w:space="0" w:color="auto"/>
        <w:right w:val="none" w:sz="0" w:space="0" w:color="auto"/>
      </w:divBdr>
    </w:div>
    <w:div w:id="21383335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olicy@egi.eu" TargetMode="External"/><Relationship Id="rId2" Type="http://schemas.openxmlformats.org/officeDocument/2006/relationships/hyperlink" Target="http://www.egi.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olicy@egi.eu" TargetMode="External"/><Relationship Id="rId2" Type="http://schemas.openxmlformats.org/officeDocument/2006/relationships/hyperlink" Target="http://www.egi.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uments.egi.eu/document/133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92533291DC4C46A4773F4ED843623D"/>
        <w:category>
          <w:name w:val="General"/>
          <w:gallery w:val="placeholder"/>
        </w:category>
        <w:types>
          <w:type w:val="bbPlcHdr"/>
        </w:types>
        <w:behaviors>
          <w:behavior w:val="content"/>
        </w:behaviors>
        <w:guid w:val="{5B489BD1-4DF4-2E40-BF9D-CEAF88331D60}"/>
      </w:docPartPr>
      <w:docPartBody>
        <w:p w14:paraId="388A5F32" w14:textId="746D2853" w:rsidR="009507A9" w:rsidRDefault="0053544E" w:rsidP="0053544E">
          <w:pPr>
            <w:pStyle w:val="BE92533291DC4C46A4773F4ED843623D"/>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OpenSymbol">
    <w:altName w:val="MT Extra"/>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4E"/>
    <w:rsid w:val="00090203"/>
    <w:rsid w:val="000C357E"/>
    <w:rsid w:val="001409A6"/>
    <w:rsid w:val="00331A35"/>
    <w:rsid w:val="004A4C92"/>
    <w:rsid w:val="004E7465"/>
    <w:rsid w:val="0053544E"/>
    <w:rsid w:val="005B1799"/>
    <w:rsid w:val="00615A73"/>
    <w:rsid w:val="007A3E4E"/>
    <w:rsid w:val="00867354"/>
    <w:rsid w:val="009507A9"/>
    <w:rsid w:val="00C219C1"/>
    <w:rsid w:val="00D9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2533291DC4C46A4773F4ED843623D">
    <w:name w:val="BE92533291DC4C46A4773F4ED843623D"/>
    <w:rsid w:val="0053544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2533291DC4C46A4773F4ED843623D">
    <w:name w:val="BE92533291DC4C46A4773F4ED843623D"/>
    <w:rsid w:val="0053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4FC0-331B-C74B-BE79-6DBEC73C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1090</Words>
  <Characters>6213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7289</CharactersWithSpaces>
  <SharedDoc>false</SharedDoc>
  <HLinks>
    <vt:vector size="18" baseType="variant">
      <vt:variant>
        <vt:i4>6029415</vt:i4>
      </vt:variant>
      <vt:variant>
        <vt:i4>0</vt:i4>
      </vt:variant>
      <vt:variant>
        <vt:i4>0</vt:i4>
      </vt:variant>
      <vt:variant>
        <vt:i4>5</vt:i4>
      </vt:variant>
      <vt:variant>
        <vt:lpwstr>http://go.egi.eu/uvw1</vt:lpwstr>
      </vt:variant>
      <vt:variant>
        <vt:lpwstr/>
      </vt:variant>
      <vt:variant>
        <vt:i4>393313</vt:i4>
      </vt:variant>
      <vt:variant>
        <vt:i4>4559</vt:i4>
      </vt:variant>
      <vt:variant>
        <vt:i4>1025</vt:i4>
      </vt:variant>
      <vt:variant>
        <vt:i4>1</vt:i4>
      </vt:variant>
      <vt:variant>
        <vt:lpwstr>UVW1 photo_1</vt:lpwstr>
      </vt:variant>
      <vt:variant>
        <vt:lpwstr/>
      </vt:variant>
      <vt:variant>
        <vt:i4>327777</vt:i4>
      </vt:variant>
      <vt:variant>
        <vt:i4>4643</vt:i4>
      </vt:variant>
      <vt:variant>
        <vt:i4>1026</vt:i4>
      </vt:variant>
      <vt:variant>
        <vt:i4>1</vt:i4>
      </vt:variant>
      <vt:variant>
        <vt:lpwstr>UVW1 photo_2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subject/>
  <dc:creator>Nguest</dc:creator>
  <cp:keywords/>
  <dc:description/>
  <cp:lastModifiedBy>Sergio Andreozzi</cp:lastModifiedBy>
  <cp:revision>2</cp:revision>
  <cp:lastPrinted>2010-09-08T07:51:00Z</cp:lastPrinted>
  <dcterms:created xsi:type="dcterms:W3CDTF">2013-01-25T13:48:00Z</dcterms:created>
  <dcterms:modified xsi:type="dcterms:W3CDTF">2013-01-25T13:48:00Z</dcterms:modified>
</cp:coreProperties>
</file>