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E5CE7">
        <w:rPr>
          <w:b/>
          <w:bCs/>
          <w:sz w:val="32"/>
        </w:rPr>
        <w:t>D4.8</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A319E4" w:rsidRPr="00A319E4">
              <w:rPr>
                <w:rStyle w:val="DocId"/>
                <w:noProof/>
              </w:rPr>
              <w:t>EGI-D4.8-1.2.docx</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A319E4">
              <w:rPr>
                <w:rFonts w:ascii="Times New Roman" w:hAnsi="Times New Roman"/>
              </w:rPr>
              <w:t>07/05/2013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D60AED">
            <w:pPr>
              <w:spacing w:after="120"/>
              <w:jc w:val="left"/>
              <w:rPr>
                <w:szCs w:val="22"/>
              </w:rPr>
            </w:pPr>
            <w:r w:rsidRPr="00D60AED">
              <w:rPr>
                <w:szCs w:val="22"/>
              </w:rPr>
              <w:t>https://documents.egi.eu/document/1664</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A246B6">
            <w:r>
              <w:t xml:space="preserve">This document provides information on the status of the EGI Resource </w:t>
            </w:r>
            <w:r w:rsidR="00AA3BFD">
              <w:t>Infrastructure at the end of PY3</w:t>
            </w:r>
            <w:r>
              <w:t xml:space="preserve">. In particular, it describes the status and progress of Resource </w:t>
            </w:r>
            <w:r w:rsidR="00E757E3">
              <w:t>C</w:t>
            </w:r>
            <w:r>
              <w:t>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1534B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AF3947" w:rsidP="0056138A">
            <w:pPr>
              <w:spacing w:before="60" w:after="60"/>
            </w:pPr>
            <w:r>
              <w:t>M. Krakowian</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1534B9">
              <w:t>K. Eigelis</w:t>
            </w:r>
          </w:p>
          <w:p w:rsidR="00207D16" w:rsidRDefault="00207D16" w:rsidP="001534B9">
            <w:pPr>
              <w:jc w:val="left"/>
            </w:pPr>
            <w:r w:rsidRPr="00371B32">
              <w:rPr>
                <w:b/>
                <w:bCs/>
              </w:rPr>
              <w:t>Reviewers:</w:t>
            </w:r>
            <w:r w:rsidRPr="00371B32">
              <w:t xml:space="preserve"> </w:t>
            </w:r>
            <w:r w:rsidR="001534B9">
              <w:t xml:space="preserve">J. </w:t>
            </w:r>
            <w:r w:rsidR="001534B9">
              <w:t>Wolfrat,</w:t>
            </w:r>
          </w:p>
          <w:p w:rsidR="001534B9" w:rsidRPr="00371B32" w:rsidRDefault="001534B9" w:rsidP="001534B9">
            <w:pPr>
              <w:jc w:val="left"/>
            </w:pPr>
            <w:r>
              <w:t>G. Taffoni</w:t>
            </w:r>
            <w:r w:rsidR="00B35227">
              <w:t>, S. Newhouse</w:t>
            </w:r>
          </w:p>
          <w:p w:rsidR="00207D16" w:rsidRPr="00371B32" w:rsidRDefault="00207D16" w:rsidP="00207D16"/>
        </w:tc>
        <w:tc>
          <w:tcPr>
            <w:tcW w:w="2078" w:type="dxa"/>
            <w:tcBorders>
              <w:top w:val="single" w:sz="2" w:space="0" w:color="auto"/>
              <w:left w:val="single" w:sz="2" w:space="0" w:color="auto"/>
              <w:bottom w:val="single" w:sz="2" w:space="0" w:color="auto"/>
              <w:right w:val="single" w:sz="4" w:space="0" w:color="auto"/>
            </w:tcBorders>
            <w:vAlign w:val="center"/>
          </w:tcPr>
          <w:p w:rsidR="00207D16" w:rsidRDefault="001534B9" w:rsidP="00AB772F">
            <w:pPr>
              <w:spacing w:before="60" w:after="60"/>
            </w:pPr>
            <w:r>
              <w:t>EGI.eu/NA2</w:t>
            </w:r>
          </w:p>
          <w:p w:rsidR="001534B9" w:rsidRPr="00B35227" w:rsidRDefault="001534B9" w:rsidP="00AB772F">
            <w:pPr>
              <w:spacing w:before="60" w:after="60"/>
            </w:pPr>
            <w:r w:rsidRPr="00B35227">
              <w:t>SurfSARA</w:t>
            </w:r>
            <w:r w:rsidR="00B35227" w:rsidRPr="00B35227">
              <w:t>,</w:t>
            </w:r>
          </w:p>
          <w:p w:rsidR="001534B9" w:rsidRPr="00B35227" w:rsidRDefault="001534B9" w:rsidP="00AB772F">
            <w:pPr>
              <w:spacing w:before="60" w:after="60"/>
            </w:pPr>
            <w:r w:rsidRPr="00B35227">
              <w:t>INGV/SA3</w:t>
            </w:r>
            <w:r w:rsidR="00B35227" w:rsidRPr="00B35227">
              <w:t>, 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1534B9" w:rsidP="00207D16">
            <w:pPr>
              <w:spacing w:before="60" w:after="60"/>
            </w:pPr>
            <w:r>
              <w:t>07-05-2013</w:t>
            </w:r>
          </w:p>
        </w:tc>
      </w:tr>
      <w:tr w:rsidR="00207D16" w:rsidRPr="00371B32"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BE1230" w:rsidP="00207D16">
            <w:pPr>
              <w:pStyle w:val="Header"/>
              <w:spacing w:before="0" w:after="0"/>
            </w:pPr>
            <w:r>
              <w:t>05-04-2013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Pr="00371B32" w:rsidRDefault="007E5CE7" w:rsidP="007E5CE7">
            <w:pPr>
              <w:pStyle w:val="Header"/>
              <w:spacing w:before="0" w:after="0"/>
              <w:jc w:val="left"/>
            </w:pPr>
            <w:r>
              <w:t>M</w:t>
            </w:r>
            <w:r w:rsidR="00312D12">
              <w:t xml:space="preserve">. </w:t>
            </w:r>
            <w:r>
              <w:t>Krakowian</w:t>
            </w:r>
            <w:r w:rsidR="00312D12">
              <w:t>/EGI.eu</w:t>
            </w:r>
          </w:p>
        </w:tc>
      </w:tr>
      <w:tr w:rsidR="00E416DC" w:rsidRPr="00A319E4">
        <w:trPr>
          <w:cantSplit/>
          <w:trHeight w:val="227"/>
        </w:trPr>
        <w:tc>
          <w:tcPr>
            <w:tcW w:w="721" w:type="dxa"/>
            <w:tcBorders>
              <w:top w:val="nil"/>
              <w:left w:val="single" w:sz="4" w:space="0" w:color="auto"/>
              <w:bottom w:val="single" w:sz="2" w:space="0" w:color="auto"/>
              <w:right w:val="single" w:sz="2" w:space="0" w:color="auto"/>
            </w:tcBorders>
            <w:vAlign w:val="center"/>
          </w:tcPr>
          <w:p w:rsidR="00E416DC" w:rsidRPr="00371B32" w:rsidRDefault="00E416DC" w:rsidP="004C3CB3">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E416DC" w:rsidRPr="00371B32" w:rsidRDefault="00E416DC" w:rsidP="004C3CB3">
            <w:pPr>
              <w:pStyle w:val="Header"/>
              <w:spacing w:before="0" w:after="0"/>
            </w:pPr>
            <w:r>
              <w:t>26-04-2013</w:t>
            </w:r>
          </w:p>
        </w:tc>
        <w:tc>
          <w:tcPr>
            <w:tcW w:w="4001" w:type="dxa"/>
            <w:tcBorders>
              <w:top w:val="nil"/>
              <w:left w:val="single" w:sz="2" w:space="0" w:color="auto"/>
              <w:bottom w:val="single" w:sz="2" w:space="0" w:color="auto"/>
              <w:right w:val="single" w:sz="2" w:space="0" w:color="auto"/>
            </w:tcBorders>
            <w:vAlign w:val="center"/>
          </w:tcPr>
          <w:p w:rsidR="00E416DC" w:rsidRPr="00371B32" w:rsidRDefault="00E416DC" w:rsidP="004C3CB3">
            <w:pPr>
              <w:pStyle w:val="Header"/>
              <w:spacing w:before="0" w:after="0"/>
              <w:jc w:val="left"/>
            </w:pPr>
            <w:r>
              <w:t>V1.0 for external review</w:t>
            </w:r>
          </w:p>
        </w:tc>
        <w:tc>
          <w:tcPr>
            <w:tcW w:w="2551" w:type="dxa"/>
            <w:tcBorders>
              <w:top w:val="nil"/>
              <w:left w:val="single" w:sz="2" w:space="0" w:color="auto"/>
              <w:bottom w:val="single" w:sz="2" w:space="0" w:color="auto"/>
              <w:right w:val="single" w:sz="4" w:space="0" w:color="auto"/>
            </w:tcBorders>
            <w:vAlign w:val="center"/>
          </w:tcPr>
          <w:p w:rsidR="00E416DC" w:rsidRPr="00A319E4" w:rsidRDefault="00E416DC" w:rsidP="004C3CB3">
            <w:pPr>
              <w:pStyle w:val="Header"/>
              <w:spacing w:before="0" w:after="0"/>
              <w:jc w:val="left"/>
              <w:rPr>
                <w:lang w:val="it-IT"/>
              </w:rPr>
            </w:pPr>
            <w:r w:rsidRPr="00A319E4">
              <w:rPr>
                <w:lang w:val="it-IT"/>
              </w:rPr>
              <w:t>T. Ferrari/EGI.eu</w:t>
            </w:r>
          </w:p>
          <w:p w:rsidR="00E416DC" w:rsidRPr="00A319E4" w:rsidRDefault="00E416DC" w:rsidP="004C3CB3">
            <w:pPr>
              <w:pStyle w:val="Header"/>
              <w:spacing w:before="0" w:after="0"/>
              <w:jc w:val="left"/>
              <w:rPr>
                <w:lang w:val="it-IT"/>
              </w:rPr>
            </w:pPr>
            <w:r w:rsidRPr="00A319E4">
              <w:rPr>
                <w:lang w:val="it-IT"/>
              </w:rPr>
              <w:t>M. Krakowian/EGI.eu</w:t>
            </w:r>
          </w:p>
        </w:tc>
      </w:tr>
      <w:tr w:rsidR="0029525C"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9525C" w:rsidRPr="00371B32" w:rsidRDefault="0029525C" w:rsidP="004C3CB3">
            <w:pPr>
              <w:pStyle w:val="Header"/>
              <w:spacing w:before="0" w:after="0"/>
              <w:jc w:val="center"/>
            </w:pPr>
            <w:r>
              <w:t>3</w:t>
            </w:r>
          </w:p>
        </w:tc>
        <w:tc>
          <w:tcPr>
            <w:tcW w:w="1869" w:type="dxa"/>
            <w:tcBorders>
              <w:top w:val="nil"/>
              <w:bottom w:val="single" w:sz="2" w:space="0" w:color="auto"/>
              <w:right w:val="single" w:sz="2" w:space="0" w:color="auto"/>
            </w:tcBorders>
            <w:vAlign w:val="center"/>
          </w:tcPr>
          <w:p w:rsidR="0029525C" w:rsidRPr="00371B32" w:rsidRDefault="0029525C" w:rsidP="005571E7">
            <w:pPr>
              <w:pStyle w:val="Header"/>
              <w:spacing w:before="0" w:after="0"/>
            </w:pPr>
            <w:r>
              <w:t>01-05-2013</w:t>
            </w:r>
          </w:p>
        </w:tc>
        <w:tc>
          <w:tcPr>
            <w:tcW w:w="4001" w:type="dxa"/>
            <w:tcBorders>
              <w:top w:val="nil"/>
              <w:left w:val="single" w:sz="2" w:space="0" w:color="auto"/>
              <w:bottom w:val="single" w:sz="2" w:space="0" w:color="auto"/>
              <w:right w:val="single" w:sz="2" w:space="0" w:color="auto"/>
            </w:tcBorders>
            <w:vAlign w:val="center"/>
          </w:tcPr>
          <w:p w:rsidR="0029525C" w:rsidRPr="00371B32" w:rsidRDefault="0029525C" w:rsidP="005571E7">
            <w:pPr>
              <w:pStyle w:val="Header"/>
              <w:spacing w:before="0" w:after="0"/>
              <w:jc w:val="left"/>
            </w:pPr>
            <w:r>
              <w:t>V1.1 incorporating S. Newhouse’s comments</w:t>
            </w:r>
          </w:p>
        </w:tc>
        <w:tc>
          <w:tcPr>
            <w:tcW w:w="2551" w:type="dxa"/>
            <w:tcBorders>
              <w:top w:val="nil"/>
              <w:left w:val="single" w:sz="2" w:space="0" w:color="auto"/>
              <w:bottom w:val="single" w:sz="2" w:space="0" w:color="auto"/>
              <w:right w:val="single" w:sz="4" w:space="0" w:color="auto"/>
            </w:tcBorders>
            <w:vAlign w:val="center"/>
          </w:tcPr>
          <w:p w:rsidR="0029525C" w:rsidRPr="00371B32" w:rsidRDefault="0029525C" w:rsidP="005571E7">
            <w:pPr>
              <w:pStyle w:val="Header"/>
              <w:spacing w:before="0" w:after="0"/>
              <w:jc w:val="left"/>
            </w:pPr>
            <w:r>
              <w:t>T. Ferrari/EGI.eu</w:t>
            </w:r>
          </w:p>
        </w:tc>
      </w:tr>
      <w:tr w:rsidR="0029525C" w:rsidRPr="00371B32">
        <w:trPr>
          <w:cantSplit/>
        </w:trPr>
        <w:tc>
          <w:tcPr>
            <w:tcW w:w="721" w:type="dxa"/>
            <w:tcBorders>
              <w:top w:val="nil"/>
              <w:left w:val="single" w:sz="4" w:space="0" w:color="auto"/>
              <w:bottom w:val="single" w:sz="2" w:space="0" w:color="auto"/>
              <w:right w:val="single" w:sz="2" w:space="0" w:color="auto"/>
            </w:tcBorders>
            <w:vAlign w:val="center"/>
          </w:tcPr>
          <w:p w:rsidR="0029525C" w:rsidRPr="00371B32" w:rsidRDefault="0029525C" w:rsidP="00207D16">
            <w:pPr>
              <w:pStyle w:val="Header"/>
              <w:spacing w:before="0" w:after="0"/>
              <w:jc w:val="center"/>
            </w:pPr>
            <w:r>
              <w:t>4</w:t>
            </w:r>
          </w:p>
        </w:tc>
        <w:tc>
          <w:tcPr>
            <w:tcW w:w="1869" w:type="dxa"/>
            <w:tcBorders>
              <w:top w:val="nil"/>
              <w:bottom w:val="single" w:sz="2" w:space="0" w:color="auto"/>
              <w:right w:val="single" w:sz="2" w:space="0" w:color="auto"/>
            </w:tcBorders>
            <w:vAlign w:val="center"/>
          </w:tcPr>
          <w:p w:rsidR="0029525C" w:rsidRPr="00371B32" w:rsidRDefault="0029525C" w:rsidP="00207D16">
            <w:pPr>
              <w:pStyle w:val="Header"/>
              <w:spacing w:before="0" w:after="0"/>
            </w:pPr>
            <w:r>
              <w:t>07-05-2013</w:t>
            </w:r>
          </w:p>
        </w:tc>
        <w:tc>
          <w:tcPr>
            <w:tcW w:w="4001" w:type="dxa"/>
            <w:tcBorders>
              <w:top w:val="nil"/>
              <w:left w:val="single" w:sz="2" w:space="0" w:color="auto"/>
              <w:bottom w:val="single" w:sz="2" w:space="0" w:color="auto"/>
              <w:right w:val="single" w:sz="2" w:space="0" w:color="auto"/>
            </w:tcBorders>
            <w:vAlign w:val="center"/>
          </w:tcPr>
          <w:p w:rsidR="0029525C" w:rsidRPr="00371B32" w:rsidRDefault="0029525C" w:rsidP="0029525C">
            <w:pPr>
              <w:pStyle w:val="Header"/>
              <w:spacing w:before="0" w:after="0"/>
              <w:jc w:val="left"/>
            </w:pPr>
            <w:r>
              <w:t>V1.2 incorporating reviewers’ comments</w:t>
            </w:r>
          </w:p>
        </w:tc>
        <w:tc>
          <w:tcPr>
            <w:tcW w:w="2551" w:type="dxa"/>
            <w:tcBorders>
              <w:top w:val="nil"/>
              <w:left w:val="single" w:sz="2" w:space="0" w:color="auto"/>
              <w:bottom w:val="single" w:sz="2" w:space="0" w:color="auto"/>
              <w:right w:val="single" w:sz="4" w:space="0" w:color="auto"/>
            </w:tcBorders>
            <w:vAlign w:val="center"/>
          </w:tcPr>
          <w:p w:rsidR="0029525C" w:rsidRPr="00371B32" w:rsidRDefault="0029525C" w:rsidP="00BE1230">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lastRenderedPageBreak/>
        <w:t>Amendments, comments and suggestions should be sent to the authors. The procedures documented in the EGI-InSPIRE “Document Management Procedure” will be followed:</w:t>
      </w:r>
      <w:bookmarkStart w:id="4" w:name="_Toc105397224"/>
      <w:bookmarkEnd w:id="4"/>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4274C3" w:rsidRPr="004274C3" w:rsidRDefault="00207D16" w:rsidP="00DC4589">
      <w:pPr>
        <w:jc w:val="left"/>
      </w:pPr>
      <w:r w:rsidRPr="00371B32">
        <w:t xml:space="preserve">A complete project glossary is provided at the following page: </w:t>
      </w:r>
      <w:hyperlink r:id="rId13" w:history="1">
        <w:r w:rsidR="0056138A" w:rsidRPr="007E5CE7">
          <w:rPr>
            <w:rStyle w:val="Hyperlink"/>
          </w:rPr>
          <w:t>https://wiki.egi.eu/wiki/Glossary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207D16">
      <w:pPr>
        <w:numPr>
          <w:ilvl w:val="0"/>
          <w:numId w:val="3"/>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207D16">
      <w:pPr>
        <w:numPr>
          <w:ilvl w:val="0"/>
          <w:numId w:val="3"/>
        </w:numPr>
      </w:pPr>
      <w:r w:rsidRPr="00371B32">
        <w:t>The continued support of researchers within Europe and their international collaborators that are using the current production infrastructure.</w:t>
      </w:r>
    </w:p>
    <w:p w:rsidR="00207D16" w:rsidRPr="00371B32" w:rsidRDefault="00207D16" w:rsidP="00207D16">
      <w:pPr>
        <w:numPr>
          <w:ilvl w:val="0"/>
          <w:numId w:val="3"/>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207D16">
      <w:pPr>
        <w:numPr>
          <w:ilvl w:val="0"/>
          <w:numId w:val="3"/>
        </w:numPr>
      </w:pPr>
      <w:r w:rsidRPr="00371B32">
        <w:t>Interfaces that expand access to new user communities including new potential heavy users of the infrastructure from the ESFRI projects.</w:t>
      </w:r>
    </w:p>
    <w:p w:rsidR="00207D16" w:rsidRPr="00371B32" w:rsidRDefault="00207D16" w:rsidP="00207D16">
      <w:pPr>
        <w:numPr>
          <w:ilvl w:val="0"/>
          <w:numId w:val="3"/>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207D16">
      <w:pPr>
        <w:numPr>
          <w:ilvl w:val="0"/>
          <w:numId w:val="3"/>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375BCA" w:rsidRDefault="00B251C7" w:rsidP="00462CD0">
      <w:r w:rsidRPr="00B251C7">
        <w:t>During PY3</w:t>
      </w:r>
      <w:r w:rsidR="00271811" w:rsidRPr="00B251C7">
        <w:t xml:space="preserve"> </w:t>
      </w:r>
      <w:r w:rsidR="009B6EBB" w:rsidRPr="00B251C7">
        <w:t xml:space="preserve">SA1 was responsible of the continued operation and expansion of the production infrastructure. </w:t>
      </w:r>
      <w:r w:rsidR="009B72C6" w:rsidRPr="00B251C7">
        <w:t>The total number of Reso</w:t>
      </w:r>
      <w:r w:rsidRPr="00B251C7">
        <w:t xml:space="preserve">urce Centres (RCs) in March 2013 </w:t>
      </w:r>
      <w:r w:rsidR="00C1578A">
        <w:t>amounts to 340 certified</w:t>
      </w:r>
      <w:r w:rsidR="009B72C6" w:rsidRPr="00375BCA">
        <w:t xml:space="preserve"> instances</w:t>
      </w:r>
      <w:r w:rsidRPr="00B251C7">
        <w:t xml:space="preserve"> </w:t>
      </w:r>
      <w:r w:rsidR="00BE0BD3">
        <w:t>(</w:t>
      </w:r>
      <w:r w:rsidR="00C1578A">
        <w:t xml:space="preserve">this figure does not include </w:t>
      </w:r>
      <w:r w:rsidR="00375BCA">
        <w:t>27</w:t>
      </w:r>
      <w:r w:rsidR="00BE0BD3">
        <w:t xml:space="preserve"> </w:t>
      </w:r>
      <w:r w:rsidR="00C1578A">
        <w:t xml:space="preserve">instances that </w:t>
      </w:r>
      <w:r w:rsidR="00BE0BD3">
        <w:t>were temporarily suspended</w:t>
      </w:r>
      <w:r w:rsidR="00375BCA">
        <w:t xml:space="preserve"> for maintenance or underperformance</w:t>
      </w:r>
      <w:r w:rsidR="00BE0BD3">
        <w:t xml:space="preserve">). </w:t>
      </w:r>
      <w:r w:rsidR="00375BCA">
        <w:t xml:space="preserve">The number of temporarily suspended RCs increased due to two grid middleware upgrade campaigns that were undertaken starting in PQ10 for the decommissioning of gLite </w:t>
      </w:r>
      <w:r w:rsidR="00301F0A">
        <w:t>and EMI-</w:t>
      </w:r>
      <w:r w:rsidR="00375BCA">
        <w:t xml:space="preserve">1 software. Other factors contributed to </w:t>
      </w:r>
      <w:r w:rsidR="00A560B1">
        <w:t>this</w:t>
      </w:r>
      <w:r w:rsidR="00375BCA">
        <w:t xml:space="preserve"> reduction</w:t>
      </w:r>
      <w:r w:rsidR="005447BD">
        <w:t xml:space="preserve"> in number</w:t>
      </w:r>
      <w:r w:rsidR="00A560B1">
        <w:t>,</w:t>
      </w:r>
      <w:r w:rsidR="00375BCA">
        <w:t xml:space="preserve"> </w:t>
      </w:r>
      <w:r w:rsidR="00A560B1">
        <w:t>like</w:t>
      </w:r>
      <w:r w:rsidR="00375BCA">
        <w:t xml:space="preserve"> the end of operations of NGI Ireland and </w:t>
      </w:r>
      <w:r w:rsidR="00375BCA" w:rsidRPr="002C789C">
        <w:t xml:space="preserve">Iniciativa de </w:t>
      </w:r>
      <w:r w:rsidR="00375BCA">
        <w:t>Grid de America Latina – Caribe. In PY3 the integration of the Ukrainian National Grid was successfully finalized</w:t>
      </w:r>
      <w:r w:rsidR="00A560B1">
        <w:t>.</w:t>
      </w:r>
      <w:r w:rsidR="00375BCA">
        <w:t xml:space="preserve"> In PY3 two new countries started contributing resources to the Asia Pacific federated Operations Centre: Iran and Vietnam</w:t>
      </w:r>
    </w:p>
    <w:p w:rsidR="00A560B1" w:rsidRDefault="00375BCA" w:rsidP="00462CD0">
      <w:r>
        <w:t>The decrease in the number of production RCs was however compensated by a substantial increase in the offered capacity: compute resources increased by +33.6% in PY3, while disk capacity increase to 177 PB (+25.36%).</w:t>
      </w:r>
      <w:r w:rsidR="00E11188">
        <w:t xml:space="preserve"> At the end of PQ11 </w:t>
      </w:r>
      <w:r w:rsidR="00CF7B51">
        <w:t xml:space="preserve">(Jan 2013) </w:t>
      </w:r>
      <w:r w:rsidR="00E11188">
        <w:t>t</w:t>
      </w:r>
      <w:r w:rsidR="00E11188" w:rsidRPr="00260B86">
        <w:t>he total amount of CPU cores contributed by EGI-InSPIRE partners and RPs council members amounts to 347,307</w:t>
      </w:r>
      <w:r w:rsidR="00E11188">
        <w:t>, which provide</w:t>
      </w:r>
      <w:r w:rsidR="00E11188" w:rsidRPr="00260B86">
        <w:t xml:space="preserve"> 3</w:t>
      </w:r>
      <w:r w:rsidR="00E11188">
        <w:t>.</w:t>
      </w:r>
      <w:r w:rsidR="0083463B">
        <w:t>86</w:t>
      </w:r>
      <w:r w:rsidR="00A560B1">
        <w:t xml:space="preserve"> Million HEP-SPEC 06.</w:t>
      </w:r>
    </w:p>
    <w:p w:rsidR="00DF52F5" w:rsidRDefault="00DF52F5" w:rsidP="00462CD0">
      <w:pPr>
        <w:rPr>
          <w:szCs w:val="22"/>
        </w:rPr>
      </w:pPr>
      <w:r w:rsidRPr="00B93F3B">
        <w:rPr>
          <w:szCs w:val="22"/>
        </w:rPr>
        <w:t>The overall number of international and national V</w:t>
      </w:r>
      <w:r>
        <w:rPr>
          <w:szCs w:val="22"/>
        </w:rPr>
        <w:t>O</w:t>
      </w:r>
      <w:r w:rsidRPr="00B93F3B">
        <w:rPr>
          <w:szCs w:val="22"/>
        </w:rPr>
        <w:t>s registered in the Operations Portal</w:t>
      </w:r>
      <w:r w:rsidRPr="00B93F3B">
        <w:rPr>
          <w:rStyle w:val="FootnoteReference"/>
          <w:szCs w:val="22"/>
        </w:rPr>
        <w:footnoteReference w:id="1"/>
      </w:r>
      <w:r w:rsidRPr="00B93F3B">
        <w:rPr>
          <w:szCs w:val="22"/>
        </w:rPr>
        <w:t xml:space="preserve"> at the en</w:t>
      </w:r>
      <w:r>
        <w:rPr>
          <w:szCs w:val="22"/>
        </w:rPr>
        <w:t>d of March 2013</w:t>
      </w:r>
      <w:r w:rsidRPr="00B93F3B">
        <w:rPr>
          <w:szCs w:val="22"/>
        </w:rPr>
        <w:t xml:space="preserve"> amounts to </w:t>
      </w:r>
      <w:r>
        <w:rPr>
          <w:szCs w:val="22"/>
        </w:rPr>
        <w:t>212</w:t>
      </w:r>
      <w:r w:rsidRPr="00B93F3B">
        <w:rPr>
          <w:szCs w:val="22"/>
        </w:rPr>
        <w:t xml:space="preserve"> (</w:t>
      </w:r>
      <w:r>
        <w:rPr>
          <w:szCs w:val="22"/>
        </w:rPr>
        <w:t>-6.2% from March 2012</w:t>
      </w:r>
      <w:r w:rsidRPr="00B93F3B">
        <w:rPr>
          <w:szCs w:val="22"/>
        </w:rPr>
        <w:t xml:space="preserve">), including </w:t>
      </w:r>
      <w:r>
        <w:rPr>
          <w:szCs w:val="22"/>
        </w:rPr>
        <w:t xml:space="preserve">22067 registered </w:t>
      </w:r>
      <w:r w:rsidRPr="00B93F3B">
        <w:rPr>
          <w:szCs w:val="22"/>
        </w:rPr>
        <w:t xml:space="preserve">users </w:t>
      </w:r>
      <w:r>
        <w:rPr>
          <w:szCs w:val="22"/>
        </w:rPr>
        <w:t>(+5.36% increase from March 2012</w:t>
      </w:r>
      <w:r w:rsidRPr="00B93F3B">
        <w:rPr>
          <w:szCs w:val="22"/>
        </w:rPr>
        <w:t xml:space="preserve">). </w:t>
      </w:r>
      <w:r>
        <w:rPr>
          <w:szCs w:val="22"/>
        </w:rPr>
        <w:t xml:space="preserve">The decrease in the number of VOs is due to a decommissioning </w:t>
      </w:r>
      <w:r w:rsidR="00A560B1">
        <w:rPr>
          <w:szCs w:val="22"/>
        </w:rPr>
        <w:t>campaign of inactive VOs that started in 2013.</w:t>
      </w:r>
    </w:p>
    <w:p w:rsidR="00A8202C" w:rsidRDefault="00A8202C" w:rsidP="00462CD0">
      <w:pPr>
        <w:rPr>
          <w:noProof/>
          <w:lang w:eastAsia="en-GB"/>
        </w:rPr>
      </w:pPr>
      <w:r w:rsidRPr="00D0036D">
        <w:rPr>
          <w:rFonts w:eastAsia="Cambria"/>
          <w:lang w:eastAsia="en-GB"/>
        </w:rPr>
        <w:t xml:space="preserve">The overall quantity of computing resources </w:t>
      </w:r>
      <w:r w:rsidRPr="00A560B1">
        <w:rPr>
          <w:rFonts w:eastAsia="Cambria"/>
          <w:i/>
          <w:lang w:eastAsia="en-GB"/>
        </w:rPr>
        <w:t>used</w:t>
      </w:r>
      <w:r w:rsidRPr="00D0036D">
        <w:rPr>
          <w:rFonts w:eastAsia="Cambria"/>
          <w:lang w:eastAsia="en-GB"/>
        </w:rPr>
        <w:t xml:space="preserve">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ch amounts to an average of 1.43 Million j</w:t>
      </w:r>
      <w:r w:rsidRPr="00D0036D">
        <w:rPr>
          <w:rFonts w:eastAsia="Cambria"/>
          <w:lang w:eastAsia="en-GB"/>
        </w:rPr>
        <w:t>ob/day.</w:t>
      </w:r>
    </w:p>
    <w:p w:rsidR="00DF52F5" w:rsidRDefault="00DF52F5" w:rsidP="00462CD0">
      <w:pPr>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incrased by +8.0%, while the total normalized CPU wall time (HEP-SEPC06) incrased by +45.8%.</w:t>
      </w:r>
    </w:p>
    <w:p w:rsidR="00DF52F5" w:rsidRDefault="00DF52F5" w:rsidP="00462CD0">
      <w:r>
        <w:t>While the HEP utilization is dominating in absolute terms (93.78% of the total EGI consumption</w:t>
      </w:r>
      <w:r w:rsidR="004C7434">
        <w:t xml:space="preserve"> in normalized CPU wall time hours</w:t>
      </w:r>
      <w:r>
        <w:t xml:space="preserve">), a number of other communities significantly increased their </w:t>
      </w:r>
      <w:r w:rsidR="00A560B1">
        <w:t xml:space="preserve">yearly </w:t>
      </w:r>
      <w:r>
        <w:t>CPU wall time utilization: Earth Sciences (+123.45%), Computational Chemistry (+78.31%), Astronomy Astro-particle and Astrophysics (+76.64%), Life Science (+65.12) and other sciences (+199.45%).</w:t>
      </w:r>
      <w:r w:rsidR="00A8202C">
        <w:t xml:space="preserve"> </w:t>
      </w:r>
    </w:p>
    <w:p w:rsidR="00A8202C" w:rsidRDefault="00A8202C" w:rsidP="00462CD0">
      <w:r>
        <w:t xml:space="preserve">The performance of NGI services has been improving since January 2012 when the NGI Availability/Reliability statistics were introduced for the first time. Availability and Reliability were 98.17% and 99.98% respectively. </w:t>
      </w:r>
    </w:p>
    <w:p w:rsidR="00A560B1" w:rsidRDefault="00A8202C" w:rsidP="00A8202C">
      <w:r>
        <w:t xml:space="preserve">Monitoring of EGI.eu Core Infrastructure Platform was rolled to production in November 2012. The central EGI.eu services being monitored – which are part of the EGI Core Infrastructure Platform – are: the distributed monitoring infrastructure – SAM, the EGI-InSPIRE Metrics Portal, the Accounting Portal and central database, the central Operations Portal and the service registry GOCDB. The average availability and reliability performed by these EGI.eu tools in PQ11 is 98.6% and 98.6% respectively and exceeded the PY3 target (97%). </w:t>
      </w:r>
    </w:p>
    <w:p w:rsidR="00A8202C" w:rsidRDefault="00A8202C" w:rsidP="00A8202C">
      <w:r w:rsidRPr="009D5BCA">
        <w:lastRenderedPageBreak/>
        <w:t>Various middleware stacks are in production in EGI. An indication of their distribution is given by the various Compute Element deployed by Resource Centres</w:t>
      </w:r>
      <w:r>
        <w:t xml:space="preserve">. </w:t>
      </w:r>
      <w:r w:rsidRPr="009D5BCA">
        <w:t>CREAM-CE is in production in the 89.41% of the infrastructure, ARC-CE is second in deployment (0.11%) followed by GRAM (1.49%), Unicore6.TargetSystemFactory (1.49%) and QCG.Computing (1.12%).</w:t>
      </w:r>
    </w:p>
    <w:p w:rsidR="007F3EEF" w:rsidRPr="00310CB2" w:rsidRDefault="00A8202C" w:rsidP="009B72C6">
      <w:r w:rsidRPr="003329A3">
        <w:t xml:space="preserve">gLite 3.1 </w:t>
      </w:r>
      <w:r>
        <w:t xml:space="preserve">and 3.2 </w:t>
      </w:r>
      <w:r w:rsidR="008663B2">
        <w:t>software – released before the start of the EMI project</w:t>
      </w:r>
      <w:r w:rsidR="008663B2">
        <w:rPr>
          <w:rStyle w:val="FootnoteReference"/>
        </w:rPr>
        <w:footnoteReference w:id="2"/>
      </w:r>
      <w:r w:rsidR="008663B2">
        <w:t xml:space="preserve"> and still partially deployed by several RCs sites in PY3, is</w:t>
      </w:r>
      <w:r w:rsidRPr="003329A3">
        <w:t xml:space="preserve"> no </w:t>
      </w:r>
      <w:r>
        <w:t xml:space="preserve">longer </w:t>
      </w:r>
      <w:r w:rsidRPr="003329A3">
        <w:t>supported</w:t>
      </w:r>
      <w:r w:rsidR="008663B2">
        <w:t>.</w:t>
      </w:r>
      <w:r>
        <w:t xml:space="preserve"> The decommissioning campaign of these two releases started in October 2012 and was successfully completed in PQ11. This first decommissioning campaign was subsequently followed by an EMI-1 decommissioning campaign which is still in progress</w:t>
      </w:r>
      <w:r w:rsidR="008663B2">
        <w:t xml:space="preserve"> (EMI-1 end of security updates and support is due on April 30 2013)</w:t>
      </w:r>
      <w:r>
        <w:t>. The</w:t>
      </w:r>
      <w:r w:rsidR="001C2ED3">
        <w:t xml:space="preserve"> community of RCs participating to the early deployment of newly released software</w:t>
      </w:r>
      <w:r>
        <w:t xml:space="preserve"> </w:t>
      </w:r>
      <w:r w:rsidR="001C2ED3">
        <w:t xml:space="preserve">(Staged Rollout) </w:t>
      </w:r>
      <w:r>
        <w:t>has been expanding: t</w:t>
      </w:r>
      <w:r w:rsidRPr="0099355C">
        <w:t xml:space="preserve">he number of participating </w:t>
      </w:r>
      <w:r>
        <w:t>RCs</w:t>
      </w:r>
      <w:r w:rsidRPr="0099355C">
        <w:t>s has been progressively increasing to test a growing set of products from EMI, IGE and EGI-InSPIRE JRA1 (operational tools), and it currently amount to 74 teams.</w:t>
      </w:r>
    </w:p>
    <w:p w:rsidR="00271811" w:rsidRDefault="00271811" w:rsidP="00271811">
      <w:r w:rsidRPr="00310CB2">
        <w:t>SA1 contributed to the successful accomplishment of all EGI-InSPIRE objectives.</w:t>
      </w:r>
      <w:r w:rsidRPr="009B6EBB">
        <w:t xml:space="preserve"> </w:t>
      </w:r>
    </w:p>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4"/>
          <w:footerReference w:type="default" r:id="rId15"/>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A319E4"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A319E4" w:rsidRPr="00E43BC8">
        <w:rPr>
          <w:rFonts w:ascii="Times New Roman" w:hAnsi="Times New Roman"/>
          <w:noProof/>
        </w:rPr>
        <w:t>1</w:t>
      </w:r>
      <w:r w:rsidR="00A319E4">
        <w:rPr>
          <w:rFonts w:asciiTheme="minorHAnsi" w:eastAsiaTheme="minorEastAsia" w:hAnsiTheme="minorHAnsi" w:cstheme="minorBidi"/>
          <w:b w:val="0"/>
          <w:caps w:val="0"/>
          <w:noProof/>
          <w:sz w:val="22"/>
          <w:szCs w:val="22"/>
          <w:lang w:eastAsia="en-GB"/>
        </w:rPr>
        <w:tab/>
      </w:r>
      <w:r w:rsidR="00A319E4" w:rsidRPr="00E43BC8">
        <w:rPr>
          <w:rFonts w:ascii="Times New Roman" w:hAnsi="Times New Roman"/>
          <w:noProof/>
        </w:rPr>
        <w:t>Introduction</w:t>
      </w:r>
      <w:r w:rsidR="00A319E4">
        <w:rPr>
          <w:noProof/>
        </w:rPr>
        <w:tab/>
      </w:r>
      <w:r w:rsidR="00A319E4">
        <w:rPr>
          <w:noProof/>
        </w:rPr>
        <w:fldChar w:fldCharType="begin"/>
      </w:r>
      <w:r w:rsidR="00A319E4">
        <w:rPr>
          <w:noProof/>
        </w:rPr>
        <w:instrText xml:space="preserve"> PAGEREF _Toc355730401 \h </w:instrText>
      </w:r>
      <w:r w:rsidR="00A319E4">
        <w:rPr>
          <w:noProof/>
        </w:rPr>
      </w:r>
      <w:r w:rsidR="00A319E4">
        <w:rPr>
          <w:noProof/>
        </w:rPr>
        <w:fldChar w:fldCharType="separate"/>
      </w:r>
      <w:r w:rsidR="00A319E4">
        <w:rPr>
          <w:noProof/>
        </w:rPr>
        <w:t>11</w:t>
      </w:r>
      <w:r w:rsidR="00A319E4">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sidRPr="00E43BC8">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E43BC8">
        <w:rPr>
          <w:rFonts w:ascii="Times New Roman" w:hAnsi="Times New Roman"/>
          <w:noProof/>
        </w:rPr>
        <w:t>Resource Infrastructure</w:t>
      </w:r>
      <w:r>
        <w:rPr>
          <w:noProof/>
        </w:rPr>
        <w:tab/>
      </w:r>
      <w:r>
        <w:rPr>
          <w:noProof/>
        </w:rPr>
        <w:fldChar w:fldCharType="begin"/>
      </w:r>
      <w:r>
        <w:rPr>
          <w:noProof/>
        </w:rPr>
        <w:instrText xml:space="preserve"> PAGEREF _Toc355730402 \h </w:instrText>
      </w:r>
      <w:r>
        <w:rPr>
          <w:noProof/>
        </w:rPr>
      </w:r>
      <w:r>
        <w:rPr>
          <w:noProof/>
        </w:rPr>
        <w:fldChar w:fldCharType="separate"/>
      </w:r>
      <w:r>
        <w:rPr>
          <w:noProof/>
        </w:rPr>
        <w:t>12</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_Toc355730403 \h </w:instrText>
      </w:r>
      <w:r>
        <w:rPr>
          <w:noProof/>
        </w:rPr>
      </w:r>
      <w:r>
        <w:rPr>
          <w:noProof/>
        </w:rPr>
        <w:fldChar w:fldCharType="separate"/>
      </w:r>
      <w:r>
        <w:rPr>
          <w:noProof/>
        </w:rPr>
        <w:t>12</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_Toc355730404 \h </w:instrText>
      </w:r>
      <w:r>
        <w:rPr>
          <w:noProof/>
        </w:rPr>
      </w:r>
      <w:r>
        <w:rPr>
          <w:noProof/>
        </w:rPr>
        <w:fldChar w:fldCharType="separate"/>
      </w:r>
      <w:r>
        <w:rPr>
          <w:noProof/>
        </w:rPr>
        <w:t>14</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_Toc355730405 \h </w:instrText>
      </w:r>
      <w:r>
        <w:rPr>
          <w:noProof/>
        </w:rPr>
      </w:r>
      <w:r>
        <w:rPr>
          <w:noProof/>
        </w:rPr>
        <w:fldChar w:fldCharType="separate"/>
      </w:r>
      <w:r>
        <w:rPr>
          <w:noProof/>
        </w:rPr>
        <w:t>18</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_Toc355730406 \h </w:instrText>
      </w:r>
      <w:r>
        <w:rPr>
          <w:noProof/>
        </w:rPr>
      </w:r>
      <w:r>
        <w:rPr>
          <w:noProof/>
        </w:rPr>
        <w:fldChar w:fldCharType="separate"/>
      </w:r>
      <w:r>
        <w:rPr>
          <w:noProof/>
        </w:rPr>
        <w:t>19</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_Toc355730407 \h </w:instrText>
      </w:r>
      <w:r>
        <w:rPr>
          <w:noProof/>
        </w:rPr>
      </w:r>
      <w:r>
        <w:rPr>
          <w:noProof/>
        </w:rPr>
        <w:fldChar w:fldCharType="separate"/>
      </w:r>
      <w:r>
        <w:rPr>
          <w:noProof/>
        </w:rPr>
        <w:t>19</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_Toc355730408 \h </w:instrText>
      </w:r>
      <w:r>
        <w:rPr>
          <w:noProof/>
        </w:rPr>
      </w:r>
      <w:r>
        <w:rPr>
          <w:noProof/>
        </w:rPr>
        <w:fldChar w:fldCharType="separate"/>
      </w:r>
      <w:r>
        <w:rPr>
          <w:noProof/>
        </w:rPr>
        <w:t>21</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_Toc355730409 \h </w:instrText>
      </w:r>
      <w:r>
        <w:rPr>
          <w:noProof/>
        </w:rPr>
      </w:r>
      <w:r>
        <w:rPr>
          <w:noProof/>
        </w:rPr>
        <w:fldChar w:fldCharType="separate"/>
      </w:r>
      <w:r>
        <w:rPr>
          <w:noProof/>
        </w:rPr>
        <w:t>21</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_Toc355730410 \h </w:instrText>
      </w:r>
      <w:r>
        <w:rPr>
          <w:noProof/>
        </w:rPr>
      </w:r>
      <w:r>
        <w:rPr>
          <w:noProof/>
        </w:rPr>
        <w:fldChar w:fldCharType="separate"/>
      </w:r>
      <w:r>
        <w:rPr>
          <w:noProof/>
        </w:rPr>
        <w:t>23</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_Toc355730411 \h </w:instrText>
      </w:r>
      <w:r>
        <w:rPr>
          <w:noProof/>
        </w:rPr>
      </w:r>
      <w:r>
        <w:rPr>
          <w:noProof/>
        </w:rPr>
        <w:fldChar w:fldCharType="separate"/>
      </w:r>
      <w:r>
        <w:rPr>
          <w:noProof/>
        </w:rPr>
        <w:t>23</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_Toc355730412 \h </w:instrText>
      </w:r>
      <w:r>
        <w:rPr>
          <w:noProof/>
        </w:rPr>
      </w:r>
      <w:r>
        <w:rPr>
          <w:noProof/>
        </w:rPr>
        <w:fldChar w:fldCharType="separate"/>
      </w:r>
      <w:r>
        <w:rPr>
          <w:noProof/>
        </w:rPr>
        <w:t>25</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_Toc355730413 \h </w:instrText>
      </w:r>
      <w:r>
        <w:rPr>
          <w:noProof/>
        </w:rPr>
      </w:r>
      <w:r>
        <w:rPr>
          <w:noProof/>
        </w:rPr>
        <w:fldChar w:fldCharType="separate"/>
      </w:r>
      <w:r>
        <w:rPr>
          <w:noProof/>
        </w:rPr>
        <w:t>26</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Usage</w:t>
      </w:r>
      <w:r>
        <w:rPr>
          <w:noProof/>
        </w:rPr>
        <w:tab/>
      </w:r>
      <w:r>
        <w:rPr>
          <w:noProof/>
        </w:rPr>
        <w:fldChar w:fldCharType="begin"/>
      </w:r>
      <w:r>
        <w:rPr>
          <w:noProof/>
        </w:rPr>
        <w:instrText xml:space="preserve"> PAGEREF _Toc355730414 \h </w:instrText>
      </w:r>
      <w:r>
        <w:rPr>
          <w:noProof/>
        </w:rPr>
      </w:r>
      <w:r>
        <w:rPr>
          <w:noProof/>
        </w:rPr>
        <w:fldChar w:fldCharType="separate"/>
      </w:r>
      <w:r>
        <w:rPr>
          <w:noProof/>
        </w:rPr>
        <w:t>30</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_Toc355730415 \h </w:instrText>
      </w:r>
      <w:r>
        <w:rPr>
          <w:noProof/>
        </w:rPr>
      </w:r>
      <w:r>
        <w:rPr>
          <w:noProof/>
        </w:rPr>
        <w:fldChar w:fldCharType="separate"/>
      </w:r>
      <w:r>
        <w:rPr>
          <w:noProof/>
        </w:rPr>
        <w:t>33</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_Toc355730416 \h </w:instrText>
      </w:r>
      <w:r>
        <w:rPr>
          <w:noProof/>
        </w:rPr>
      </w:r>
      <w:r>
        <w:rPr>
          <w:noProof/>
        </w:rPr>
        <w:fldChar w:fldCharType="separate"/>
      </w:r>
      <w:r>
        <w:rPr>
          <w:noProof/>
        </w:rPr>
        <w:t>33</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_Toc355730417 \h </w:instrText>
      </w:r>
      <w:r>
        <w:rPr>
          <w:noProof/>
        </w:rPr>
      </w:r>
      <w:r>
        <w:rPr>
          <w:noProof/>
        </w:rPr>
        <w:fldChar w:fldCharType="separate"/>
      </w:r>
      <w:r>
        <w:rPr>
          <w:noProof/>
        </w:rPr>
        <w:t>34</w:t>
      </w:r>
      <w:r>
        <w:rPr>
          <w:noProof/>
        </w:rPr>
        <w:fldChar w:fldCharType="end"/>
      </w:r>
    </w:p>
    <w:p w:rsidR="00A319E4" w:rsidRDefault="00A319E4">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_Toc355730418 \h </w:instrText>
      </w:r>
      <w:r>
        <w:rPr>
          <w:noProof/>
        </w:rPr>
      </w:r>
      <w:r>
        <w:rPr>
          <w:noProof/>
        </w:rPr>
        <w:fldChar w:fldCharType="separate"/>
      </w:r>
      <w:r>
        <w:rPr>
          <w:noProof/>
        </w:rPr>
        <w:t>34</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_Toc355730419 \h </w:instrText>
      </w:r>
      <w:r>
        <w:rPr>
          <w:noProof/>
        </w:rPr>
      </w:r>
      <w:r>
        <w:rPr>
          <w:noProof/>
        </w:rPr>
        <w:fldChar w:fldCharType="separate"/>
      </w:r>
      <w:r>
        <w:rPr>
          <w:noProof/>
        </w:rPr>
        <w:t>36</w:t>
      </w:r>
      <w:r>
        <w:rPr>
          <w:noProof/>
        </w:rPr>
        <w:fldChar w:fldCharType="end"/>
      </w:r>
    </w:p>
    <w:p w:rsidR="00A319E4" w:rsidRDefault="00A319E4">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_Toc355730420 \h </w:instrText>
      </w:r>
      <w:r>
        <w:rPr>
          <w:noProof/>
        </w:rPr>
      </w:r>
      <w:r>
        <w:rPr>
          <w:noProof/>
        </w:rPr>
        <w:fldChar w:fldCharType="separate"/>
      </w:r>
      <w:r>
        <w:rPr>
          <w:noProof/>
        </w:rPr>
        <w:t>36</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EGI.eu Performance</w:t>
      </w:r>
      <w:r>
        <w:rPr>
          <w:noProof/>
        </w:rPr>
        <w:tab/>
      </w:r>
      <w:r>
        <w:rPr>
          <w:noProof/>
        </w:rPr>
        <w:fldChar w:fldCharType="begin"/>
      </w:r>
      <w:r>
        <w:rPr>
          <w:noProof/>
        </w:rPr>
        <w:instrText xml:space="preserve"> PAGEREF _Toc355730421 \h </w:instrText>
      </w:r>
      <w:r>
        <w:rPr>
          <w:noProof/>
        </w:rPr>
      </w:r>
      <w:r>
        <w:rPr>
          <w:noProof/>
        </w:rPr>
        <w:fldChar w:fldCharType="separate"/>
      </w:r>
      <w:r>
        <w:rPr>
          <w:noProof/>
        </w:rPr>
        <w:t>37</w:t>
      </w:r>
      <w:r>
        <w:rPr>
          <w:noProof/>
        </w:rPr>
        <w:fldChar w:fldCharType="end"/>
      </w:r>
    </w:p>
    <w:p w:rsidR="00A319E4" w:rsidRDefault="00A319E4">
      <w:pPr>
        <w:pStyle w:val="TOC3"/>
        <w:tabs>
          <w:tab w:val="left" w:pos="1320"/>
          <w:tab w:val="right" w:leader="dot" w:pos="9054"/>
        </w:tabs>
        <w:rPr>
          <w:rFonts w:asciiTheme="minorHAnsi" w:eastAsiaTheme="minorEastAsia" w:hAnsiTheme="minorHAnsi" w:cstheme="minorBidi"/>
          <w:noProof/>
          <w:lang w:eastAsia="en-GB"/>
        </w:rPr>
      </w:pPr>
      <w:r>
        <w:rPr>
          <w:noProof/>
        </w:rPr>
        <w:t>6.4.1</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_Toc355730422 \h </w:instrText>
      </w:r>
      <w:r>
        <w:rPr>
          <w:noProof/>
        </w:rPr>
      </w:r>
      <w:r>
        <w:rPr>
          <w:noProof/>
        </w:rPr>
        <w:fldChar w:fldCharType="separate"/>
      </w:r>
      <w:r>
        <w:rPr>
          <w:noProof/>
        </w:rPr>
        <w:t>38</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VO Performance</w:t>
      </w:r>
      <w:r>
        <w:rPr>
          <w:noProof/>
        </w:rPr>
        <w:tab/>
      </w:r>
      <w:r>
        <w:rPr>
          <w:noProof/>
        </w:rPr>
        <w:fldChar w:fldCharType="begin"/>
      </w:r>
      <w:r>
        <w:rPr>
          <w:noProof/>
        </w:rPr>
        <w:instrText xml:space="preserve"> PAGEREF _Toc355730423 \h </w:instrText>
      </w:r>
      <w:r>
        <w:rPr>
          <w:noProof/>
        </w:rPr>
      </w:r>
      <w:r>
        <w:rPr>
          <w:noProof/>
        </w:rPr>
        <w:fldChar w:fldCharType="separate"/>
      </w:r>
      <w:r>
        <w:rPr>
          <w:noProof/>
        </w:rPr>
        <w:t>39</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_Toc355730424 \h </w:instrText>
      </w:r>
      <w:r>
        <w:rPr>
          <w:noProof/>
        </w:rPr>
      </w:r>
      <w:r>
        <w:rPr>
          <w:noProof/>
        </w:rPr>
        <w:fldChar w:fldCharType="separate"/>
      </w:r>
      <w:r>
        <w:rPr>
          <w:noProof/>
        </w:rPr>
        <w:t>41</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_Toc355730425 \h </w:instrText>
      </w:r>
      <w:r>
        <w:rPr>
          <w:noProof/>
        </w:rPr>
      </w:r>
      <w:r>
        <w:rPr>
          <w:noProof/>
        </w:rPr>
        <w:fldChar w:fldCharType="separate"/>
      </w:r>
      <w:r>
        <w:rPr>
          <w:noProof/>
        </w:rPr>
        <w:t>41</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Software retirement</w:t>
      </w:r>
      <w:r>
        <w:rPr>
          <w:noProof/>
        </w:rPr>
        <w:tab/>
      </w:r>
      <w:r>
        <w:rPr>
          <w:noProof/>
        </w:rPr>
        <w:fldChar w:fldCharType="begin"/>
      </w:r>
      <w:r>
        <w:rPr>
          <w:noProof/>
        </w:rPr>
        <w:instrText xml:space="preserve"> PAGEREF _Toc355730426 \h </w:instrText>
      </w:r>
      <w:r>
        <w:rPr>
          <w:noProof/>
        </w:rPr>
      </w:r>
      <w:r>
        <w:rPr>
          <w:noProof/>
        </w:rPr>
        <w:fldChar w:fldCharType="separate"/>
      </w:r>
      <w:r>
        <w:rPr>
          <w:noProof/>
        </w:rPr>
        <w:t>43</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Core Middleware Services</w:t>
      </w:r>
      <w:r>
        <w:rPr>
          <w:noProof/>
        </w:rPr>
        <w:tab/>
      </w:r>
      <w:r>
        <w:rPr>
          <w:noProof/>
        </w:rPr>
        <w:fldChar w:fldCharType="begin"/>
      </w:r>
      <w:r>
        <w:rPr>
          <w:noProof/>
        </w:rPr>
        <w:instrText xml:space="preserve"> PAGEREF _Toc355730427 \h </w:instrText>
      </w:r>
      <w:r>
        <w:rPr>
          <w:noProof/>
        </w:rPr>
      </w:r>
      <w:r>
        <w:rPr>
          <w:noProof/>
        </w:rPr>
        <w:fldChar w:fldCharType="separate"/>
      </w:r>
      <w:r>
        <w:rPr>
          <w:noProof/>
        </w:rPr>
        <w:t>44</w:t>
      </w:r>
      <w:r>
        <w:rPr>
          <w:noProof/>
        </w:rPr>
        <w:fldChar w:fldCharType="end"/>
      </w:r>
    </w:p>
    <w:p w:rsidR="00A319E4" w:rsidRDefault="00A319E4">
      <w:pPr>
        <w:pStyle w:val="TOC2"/>
        <w:tabs>
          <w:tab w:val="left" w:pos="880"/>
          <w:tab w:val="right" w:leader="dot" w:pos="9054"/>
        </w:tabs>
        <w:rPr>
          <w:rFonts w:asciiTheme="minorHAnsi" w:eastAsiaTheme="minorEastAsia" w:hAnsiTheme="minorHAnsi" w:cstheme="minorBidi"/>
          <w:b w:val="0"/>
          <w:noProof/>
          <w:lang w:eastAsia="en-GB"/>
        </w:rPr>
      </w:pPr>
      <w:r>
        <w:rPr>
          <w:noProof/>
        </w:rPr>
        <w:t>7.4</w:t>
      </w:r>
      <w:r>
        <w:rPr>
          <w:rFonts w:asciiTheme="minorHAnsi" w:eastAsiaTheme="minorEastAsia" w:hAnsiTheme="minorHAnsi" w:cstheme="minorBidi"/>
          <w:b w:val="0"/>
          <w:noProof/>
          <w:lang w:eastAsia="en-GB"/>
        </w:rPr>
        <w:tab/>
      </w:r>
      <w:r>
        <w:rPr>
          <w:noProof/>
        </w:rPr>
        <w:t>UMD in PY4</w:t>
      </w:r>
      <w:r>
        <w:rPr>
          <w:noProof/>
        </w:rPr>
        <w:tab/>
      </w:r>
      <w:r>
        <w:rPr>
          <w:noProof/>
        </w:rPr>
        <w:fldChar w:fldCharType="begin"/>
      </w:r>
      <w:r>
        <w:rPr>
          <w:noProof/>
        </w:rPr>
        <w:instrText xml:space="preserve"> PAGEREF _Toc355730428 \h </w:instrText>
      </w:r>
      <w:r>
        <w:rPr>
          <w:noProof/>
        </w:rPr>
      </w:r>
      <w:r>
        <w:rPr>
          <w:noProof/>
        </w:rPr>
        <w:fldChar w:fldCharType="separate"/>
      </w:r>
      <w:r>
        <w:rPr>
          <w:noProof/>
        </w:rPr>
        <w:t>48</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Cloud Infrastructure Platform</w:t>
      </w:r>
      <w:r>
        <w:rPr>
          <w:noProof/>
        </w:rPr>
        <w:tab/>
      </w:r>
      <w:r>
        <w:rPr>
          <w:noProof/>
        </w:rPr>
        <w:fldChar w:fldCharType="begin"/>
      </w:r>
      <w:r>
        <w:rPr>
          <w:noProof/>
        </w:rPr>
        <w:instrText xml:space="preserve"> PAGEREF _Toc355730429 \h </w:instrText>
      </w:r>
      <w:r>
        <w:rPr>
          <w:noProof/>
        </w:rPr>
      </w:r>
      <w:r>
        <w:rPr>
          <w:noProof/>
        </w:rPr>
        <w:fldChar w:fldCharType="separate"/>
      </w:r>
      <w:r>
        <w:rPr>
          <w:noProof/>
        </w:rPr>
        <w:t>49</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_Toc355730430 \h </w:instrText>
      </w:r>
      <w:r>
        <w:rPr>
          <w:noProof/>
        </w:rPr>
      </w:r>
      <w:r>
        <w:rPr>
          <w:noProof/>
        </w:rPr>
        <w:fldChar w:fldCharType="separate"/>
      </w:r>
      <w:r>
        <w:rPr>
          <w:noProof/>
        </w:rPr>
        <w:t>51</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Software support</w:t>
      </w:r>
      <w:r>
        <w:rPr>
          <w:noProof/>
        </w:rPr>
        <w:tab/>
      </w:r>
      <w:r>
        <w:rPr>
          <w:noProof/>
        </w:rPr>
        <w:fldChar w:fldCharType="begin"/>
      </w:r>
      <w:r>
        <w:rPr>
          <w:noProof/>
        </w:rPr>
        <w:instrText xml:space="preserve"> PAGEREF _Toc355730431 \h </w:instrText>
      </w:r>
      <w:r>
        <w:rPr>
          <w:noProof/>
        </w:rPr>
      </w:r>
      <w:r>
        <w:rPr>
          <w:noProof/>
        </w:rPr>
        <w:fldChar w:fldCharType="separate"/>
      </w:r>
      <w:r>
        <w:rPr>
          <w:noProof/>
        </w:rPr>
        <w:t>53</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_Toc355730432 \h </w:instrText>
      </w:r>
      <w:r>
        <w:rPr>
          <w:noProof/>
        </w:rPr>
      </w:r>
      <w:r>
        <w:rPr>
          <w:noProof/>
        </w:rPr>
        <w:fldChar w:fldCharType="separate"/>
      </w:r>
      <w:r>
        <w:rPr>
          <w:noProof/>
        </w:rPr>
        <w:t>55</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Pr>
          <w:noProof/>
        </w:rPr>
        <w:t>12</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_Toc355730433 \h </w:instrText>
      </w:r>
      <w:r>
        <w:rPr>
          <w:noProof/>
        </w:rPr>
      </w:r>
      <w:r>
        <w:rPr>
          <w:noProof/>
        </w:rPr>
        <w:fldChar w:fldCharType="separate"/>
      </w:r>
      <w:r>
        <w:rPr>
          <w:noProof/>
        </w:rPr>
        <w:t>58</w:t>
      </w:r>
      <w:r>
        <w:rPr>
          <w:noProof/>
        </w:rPr>
        <w:fldChar w:fldCharType="end"/>
      </w:r>
    </w:p>
    <w:p w:rsidR="00A319E4" w:rsidRDefault="00A319E4">
      <w:pPr>
        <w:pStyle w:val="TOC1"/>
        <w:rPr>
          <w:rFonts w:asciiTheme="minorHAnsi" w:eastAsiaTheme="minorEastAsia" w:hAnsiTheme="minorHAnsi" w:cstheme="minorBidi"/>
          <w:b w:val="0"/>
          <w:caps w:val="0"/>
          <w:noProof/>
          <w:sz w:val="22"/>
          <w:szCs w:val="22"/>
          <w:lang w:eastAsia="en-GB"/>
        </w:rPr>
      </w:pPr>
      <w:r w:rsidRPr="00A319E4">
        <w:rPr>
          <w:rFonts w:eastAsia="Cambria"/>
          <w:noProof/>
          <w:lang w:eastAsia="en-US"/>
        </w:rPr>
        <w:t>13</w:t>
      </w:r>
      <w:r>
        <w:rPr>
          <w:rFonts w:asciiTheme="minorHAnsi" w:eastAsiaTheme="minorEastAsia" w:hAnsiTheme="minorHAnsi" w:cstheme="minorBidi"/>
          <w:b w:val="0"/>
          <w:caps w:val="0"/>
          <w:noProof/>
          <w:sz w:val="22"/>
          <w:szCs w:val="22"/>
          <w:lang w:eastAsia="en-GB"/>
        </w:rPr>
        <w:tab/>
      </w:r>
      <w:r w:rsidRPr="00A319E4">
        <w:rPr>
          <w:rFonts w:eastAsia="Cambria"/>
          <w:noProof/>
          <w:lang w:eastAsia="en-US"/>
        </w:rPr>
        <w:t>Annex I. VO Distribution per discipline</w:t>
      </w:r>
      <w:r>
        <w:rPr>
          <w:noProof/>
        </w:rPr>
        <w:tab/>
      </w:r>
      <w:r>
        <w:rPr>
          <w:noProof/>
        </w:rPr>
        <w:fldChar w:fldCharType="begin"/>
      </w:r>
      <w:r>
        <w:rPr>
          <w:noProof/>
        </w:rPr>
        <w:instrText xml:space="preserve"> PAGEREF _Toc355730434 \h </w:instrText>
      </w:r>
      <w:r>
        <w:rPr>
          <w:noProof/>
        </w:rPr>
      </w:r>
      <w:r>
        <w:rPr>
          <w:noProof/>
        </w:rPr>
        <w:fldChar w:fldCharType="separate"/>
      </w:r>
      <w:r>
        <w:rPr>
          <w:noProof/>
        </w:rPr>
        <w:t>59</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13.1</w:t>
      </w:r>
      <w:r>
        <w:rPr>
          <w:rFonts w:asciiTheme="minorHAnsi" w:eastAsiaTheme="minorEastAsia" w:hAnsiTheme="minorHAnsi" w:cstheme="minorBidi"/>
          <w:b w:val="0"/>
          <w:noProof/>
          <w:lang w:eastAsia="en-GB"/>
        </w:rPr>
        <w:tab/>
      </w:r>
      <w:r w:rsidRPr="00E43BC8">
        <w:rPr>
          <w:rFonts w:eastAsia="Cambria"/>
          <w:noProof/>
          <w:lang w:val="en-US" w:eastAsia="en-US"/>
        </w:rPr>
        <w:t>Astronomy Astrophysics and Astro-particle Physics</w:t>
      </w:r>
      <w:r>
        <w:rPr>
          <w:noProof/>
        </w:rPr>
        <w:tab/>
      </w:r>
      <w:r>
        <w:rPr>
          <w:noProof/>
        </w:rPr>
        <w:fldChar w:fldCharType="begin"/>
      </w:r>
      <w:r>
        <w:rPr>
          <w:noProof/>
        </w:rPr>
        <w:instrText xml:space="preserve"> PAGEREF _Toc355730435 \h </w:instrText>
      </w:r>
      <w:r>
        <w:rPr>
          <w:noProof/>
        </w:rPr>
      </w:r>
      <w:r>
        <w:rPr>
          <w:noProof/>
        </w:rPr>
        <w:fldChar w:fldCharType="separate"/>
      </w:r>
      <w:r>
        <w:rPr>
          <w:noProof/>
        </w:rPr>
        <w:t>59</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13.2</w:t>
      </w:r>
      <w:r>
        <w:rPr>
          <w:rFonts w:asciiTheme="minorHAnsi" w:eastAsiaTheme="minorEastAsia" w:hAnsiTheme="minorHAnsi" w:cstheme="minorBidi"/>
          <w:b w:val="0"/>
          <w:noProof/>
          <w:lang w:eastAsia="en-GB"/>
        </w:rPr>
        <w:tab/>
      </w:r>
      <w:r w:rsidRPr="00E43BC8">
        <w:rPr>
          <w:rFonts w:eastAsia="Cambria"/>
          <w:noProof/>
          <w:lang w:val="en-US" w:eastAsia="en-US"/>
        </w:rPr>
        <w:t>Computer Science and Mathematics</w:t>
      </w:r>
      <w:r>
        <w:rPr>
          <w:noProof/>
        </w:rPr>
        <w:tab/>
      </w:r>
      <w:r>
        <w:rPr>
          <w:noProof/>
        </w:rPr>
        <w:fldChar w:fldCharType="begin"/>
      </w:r>
      <w:r>
        <w:rPr>
          <w:noProof/>
        </w:rPr>
        <w:instrText xml:space="preserve"> PAGEREF _Toc355730436 \h </w:instrText>
      </w:r>
      <w:r>
        <w:rPr>
          <w:noProof/>
        </w:rPr>
      </w:r>
      <w:r>
        <w:rPr>
          <w:noProof/>
        </w:rPr>
        <w:fldChar w:fldCharType="separate"/>
      </w:r>
      <w:r>
        <w:rPr>
          <w:noProof/>
        </w:rPr>
        <w:t>59</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Pr>
          <w:noProof/>
        </w:rPr>
        <w:lastRenderedPageBreak/>
        <w:t>13.3</w:t>
      </w:r>
      <w:r>
        <w:rPr>
          <w:rFonts w:asciiTheme="minorHAnsi" w:eastAsiaTheme="minorEastAsia" w:hAnsiTheme="minorHAnsi" w:cstheme="minorBidi"/>
          <w:b w:val="0"/>
          <w:noProof/>
          <w:lang w:eastAsia="en-GB"/>
        </w:rPr>
        <w:tab/>
      </w:r>
      <w:r>
        <w:rPr>
          <w:noProof/>
        </w:rPr>
        <w:t>Computational Chemistry</w:t>
      </w:r>
      <w:r>
        <w:rPr>
          <w:noProof/>
        </w:rPr>
        <w:tab/>
      </w:r>
      <w:r>
        <w:rPr>
          <w:noProof/>
        </w:rPr>
        <w:fldChar w:fldCharType="begin"/>
      </w:r>
      <w:r>
        <w:rPr>
          <w:noProof/>
        </w:rPr>
        <w:instrText xml:space="preserve"> PAGEREF _Toc355730437 \h </w:instrText>
      </w:r>
      <w:r>
        <w:rPr>
          <w:noProof/>
        </w:rPr>
      </w:r>
      <w:r>
        <w:rPr>
          <w:noProof/>
        </w:rPr>
        <w:fldChar w:fldCharType="separate"/>
      </w:r>
      <w:r>
        <w:rPr>
          <w:noProof/>
        </w:rPr>
        <w:t>60</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13.4</w:t>
      </w:r>
      <w:r>
        <w:rPr>
          <w:rFonts w:asciiTheme="minorHAnsi" w:eastAsiaTheme="minorEastAsia" w:hAnsiTheme="minorHAnsi" w:cstheme="minorBidi"/>
          <w:b w:val="0"/>
          <w:noProof/>
          <w:lang w:eastAsia="en-GB"/>
        </w:rPr>
        <w:tab/>
      </w:r>
      <w:r w:rsidRPr="00E43BC8">
        <w:rPr>
          <w:rFonts w:eastAsia="Cambria"/>
          <w:noProof/>
          <w:lang w:val="en-US" w:eastAsia="en-US"/>
        </w:rPr>
        <w:t>Earth Sciences</w:t>
      </w:r>
      <w:r>
        <w:rPr>
          <w:noProof/>
        </w:rPr>
        <w:tab/>
      </w:r>
      <w:r>
        <w:rPr>
          <w:noProof/>
        </w:rPr>
        <w:fldChar w:fldCharType="begin"/>
      </w:r>
      <w:r>
        <w:rPr>
          <w:noProof/>
        </w:rPr>
        <w:instrText xml:space="preserve"> PAGEREF _Toc355730438 \h </w:instrText>
      </w:r>
      <w:r>
        <w:rPr>
          <w:noProof/>
        </w:rPr>
      </w:r>
      <w:r>
        <w:rPr>
          <w:noProof/>
        </w:rPr>
        <w:fldChar w:fldCharType="separate"/>
      </w:r>
      <w:r>
        <w:rPr>
          <w:noProof/>
        </w:rPr>
        <w:t>60</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13.5</w:t>
      </w:r>
      <w:r>
        <w:rPr>
          <w:rFonts w:asciiTheme="minorHAnsi" w:eastAsiaTheme="minorEastAsia" w:hAnsiTheme="minorHAnsi" w:cstheme="minorBidi"/>
          <w:b w:val="0"/>
          <w:noProof/>
          <w:lang w:eastAsia="en-GB"/>
        </w:rPr>
        <w:tab/>
      </w:r>
      <w:r w:rsidRPr="00E43BC8">
        <w:rPr>
          <w:rFonts w:eastAsia="Cambria"/>
          <w:noProof/>
          <w:lang w:val="en-US" w:eastAsia="en-US"/>
        </w:rPr>
        <w:t>Fusion</w:t>
      </w:r>
      <w:r>
        <w:rPr>
          <w:noProof/>
        </w:rPr>
        <w:tab/>
      </w:r>
      <w:r>
        <w:rPr>
          <w:noProof/>
        </w:rPr>
        <w:fldChar w:fldCharType="begin"/>
      </w:r>
      <w:r>
        <w:rPr>
          <w:noProof/>
        </w:rPr>
        <w:instrText xml:space="preserve"> PAGEREF _Toc355730439 \h </w:instrText>
      </w:r>
      <w:r>
        <w:rPr>
          <w:noProof/>
        </w:rPr>
      </w:r>
      <w:r>
        <w:rPr>
          <w:noProof/>
        </w:rPr>
        <w:fldChar w:fldCharType="separate"/>
      </w:r>
      <w:r>
        <w:rPr>
          <w:noProof/>
        </w:rPr>
        <w:t>61</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13.6</w:t>
      </w:r>
      <w:r>
        <w:rPr>
          <w:rFonts w:asciiTheme="minorHAnsi" w:eastAsiaTheme="minorEastAsia" w:hAnsiTheme="minorHAnsi" w:cstheme="minorBidi"/>
          <w:b w:val="0"/>
          <w:noProof/>
          <w:lang w:eastAsia="en-GB"/>
        </w:rPr>
        <w:tab/>
      </w:r>
      <w:r w:rsidRPr="00E43BC8">
        <w:rPr>
          <w:rFonts w:eastAsia="Cambria"/>
          <w:noProof/>
          <w:lang w:val="en-US" w:eastAsia="en-US"/>
        </w:rPr>
        <w:t>High Energy Physics</w:t>
      </w:r>
      <w:r>
        <w:rPr>
          <w:noProof/>
        </w:rPr>
        <w:tab/>
      </w:r>
      <w:r>
        <w:rPr>
          <w:noProof/>
        </w:rPr>
        <w:fldChar w:fldCharType="begin"/>
      </w:r>
      <w:r>
        <w:rPr>
          <w:noProof/>
        </w:rPr>
        <w:instrText xml:space="preserve"> PAGEREF _Toc355730440 \h </w:instrText>
      </w:r>
      <w:r>
        <w:rPr>
          <w:noProof/>
        </w:rPr>
      </w:r>
      <w:r>
        <w:rPr>
          <w:noProof/>
        </w:rPr>
        <w:fldChar w:fldCharType="separate"/>
      </w:r>
      <w:r>
        <w:rPr>
          <w:noProof/>
        </w:rPr>
        <w:t>61</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13.7</w:t>
      </w:r>
      <w:r>
        <w:rPr>
          <w:rFonts w:asciiTheme="minorHAnsi" w:eastAsiaTheme="minorEastAsia" w:hAnsiTheme="minorHAnsi" w:cstheme="minorBidi"/>
          <w:b w:val="0"/>
          <w:noProof/>
          <w:lang w:eastAsia="en-GB"/>
        </w:rPr>
        <w:tab/>
      </w:r>
      <w:r w:rsidRPr="00E43BC8">
        <w:rPr>
          <w:rFonts w:eastAsia="Cambria"/>
          <w:noProof/>
          <w:lang w:val="en-US" w:eastAsia="en-US"/>
        </w:rPr>
        <w:t>Infrastructure</w:t>
      </w:r>
      <w:r>
        <w:rPr>
          <w:noProof/>
        </w:rPr>
        <w:tab/>
      </w:r>
      <w:r>
        <w:rPr>
          <w:noProof/>
        </w:rPr>
        <w:fldChar w:fldCharType="begin"/>
      </w:r>
      <w:r>
        <w:rPr>
          <w:noProof/>
        </w:rPr>
        <w:instrText xml:space="preserve"> PAGEREF _Toc355730441 \h </w:instrText>
      </w:r>
      <w:r>
        <w:rPr>
          <w:noProof/>
        </w:rPr>
      </w:r>
      <w:r>
        <w:rPr>
          <w:noProof/>
        </w:rPr>
        <w:fldChar w:fldCharType="separate"/>
      </w:r>
      <w:r>
        <w:rPr>
          <w:noProof/>
        </w:rPr>
        <w:t>62</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13.8</w:t>
      </w:r>
      <w:r>
        <w:rPr>
          <w:rFonts w:asciiTheme="minorHAnsi" w:eastAsiaTheme="minorEastAsia" w:hAnsiTheme="minorHAnsi" w:cstheme="minorBidi"/>
          <w:b w:val="0"/>
          <w:noProof/>
          <w:lang w:eastAsia="en-GB"/>
        </w:rPr>
        <w:tab/>
      </w:r>
      <w:r w:rsidRPr="00E43BC8">
        <w:rPr>
          <w:rFonts w:eastAsia="Cambria"/>
          <w:noProof/>
          <w:lang w:val="en-US" w:eastAsia="en-US"/>
        </w:rPr>
        <w:t>Life Sciences</w:t>
      </w:r>
      <w:r>
        <w:rPr>
          <w:noProof/>
        </w:rPr>
        <w:tab/>
      </w:r>
      <w:r>
        <w:rPr>
          <w:noProof/>
        </w:rPr>
        <w:fldChar w:fldCharType="begin"/>
      </w:r>
      <w:r>
        <w:rPr>
          <w:noProof/>
        </w:rPr>
        <w:instrText xml:space="preserve"> PAGEREF _Toc355730442 \h </w:instrText>
      </w:r>
      <w:r>
        <w:rPr>
          <w:noProof/>
        </w:rPr>
      </w:r>
      <w:r>
        <w:rPr>
          <w:noProof/>
        </w:rPr>
        <w:fldChar w:fldCharType="separate"/>
      </w:r>
      <w:r>
        <w:rPr>
          <w:noProof/>
        </w:rPr>
        <w:t>62</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13.9</w:t>
      </w:r>
      <w:r>
        <w:rPr>
          <w:rFonts w:asciiTheme="minorHAnsi" w:eastAsiaTheme="minorEastAsia" w:hAnsiTheme="minorHAnsi" w:cstheme="minorBidi"/>
          <w:b w:val="0"/>
          <w:noProof/>
          <w:lang w:eastAsia="en-GB"/>
        </w:rPr>
        <w:tab/>
      </w:r>
      <w:r w:rsidRPr="00E43BC8">
        <w:rPr>
          <w:rFonts w:eastAsia="Cambria"/>
          <w:noProof/>
          <w:lang w:val="en-US" w:eastAsia="en-US"/>
        </w:rPr>
        <w:t>Multidisciplinary VOs</w:t>
      </w:r>
      <w:r>
        <w:rPr>
          <w:noProof/>
        </w:rPr>
        <w:tab/>
      </w:r>
      <w:r>
        <w:rPr>
          <w:noProof/>
        </w:rPr>
        <w:fldChar w:fldCharType="begin"/>
      </w:r>
      <w:r>
        <w:rPr>
          <w:noProof/>
        </w:rPr>
        <w:instrText xml:space="preserve"> PAGEREF _Toc355730443 \h </w:instrText>
      </w:r>
      <w:r>
        <w:rPr>
          <w:noProof/>
        </w:rPr>
      </w:r>
      <w:r>
        <w:rPr>
          <w:noProof/>
        </w:rPr>
        <w:fldChar w:fldCharType="separate"/>
      </w:r>
      <w:r>
        <w:rPr>
          <w:noProof/>
        </w:rPr>
        <w:t>63</w:t>
      </w:r>
      <w:r>
        <w:rPr>
          <w:noProof/>
        </w:rPr>
        <w:fldChar w:fldCharType="end"/>
      </w:r>
    </w:p>
    <w:p w:rsidR="00A319E4" w:rsidRDefault="00A319E4">
      <w:pPr>
        <w:pStyle w:val="TOC2"/>
        <w:tabs>
          <w:tab w:val="left" w:pos="1100"/>
          <w:tab w:val="right" w:leader="dot" w:pos="9054"/>
        </w:tabs>
        <w:rPr>
          <w:rFonts w:asciiTheme="minorHAnsi" w:eastAsiaTheme="minorEastAsia" w:hAnsiTheme="minorHAnsi" w:cstheme="minorBidi"/>
          <w:b w:val="0"/>
          <w:noProof/>
          <w:lang w:eastAsia="en-GB"/>
        </w:rPr>
      </w:pPr>
      <w:r w:rsidRPr="00E43BC8">
        <w:rPr>
          <w:rFonts w:eastAsia="Cambria"/>
          <w:noProof/>
          <w:lang w:val="en-US" w:eastAsia="en-US"/>
        </w:rPr>
        <w:t>13.10</w:t>
      </w:r>
      <w:r>
        <w:rPr>
          <w:rFonts w:asciiTheme="minorHAnsi" w:eastAsiaTheme="minorEastAsia" w:hAnsiTheme="minorHAnsi" w:cstheme="minorBidi"/>
          <w:b w:val="0"/>
          <w:noProof/>
          <w:lang w:eastAsia="en-GB"/>
        </w:rPr>
        <w:tab/>
      </w:r>
      <w:r w:rsidRPr="00E43BC8">
        <w:rPr>
          <w:rFonts w:eastAsia="Cambria"/>
          <w:noProof/>
          <w:lang w:val="en-US" w:eastAsia="en-US"/>
        </w:rPr>
        <w:t>Other Disciplines</w:t>
      </w:r>
      <w:r>
        <w:rPr>
          <w:noProof/>
        </w:rPr>
        <w:tab/>
      </w:r>
      <w:r>
        <w:rPr>
          <w:noProof/>
        </w:rPr>
        <w:fldChar w:fldCharType="begin"/>
      </w:r>
      <w:r>
        <w:rPr>
          <w:noProof/>
        </w:rPr>
        <w:instrText xml:space="preserve"> PAGEREF _Toc355730444 \h </w:instrText>
      </w:r>
      <w:r>
        <w:rPr>
          <w:noProof/>
        </w:rPr>
      </w:r>
      <w:r>
        <w:rPr>
          <w:noProof/>
        </w:rPr>
        <w:fldChar w:fldCharType="separate"/>
      </w:r>
      <w:r>
        <w:rPr>
          <w:noProof/>
        </w:rPr>
        <w:t>63</w:t>
      </w:r>
      <w:r>
        <w:rPr>
          <w:noProof/>
        </w:rPr>
        <w:fldChar w:fldCharType="end"/>
      </w:r>
    </w:p>
    <w:p w:rsidR="00271811" w:rsidRPr="00A319E4" w:rsidRDefault="00207D16" w:rsidP="00A319E4">
      <w:pPr>
        <w:rPr>
          <w:b/>
          <w:caps/>
          <w:szCs w:val="24"/>
        </w:rPr>
      </w:pPr>
      <w:r w:rsidRPr="00371B32">
        <w:rPr>
          <w:b/>
          <w:caps/>
          <w:szCs w:val="24"/>
        </w:rPr>
        <w:fldChar w:fldCharType="end"/>
      </w:r>
      <w:r w:rsidR="00271811">
        <w:br w:type="page"/>
      </w:r>
    </w:p>
    <w:p w:rsidR="00EC6DF4" w:rsidRPr="00A21F55" w:rsidRDefault="00A21F55" w:rsidP="00A21F55">
      <w:pPr>
        <w:jc w:val="center"/>
        <w:rPr>
          <w:b/>
          <w:sz w:val="32"/>
        </w:rPr>
      </w:pPr>
      <w:r>
        <w:rPr>
          <w:b/>
          <w:sz w:val="32"/>
        </w:rPr>
        <w:lastRenderedPageBreak/>
        <w:t>INDEX OF FIGURES</w:t>
      </w:r>
    </w:p>
    <w:p w:rsidR="00A319E4"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55730445" w:history="1">
        <w:r w:rsidR="00A319E4" w:rsidRPr="00E62F8A">
          <w:rPr>
            <w:rStyle w:val="Hyperlink"/>
            <w:noProof/>
          </w:rPr>
          <w:t>Figure 1 RCs distribution in March 2013 (data source: GOCDB and GSTAT).</w:t>
        </w:r>
        <w:r w:rsidR="00A319E4">
          <w:rPr>
            <w:noProof/>
            <w:webHidden/>
          </w:rPr>
          <w:tab/>
        </w:r>
        <w:r w:rsidR="00A319E4">
          <w:rPr>
            <w:noProof/>
            <w:webHidden/>
          </w:rPr>
          <w:fldChar w:fldCharType="begin"/>
        </w:r>
        <w:r w:rsidR="00A319E4">
          <w:rPr>
            <w:noProof/>
            <w:webHidden/>
          </w:rPr>
          <w:instrText xml:space="preserve"> PAGEREF _Toc355730445 \h </w:instrText>
        </w:r>
        <w:r w:rsidR="00A319E4">
          <w:rPr>
            <w:noProof/>
            <w:webHidden/>
          </w:rPr>
        </w:r>
        <w:r w:rsidR="00A319E4">
          <w:rPr>
            <w:noProof/>
            <w:webHidden/>
          </w:rPr>
          <w:fldChar w:fldCharType="separate"/>
        </w:r>
        <w:r w:rsidR="00A319E4">
          <w:rPr>
            <w:noProof/>
            <w:webHidden/>
          </w:rPr>
          <w:t>12</w:t>
        </w:r>
        <w:r w:rsidR="00A319E4">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46" w:history="1">
        <w:r w:rsidRPr="00E62F8A">
          <w:rPr>
            <w:rStyle w:val="Hyperlink"/>
            <w:noProof/>
          </w:rPr>
          <w:t>Figure 2. Number of certified production RCs from 01/09/2009 to 01/03/2013. The drastic reduction in number in April 2012 is due to both the decommissioning of small RCs in Italy and to suspensions in other NGIs because of low performance issues</w:t>
        </w:r>
        <w:r>
          <w:rPr>
            <w:noProof/>
            <w:webHidden/>
          </w:rPr>
          <w:tab/>
        </w:r>
        <w:r>
          <w:rPr>
            <w:noProof/>
            <w:webHidden/>
          </w:rPr>
          <w:fldChar w:fldCharType="begin"/>
        </w:r>
        <w:r>
          <w:rPr>
            <w:noProof/>
            <w:webHidden/>
          </w:rPr>
          <w:instrText xml:space="preserve"> PAGEREF _Toc355730446 \h </w:instrText>
        </w:r>
        <w:r>
          <w:rPr>
            <w:noProof/>
            <w:webHidden/>
          </w:rPr>
        </w:r>
        <w:r>
          <w:rPr>
            <w:noProof/>
            <w:webHidden/>
          </w:rPr>
          <w:fldChar w:fldCharType="separate"/>
        </w:r>
        <w:r>
          <w:rPr>
            <w:noProof/>
            <w:webHidden/>
          </w:rPr>
          <w:t>14</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47" w:history="1">
        <w:r w:rsidRPr="00E62F8A">
          <w:rPr>
            <w:rStyle w:val="Hyperlink"/>
            <w:noProof/>
          </w:rPr>
          <w:t>Figure 3 RPs distribution in March 2013 (data source: GOCDB). Legend: (blue) Integrated EGI-InSPIRE Partners and EGI Council Members, (green) External Resource Providers, (orange) Internal/External Resource Providers – Azerbaijan, (purple) Peer Resource Providers – Open Science Grid.</w:t>
        </w:r>
        <w:r>
          <w:rPr>
            <w:noProof/>
            <w:webHidden/>
          </w:rPr>
          <w:tab/>
        </w:r>
        <w:r>
          <w:rPr>
            <w:noProof/>
            <w:webHidden/>
          </w:rPr>
          <w:fldChar w:fldCharType="begin"/>
        </w:r>
        <w:r>
          <w:rPr>
            <w:noProof/>
            <w:webHidden/>
          </w:rPr>
          <w:instrText xml:space="preserve"> PAGEREF _Toc355730447 \h </w:instrText>
        </w:r>
        <w:r>
          <w:rPr>
            <w:noProof/>
            <w:webHidden/>
          </w:rPr>
        </w:r>
        <w:r>
          <w:rPr>
            <w:noProof/>
            <w:webHidden/>
          </w:rPr>
          <w:fldChar w:fldCharType="separate"/>
        </w:r>
        <w:r>
          <w:rPr>
            <w:noProof/>
            <w:webHidden/>
          </w:rPr>
          <w:t>15</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48" w:history="1">
        <w:r w:rsidRPr="00E62F8A">
          <w:rPr>
            <w:rStyle w:val="Hyperlink"/>
            <w:noProof/>
          </w:rPr>
          <w:t>Figure 4. EGI countries hosting certified production Resource Centres from 01/09/2009 to 01/03/2013 (data source: GOCDB).</w:t>
        </w:r>
        <w:r>
          <w:rPr>
            <w:noProof/>
            <w:webHidden/>
          </w:rPr>
          <w:tab/>
        </w:r>
        <w:r>
          <w:rPr>
            <w:noProof/>
            <w:webHidden/>
          </w:rPr>
          <w:fldChar w:fldCharType="begin"/>
        </w:r>
        <w:r>
          <w:rPr>
            <w:noProof/>
            <w:webHidden/>
          </w:rPr>
          <w:instrText xml:space="preserve"> PAGEREF _Toc355730448 \h </w:instrText>
        </w:r>
        <w:r>
          <w:rPr>
            <w:noProof/>
            <w:webHidden/>
          </w:rPr>
        </w:r>
        <w:r>
          <w:rPr>
            <w:noProof/>
            <w:webHidden/>
          </w:rPr>
          <w:fldChar w:fldCharType="separate"/>
        </w:r>
        <w:r>
          <w:rPr>
            <w:noProof/>
            <w:webHidden/>
          </w:rPr>
          <w:t>16</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49" w:history="1">
        <w:r w:rsidRPr="00E62F8A">
          <w:rPr>
            <w:rStyle w:val="Hyperlink"/>
            <w:noProof/>
          </w:rPr>
          <w:t>Figure 5. Log scale distribution of logical cores (blue bar) and HEP SPEC 06 installed capacity (red bar) at the end of PQ11 across EGI Resource infrastructure Providers, including EGI-InSPIRE partners, EGI Council members and integrated infrastructures. Data sorted by number of cores. Source: project quarterly metrics and top-BDII.</w:t>
        </w:r>
        <w:r>
          <w:rPr>
            <w:noProof/>
            <w:webHidden/>
          </w:rPr>
          <w:tab/>
        </w:r>
        <w:r>
          <w:rPr>
            <w:noProof/>
            <w:webHidden/>
          </w:rPr>
          <w:fldChar w:fldCharType="begin"/>
        </w:r>
        <w:r>
          <w:rPr>
            <w:noProof/>
            <w:webHidden/>
          </w:rPr>
          <w:instrText xml:space="preserve"> PAGEREF _Toc355730449 \h </w:instrText>
        </w:r>
        <w:r>
          <w:rPr>
            <w:noProof/>
            <w:webHidden/>
          </w:rPr>
        </w:r>
        <w:r>
          <w:rPr>
            <w:noProof/>
            <w:webHidden/>
          </w:rPr>
          <w:fldChar w:fldCharType="separate"/>
        </w:r>
        <w:r>
          <w:rPr>
            <w:noProof/>
            <w:webHidden/>
          </w:rPr>
          <w:t>20</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0" w:history="1">
        <w:r w:rsidRPr="00E62F8A">
          <w:rPr>
            <w:rStyle w:val="Hyperlink"/>
            <w:noProof/>
          </w:rPr>
          <w:t>Figure 6. Installed disk capacity in PB across the EGI RPs at the end of PQ11 – red bar – compared to the installed capacity in PQ7 – blue bar (source: Metrics Portal and Gstat).</w:t>
        </w:r>
        <w:r>
          <w:rPr>
            <w:noProof/>
            <w:webHidden/>
          </w:rPr>
          <w:tab/>
        </w:r>
        <w:r>
          <w:rPr>
            <w:noProof/>
            <w:webHidden/>
          </w:rPr>
          <w:fldChar w:fldCharType="begin"/>
        </w:r>
        <w:r>
          <w:rPr>
            <w:noProof/>
            <w:webHidden/>
          </w:rPr>
          <w:instrText xml:space="preserve"> PAGEREF _Toc355730450 \h </w:instrText>
        </w:r>
        <w:r>
          <w:rPr>
            <w:noProof/>
            <w:webHidden/>
          </w:rPr>
        </w:r>
        <w:r>
          <w:rPr>
            <w:noProof/>
            <w:webHidden/>
          </w:rPr>
          <w:fldChar w:fldCharType="separate"/>
        </w:r>
        <w:r>
          <w:rPr>
            <w:noProof/>
            <w:webHidden/>
          </w:rPr>
          <w:t>21</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1" w:history="1">
        <w:r w:rsidRPr="00E62F8A">
          <w:rPr>
            <w:rStyle w:val="Hyperlink"/>
            <w:noProof/>
          </w:rPr>
          <w:t>Figure 7. Distribution of number VOs per discipline (March 2013, source: Operations Portal).</w:t>
        </w:r>
        <w:r>
          <w:rPr>
            <w:noProof/>
            <w:webHidden/>
          </w:rPr>
          <w:tab/>
        </w:r>
        <w:r>
          <w:rPr>
            <w:noProof/>
            <w:webHidden/>
          </w:rPr>
          <w:fldChar w:fldCharType="begin"/>
        </w:r>
        <w:r>
          <w:rPr>
            <w:noProof/>
            <w:webHidden/>
          </w:rPr>
          <w:instrText xml:space="preserve"> PAGEREF _Toc355730451 \h </w:instrText>
        </w:r>
        <w:r>
          <w:rPr>
            <w:noProof/>
            <w:webHidden/>
          </w:rPr>
        </w:r>
        <w:r>
          <w:rPr>
            <w:noProof/>
            <w:webHidden/>
          </w:rPr>
          <w:fldChar w:fldCharType="separate"/>
        </w:r>
        <w:r>
          <w:rPr>
            <w:noProof/>
            <w:webHidden/>
          </w:rPr>
          <w:t>24</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2" w:history="1">
        <w:r w:rsidRPr="00E62F8A">
          <w:rPr>
            <w:rStyle w:val="Hyperlink"/>
            <w:noProof/>
          </w:rPr>
          <w:t>Figure 8. Comparison of the VO distribution at the end of March 2011 (blue bars), at the end of March 2012 (red bars) and at the end of March 2013 (green bars). Source: Operations Portal.</w:t>
        </w:r>
        <w:r>
          <w:rPr>
            <w:noProof/>
            <w:webHidden/>
          </w:rPr>
          <w:tab/>
        </w:r>
        <w:r>
          <w:rPr>
            <w:noProof/>
            <w:webHidden/>
          </w:rPr>
          <w:fldChar w:fldCharType="begin"/>
        </w:r>
        <w:r>
          <w:rPr>
            <w:noProof/>
            <w:webHidden/>
          </w:rPr>
          <w:instrText xml:space="preserve"> PAGEREF _Toc355730452 \h </w:instrText>
        </w:r>
        <w:r>
          <w:rPr>
            <w:noProof/>
            <w:webHidden/>
          </w:rPr>
        </w:r>
        <w:r>
          <w:rPr>
            <w:noProof/>
            <w:webHidden/>
          </w:rPr>
          <w:fldChar w:fldCharType="separate"/>
        </w:r>
        <w:r>
          <w:rPr>
            <w:noProof/>
            <w:webHidden/>
          </w:rPr>
          <w:t>24</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3" w:history="1">
        <w:r w:rsidRPr="00E62F8A">
          <w:rPr>
            <w:rStyle w:val="Hyperlink"/>
            <w:noProof/>
          </w:rPr>
          <w:t>Figure 9. User distribution per discipline (March 2013, source: Operations Portal)</w:t>
        </w:r>
        <w:r>
          <w:rPr>
            <w:noProof/>
            <w:webHidden/>
          </w:rPr>
          <w:tab/>
        </w:r>
        <w:r>
          <w:rPr>
            <w:noProof/>
            <w:webHidden/>
          </w:rPr>
          <w:fldChar w:fldCharType="begin"/>
        </w:r>
        <w:r>
          <w:rPr>
            <w:noProof/>
            <w:webHidden/>
          </w:rPr>
          <w:instrText xml:space="preserve"> PAGEREF _Toc355730453 \h </w:instrText>
        </w:r>
        <w:r>
          <w:rPr>
            <w:noProof/>
            <w:webHidden/>
          </w:rPr>
        </w:r>
        <w:r>
          <w:rPr>
            <w:noProof/>
            <w:webHidden/>
          </w:rPr>
          <w:fldChar w:fldCharType="separate"/>
        </w:r>
        <w:r>
          <w:rPr>
            <w:noProof/>
            <w:webHidden/>
          </w:rPr>
          <w:t>25</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4" w:history="1">
        <w:r w:rsidRPr="00E62F8A">
          <w:rPr>
            <w:rStyle w:val="Hyperlink"/>
            <w:noProof/>
          </w:rPr>
          <w:t>Figure 10. Comparison of the number of users per discipline in April 2011 (blue bar), April 2012 (red bar) and at the end of March 2013 (green bars). Source: Operations Portal.</w:t>
        </w:r>
        <w:r>
          <w:rPr>
            <w:noProof/>
            <w:webHidden/>
          </w:rPr>
          <w:tab/>
        </w:r>
        <w:r>
          <w:rPr>
            <w:noProof/>
            <w:webHidden/>
          </w:rPr>
          <w:fldChar w:fldCharType="begin"/>
        </w:r>
        <w:r>
          <w:rPr>
            <w:noProof/>
            <w:webHidden/>
          </w:rPr>
          <w:instrText xml:space="preserve"> PAGEREF _Toc355730454 \h </w:instrText>
        </w:r>
        <w:r>
          <w:rPr>
            <w:noProof/>
            <w:webHidden/>
          </w:rPr>
        </w:r>
        <w:r>
          <w:rPr>
            <w:noProof/>
            <w:webHidden/>
          </w:rPr>
          <w:fldChar w:fldCharType="separate"/>
        </w:r>
        <w:r>
          <w:rPr>
            <w:noProof/>
            <w:webHidden/>
          </w:rPr>
          <w:t>25</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5" w:history="1">
        <w:r w:rsidRPr="00E62F8A">
          <w:rPr>
            <w:rStyle w:val="Hyperlink"/>
            <w:noProof/>
          </w:rPr>
          <w:t>Figure 11. Usage of EGI resources (HEP-SPEC 06 CPU wall clock hours) from (a) the beginning of the project to date, and (b) during PY3   (source: accounting portal).</w:t>
        </w:r>
        <w:r>
          <w:rPr>
            <w:noProof/>
            <w:webHidden/>
          </w:rPr>
          <w:tab/>
        </w:r>
        <w:r>
          <w:rPr>
            <w:noProof/>
            <w:webHidden/>
          </w:rPr>
          <w:fldChar w:fldCharType="begin"/>
        </w:r>
        <w:r>
          <w:rPr>
            <w:noProof/>
            <w:webHidden/>
          </w:rPr>
          <w:instrText xml:space="preserve"> PAGEREF _Toc355730455 \h </w:instrText>
        </w:r>
        <w:r>
          <w:rPr>
            <w:noProof/>
            <w:webHidden/>
          </w:rPr>
        </w:r>
        <w:r>
          <w:rPr>
            <w:noProof/>
            <w:webHidden/>
          </w:rPr>
          <w:fldChar w:fldCharType="separate"/>
        </w:r>
        <w:r>
          <w:rPr>
            <w:noProof/>
            <w:webHidden/>
          </w:rPr>
          <w:t>27</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6" w:history="1">
        <w:r w:rsidRPr="00E62F8A">
          <w:rPr>
            <w:rStyle w:val="Hyperlink"/>
            <w:noProof/>
          </w:rPr>
          <w:t>Figure 12. Distribution of consumed normalized CPU wall time among the main active VOs (May 2012-March 2013)</w:t>
        </w:r>
        <w:r>
          <w:rPr>
            <w:noProof/>
            <w:webHidden/>
          </w:rPr>
          <w:tab/>
        </w:r>
        <w:r>
          <w:rPr>
            <w:noProof/>
            <w:webHidden/>
          </w:rPr>
          <w:fldChar w:fldCharType="begin"/>
        </w:r>
        <w:r>
          <w:rPr>
            <w:noProof/>
            <w:webHidden/>
          </w:rPr>
          <w:instrText xml:space="preserve"> PAGEREF _Toc355730456 \h </w:instrText>
        </w:r>
        <w:r>
          <w:rPr>
            <w:noProof/>
            <w:webHidden/>
          </w:rPr>
        </w:r>
        <w:r>
          <w:rPr>
            <w:noProof/>
            <w:webHidden/>
          </w:rPr>
          <w:fldChar w:fldCharType="separate"/>
        </w:r>
        <w:r>
          <w:rPr>
            <w:noProof/>
            <w:webHidden/>
          </w:rPr>
          <w:t>28</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7" w:history="1">
        <w:r w:rsidRPr="00E62F8A">
          <w:rPr>
            <w:rStyle w:val="Hyperlink"/>
            <w:noProof/>
          </w:rPr>
          <w:t>Figure 13. Used normalized CPU wall clock time (left) and number of jobs done (right) across disciplines during PY3.</w:t>
        </w:r>
        <w:r>
          <w:rPr>
            <w:noProof/>
            <w:webHidden/>
          </w:rPr>
          <w:tab/>
        </w:r>
        <w:r>
          <w:rPr>
            <w:noProof/>
            <w:webHidden/>
          </w:rPr>
          <w:fldChar w:fldCharType="begin"/>
        </w:r>
        <w:r>
          <w:rPr>
            <w:noProof/>
            <w:webHidden/>
          </w:rPr>
          <w:instrText xml:space="preserve"> PAGEREF _Toc355730457 \h </w:instrText>
        </w:r>
        <w:r>
          <w:rPr>
            <w:noProof/>
            <w:webHidden/>
          </w:rPr>
        </w:r>
        <w:r>
          <w:rPr>
            <w:noProof/>
            <w:webHidden/>
          </w:rPr>
          <w:fldChar w:fldCharType="separate"/>
        </w:r>
        <w:r>
          <w:rPr>
            <w:noProof/>
            <w:webHidden/>
          </w:rPr>
          <w:t>29</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8" w:history="1">
        <w:r w:rsidRPr="00E62F8A">
          <w:rPr>
            <w:rStyle w:val="Hyperlink"/>
            <w:noProof/>
          </w:rPr>
          <w:t>Figure 14. (HEP-SPEC 06 hours) from May 2012 to April 2013 (source: accounting portal). HEP usage is displayed in blue while the aggregated usage of non-HEP disciplines is in green</w:t>
        </w:r>
        <w:r>
          <w:rPr>
            <w:noProof/>
            <w:webHidden/>
          </w:rPr>
          <w:tab/>
        </w:r>
        <w:r>
          <w:rPr>
            <w:noProof/>
            <w:webHidden/>
          </w:rPr>
          <w:fldChar w:fldCharType="begin"/>
        </w:r>
        <w:r>
          <w:rPr>
            <w:noProof/>
            <w:webHidden/>
          </w:rPr>
          <w:instrText xml:space="preserve"> PAGEREF _Toc355730458 \h </w:instrText>
        </w:r>
        <w:r>
          <w:rPr>
            <w:noProof/>
            <w:webHidden/>
          </w:rPr>
        </w:r>
        <w:r>
          <w:rPr>
            <w:noProof/>
            <w:webHidden/>
          </w:rPr>
          <w:fldChar w:fldCharType="separate"/>
        </w:r>
        <w:r>
          <w:rPr>
            <w:noProof/>
            <w:webHidden/>
          </w:rPr>
          <w:t>31</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59" w:history="1">
        <w:r w:rsidRPr="00E62F8A">
          <w:rPr>
            <w:rStyle w:val="Hyperlink"/>
            <w:noProof/>
          </w:rPr>
          <w:t>Figure 15. Distribution across EGI Operations Centres of aggregated usage of non-HEP disciplines (CPU wall clock time in HEP-SPEC 06 hours) from May 2012 to May 2013 (source: accounting portal).</w:t>
        </w:r>
        <w:r>
          <w:rPr>
            <w:noProof/>
            <w:webHidden/>
          </w:rPr>
          <w:tab/>
        </w:r>
        <w:r>
          <w:rPr>
            <w:noProof/>
            <w:webHidden/>
          </w:rPr>
          <w:fldChar w:fldCharType="begin"/>
        </w:r>
        <w:r>
          <w:rPr>
            <w:noProof/>
            <w:webHidden/>
          </w:rPr>
          <w:instrText xml:space="preserve"> PAGEREF _Toc355730459 \h </w:instrText>
        </w:r>
        <w:r>
          <w:rPr>
            <w:noProof/>
            <w:webHidden/>
          </w:rPr>
        </w:r>
        <w:r>
          <w:rPr>
            <w:noProof/>
            <w:webHidden/>
          </w:rPr>
          <w:fldChar w:fldCharType="separate"/>
        </w:r>
        <w:r>
          <w:rPr>
            <w:noProof/>
            <w:webHidden/>
          </w:rPr>
          <w:t>32</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0" w:history="1">
        <w:r w:rsidRPr="00E62F8A">
          <w:rPr>
            <w:rStyle w:val="Hyperlink"/>
            <w:noProof/>
          </w:rPr>
          <w:t>Figure 16. Distribution of resource usage (%) across HEP and non-HEP disciplines from May 2012 to April 2013 (source: accounting portal).</w:t>
        </w:r>
        <w:r>
          <w:rPr>
            <w:noProof/>
            <w:webHidden/>
          </w:rPr>
          <w:tab/>
        </w:r>
        <w:r>
          <w:rPr>
            <w:noProof/>
            <w:webHidden/>
          </w:rPr>
          <w:fldChar w:fldCharType="begin"/>
        </w:r>
        <w:r>
          <w:rPr>
            <w:noProof/>
            <w:webHidden/>
          </w:rPr>
          <w:instrText xml:space="preserve"> PAGEREF _Toc355730460 \h </w:instrText>
        </w:r>
        <w:r>
          <w:rPr>
            <w:noProof/>
            <w:webHidden/>
          </w:rPr>
        </w:r>
        <w:r>
          <w:rPr>
            <w:noProof/>
            <w:webHidden/>
          </w:rPr>
          <w:fldChar w:fldCharType="separate"/>
        </w:r>
        <w:r>
          <w:rPr>
            <w:noProof/>
            <w:webHidden/>
          </w:rPr>
          <w:t>32</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1" w:history="1">
        <w:r w:rsidRPr="00E62F8A">
          <w:rPr>
            <w:rStyle w:val="Hyperlink"/>
            <w:noProof/>
          </w:rPr>
          <w:t>Figure 17. Quarterly availability and reliability of resource centres averaged across EGI from May 2010 to end of PQ7. Source: Availability and reliability monthly reports.</w:t>
        </w:r>
        <w:r>
          <w:rPr>
            <w:noProof/>
            <w:webHidden/>
          </w:rPr>
          <w:tab/>
        </w:r>
        <w:r>
          <w:rPr>
            <w:noProof/>
            <w:webHidden/>
          </w:rPr>
          <w:fldChar w:fldCharType="begin"/>
        </w:r>
        <w:r>
          <w:rPr>
            <w:noProof/>
            <w:webHidden/>
          </w:rPr>
          <w:instrText xml:space="preserve"> PAGEREF _Toc355730461 \h </w:instrText>
        </w:r>
        <w:r>
          <w:rPr>
            <w:noProof/>
            <w:webHidden/>
          </w:rPr>
        </w:r>
        <w:r>
          <w:rPr>
            <w:noProof/>
            <w:webHidden/>
          </w:rPr>
          <w:fldChar w:fldCharType="separate"/>
        </w:r>
        <w:r>
          <w:rPr>
            <w:noProof/>
            <w:webHidden/>
          </w:rPr>
          <w:t>35</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2" w:history="1">
        <w:r w:rsidRPr="00E62F8A">
          <w:rPr>
            <w:rStyle w:val="Hyperlink"/>
            <w:noProof/>
          </w:rPr>
          <w:t>Figure 18. Median of NGI monthly Availability and Reliability performance (top-BDII service) – Jan 2012 – March 2013.</w:t>
        </w:r>
        <w:r>
          <w:rPr>
            <w:noProof/>
            <w:webHidden/>
          </w:rPr>
          <w:tab/>
        </w:r>
        <w:r>
          <w:rPr>
            <w:noProof/>
            <w:webHidden/>
          </w:rPr>
          <w:fldChar w:fldCharType="begin"/>
        </w:r>
        <w:r>
          <w:rPr>
            <w:noProof/>
            <w:webHidden/>
          </w:rPr>
          <w:instrText xml:space="preserve"> PAGEREF _Toc355730462 \h </w:instrText>
        </w:r>
        <w:r>
          <w:rPr>
            <w:noProof/>
            <w:webHidden/>
          </w:rPr>
        </w:r>
        <w:r>
          <w:rPr>
            <w:noProof/>
            <w:webHidden/>
          </w:rPr>
          <w:fldChar w:fldCharType="separate"/>
        </w:r>
        <w:r>
          <w:rPr>
            <w:noProof/>
            <w:webHidden/>
          </w:rPr>
          <w:t>37</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3" w:history="1">
        <w:r w:rsidRPr="00E62F8A">
          <w:rPr>
            <w:rStyle w:val="Hyperlink"/>
            <w:noProof/>
          </w:rPr>
          <w:t>Figure 19. The monthly number of unhandled items on operations dashboard (from January 2012 to PQ11). Source: Operations Portal.</w:t>
        </w:r>
        <w:r>
          <w:rPr>
            <w:noProof/>
            <w:webHidden/>
          </w:rPr>
          <w:tab/>
        </w:r>
        <w:r>
          <w:rPr>
            <w:noProof/>
            <w:webHidden/>
          </w:rPr>
          <w:fldChar w:fldCharType="begin"/>
        </w:r>
        <w:r>
          <w:rPr>
            <w:noProof/>
            <w:webHidden/>
          </w:rPr>
          <w:instrText xml:space="preserve"> PAGEREF _Toc355730463 \h </w:instrText>
        </w:r>
        <w:r>
          <w:rPr>
            <w:noProof/>
            <w:webHidden/>
          </w:rPr>
        </w:r>
        <w:r>
          <w:rPr>
            <w:noProof/>
            <w:webHidden/>
          </w:rPr>
          <w:fldChar w:fldCharType="separate"/>
        </w:r>
        <w:r>
          <w:rPr>
            <w:noProof/>
            <w:webHidden/>
          </w:rPr>
          <w:t>39</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4" w:history="1">
        <w:r w:rsidRPr="00E62F8A">
          <w:rPr>
            <w:rStyle w:val="Hyperlink"/>
            <w:noProof/>
          </w:rPr>
          <w:t>Figure 20. Availability of the top-10 active VOs (April 2013)</w:t>
        </w:r>
        <w:r>
          <w:rPr>
            <w:noProof/>
            <w:webHidden/>
          </w:rPr>
          <w:tab/>
        </w:r>
        <w:r>
          <w:rPr>
            <w:noProof/>
            <w:webHidden/>
          </w:rPr>
          <w:fldChar w:fldCharType="begin"/>
        </w:r>
        <w:r>
          <w:rPr>
            <w:noProof/>
            <w:webHidden/>
          </w:rPr>
          <w:instrText xml:space="preserve"> PAGEREF _Toc355730464 \h </w:instrText>
        </w:r>
        <w:r>
          <w:rPr>
            <w:noProof/>
            <w:webHidden/>
          </w:rPr>
        </w:r>
        <w:r>
          <w:rPr>
            <w:noProof/>
            <w:webHidden/>
          </w:rPr>
          <w:fldChar w:fldCharType="separate"/>
        </w:r>
        <w:r>
          <w:rPr>
            <w:noProof/>
            <w:webHidden/>
          </w:rPr>
          <w:t>40</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5" w:history="1">
        <w:r w:rsidRPr="00E62F8A">
          <w:rPr>
            <w:rStyle w:val="Hyperlink"/>
            <w:noProof/>
          </w:rPr>
          <w:t>Figure 21. Deployment of the five reference grid middleware stacks across the EGI-InSPIRE operations centres, March 2013 (source GOCDB).</w:t>
        </w:r>
        <w:r>
          <w:rPr>
            <w:noProof/>
            <w:webHidden/>
          </w:rPr>
          <w:tab/>
        </w:r>
        <w:r>
          <w:rPr>
            <w:noProof/>
            <w:webHidden/>
          </w:rPr>
          <w:fldChar w:fldCharType="begin"/>
        </w:r>
        <w:r>
          <w:rPr>
            <w:noProof/>
            <w:webHidden/>
          </w:rPr>
          <w:instrText xml:space="preserve"> PAGEREF _Toc355730465 \h </w:instrText>
        </w:r>
        <w:r>
          <w:rPr>
            <w:noProof/>
            <w:webHidden/>
          </w:rPr>
        </w:r>
        <w:r>
          <w:rPr>
            <w:noProof/>
            <w:webHidden/>
          </w:rPr>
          <w:fldChar w:fldCharType="separate"/>
        </w:r>
        <w:r>
          <w:rPr>
            <w:noProof/>
            <w:webHidden/>
          </w:rPr>
          <w:t>42</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6" w:history="1">
        <w:r w:rsidRPr="00E62F8A">
          <w:rPr>
            <w:rStyle w:val="Hyperlink"/>
            <w:noProof/>
          </w:rPr>
          <w:t>Figure 22. Number of instances of the different implementations of the compute capability, across the EGI_InSPIRE partners and the integrated Resource infrastructure Providers, March 2013 (source: GOCDB)</w:t>
        </w:r>
        <w:r>
          <w:rPr>
            <w:noProof/>
            <w:webHidden/>
          </w:rPr>
          <w:tab/>
        </w:r>
        <w:r>
          <w:rPr>
            <w:noProof/>
            <w:webHidden/>
          </w:rPr>
          <w:fldChar w:fldCharType="begin"/>
        </w:r>
        <w:r>
          <w:rPr>
            <w:noProof/>
            <w:webHidden/>
          </w:rPr>
          <w:instrText xml:space="preserve"> PAGEREF _Toc355730466 \h </w:instrText>
        </w:r>
        <w:r>
          <w:rPr>
            <w:noProof/>
            <w:webHidden/>
          </w:rPr>
        </w:r>
        <w:r>
          <w:rPr>
            <w:noProof/>
            <w:webHidden/>
          </w:rPr>
          <w:fldChar w:fldCharType="separate"/>
        </w:r>
        <w:r>
          <w:rPr>
            <w:noProof/>
            <w:webHidden/>
          </w:rPr>
          <w:t>43</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7" w:history="1">
        <w:r w:rsidRPr="00E62F8A">
          <w:rPr>
            <w:rStyle w:val="Hyperlink"/>
            <w:noProof/>
          </w:rPr>
          <w:t>Figure 23. Number of unsupported gLite software services deployed in production. This diagrams shows the progress of the gLite decommissioning campaign in PQ09, 10 and 11.</w:t>
        </w:r>
        <w:r>
          <w:rPr>
            <w:noProof/>
            <w:webHidden/>
          </w:rPr>
          <w:tab/>
        </w:r>
        <w:r>
          <w:rPr>
            <w:noProof/>
            <w:webHidden/>
          </w:rPr>
          <w:fldChar w:fldCharType="begin"/>
        </w:r>
        <w:r>
          <w:rPr>
            <w:noProof/>
            <w:webHidden/>
          </w:rPr>
          <w:instrText xml:space="preserve"> PAGEREF _Toc355730467 \h </w:instrText>
        </w:r>
        <w:r>
          <w:rPr>
            <w:noProof/>
            <w:webHidden/>
          </w:rPr>
        </w:r>
        <w:r>
          <w:rPr>
            <w:noProof/>
            <w:webHidden/>
          </w:rPr>
          <w:fldChar w:fldCharType="separate"/>
        </w:r>
        <w:r>
          <w:rPr>
            <w:noProof/>
            <w:webHidden/>
          </w:rPr>
          <w:t>44</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8" w:history="1">
        <w:r w:rsidRPr="00E62F8A">
          <w:rPr>
            <w:rStyle w:val="Hyperlink"/>
            <w:noProof/>
          </w:rPr>
          <w:t>Figure 24 shows the progress of decommissioning gLite 3.1 and 3.2 unsupported middleware, which was successfully completed in PQ11. The increase in the number of service instances to be decommissioning, which is visible in October 2012, is due to the introduction of new Nagios probes for the automated detection of new unsupported software versions.</w:t>
        </w:r>
        <w:r>
          <w:rPr>
            <w:noProof/>
            <w:webHidden/>
          </w:rPr>
          <w:tab/>
        </w:r>
        <w:r>
          <w:rPr>
            <w:noProof/>
            <w:webHidden/>
          </w:rPr>
          <w:fldChar w:fldCharType="begin"/>
        </w:r>
        <w:r>
          <w:rPr>
            <w:noProof/>
            <w:webHidden/>
          </w:rPr>
          <w:instrText xml:space="preserve"> PAGEREF _Toc355730468 \h </w:instrText>
        </w:r>
        <w:r>
          <w:rPr>
            <w:noProof/>
            <w:webHidden/>
          </w:rPr>
        </w:r>
        <w:r>
          <w:rPr>
            <w:noProof/>
            <w:webHidden/>
          </w:rPr>
          <w:fldChar w:fldCharType="separate"/>
        </w:r>
        <w:r>
          <w:rPr>
            <w:noProof/>
            <w:webHidden/>
          </w:rPr>
          <w:t>44</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69" w:history="1">
        <w:r w:rsidRPr="00E62F8A">
          <w:rPr>
            <w:rStyle w:val="Hyperlink"/>
            <w:noProof/>
          </w:rPr>
          <w:t>Figure 25, Number of core services instances deployed within the EGI-InSPIRE integrated infrastructure. Source: GOC DB (March 2013).</w:t>
        </w:r>
        <w:r>
          <w:rPr>
            <w:noProof/>
            <w:webHidden/>
          </w:rPr>
          <w:tab/>
        </w:r>
        <w:r>
          <w:rPr>
            <w:noProof/>
            <w:webHidden/>
          </w:rPr>
          <w:fldChar w:fldCharType="begin"/>
        </w:r>
        <w:r>
          <w:rPr>
            <w:noProof/>
            <w:webHidden/>
          </w:rPr>
          <w:instrText xml:space="preserve"> PAGEREF _Toc355730469 \h </w:instrText>
        </w:r>
        <w:r>
          <w:rPr>
            <w:noProof/>
            <w:webHidden/>
          </w:rPr>
        </w:r>
        <w:r>
          <w:rPr>
            <w:noProof/>
            <w:webHidden/>
          </w:rPr>
          <w:fldChar w:fldCharType="separate"/>
        </w:r>
        <w:r>
          <w:rPr>
            <w:noProof/>
            <w:webHidden/>
          </w:rPr>
          <w:t>47</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70" w:history="1">
        <w:r w:rsidRPr="00E62F8A">
          <w:rPr>
            <w:rStyle w:val="Hyperlink"/>
            <w:noProof/>
          </w:rPr>
          <w:t>Figure 26. Number of Staged Rollout tests performed from PQ8 to PQ11 by NGIs/EIROs. (source: Staged Rollout portal)</w:t>
        </w:r>
        <w:r>
          <w:rPr>
            <w:noProof/>
            <w:webHidden/>
          </w:rPr>
          <w:tab/>
        </w:r>
        <w:r>
          <w:rPr>
            <w:noProof/>
            <w:webHidden/>
          </w:rPr>
          <w:fldChar w:fldCharType="begin"/>
        </w:r>
        <w:r>
          <w:rPr>
            <w:noProof/>
            <w:webHidden/>
          </w:rPr>
          <w:instrText xml:space="preserve"> PAGEREF _Toc355730470 \h </w:instrText>
        </w:r>
        <w:r>
          <w:rPr>
            <w:noProof/>
            <w:webHidden/>
          </w:rPr>
        </w:r>
        <w:r>
          <w:rPr>
            <w:noProof/>
            <w:webHidden/>
          </w:rPr>
          <w:fldChar w:fldCharType="separate"/>
        </w:r>
        <w:r>
          <w:rPr>
            <w:noProof/>
            <w:webHidden/>
          </w:rPr>
          <w:t>52</w:t>
        </w:r>
        <w:r>
          <w:rPr>
            <w:noProof/>
            <w:webHidden/>
          </w:rPr>
          <w:fldChar w:fldCharType="end"/>
        </w:r>
      </w:hyperlink>
    </w:p>
    <w:p w:rsidR="00A319E4" w:rsidRDefault="00A319E4">
      <w:pPr>
        <w:pStyle w:val="TableofFigures"/>
        <w:tabs>
          <w:tab w:val="right" w:leader="dot" w:pos="9054"/>
        </w:tabs>
        <w:rPr>
          <w:rFonts w:asciiTheme="minorHAnsi" w:eastAsiaTheme="minorEastAsia" w:hAnsiTheme="minorHAnsi" w:cstheme="minorBidi"/>
          <w:noProof/>
          <w:szCs w:val="22"/>
          <w:lang w:eastAsia="en-GB"/>
        </w:rPr>
      </w:pPr>
      <w:hyperlink w:anchor="_Toc355730471" w:history="1">
        <w:r w:rsidRPr="00E62F8A">
          <w:rPr>
            <w:rStyle w:val="Hyperlink"/>
            <w:noProof/>
          </w:rPr>
          <w:t>Figure 27. Weekly distribution of the software tickets handled by the 2</w:t>
        </w:r>
        <w:r w:rsidRPr="00E62F8A">
          <w:rPr>
            <w:rStyle w:val="Hyperlink"/>
            <w:noProof/>
            <w:vertAlign w:val="superscript"/>
          </w:rPr>
          <w:t>nd</w:t>
        </w:r>
        <w:r w:rsidRPr="00E62F8A">
          <w:rPr>
            <w:rStyle w:val="Hyperlink"/>
            <w:noProof/>
          </w:rPr>
          <w:t xml:space="preserve"> level Support Unit.</w:t>
        </w:r>
        <w:r>
          <w:rPr>
            <w:noProof/>
            <w:webHidden/>
          </w:rPr>
          <w:tab/>
        </w:r>
        <w:r>
          <w:rPr>
            <w:noProof/>
            <w:webHidden/>
          </w:rPr>
          <w:fldChar w:fldCharType="begin"/>
        </w:r>
        <w:r>
          <w:rPr>
            <w:noProof/>
            <w:webHidden/>
          </w:rPr>
          <w:instrText xml:space="preserve"> PAGEREF _Toc355730471 \h </w:instrText>
        </w:r>
        <w:r>
          <w:rPr>
            <w:noProof/>
            <w:webHidden/>
          </w:rPr>
        </w:r>
        <w:r>
          <w:rPr>
            <w:noProof/>
            <w:webHidden/>
          </w:rPr>
          <w:fldChar w:fldCharType="separate"/>
        </w:r>
        <w:r>
          <w:rPr>
            <w:noProof/>
            <w:webHidden/>
          </w:rPr>
          <w:t>54</w:t>
        </w:r>
        <w:r>
          <w:rPr>
            <w:noProof/>
            <w:webHidden/>
          </w:rPr>
          <w:fldChar w:fldCharType="end"/>
        </w:r>
      </w:hyperlink>
    </w:p>
    <w:p w:rsidR="00207D16" w:rsidRPr="00371B32" w:rsidRDefault="00EC6DF4" w:rsidP="00EC6DF4">
      <w:r>
        <w:fldChar w:fldCharType="end"/>
      </w:r>
    </w:p>
    <w:p w:rsidR="00207D16" w:rsidRPr="00371B32" w:rsidRDefault="0087635D" w:rsidP="00207D16">
      <w:pPr>
        <w:pStyle w:val="Heading1"/>
        <w:rPr>
          <w:rFonts w:ascii="Times New Roman" w:hAnsi="Times New Roman"/>
        </w:rPr>
      </w:pPr>
      <w:r>
        <w:rPr>
          <w:rFonts w:ascii="Times New Roman" w:hAnsi="Times New Roman"/>
        </w:rPr>
        <w:lastRenderedPageBreak/>
        <w:t xml:space="preserve">  </w:t>
      </w:r>
      <w:bookmarkStart w:id="10" w:name="_Toc355730401"/>
      <w:r w:rsidR="00207D16" w:rsidRPr="00371B32">
        <w:rPr>
          <w:rFonts w:ascii="Times New Roman" w:hAnsi="Times New Roman"/>
        </w:rPr>
        <w:t>Introduction</w:t>
      </w:r>
      <w:bookmarkEnd w:id="10"/>
    </w:p>
    <w:p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7E5CE7" w:rsidRPr="000D6AFC">
        <w:t>3</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A319E4">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A319E4">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A319E4">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A319E4">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A319E4">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A560B1">
        <w:fldChar w:fldCharType="begin"/>
      </w:r>
      <w:r w:rsidR="00A560B1">
        <w:instrText xml:space="preserve"> REF _Ref324141045 \r \h </w:instrText>
      </w:r>
      <w:r w:rsidR="00A560B1">
        <w:fldChar w:fldCharType="separate"/>
      </w:r>
      <w:r w:rsidR="00A319E4">
        <w:t>7</w:t>
      </w:r>
      <w:r w:rsidR="00A560B1">
        <w:fldChar w:fldCharType="end"/>
      </w:r>
      <w:r w:rsidR="00A560B1">
        <w:t xml:space="preserve"> </w:t>
      </w:r>
      <w:r w:rsidR="009B1455" w:rsidRPr="00883F05">
        <w:t>describe</w:t>
      </w:r>
      <w:r w:rsidR="000D6AFC" w:rsidRPr="00883F05">
        <w:t xml:space="preserve">s </w:t>
      </w:r>
      <w:r w:rsidR="00E757E3">
        <w:t>the</w:t>
      </w:r>
      <w:r w:rsidR="000D6AFC" w:rsidRPr="00883F05">
        <w:t xml:space="preserve">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9B1455" w:rsidRPr="00883F05">
        <w:fldChar w:fldCharType="begin"/>
      </w:r>
      <w:r w:rsidR="009B1455" w:rsidRPr="00883F05">
        <w:instrText xml:space="preserve"> REF _Ref324141147 \r \h </w:instrText>
      </w:r>
      <w:r w:rsidR="007E5CE7" w:rsidRPr="00883F05">
        <w:instrText xml:space="preserve"> \* MERGEFORMAT </w:instrText>
      </w:r>
      <w:r w:rsidR="009B1455" w:rsidRPr="00883F05">
        <w:fldChar w:fldCharType="separate"/>
      </w:r>
      <w:r w:rsidR="00A319E4">
        <w:t>8</w:t>
      </w:r>
      <w:r w:rsidR="009B1455" w:rsidRPr="00883F05">
        <w:fldChar w:fldCharType="end"/>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A319E4">
        <w:t>10</w:t>
      </w:r>
      <w:r w:rsidR="009B1455" w:rsidRPr="00883F05">
        <w:fldChar w:fldCharType="end"/>
      </w:r>
      <w:r w:rsidR="009B1455" w:rsidRPr="00883F05">
        <w:t xml:space="preserve"> </w:t>
      </w:r>
      <w:r w:rsidR="000D6AFC" w:rsidRPr="00883F05">
        <w:t xml:space="preserve">provides information </w:t>
      </w:r>
      <w:r w:rsidR="0007592D" w:rsidRPr="00883F05">
        <w:t xml:space="preserve">about Deployed Middleware Support Unit. Section 11 </w:t>
      </w:r>
      <w:r w:rsidR="009B1455" w:rsidRPr="00883F05">
        <w:t>summarises the progress made in operations during PY</w:t>
      </w:r>
      <w:r w:rsidR="0007592D" w:rsidRPr="00883F05">
        <w:t>3</w:t>
      </w:r>
      <w:r w:rsidR="009B1455" w:rsidRPr="00883F05">
        <w:t xml:space="preserve"> to meet the project requirements and concludes the document.</w:t>
      </w:r>
    </w:p>
    <w:p w:rsidR="00207D16" w:rsidRPr="00371B32" w:rsidRDefault="00207D16" w:rsidP="00207D16"/>
    <w:p w:rsidR="00207D16" w:rsidRPr="00371B32" w:rsidRDefault="005C73D3" w:rsidP="00207D16">
      <w:pPr>
        <w:pStyle w:val="Heading1"/>
        <w:rPr>
          <w:rFonts w:ascii="Times New Roman" w:hAnsi="Times New Roman"/>
        </w:rPr>
      </w:pPr>
      <w:bookmarkStart w:id="11" w:name="_Ref324140709"/>
      <w:bookmarkStart w:id="12" w:name="_Toc355730402"/>
      <w:r>
        <w:rPr>
          <w:rFonts w:ascii="Times New Roman" w:hAnsi="Times New Roman"/>
        </w:rPr>
        <w:lastRenderedPageBreak/>
        <w:t>Resource Infrastructure</w:t>
      </w:r>
      <w:bookmarkEnd w:id="11"/>
      <w:bookmarkEnd w:id="12"/>
    </w:p>
    <w:p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rsidR="00207D16" w:rsidRDefault="005C73D3" w:rsidP="005C73D3">
      <w:pPr>
        <w:pStyle w:val="Heading2"/>
      </w:pPr>
      <w:bookmarkStart w:id="13" w:name="_Toc355730403"/>
      <w:r>
        <w:t>Resource Centres</w:t>
      </w:r>
      <w:bookmarkEnd w:id="13"/>
    </w:p>
    <w:p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rsidR="006F7826" w:rsidRPr="008570B5" w:rsidRDefault="006F7826" w:rsidP="006F7826">
      <w:pPr>
        <w:pStyle w:val="Caption"/>
        <w:jc w:val="center"/>
      </w:pPr>
      <w:bookmarkStart w:id="14" w:name="_Ref319966030"/>
      <w:r>
        <w:t xml:space="preserve">Table </w:t>
      </w:r>
      <w:r w:rsidR="00A560B1">
        <w:fldChar w:fldCharType="begin"/>
      </w:r>
      <w:r w:rsidR="00A560B1">
        <w:instrText xml:space="preserve"> SEQ Table \* ARABIC </w:instrText>
      </w:r>
      <w:r w:rsidR="00A560B1">
        <w:fldChar w:fldCharType="separate"/>
      </w:r>
      <w:r w:rsidR="00A319E4">
        <w:rPr>
          <w:noProof/>
        </w:rPr>
        <w:t>1</w:t>
      </w:r>
      <w:r w:rsidR="00A560B1">
        <w:rPr>
          <w:noProof/>
        </w:rPr>
        <w:fldChar w:fldCharType="end"/>
      </w:r>
      <w:bookmarkEnd w:id="14"/>
      <w:r>
        <w:t>.</w:t>
      </w:r>
      <w:r w:rsidR="001D7B2E">
        <w:t xml:space="preserve"> Number of</w:t>
      </w:r>
      <w:r>
        <w:t xml:space="preserve"> EGI Resource Centres </w:t>
      </w:r>
      <w:r w:rsidR="001D7B2E">
        <w:t>(March 201</w:t>
      </w:r>
      <w:r w:rsidR="00D60405">
        <w:t>3</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0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pPr>
              <w:jc w:val="center"/>
              <w:rPr>
                <w:b/>
                <w:sz w:val="18"/>
                <w:szCs w:val="18"/>
              </w:rPr>
            </w:pPr>
            <w:r>
              <w:rPr>
                <w:b/>
                <w:sz w:val="18"/>
                <w:szCs w:val="18"/>
              </w:rPr>
              <w:t xml:space="preserve">Number of RCs </w:t>
            </w:r>
            <w:r w:rsidR="00C1578A">
              <w:rPr>
                <w:b/>
                <w:sz w:val="18"/>
                <w:szCs w:val="18"/>
              </w:rPr>
              <w:t>(certified</w:t>
            </w:r>
            <w:r w:rsidR="001A41E8">
              <w:rPr>
                <w:b/>
                <w:sz w:val="18"/>
                <w:szCs w:val="18"/>
              </w:rPr>
              <w:t>)</w:t>
            </w:r>
          </w:p>
        </w:tc>
      </w:tr>
      <w:tr w:rsidR="006F7826" w:rsidRPr="006B4B32" w:rsidTr="00A156C9">
        <w:trPr>
          <w:jc w:val="center"/>
        </w:trPr>
        <w:tc>
          <w:tcPr>
            <w:tcW w:w="0" w:type="auto"/>
            <w:shd w:val="clear" w:color="auto" w:fill="F2F2F2"/>
            <w:vAlign w:val="center"/>
          </w:tcPr>
          <w:p w:rsidR="006F7826" w:rsidRPr="006B4B32" w:rsidRDefault="006F7826" w:rsidP="00FC061A">
            <w:pPr>
              <w:jc w:val="center"/>
              <w:rPr>
                <w:sz w:val="18"/>
                <w:szCs w:val="18"/>
              </w:rPr>
            </w:pPr>
            <w:r>
              <w:rPr>
                <w:sz w:val="18"/>
                <w:szCs w:val="18"/>
              </w:rPr>
              <w:t>EGI-InSPIRE Partners and NGI Council Members</w:t>
            </w:r>
            <w:r w:rsidR="003B30D0" w:rsidRPr="003B30D0">
              <w:rPr>
                <w:sz w:val="18"/>
                <w:szCs w:val="18"/>
              </w:rPr>
              <w:t>/PY3 Target</w:t>
            </w:r>
          </w:p>
        </w:tc>
        <w:tc>
          <w:tcPr>
            <w:tcW w:w="0" w:type="auto"/>
            <w:shd w:val="clear" w:color="auto" w:fill="auto"/>
            <w:vAlign w:val="center"/>
          </w:tcPr>
          <w:p w:rsidR="006F7826" w:rsidRDefault="00FD7A33" w:rsidP="00C1578A">
            <w:pPr>
              <w:jc w:val="center"/>
              <w:rPr>
                <w:sz w:val="18"/>
                <w:szCs w:val="18"/>
              </w:rPr>
            </w:pPr>
            <w:r>
              <w:rPr>
                <w:sz w:val="18"/>
                <w:szCs w:val="18"/>
              </w:rPr>
              <w:t>3</w:t>
            </w:r>
            <w:r w:rsidR="00C1578A">
              <w:rPr>
                <w:sz w:val="18"/>
                <w:szCs w:val="18"/>
              </w:rPr>
              <w:t>09 (does not include 31 suspended RCs)</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w:t>
            </w:r>
            <w:r w:rsidR="00FD7A33">
              <w:rPr>
                <w:sz w:val="18"/>
                <w:szCs w:val="18"/>
              </w:rPr>
              <w:t>8</w:t>
            </w:r>
          </w:p>
        </w:tc>
      </w:tr>
      <w:tr w:rsidR="006F7826" w:rsidRPr="006B4B32" w:rsidTr="00A156C9">
        <w:trPr>
          <w:jc w:val="center"/>
        </w:trPr>
        <w:tc>
          <w:tcPr>
            <w:tcW w:w="0" w:type="auto"/>
            <w:shd w:val="clear" w:color="auto" w:fill="F2F2F2"/>
            <w:vAlign w:val="center"/>
          </w:tcPr>
          <w:p w:rsidR="006F7826" w:rsidRDefault="006F7826" w:rsidP="00FD7A33">
            <w:pPr>
              <w:jc w:val="center"/>
              <w:rPr>
                <w:sz w:val="18"/>
                <w:szCs w:val="18"/>
              </w:rPr>
            </w:pPr>
            <w:r>
              <w:rPr>
                <w:sz w:val="18"/>
                <w:szCs w:val="18"/>
              </w:rPr>
              <w:t>From integrated Infrast</w:t>
            </w:r>
            <w:r w:rsidR="00FD7A33">
              <w:rPr>
                <w:sz w:val="18"/>
                <w:szCs w:val="18"/>
              </w:rPr>
              <w:t>ructures (Canada, Latin America</w:t>
            </w:r>
            <w:r>
              <w:rPr>
                <w:sz w:val="18"/>
                <w:szCs w:val="18"/>
              </w:rPr>
              <w:t>)</w:t>
            </w:r>
          </w:p>
        </w:tc>
        <w:tc>
          <w:tcPr>
            <w:tcW w:w="0" w:type="auto"/>
            <w:shd w:val="clear" w:color="auto" w:fill="auto"/>
            <w:vAlign w:val="center"/>
          </w:tcPr>
          <w:p w:rsidR="006F7826" w:rsidRDefault="00FD7A33" w:rsidP="00A156C9">
            <w:pPr>
              <w:jc w:val="center"/>
              <w:rPr>
                <w:sz w:val="18"/>
                <w:szCs w:val="18"/>
              </w:rPr>
            </w:pPr>
            <w:r>
              <w:rPr>
                <w:sz w:val="18"/>
                <w:szCs w:val="18"/>
              </w:rPr>
              <w:t>31</w:t>
            </w:r>
          </w:p>
        </w:tc>
      </w:tr>
      <w:tr w:rsidR="006F7826" w:rsidRPr="006B4B32" w:rsidTr="00A156C9">
        <w:trPr>
          <w:jc w:val="center"/>
        </w:trPr>
        <w:tc>
          <w:tcPr>
            <w:tcW w:w="0" w:type="auto"/>
            <w:shd w:val="clear" w:color="auto" w:fill="F2F2F2"/>
            <w:vAlign w:val="center"/>
          </w:tcPr>
          <w:p w:rsidR="006F7826" w:rsidRPr="006F7826" w:rsidRDefault="006F7826" w:rsidP="003B30D0">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w:t>
            </w:r>
            <w:r w:rsidR="00C1578A">
              <w:rPr>
                <w:b/>
                <w:sz w:val="18"/>
                <w:szCs w:val="18"/>
              </w:rPr>
              <w:t>40/350</w:t>
            </w:r>
          </w:p>
        </w:tc>
      </w:tr>
    </w:tbl>
    <w:p w:rsidR="00F12A75" w:rsidRDefault="002C4E7A" w:rsidP="008A7EA5">
      <w:r>
        <w:t>As shown in the table above, t</w:t>
      </w:r>
      <w:r w:rsidR="00500757">
        <w:t xml:space="preserve">he total number of </w:t>
      </w:r>
      <w:r w:rsidR="00C1578A">
        <w:t xml:space="preserve">certified </w:t>
      </w:r>
      <w:r w:rsidR="00500757">
        <w:t xml:space="preserve">RCs </w:t>
      </w:r>
      <w:r w:rsidR="00FC061A">
        <w:t>in March 2013</w:t>
      </w:r>
      <w:r w:rsidR="00F12A75">
        <w:t xml:space="preserve"> amount</w:t>
      </w:r>
      <w:r w:rsidR="00870D46">
        <w:t>s</w:t>
      </w:r>
      <w:r w:rsidR="00C1578A">
        <w:t xml:space="preserve"> to 340</w:t>
      </w:r>
      <w:r w:rsidR="00500757">
        <w:t xml:space="preserve"> instances, of which</w:t>
      </w:r>
      <w:r w:rsidR="008A7EA5">
        <w:t xml:space="preserve">: </w:t>
      </w:r>
      <w:r w:rsidR="00C1578A">
        <w:t>309</w:t>
      </w:r>
      <w:r w:rsidR="00500757">
        <w:t xml:space="preserve"> </w:t>
      </w:r>
      <w:r w:rsidR="00F12A75">
        <w:t>are</w:t>
      </w:r>
      <w:r w:rsidR="00500757">
        <w:t xml:space="preserve"> contributed by European NGIs/EIROs that are EGI-InSPIRE partners or Council members</w:t>
      </w:r>
      <w:r w:rsidR="00EA7F94">
        <w:t xml:space="preserve"> and 31</w:t>
      </w:r>
      <w:r w:rsidR="00F12A75">
        <w:t xml:space="preserve"> by integrated RPs namely: Canada, Latin America – </w:t>
      </w:r>
      <w:r w:rsidR="00CB509B" w:rsidRPr="006B4B32">
        <w:t>Brazil, Chile,</w:t>
      </w:r>
      <w:r w:rsidR="00CB509B" w:rsidRPr="000D1BC4">
        <w:t xml:space="preserve"> </w:t>
      </w:r>
      <w:r w:rsidR="00CB509B">
        <w:t xml:space="preserve">Argentina, </w:t>
      </w:r>
      <w:r w:rsidR="00CB509B" w:rsidRPr="006B4B32">
        <w:t>Venezuela</w:t>
      </w:r>
      <w:r w:rsidR="00CB509B">
        <w:t xml:space="preserve"> </w:t>
      </w:r>
      <w:r w:rsidR="00CB509B" w:rsidRPr="006B4B32">
        <w:t>and Mexico</w:t>
      </w:r>
      <w:r w:rsidR="00EA7F94">
        <w:t>.</w:t>
      </w:r>
    </w:p>
    <w:p w:rsidR="00F12A75" w:rsidRDefault="00F12A75" w:rsidP="008A7EA5">
      <w:r>
        <w:t>O</w:t>
      </w:r>
      <w:r w:rsidR="00C1578A">
        <w:t>f the 309</w:t>
      </w:r>
      <w:r w:rsidR="00EA7F94">
        <w:t xml:space="preserve"> RCs mentioned above, 35</w:t>
      </w:r>
      <w:r>
        <w:t xml:space="preserve"> are contributed by Asia Pacific NGIs.</w:t>
      </w:r>
    </w:p>
    <w:p w:rsidR="00C84F8E" w:rsidRDefault="00C84F8E" w:rsidP="00C84F8E">
      <w:pPr>
        <w:keepNext/>
      </w:pPr>
      <w:r>
        <w:rPr>
          <w:noProof/>
          <w:lang w:eastAsia="en-GB"/>
        </w:rPr>
        <w:drawing>
          <wp:inline distT="0" distB="0" distL="0" distR="0" wp14:anchorId="2B52EE77" wp14:editId="27931257">
            <wp:extent cx="5750560" cy="2749550"/>
            <wp:effectExtent l="0" t="0" r="2540" b="0"/>
            <wp:docPr id="26" name="Picture 26" descr="C:\Users\Krakowian\Google Drive\Operations\Figures\maps\2013-03-15\RC Map March 2013 glo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Figures\maps\2013-03-15\RC Map March 2013 global.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0560" cy="2749550"/>
                    </a:xfrm>
                    <a:prstGeom prst="rect">
                      <a:avLst/>
                    </a:prstGeom>
                    <a:noFill/>
                    <a:ln>
                      <a:noFill/>
                    </a:ln>
                  </pic:spPr>
                </pic:pic>
              </a:graphicData>
            </a:graphic>
          </wp:inline>
        </w:drawing>
      </w:r>
    </w:p>
    <w:p w:rsidR="00C84F8E" w:rsidRDefault="00C84F8E" w:rsidP="00C84F8E">
      <w:pPr>
        <w:pStyle w:val="Caption"/>
        <w:jc w:val="center"/>
      </w:pPr>
      <w:bookmarkStart w:id="15" w:name="_Toc355730445"/>
      <w:r>
        <w:t xml:space="preserve">Figure </w:t>
      </w:r>
      <w:r w:rsidR="00A560B1">
        <w:fldChar w:fldCharType="begin"/>
      </w:r>
      <w:r w:rsidR="00A560B1">
        <w:instrText xml:space="preserve"> SEQ Figure \* ARABIC </w:instrText>
      </w:r>
      <w:r w:rsidR="00A560B1">
        <w:fldChar w:fldCharType="separate"/>
      </w:r>
      <w:r w:rsidR="00A319E4">
        <w:rPr>
          <w:noProof/>
        </w:rPr>
        <w:t>1</w:t>
      </w:r>
      <w:r w:rsidR="00A560B1">
        <w:rPr>
          <w:noProof/>
        </w:rPr>
        <w:fldChar w:fldCharType="end"/>
      </w:r>
      <w:r>
        <w:t xml:space="preserve"> RCs distribution in March 2013 (data source: GOCDB</w:t>
      </w:r>
      <w:r w:rsidR="003C5FA8">
        <w:t xml:space="preserve"> and GSTAT</w:t>
      </w:r>
      <w:r>
        <w:t>).</w:t>
      </w:r>
      <w:bookmarkEnd w:id="15"/>
    </w:p>
    <w:p w:rsidR="00C84F8E" w:rsidRDefault="00C84F8E" w:rsidP="008A7EA5"/>
    <w:p w:rsidR="003C5FA8" w:rsidRDefault="00772FAB" w:rsidP="006F7826">
      <w:r>
        <w:lastRenderedPageBreak/>
        <w:t xml:space="preserve">The </w:t>
      </w:r>
      <w:r w:rsidR="00E757E3">
        <w:t xml:space="preserve">project </w:t>
      </w:r>
      <w:r>
        <w:t>target for PY3</w:t>
      </w:r>
      <w:r w:rsidR="00EA7F94">
        <w:t xml:space="preserve"> of 3</w:t>
      </w:r>
      <w:r w:rsidR="003B30D0">
        <w:t>50</w:t>
      </w:r>
      <w:r w:rsidR="00F12A75">
        <w:t xml:space="preserve"> RCs was </w:t>
      </w:r>
      <w:r w:rsidR="00047FE9">
        <w:t xml:space="preserve">not </w:t>
      </w:r>
      <w:r w:rsidR="00EA7F94">
        <w:t>met (3</w:t>
      </w:r>
      <w:r w:rsidR="00C1578A">
        <w:t>40</w:t>
      </w:r>
      <w:r w:rsidR="00F12A75">
        <w:t xml:space="preserve"> RCs certifie</w:t>
      </w:r>
      <w:r w:rsidR="003B30D0">
        <w:t>d centres against 35</w:t>
      </w:r>
      <w:r w:rsidR="00F12A75">
        <w:t>0 expected),</w:t>
      </w:r>
      <w:r w:rsidR="003B30D0">
        <w:t xml:space="preserve"> scoring a</w:t>
      </w:r>
      <w:r w:rsidR="00047FE9">
        <w:t xml:space="preserve"> </w:t>
      </w:r>
      <w:r w:rsidR="003B30D0">
        <w:t>-4</w:t>
      </w:r>
      <w:r w:rsidR="00F12A75">
        <w:t>% deviation</w:t>
      </w:r>
      <w:r w:rsidR="002C789C">
        <w:t xml:space="preserve"> from the target</w:t>
      </w:r>
      <w:r w:rsidR="003C5FA8">
        <w:t xml:space="preserve">. </w:t>
      </w:r>
      <w:r w:rsidR="00C1578A">
        <w:t>In</w:t>
      </w:r>
      <w:r w:rsidR="00620FB6">
        <w:t xml:space="preserve"> PY3 the </w:t>
      </w:r>
      <w:r w:rsidR="003C5FA8">
        <w:t xml:space="preserve">decrease was caused by the combination of different factors. </w:t>
      </w:r>
    </w:p>
    <w:p w:rsidR="003C5FA8" w:rsidRDefault="003C5FA8" w:rsidP="006F7826">
      <w:r>
        <w:t xml:space="preserve">Firstly, the </w:t>
      </w:r>
      <w:r w:rsidR="00620FB6">
        <w:t xml:space="preserve">number of </w:t>
      </w:r>
      <w:r>
        <w:t xml:space="preserve">temporarily </w:t>
      </w:r>
      <w:r w:rsidR="00620FB6">
        <w:t xml:space="preserve">suspended RCs increased due to two </w:t>
      </w:r>
      <w:r>
        <w:t xml:space="preserve">grid </w:t>
      </w:r>
      <w:r w:rsidR="00620FB6">
        <w:t>middleware upgrade campaigns</w:t>
      </w:r>
      <w:r>
        <w:t xml:space="preserve"> that were undertaken starting in PQ10</w:t>
      </w:r>
      <w:r w:rsidR="006F654A">
        <w:rPr>
          <w:rStyle w:val="FootnoteReference"/>
        </w:rPr>
        <w:footnoteReference w:id="3"/>
      </w:r>
      <w:r w:rsidR="00620FB6">
        <w:t xml:space="preserve">: one </w:t>
      </w:r>
      <w:r>
        <w:t>aimed at the</w:t>
      </w:r>
      <w:r w:rsidR="00620FB6">
        <w:t xml:space="preserve"> replacement of unsupported gLite software, </w:t>
      </w:r>
      <w:r>
        <w:t>while</w:t>
      </w:r>
      <w:r w:rsidR="00620FB6">
        <w:t xml:space="preserve"> the second </w:t>
      </w:r>
      <w:r>
        <w:t>was targeted to</w:t>
      </w:r>
      <w:r w:rsidR="00620FB6">
        <w:t xml:space="preserve"> the decommissioning of EMI 1 software</w:t>
      </w:r>
      <w:r>
        <w:t xml:space="preserve"> in preparation to its end of support in April 2013. </w:t>
      </w:r>
      <w:r w:rsidR="00C86F9E">
        <w:t>Those</w:t>
      </w:r>
      <w:r>
        <w:t xml:space="preserve"> RCs that had to be suspended as they could not adhere to the agreed retirement calendars, will be integrated back into the production infrastructure as soon the infrastructure upgrade is completed.</w:t>
      </w:r>
    </w:p>
    <w:p w:rsidR="0098073F" w:rsidRDefault="003C5FA8" w:rsidP="006F7826">
      <w:r>
        <w:t xml:space="preserve">A second factor that contributed to </w:t>
      </w:r>
      <w:r w:rsidR="006F654A">
        <w:t>this</w:t>
      </w:r>
      <w:r>
        <w:t xml:space="preserve"> reduction was the infrastructure consolidation campaign undertaken by the Italian NGI at the beginning of PY03: v</w:t>
      </w:r>
      <w:r w:rsidR="002C789C">
        <w:t>arious Italian RCs were decommissioned</w:t>
      </w:r>
      <w:r w:rsidR="00642B45">
        <w:t xml:space="preserve"> </w:t>
      </w:r>
      <w:r w:rsidR="0098073F">
        <w:t>in order</w:t>
      </w:r>
      <w:r w:rsidR="00642B45">
        <w:t xml:space="preserve"> to </w:t>
      </w:r>
      <w:r w:rsidR="00620FB6">
        <w:t xml:space="preserve">merge </w:t>
      </w:r>
      <w:r w:rsidR="00642B45">
        <w:t xml:space="preserve">resources </w:t>
      </w:r>
      <w:r w:rsidR="00620FB6">
        <w:t>in</w:t>
      </w:r>
      <w:r w:rsidR="00642B45">
        <w:t xml:space="preserve">to bigger sites and </w:t>
      </w:r>
      <w:r w:rsidR="0098073F">
        <w:t xml:space="preserve">take out of production </w:t>
      </w:r>
      <w:r w:rsidR="00620FB6">
        <w:t xml:space="preserve">those </w:t>
      </w:r>
      <w:r w:rsidR="00642B45">
        <w:t>which were not providing sufficient availability.</w:t>
      </w:r>
      <w:r w:rsidR="006E5E5D">
        <w:t xml:space="preserve"> </w:t>
      </w:r>
      <w:r w:rsidR="00540ED6">
        <w:t xml:space="preserve">In the same </w:t>
      </w:r>
      <w:r w:rsidR="0098073F">
        <w:t>quarter</w:t>
      </w:r>
      <w:r w:rsidR="00540ED6">
        <w:t xml:space="preserve">, </w:t>
      </w:r>
      <w:r w:rsidR="0098073F">
        <w:t>additional</w:t>
      </w:r>
      <w:r w:rsidR="00642B45">
        <w:t xml:space="preserve"> </w:t>
      </w:r>
      <w:r w:rsidR="0098073F">
        <w:t>RCs were suspended</w:t>
      </w:r>
      <w:r w:rsidR="00620FB6">
        <w:t xml:space="preserve"> </w:t>
      </w:r>
      <w:r w:rsidR="00540ED6">
        <w:t xml:space="preserve">mainly </w:t>
      </w:r>
      <w:r w:rsidR="00642B45">
        <w:t xml:space="preserve">in </w:t>
      </w:r>
      <w:r w:rsidR="00540ED6">
        <w:t>Armenia, Belarus, Brazi</w:t>
      </w:r>
      <w:r w:rsidR="0098073F">
        <w:t>l</w:t>
      </w:r>
      <w:r w:rsidR="00540ED6">
        <w:t xml:space="preserve"> and Bulgaria</w:t>
      </w:r>
      <w:r w:rsidR="00642B45">
        <w:t xml:space="preserve"> </w:t>
      </w:r>
      <w:r w:rsidR="00620FB6">
        <w:t>because of Availability and Reliability issues</w:t>
      </w:r>
      <w:r w:rsidR="006E5E5D">
        <w:t>.</w:t>
      </w:r>
    </w:p>
    <w:p w:rsidR="0098073F" w:rsidRDefault="00620FB6" w:rsidP="006F7826">
      <w:r>
        <w:t>Finally,</w:t>
      </w:r>
      <w:r w:rsidR="006E5E5D">
        <w:t xml:space="preserve"> </w:t>
      </w:r>
      <w:r>
        <w:t>b</w:t>
      </w:r>
      <w:r w:rsidR="00772FAB">
        <w:t xml:space="preserve">ecause of </w:t>
      </w:r>
      <w:r w:rsidR="0098073F">
        <w:t>sust</w:t>
      </w:r>
      <w:r>
        <w:t>a</w:t>
      </w:r>
      <w:r w:rsidR="0098073F">
        <w:t>ina</w:t>
      </w:r>
      <w:r>
        <w:t>bility issues</w:t>
      </w:r>
      <w:r w:rsidR="00772FAB">
        <w:t xml:space="preserve">, </w:t>
      </w:r>
      <w:r w:rsidR="0098073F">
        <w:t xml:space="preserve">both </w:t>
      </w:r>
      <w:r>
        <w:t xml:space="preserve">the Irish Operations Centre and IGALC </w:t>
      </w:r>
      <w:r w:rsidR="002C789C">
        <w:t>(</w:t>
      </w:r>
      <w:r w:rsidR="002C789C" w:rsidRPr="002C789C">
        <w:t xml:space="preserve">Iniciativa de </w:t>
      </w:r>
      <w:r w:rsidR="002C789C">
        <w:t>Grid de America Latina – Caribe</w:t>
      </w:r>
      <w:r w:rsidR="0098073F">
        <w:t xml:space="preserve">, </w:t>
      </w:r>
      <w:r w:rsidR="002C789C">
        <w:t>formerly supported by the GISELA EC project)</w:t>
      </w:r>
      <w:r w:rsidR="0098073F">
        <w:t xml:space="preserve"> </w:t>
      </w:r>
      <w:r>
        <w:t xml:space="preserve">stopped </w:t>
      </w:r>
      <w:r w:rsidR="002C789C">
        <w:t xml:space="preserve">their </w:t>
      </w:r>
      <w:r w:rsidR="00772FAB">
        <w:t xml:space="preserve">operations </w:t>
      </w:r>
      <w:r>
        <w:t xml:space="preserve">at the </w:t>
      </w:r>
      <w:r w:rsidR="002C789C">
        <w:t>end</w:t>
      </w:r>
      <w:r>
        <w:t xml:space="preserve"> of </w:t>
      </w:r>
      <w:r w:rsidR="00772FAB">
        <w:t>December 2012</w:t>
      </w:r>
      <w:r w:rsidR="002C789C">
        <w:t>.</w:t>
      </w:r>
      <w:r w:rsidR="00772FAB">
        <w:t xml:space="preserve"> </w:t>
      </w:r>
      <w:r w:rsidR="002C789C">
        <w:t xml:space="preserve">Irish RCs </w:t>
      </w:r>
      <w:r w:rsidR="00772FAB">
        <w:t xml:space="preserve">were </w:t>
      </w:r>
      <w:r w:rsidR="002C789C">
        <w:t>all closed, while part of the IGALC RCs migrated to the Latin America federated Operations Centre</w:t>
      </w:r>
      <w:r w:rsidR="00772FAB">
        <w:t>.</w:t>
      </w:r>
      <w:r w:rsidR="0098073F">
        <w:t xml:space="preserve"> </w:t>
      </w:r>
      <w:r w:rsidR="00540ED6">
        <w:t xml:space="preserve">The loss of production resources in Ireland and Latin America was </w:t>
      </w:r>
      <w:r w:rsidR="0098073F">
        <w:t xml:space="preserve">however </w:t>
      </w:r>
      <w:r w:rsidR="00540ED6">
        <w:t xml:space="preserve">compensated by an </w:t>
      </w:r>
      <w:r w:rsidR="0098073F">
        <w:t>extension of the infrastructure</w:t>
      </w:r>
      <w:r w:rsidR="00540ED6">
        <w:t xml:space="preserve"> in the Asia Pacific region. In March 2012 t</w:t>
      </w:r>
      <w:r w:rsidR="002C4E7A">
        <w:t xml:space="preserve">he total </w:t>
      </w:r>
      <w:r w:rsidR="00C47E20">
        <w:t xml:space="preserve">number of </w:t>
      </w:r>
      <w:r w:rsidR="00540ED6">
        <w:t xml:space="preserve">certified </w:t>
      </w:r>
      <w:r w:rsidR="00C47E20">
        <w:t>RCs</w:t>
      </w:r>
      <w:r w:rsidR="00540ED6">
        <w:t xml:space="preserve"> decreased from 352 to 291, </w:t>
      </w:r>
      <w:r w:rsidR="0098073F">
        <w:t>it then</w:t>
      </w:r>
      <w:r w:rsidR="00540ED6">
        <w:t xml:space="preserve"> increased to 306 (end of PQ8),</w:t>
      </w:r>
      <w:r w:rsidR="0098073F">
        <w:t xml:space="preserve"> to </w:t>
      </w:r>
      <w:r w:rsidR="00540ED6">
        <w:t xml:space="preserve">310 </w:t>
      </w:r>
      <w:r w:rsidR="0098073F">
        <w:t xml:space="preserve">at the </w:t>
      </w:r>
      <w:r w:rsidR="00540ED6">
        <w:t xml:space="preserve">end of </w:t>
      </w:r>
      <w:r w:rsidR="00642B45">
        <w:t>PQ9</w:t>
      </w:r>
      <w:r w:rsidR="002C4E7A">
        <w:t xml:space="preserve">, </w:t>
      </w:r>
      <w:r w:rsidR="00642B45">
        <w:t>3</w:t>
      </w:r>
      <w:r w:rsidR="00540ED6">
        <w:t>26</w:t>
      </w:r>
      <w:r w:rsidR="00642B45">
        <w:t xml:space="preserve"> </w:t>
      </w:r>
      <w:r w:rsidR="0098073F">
        <w:t>in</w:t>
      </w:r>
      <w:r w:rsidR="00540ED6">
        <w:t xml:space="preserve"> </w:t>
      </w:r>
      <w:r w:rsidR="00642B45">
        <w:t>PQ10</w:t>
      </w:r>
      <w:r w:rsidR="00540ED6">
        <w:t>) and 332 to date</w:t>
      </w:r>
      <w:r w:rsidR="003E1F5E">
        <w:t xml:space="preserve">. </w:t>
      </w:r>
      <w:r w:rsidR="003E1F5E">
        <w:fldChar w:fldCharType="begin"/>
      </w:r>
      <w:r w:rsidR="003E1F5E">
        <w:instrText xml:space="preserve"> REF _Ref319915222 \h </w:instrText>
      </w:r>
      <w:r w:rsidR="003E1F5E">
        <w:fldChar w:fldCharType="separate"/>
      </w:r>
      <w:r w:rsidR="00A319E4">
        <w:t xml:space="preserve">Figure </w:t>
      </w:r>
      <w:r w:rsidR="00A319E4">
        <w:rPr>
          <w:noProof/>
        </w:rPr>
        <w:t>2</w:t>
      </w:r>
      <w:r w:rsidR="003E1F5E">
        <w:fldChar w:fldCharType="end"/>
      </w:r>
      <w:r w:rsidR="003E1F5E">
        <w:t xml:space="preserve"> plots the number of </w:t>
      </w:r>
      <w:r w:rsidR="000662CB">
        <w:t>RCs</w:t>
      </w:r>
      <w:r w:rsidR="003E1F5E">
        <w:t xml:space="preserve"> from January 2009</w:t>
      </w:r>
      <w:r w:rsidR="0098073F">
        <w:t>.</w:t>
      </w:r>
    </w:p>
    <w:p w:rsidR="003C0741" w:rsidRDefault="0098073F" w:rsidP="006F7826">
      <w:r>
        <w:t xml:space="preserve">The decrease in the number of production RCs was however compensated by a substantial increase in the offered capacity: compute resources increased by +33.6% in PY3, while </w:t>
      </w:r>
      <w:r w:rsidR="006F654A">
        <w:t xml:space="preserve">disk capacity increase to 177 PB (+25.36%). </w:t>
      </w:r>
    </w:p>
    <w:p w:rsidR="009114AD" w:rsidRDefault="00642B45" w:rsidP="006F7826">
      <w:r>
        <w:t>In PY2</w:t>
      </w:r>
      <w:r w:rsidR="000662CB">
        <w:t xml:space="preserve"> two new RPs got engaged with EGI by signing a Resource infrastructure Provider MoU:</w:t>
      </w:r>
      <w:r w:rsidR="00883601">
        <w:t xml:space="preserve"> </w:t>
      </w:r>
      <w:r w:rsidR="002F63F4">
        <w:t xml:space="preserve">the South African Grid Initiative [SAG] and the </w:t>
      </w:r>
      <w:r w:rsidR="00883601">
        <w:t>Ukrainian National Grid [UNG]</w:t>
      </w:r>
      <w:r w:rsidR="002F63F4">
        <w:t xml:space="preserve">. </w:t>
      </w:r>
      <w:r>
        <w:t>In PY3</w:t>
      </w:r>
      <w:r w:rsidR="009114AD">
        <w:t xml:space="preserve"> </w:t>
      </w:r>
      <w:r w:rsidR="00375BCA">
        <w:t xml:space="preserve">the </w:t>
      </w:r>
      <w:r w:rsidR="009114AD">
        <w:t xml:space="preserve">integration of the Ukrainian National Grid was successfully finalized </w:t>
      </w:r>
      <w:r w:rsidR="006F654A">
        <w:t xml:space="preserve">– NGI_UA comprises 12 production RCs to date, </w:t>
      </w:r>
      <w:r w:rsidR="000D1BC4">
        <w:t xml:space="preserve">while </w:t>
      </w:r>
      <w:r w:rsidR="00540ED6">
        <w:t xml:space="preserve">the </w:t>
      </w:r>
      <w:r w:rsidR="000D1BC4">
        <w:t xml:space="preserve">integration of South African Grid Initiative was </w:t>
      </w:r>
      <w:r w:rsidR="00540ED6">
        <w:rPr>
          <w:rStyle w:val="hps"/>
          <w:lang w:val="en"/>
        </w:rPr>
        <w:t xml:space="preserve">put on hold </w:t>
      </w:r>
      <w:r w:rsidR="00C1578A">
        <w:rPr>
          <w:rStyle w:val="hps"/>
          <w:lang w:val="en"/>
        </w:rPr>
        <w:t xml:space="preserve">due to lack of local effort </w:t>
      </w:r>
      <w:r w:rsidR="00540ED6">
        <w:rPr>
          <w:rStyle w:val="hps"/>
          <w:lang w:val="en"/>
        </w:rPr>
        <w:t xml:space="preserve">and will be likely </w:t>
      </w:r>
      <w:r w:rsidR="006F654A">
        <w:rPr>
          <w:rStyle w:val="hps"/>
          <w:lang w:val="en"/>
        </w:rPr>
        <w:t>resumed</w:t>
      </w:r>
      <w:r w:rsidR="00540ED6">
        <w:rPr>
          <w:rStyle w:val="hps"/>
          <w:lang w:val="en"/>
        </w:rPr>
        <w:t xml:space="preserve"> in PY4</w:t>
      </w:r>
      <w:r w:rsidR="000D1BC4">
        <w:rPr>
          <w:rStyle w:val="hps"/>
          <w:lang w:val="en"/>
        </w:rPr>
        <w:t>.</w:t>
      </w:r>
    </w:p>
    <w:p w:rsidR="006375E7" w:rsidRPr="006F7826" w:rsidRDefault="006375E7" w:rsidP="006F7826">
      <w:r>
        <w:t>GOCDB</w:t>
      </w:r>
      <w:r w:rsidR="00E9052E">
        <w:rPr>
          <w:rStyle w:val="FootnoteReference"/>
        </w:rPr>
        <w:footnoteReference w:id="4"/>
      </w:r>
      <w:r>
        <w:t xml:space="preserve"> was used to extract information about the number</w:t>
      </w:r>
      <w:r w:rsidR="00540ED6">
        <w:t>s</w:t>
      </w:r>
      <w:r>
        <w:t xml:space="preserve"> of certified production RCs</w:t>
      </w:r>
      <w:r w:rsidR="00540ED6">
        <w:t xml:space="preserve"> reported </w:t>
      </w:r>
      <w:r w:rsidR="006F654A">
        <w:t>in this section</w:t>
      </w:r>
      <w:r>
        <w:t>.</w:t>
      </w:r>
    </w:p>
    <w:p w:rsidR="009D35F1" w:rsidRDefault="00FD7A33" w:rsidP="00835ADE">
      <w:pPr>
        <w:jc w:val="center"/>
        <w:rPr>
          <w:noProof/>
          <w:lang w:eastAsia="en-GB"/>
        </w:rPr>
      </w:pPr>
      <w:r>
        <w:rPr>
          <w:noProof/>
          <w:lang w:eastAsia="en-GB"/>
        </w:rPr>
        <w:lastRenderedPageBreak/>
        <w:drawing>
          <wp:inline distT="0" distB="0" distL="0" distR="0" wp14:anchorId="43887B71" wp14:editId="65F46B3A">
            <wp:extent cx="4869246" cy="3157268"/>
            <wp:effectExtent l="0" t="0" r="7620" b="5080"/>
            <wp:docPr id="28" name="Picture 28" descr="C:\Users\Krakowian\Google Drive\Operations\Documentation working space\D4.8\png\Number of certified production R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56" cy="3162203"/>
                    </a:xfrm>
                    <a:prstGeom prst="rect">
                      <a:avLst/>
                    </a:prstGeom>
                    <a:noFill/>
                    <a:ln>
                      <a:noFill/>
                    </a:ln>
                  </pic:spPr>
                </pic:pic>
              </a:graphicData>
            </a:graphic>
          </wp:inline>
        </w:drawing>
      </w:r>
    </w:p>
    <w:p w:rsidR="009114AD" w:rsidRDefault="00D60112" w:rsidP="002B30AD">
      <w:pPr>
        <w:pStyle w:val="Caption"/>
        <w:jc w:val="center"/>
      </w:pPr>
      <w:bookmarkStart w:id="16" w:name="_Ref319915222"/>
      <w:bookmarkStart w:id="17" w:name="_Toc355730446"/>
      <w:r>
        <w:t xml:space="preserve">Figure </w:t>
      </w:r>
      <w:r w:rsidR="00A560B1">
        <w:fldChar w:fldCharType="begin"/>
      </w:r>
      <w:r w:rsidR="00A560B1">
        <w:instrText xml:space="preserve"> SEQ Figure \* ARABIC </w:instrText>
      </w:r>
      <w:r w:rsidR="00A560B1">
        <w:fldChar w:fldCharType="separate"/>
      </w:r>
      <w:r w:rsidR="00A319E4">
        <w:rPr>
          <w:noProof/>
        </w:rPr>
        <w:t>2</w:t>
      </w:r>
      <w:r w:rsidR="00A560B1">
        <w:rPr>
          <w:noProof/>
        </w:rPr>
        <w:fldChar w:fldCharType="end"/>
      </w:r>
      <w:bookmarkEnd w:id="16"/>
      <w:r>
        <w:t xml:space="preserve">. </w:t>
      </w:r>
      <w:r w:rsidR="00526608">
        <w:t>Number of c</w:t>
      </w:r>
      <w:r w:rsidRPr="006B4B32">
        <w:t>ertified</w:t>
      </w:r>
      <w:r>
        <w:t xml:space="preserve"> production</w:t>
      </w:r>
      <w:r w:rsidRPr="006B4B32">
        <w:t xml:space="preserve"> </w:t>
      </w:r>
      <w:r w:rsidR="00526608">
        <w:t>RCs</w:t>
      </w:r>
      <w:r w:rsidRPr="006B4B32">
        <w:t xml:space="preserve"> from </w:t>
      </w:r>
      <w:r w:rsidR="00FD7A33">
        <w:t>01/09/2009 to 01/03/2013</w:t>
      </w:r>
      <w:r w:rsidR="006F654A">
        <w:t>. The drastic reduction in number in April 2012 is due to both the decommissioning of small RCs in Italy and to suspensions in other NGIs because of low performance issues</w:t>
      </w:r>
      <w:bookmarkEnd w:id="17"/>
      <w:r w:rsidRPr="006B4B32">
        <w:t xml:space="preserve"> </w:t>
      </w:r>
    </w:p>
    <w:p w:rsidR="005A6941" w:rsidRDefault="00D60112" w:rsidP="002B30AD">
      <w:pPr>
        <w:pStyle w:val="Caption"/>
        <w:jc w:val="center"/>
      </w:pPr>
      <w:r>
        <w:t>(data source: GOCDB)</w:t>
      </w:r>
      <w:r w:rsidR="00AD5937">
        <w:t>.</w:t>
      </w:r>
    </w:p>
    <w:p w:rsidR="006A32F5" w:rsidRPr="006A32F5" w:rsidRDefault="006A32F5" w:rsidP="006A32F5"/>
    <w:p w:rsidR="005C73D3" w:rsidRDefault="00BA0043" w:rsidP="005C73D3">
      <w:pPr>
        <w:pStyle w:val="Heading2"/>
        <w:rPr>
          <w:noProof/>
          <w:lang w:eastAsia="en-GB"/>
        </w:rPr>
      </w:pPr>
      <w:bookmarkStart w:id="18" w:name="_Toc355730404"/>
      <w:r>
        <w:t>Resource infrastructure Providers</w:t>
      </w:r>
      <w:bookmarkEnd w:id="18"/>
    </w:p>
    <w:p w:rsidR="00870D46" w:rsidRDefault="00870D46" w:rsidP="00897038">
      <w:r>
        <w:t>The Resource infrastructure Provider is the legal organisation responsible for any matter that concerns</w:t>
      </w:r>
      <w:r w:rsidR="00492BFD">
        <w:t xml:space="preserve"> </w:t>
      </w:r>
      <w:r>
        <w:t>the</w:t>
      </w:r>
      <w:r w:rsidR="00492BFD">
        <w:t>ir</w:t>
      </w:r>
      <w:r>
        <w:t xml:space="preserv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w:t>
      </w:r>
      <w:r w:rsidR="00492BFD">
        <w:t>externally</w:t>
      </w:r>
      <w:r>
        <w:t>.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In March 201</w:t>
      </w:r>
      <w:r w:rsidR="000D1BC4">
        <w:t>3</w:t>
      </w:r>
      <w:r>
        <w:t xml:space="preserve"> EGI compri</w:t>
      </w:r>
      <w:r w:rsidR="000D1BC4">
        <w:t>ses resources provided across 55</w:t>
      </w:r>
      <w:r>
        <w:t xml:space="preserve">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C144D5" w:rsidRDefault="006A32F5" w:rsidP="00C144D5">
      <w:pPr>
        <w:keepNext/>
      </w:pPr>
      <w:r>
        <w:rPr>
          <w:noProof/>
          <w:lang w:eastAsia="en-GB"/>
        </w:rPr>
        <w:lastRenderedPageBreak/>
        <w:drawing>
          <wp:inline distT="0" distB="0" distL="0" distR="0" wp14:anchorId="6CC26D5B" wp14:editId="79EA1B5D">
            <wp:extent cx="5755640" cy="2951480"/>
            <wp:effectExtent l="0" t="0" r="0" b="1270"/>
            <wp:docPr id="31" name="Picture 31" descr="C:\Users\Krakowian\Google Drive\Operations\Figures\maps\2013-03-15\EGI March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2951480"/>
                    </a:xfrm>
                    <a:prstGeom prst="rect">
                      <a:avLst/>
                    </a:prstGeom>
                    <a:noFill/>
                    <a:ln>
                      <a:noFill/>
                    </a:ln>
                  </pic:spPr>
                </pic:pic>
              </a:graphicData>
            </a:graphic>
          </wp:inline>
        </w:drawing>
      </w:r>
    </w:p>
    <w:p w:rsidR="00C144D5" w:rsidRPr="00C144D5" w:rsidRDefault="00C144D5" w:rsidP="00F018FE">
      <w:pPr>
        <w:pStyle w:val="Caption"/>
        <w:jc w:val="center"/>
        <w:rPr>
          <w:noProof/>
        </w:rPr>
      </w:pPr>
      <w:bookmarkStart w:id="19" w:name="_Toc355730447"/>
      <w:r>
        <w:t xml:space="preserve">Figure </w:t>
      </w:r>
      <w:r w:rsidR="00317058">
        <w:fldChar w:fldCharType="begin"/>
      </w:r>
      <w:r w:rsidR="00317058">
        <w:rPr>
          <w:b w:val="0"/>
        </w:rPr>
        <w:instrText xml:space="preserve"> SEQ Figure \* ARABIC </w:instrText>
      </w:r>
      <w:r w:rsidR="00317058">
        <w:fldChar w:fldCharType="separate"/>
      </w:r>
      <w:r w:rsidR="00A319E4">
        <w:rPr>
          <w:b w:val="0"/>
          <w:noProof/>
        </w:rPr>
        <w:t>3</w:t>
      </w:r>
      <w:r w:rsidR="00317058">
        <w:rPr>
          <w:noProof/>
        </w:rPr>
        <w:fldChar w:fldCharType="end"/>
      </w:r>
      <w:r>
        <w:t xml:space="preserve"> RP</w:t>
      </w:r>
      <w:r w:rsidRPr="00121CAF">
        <w:t>s distribution in March 2013 (data source: GOCDB).</w:t>
      </w:r>
      <w:r w:rsidR="00295718">
        <w:t xml:space="preserve"> </w:t>
      </w:r>
      <w:r w:rsidRPr="00C144D5">
        <w:t>Legend:</w:t>
      </w:r>
      <w:r w:rsidR="00020965">
        <w:t xml:space="preserve"> (blue) Integrated EGI-InSPIRE Partners and EGI Council Members, (green) External Resource Providers, (orange) Internal/External Resource Providers – Azerbaijan, (purple) Peer Resource Providers – Open Science Grid.</w:t>
      </w:r>
      <w:bookmarkEnd w:id="19"/>
      <w:r w:rsidR="00020965">
        <w:t xml:space="preserve"> </w:t>
      </w:r>
    </w:p>
    <w:p w:rsidR="00897038" w:rsidRDefault="00897038" w:rsidP="00897038">
      <w:r>
        <w:t>EGI-InSPIRE partners</w:t>
      </w:r>
      <w:r w:rsidR="004B181C">
        <w:t xml:space="preserve"> or RPs that are Council members</w:t>
      </w:r>
      <w:r w:rsidR="000D1BC4">
        <w:t xml:space="preserve"> contribute resources from 44</w:t>
      </w:r>
      <w:r w:rsidR="00C47E20">
        <w:t xml:space="preserve"> countries</w:t>
      </w:r>
      <w:r>
        <w:t xml:space="preserve">. </w:t>
      </w:r>
      <w:r w:rsidR="00C47E20">
        <w:t>However</w:t>
      </w:r>
      <w:r w:rsidR="000D1BC4">
        <w:t xml:space="preserve">, </w:t>
      </w:r>
      <w:r w:rsidR="00160FB9">
        <w:t>11</w:t>
      </w:r>
      <w:r w:rsidRPr="006B4B32">
        <w:t xml:space="preserve"> </w:t>
      </w:r>
      <w:r>
        <w:t xml:space="preserve">countries contribute resources </w:t>
      </w:r>
      <w:r w:rsidRPr="006B4B32">
        <w:t xml:space="preserve">through Resource </w:t>
      </w:r>
      <w:r w:rsidR="00492BFD">
        <w:t>i</w:t>
      </w:r>
      <w:r w:rsidRPr="006B4B32">
        <w:t>nfrastructure</w:t>
      </w:r>
      <w:r>
        <w:t xml:space="preserve"> Provider</w:t>
      </w:r>
      <w:r w:rsidRPr="006B4B32">
        <w:t>s that are non-EGI-InSPIRE partners but are fully integrated with the EGI Services Infrastructure.</w:t>
      </w:r>
      <w:r w:rsidR="00C47E20">
        <w:t xml:space="preserve"> These are:</w:t>
      </w:r>
    </w:p>
    <w:p w:rsidR="00897038" w:rsidRDefault="004B181C" w:rsidP="00897038">
      <w:pPr>
        <w:numPr>
          <w:ilvl w:val="0"/>
          <w:numId w:val="41"/>
        </w:numPr>
      </w:pPr>
      <w:r>
        <w:t xml:space="preserve">India, </w:t>
      </w:r>
      <w:r w:rsidR="00897038" w:rsidRPr="006B4B32">
        <w:t>Pakistan</w:t>
      </w:r>
      <w:r w:rsidR="00C616AC">
        <w:t>, Vietnam</w:t>
      </w:r>
      <w:r w:rsidR="00897038" w:rsidRPr="006B4B32">
        <w:t xml:space="preserve"> and New Zealand (Asia Pacific Federation); </w:t>
      </w:r>
    </w:p>
    <w:p w:rsidR="00897038" w:rsidRDefault="00897038" w:rsidP="00897038">
      <w:pPr>
        <w:numPr>
          <w:ilvl w:val="0"/>
          <w:numId w:val="41"/>
        </w:numPr>
      </w:pPr>
      <w:r w:rsidRPr="006B4B32">
        <w:t xml:space="preserve">Austria </w:t>
      </w:r>
      <w:r>
        <w:t>(Italian Federation): operations support of Austrian RCs moved from NGI_NDGF to NGI_IT during PY2</w:t>
      </w:r>
      <w:r w:rsidR="004B181C">
        <w:t>;</w:t>
      </w:r>
    </w:p>
    <w:p w:rsidR="00897038" w:rsidRDefault="00897038" w:rsidP="00897038">
      <w:pPr>
        <w:numPr>
          <w:ilvl w:val="0"/>
          <w:numId w:val="41"/>
        </w:numPr>
      </w:pPr>
      <w:r w:rsidRPr="006B4B32">
        <w:t xml:space="preserve">Canada (Canada Federation); </w:t>
      </w:r>
    </w:p>
    <w:p w:rsidR="00897038" w:rsidRPr="00315549" w:rsidRDefault="00897038" w:rsidP="00897038">
      <w:pPr>
        <w:numPr>
          <w:ilvl w:val="0"/>
          <w:numId w:val="41"/>
        </w:numPr>
        <w:rPr>
          <w:lang w:val="it-IT"/>
        </w:rPr>
      </w:pPr>
      <w:r w:rsidRPr="00315549">
        <w:rPr>
          <w:lang w:val="it-IT"/>
        </w:rPr>
        <w:t>Brazil, Chile,</w:t>
      </w:r>
      <w:r w:rsidR="000D1BC4" w:rsidRPr="00315549">
        <w:rPr>
          <w:lang w:val="it-IT"/>
        </w:rPr>
        <w:t xml:space="preserve"> Argentina, Venezuela</w:t>
      </w:r>
      <w:r w:rsidR="00C616AC" w:rsidRPr="00315549">
        <w:rPr>
          <w:lang w:val="it-IT"/>
        </w:rPr>
        <w:t xml:space="preserve"> </w:t>
      </w:r>
      <w:r w:rsidRPr="00315549">
        <w:rPr>
          <w:lang w:val="it-IT"/>
        </w:rPr>
        <w:t>and Mexico (Latin Am</w:t>
      </w:r>
      <w:r w:rsidR="004B181C" w:rsidRPr="00315549">
        <w:rPr>
          <w:lang w:val="it-IT"/>
        </w:rPr>
        <w:t>erica Federation)</w:t>
      </w:r>
      <w:r w:rsidR="007C3BF3">
        <w:rPr>
          <w:lang w:val="it-IT"/>
        </w:rPr>
        <w:t>.</w:t>
      </w:r>
    </w:p>
    <w:p w:rsidR="00204BB0" w:rsidRPr="00303309" w:rsidRDefault="003D6E91" w:rsidP="009B72C6">
      <w:r>
        <w:t xml:space="preserve">The distribution of RCs per country and per Operations </w:t>
      </w:r>
      <w:r w:rsidRPr="00303309">
        <w:t xml:space="preserve">Centres is </w:t>
      </w:r>
      <w:r w:rsidR="009429AD" w:rsidRPr="00303309">
        <w:t>reported</w:t>
      </w:r>
      <w:r w:rsidRPr="00303309">
        <w:t xml:space="preserve"> in </w:t>
      </w:r>
      <w:r w:rsidR="00303309" w:rsidRPr="00303309">
        <w:fldChar w:fldCharType="begin"/>
      </w:r>
      <w:r w:rsidR="00303309" w:rsidRPr="00303309">
        <w:instrText xml:space="preserve"> REF _Ref325713928 \h  \* MERGEFORMAT </w:instrText>
      </w:r>
      <w:r w:rsidR="00303309" w:rsidRPr="00303309">
        <w:fldChar w:fldCharType="separate"/>
      </w:r>
      <w:r w:rsidR="00A319E4" w:rsidRPr="00A319E4">
        <w:t xml:space="preserve">Table </w:t>
      </w:r>
      <w:r w:rsidR="00A319E4" w:rsidRPr="00A319E4">
        <w:rPr>
          <w:noProof/>
        </w:rPr>
        <w:t>2</w:t>
      </w:r>
      <w:r w:rsidR="00303309" w:rsidRPr="00303309">
        <w:fldChar w:fldCharType="end"/>
      </w:r>
      <w:r w:rsidR="00204BB0" w:rsidRPr="00303309">
        <w:t>.</w:t>
      </w:r>
    </w:p>
    <w:p w:rsidR="00204BB0" w:rsidRDefault="00FD7A33" w:rsidP="009B72C6">
      <w:r>
        <w:rPr>
          <w:noProof/>
          <w:lang w:eastAsia="en-GB"/>
        </w:rPr>
        <w:lastRenderedPageBreak/>
        <w:drawing>
          <wp:inline distT="0" distB="0" distL="0" distR="0" wp14:anchorId="2528C0CA" wp14:editId="2778BE8E">
            <wp:extent cx="5750560" cy="3721735"/>
            <wp:effectExtent l="0" t="0" r="2540" b="0"/>
            <wp:docPr id="1600" name="Picture 1600" descr="C:\Users\Krakowian\Google Drive\Operations\Documentation working space\D4.8\png\EGI countries hosting certified production Resource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560" cy="3721735"/>
                    </a:xfrm>
                    <a:prstGeom prst="rect">
                      <a:avLst/>
                    </a:prstGeom>
                    <a:noFill/>
                    <a:ln>
                      <a:noFill/>
                    </a:ln>
                  </pic:spPr>
                </pic:pic>
              </a:graphicData>
            </a:graphic>
          </wp:inline>
        </w:drawing>
      </w:r>
    </w:p>
    <w:p w:rsidR="00204BB0" w:rsidRPr="00FD7A33" w:rsidRDefault="00204BB0" w:rsidP="00204BB0">
      <w:pPr>
        <w:pStyle w:val="Caption"/>
        <w:jc w:val="center"/>
      </w:pPr>
      <w:bookmarkStart w:id="20" w:name="_Ref325713820"/>
      <w:bookmarkStart w:id="21" w:name="_Toc355730448"/>
      <w:r w:rsidRPr="00FD7A33">
        <w:t xml:space="preserve">Figure </w:t>
      </w:r>
      <w:r w:rsidR="00A560B1">
        <w:fldChar w:fldCharType="begin"/>
      </w:r>
      <w:r w:rsidR="00A560B1">
        <w:instrText xml:space="preserve"> SEQ Figure \* ARABIC </w:instrText>
      </w:r>
      <w:r w:rsidR="00A560B1">
        <w:fldChar w:fldCharType="separate"/>
      </w:r>
      <w:r w:rsidR="00A319E4">
        <w:rPr>
          <w:noProof/>
        </w:rPr>
        <w:t>4</w:t>
      </w:r>
      <w:r w:rsidR="00A560B1">
        <w:rPr>
          <w:noProof/>
        </w:rPr>
        <w:fldChar w:fldCharType="end"/>
      </w:r>
      <w:bookmarkEnd w:id="20"/>
      <w:r w:rsidRPr="00FD7A33">
        <w:t>. EGI countries hosting certified production Resource Centr</w:t>
      </w:r>
      <w:r w:rsidR="00FD7A33">
        <w:t>es from 01/09/2009 to 01/03/2013</w:t>
      </w:r>
      <w:r w:rsidRPr="00FD7A33">
        <w:t xml:space="preserve"> (data source: GOCDB).</w:t>
      </w:r>
      <w:bookmarkEnd w:id="21"/>
    </w:p>
    <w:p w:rsidR="00866735" w:rsidRDefault="00204BB0" w:rsidP="00FE0490">
      <w:r w:rsidRPr="00F30203">
        <w:t>The number of countries contributing resources is a</w:t>
      </w:r>
      <w:r w:rsidR="00C616AC" w:rsidRPr="00F30203">
        <w:t xml:space="preserve">pproximately constant. </w:t>
      </w:r>
      <w:r w:rsidR="00866735">
        <w:t>In PY3 two new countries started contributing resources: Iran and Vietnam.</w:t>
      </w:r>
    </w:p>
    <w:p w:rsidR="00CC4AE4" w:rsidRDefault="00C616AC" w:rsidP="00FE0490">
      <w:r w:rsidRPr="00F30203">
        <w:t>Since PQ8</w:t>
      </w:r>
      <w:r w:rsidR="00204BB0" w:rsidRPr="00F30203">
        <w:t xml:space="preserve"> the production infrastructure in </w:t>
      </w:r>
      <w:r w:rsidRPr="00F30203">
        <w:t>Armenia</w:t>
      </w:r>
      <w:r w:rsidR="00204BB0" w:rsidRPr="00F30203">
        <w:t xml:space="preserve"> has been unstable, and RCs have been periodically </w:t>
      </w:r>
      <w:r w:rsidR="00866735">
        <w:t xml:space="preserve">temporarily </w:t>
      </w:r>
      <w:r w:rsidR="00204BB0" w:rsidRPr="00F30203">
        <w:t>removed from the infrastructure</w:t>
      </w:r>
      <w:r w:rsidR="002951E3">
        <w:t>; the infrastructure reached stability in PQ11 with two production RCs</w:t>
      </w:r>
      <w:r w:rsidR="00204BB0" w:rsidRPr="00F30203">
        <w:t xml:space="preserve">. The growth trend since 01 September 2009 is illustrated in </w:t>
      </w:r>
      <w:r w:rsidR="00FE0490" w:rsidRPr="00F30203">
        <w:fldChar w:fldCharType="begin"/>
      </w:r>
      <w:r w:rsidR="00FE0490" w:rsidRPr="00F30203">
        <w:instrText xml:space="preserve"> REF _Ref325713820 \h  \* MERGEFORMAT </w:instrText>
      </w:r>
      <w:r w:rsidR="00FE0490" w:rsidRPr="00F30203">
        <w:fldChar w:fldCharType="separate"/>
      </w:r>
      <w:r w:rsidR="00A319E4" w:rsidRPr="00FD7A33">
        <w:t xml:space="preserve">Figure </w:t>
      </w:r>
      <w:r w:rsidR="00A319E4">
        <w:rPr>
          <w:noProof/>
        </w:rPr>
        <w:t>4</w:t>
      </w:r>
      <w:r w:rsidR="00FE0490" w:rsidRPr="00F30203">
        <w:fldChar w:fldCharType="end"/>
      </w:r>
      <w:r w:rsidRPr="00F30203">
        <w:t xml:space="preserve">. In March 2013, </w:t>
      </w:r>
      <w:r w:rsidR="007C3BF3">
        <w:t xml:space="preserve">the </w:t>
      </w:r>
      <w:r w:rsidRPr="00F30203">
        <w:t xml:space="preserve">EGI-InSPIRE partners </w:t>
      </w:r>
      <w:r w:rsidR="007C3BF3">
        <w:t>that are</w:t>
      </w:r>
      <w:r w:rsidR="00204BB0" w:rsidRPr="00F30203">
        <w:t xml:space="preserve"> </w:t>
      </w:r>
      <w:r w:rsidR="00822908">
        <w:t xml:space="preserve">still </w:t>
      </w:r>
      <w:r w:rsidR="00204BB0" w:rsidRPr="00F30203">
        <w:t>not contributing resources</w:t>
      </w:r>
      <w:r w:rsidR="007C3BF3">
        <w:t xml:space="preserve"> are</w:t>
      </w:r>
      <w:r w:rsidR="00204BB0" w:rsidRPr="00F30203">
        <w:t xml:space="preserve">: Albania, </w:t>
      </w:r>
      <w:r w:rsidRPr="00F30203">
        <w:t xml:space="preserve">Argentina, </w:t>
      </w:r>
      <w:r w:rsidR="00AB14DC">
        <w:t xml:space="preserve">Indonesia </w:t>
      </w:r>
      <w:r w:rsidR="00204BB0" w:rsidRPr="00F30203">
        <w:t xml:space="preserve">and Singapore. </w:t>
      </w:r>
      <w:bookmarkStart w:id="22" w:name="_Ref319966076"/>
    </w:p>
    <w:p w:rsidR="009429AD" w:rsidRPr="00F30203" w:rsidRDefault="0078439B" w:rsidP="00F30203">
      <w:pPr>
        <w:rPr>
          <w:b/>
        </w:rPr>
      </w:pPr>
      <w:r>
        <w:br w:type="page"/>
      </w:r>
      <w:bookmarkStart w:id="23" w:name="_Ref325713928"/>
      <w:r w:rsidR="00BB23C2" w:rsidRPr="00361543">
        <w:rPr>
          <w:b/>
        </w:rPr>
        <w:lastRenderedPageBreak/>
        <w:t xml:space="preserve">Table </w:t>
      </w:r>
      <w:r w:rsidR="004A1683">
        <w:rPr>
          <w:b/>
        </w:rPr>
        <w:fldChar w:fldCharType="begin"/>
      </w:r>
      <w:r w:rsidR="004A1683">
        <w:rPr>
          <w:b/>
        </w:rPr>
        <w:instrText xml:space="preserve"> SEQ Table \* ARABIC </w:instrText>
      </w:r>
      <w:r w:rsidR="004A1683">
        <w:rPr>
          <w:b/>
        </w:rPr>
        <w:fldChar w:fldCharType="separate"/>
      </w:r>
      <w:r w:rsidR="00A319E4">
        <w:rPr>
          <w:b/>
          <w:noProof/>
        </w:rPr>
        <w:t>2</w:t>
      </w:r>
      <w:r w:rsidR="004A1683">
        <w:rPr>
          <w:b/>
        </w:rPr>
        <w:fldChar w:fldCharType="end"/>
      </w:r>
      <w:bookmarkEnd w:id="22"/>
      <w:bookmarkEnd w:id="23"/>
      <w:r w:rsidR="00BB23C2" w:rsidRPr="00361543">
        <w:rPr>
          <w:b/>
        </w:rPr>
        <w:t xml:space="preserve">. Distribution of production certified </w:t>
      </w:r>
      <w:r w:rsidR="002173BD" w:rsidRPr="00361543">
        <w:rPr>
          <w:b/>
        </w:rPr>
        <w:t>RCs</w:t>
      </w:r>
      <w:r w:rsidR="00BB23C2" w:rsidRPr="00361543">
        <w:rPr>
          <w:b/>
        </w:rPr>
        <w:t xml:space="preserve"> across countries and O</w:t>
      </w:r>
      <w:r w:rsidR="00F60C33">
        <w:rPr>
          <w:b/>
        </w:rPr>
        <w:t>perations Centres in PQ8</w:t>
      </w:r>
      <w:r w:rsidR="009429AD" w:rsidRPr="00361543">
        <w:rPr>
          <w:b/>
        </w:rPr>
        <w:t xml:space="preserve">, </w:t>
      </w:r>
      <w:r w:rsidR="00F60C33">
        <w:rPr>
          <w:b/>
        </w:rPr>
        <w:t>PQ9</w:t>
      </w:r>
      <w:r w:rsidR="009429AD" w:rsidRPr="00361543">
        <w:rPr>
          <w:b/>
        </w:rPr>
        <w:t xml:space="preserve">, </w:t>
      </w:r>
      <w:r w:rsidR="00F60C33">
        <w:rPr>
          <w:b/>
        </w:rPr>
        <w:t>PQ10, PQ11 and March 2013</w:t>
      </w:r>
      <w:r w:rsidR="00D22FAA">
        <w:rPr>
          <w:b/>
        </w:rPr>
        <w:t xml:space="preserve"> (data is sorted by country)</w:t>
      </w:r>
      <w:r w:rsidR="00BB23C2" w:rsidRPr="00361543">
        <w:rPr>
          <w:b/>
        </w:rPr>
        <w:t>.</w:t>
      </w:r>
      <w:r w:rsidR="009429AD" w:rsidRPr="00361543">
        <w:rPr>
          <w:b/>
        </w:rPr>
        <w:t xml:space="preserve"> </w:t>
      </w:r>
      <w:r w:rsidR="00F30203">
        <w:rPr>
          <w:b/>
        </w:rPr>
        <w:t>(</w:t>
      </w:r>
      <w:r w:rsidR="00BB23C2" w:rsidRPr="00361543">
        <w:rPr>
          <w:b/>
        </w:rPr>
        <w:t>Data source: GOCDB</w:t>
      </w:r>
      <w:r w:rsidR="00F30203">
        <w:rPr>
          <w:b/>
        </w:rPr>
        <w:t>)</w:t>
      </w:r>
      <w:r w:rsidR="00BB23C2">
        <w:t>.</w:t>
      </w:r>
      <w:r w:rsidR="002173BD" w:rsidRPr="002173BD">
        <w:t xml:space="preserve"> </w:t>
      </w:r>
    </w:p>
    <w:p w:rsidR="0044280E" w:rsidRDefault="0044280E" w:rsidP="00F018FE">
      <w:pPr>
        <w:pStyle w:val="Caption"/>
      </w:pPr>
      <w:r>
        <w:t>I = Integrated, EP = European Partner, P = non-European partner, C = only Council member</w:t>
      </w:r>
    </w:p>
    <w:p w:rsidR="009429AD" w:rsidRPr="00F018FE" w:rsidRDefault="00147323" w:rsidP="009429AD">
      <w:pPr>
        <w:jc w:val="center"/>
        <w:rPr>
          <w:lang w:val="x-none"/>
        </w:rPr>
      </w:pPr>
      <w:r>
        <w:rPr>
          <w:noProof/>
          <w:lang w:eastAsia="en-GB"/>
        </w:rPr>
        <w:drawing>
          <wp:inline distT="0" distB="0" distL="0" distR="0" wp14:anchorId="5E3317C3" wp14:editId="69238D4C">
            <wp:extent cx="5753100" cy="7105650"/>
            <wp:effectExtent l="0" t="0" r="0" b="0"/>
            <wp:docPr id="17" name="Picture 17" descr="C:\Users\Krakowian\Google Drive\Operations\inspire-deliverables\SA1\D4.8\png\Distribution of production certified RCs across countries and Operations Cen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7105650"/>
                    </a:xfrm>
                    <a:prstGeom prst="rect">
                      <a:avLst/>
                    </a:prstGeom>
                    <a:noFill/>
                    <a:ln>
                      <a:noFill/>
                    </a:ln>
                  </pic:spPr>
                </pic:pic>
              </a:graphicData>
            </a:graphic>
          </wp:inline>
        </w:drawing>
      </w:r>
    </w:p>
    <w:p w:rsidR="009818E6" w:rsidRDefault="009818E6" w:rsidP="009818E6">
      <w:pPr>
        <w:pStyle w:val="Heading2"/>
      </w:pPr>
      <w:bookmarkStart w:id="24" w:name="_Toc355730405"/>
      <w:r>
        <w:lastRenderedPageBreak/>
        <w:t>Operations Centres</w:t>
      </w:r>
      <w:bookmarkEnd w:id="24"/>
    </w:p>
    <w:p w:rsidR="00870D46" w:rsidRDefault="00870D46" w:rsidP="002172EB">
      <w:r>
        <w:t>The Oper</w:t>
      </w:r>
      <w:r w:rsidR="00AC3FB7">
        <w:t>ations Centre is defined to be a</w:t>
      </w:r>
      <w:r>
        <w:t xml:space="preserve"> centre offering operations services on behalf of the </w:t>
      </w:r>
      <w:r w:rsidRPr="00AC3FB7">
        <w:t xml:space="preserve">Resource </w:t>
      </w:r>
      <w:r w:rsidR="002B74FE">
        <w:t>i</w:t>
      </w:r>
      <w:r w:rsidRPr="00AC3FB7">
        <w:t>nfrastructure Provider</w:t>
      </w:r>
      <w:r w:rsidR="00AC3FB7">
        <w:t xml:space="preserve"> [GLO]</w:t>
      </w:r>
      <w:r w:rsidR="007D16E3">
        <w:t>, and it can serve multiple RPs</w:t>
      </w:r>
      <w:r>
        <w:t>.</w:t>
      </w:r>
    </w:p>
    <w:p w:rsidR="001058E2" w:rsidRDefault="00312231" w:rsidP="002172EB">
      <w:r>
        <w:t>EGI currently compr</w:t>
      </w:r>
      <w:r w:rsidR="002B74FE">
        <w:t>ises</w:t>
      </w:r>
      <w:r>
        <w:t xml:space="preserve"> </w:t>
      </w:r>
      <w:r w:rsidR="001E2C1C">
        <w:t>28</w:t>
      </w:r>
      <w:r w:rsidR="0048514C">
        <w:t xml:space="preserve"> n</w:t>
      </w:r>
      <w:r w:rsidR="00023F70">
        <w:t>ational operations centres and 7</w:t>
      </w:r>
      <w:r w:rsidR="0048514C">
        <w:t xml:space="preserve">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A319E4">
        <w:t xml:space="preserve">Table </w:t>
      </w:r>
      <w:r w:rsidR="00A319E4">
        <w:rPr>
          <w:noProof/>
        </w:rPr>
        <w:t>3</w:t>
      </w:r>
      <w:r w:rsidR="00C70ABF">
        <w:fldChar w:fldCharType="end"/>
      </w:r>
      <w:r w:rsidR="00C70ABF">
        <w:t>)</w:t>
      </w:r>
      <w:r w:rsidR="0048514C">
        <w:t xml:space="preserve">. </w:t>
      </w:r>
      <w:r w:rsidR="001058E2">
        <w:t xml:space="preserve">The existing federated centres in Europe (IberGrid, NGI_NL and NGI_IT) </w:t>
      </w:r>
      <w:r w:rsidR="0039095D">
        <w:t xml:space="preserve">each contain </w:t>
      </w:r>
      <w:r w:rsidR="00AD48D5">
        <w:t>two countries and are the result of a collaboration agreement tha</w:t>
      </w:r>
      <w:r w:rsidR="00023F70">
        <w:t>t is expected to continue in PY4</w:t>
      </w:r>
      <w:r w:rsidR="00AD48D5">
        <w:t xml:space="preserve">. </w:t>
      </w:r>
      <w:r w:rsidR="0039095D">
        <w:t>In contrast</w:t>
      </w:r>
      <w:r w:rsidR="00AD48D5">
        <w:t xml:space="preserve">, integrated federated centres in Asia Pacific and Latin America encompass a large number of countries. The creation of new national grid initiatives in those regions will depend on their expansion </w:t>
      </w:r>
      <w:r w:rsidR="0039095D">
        <w:t xml:space="preserve">plans </w:t>
      </w:r>
      <w:r w:rsidR="00AD48D5">
        <w:t xml:space="preserve">and on national policies. </w:t>
      </w:r>
    </w:p>
    <w:p w:rsidR="00312231" w:rsidRDefault="004F2CF1" w:rsidP="002172EB">
      <w:r w:rsidRPr="001E2C1C">
        <w:t>A new</w:t>
      </w:r>
      <w:r w:rsidR="0048514C" w:rsidRPr="001E2C1C">
        <w:t xml:space="preserve"> operations centre was created in </w:t>
      </w:r>
      <w:r w:rsidR="001E2C1C" w:rsidRPr="001E2C1C">
        <w:rPr>
          <w:rStyle w:val="hps"/>
          <w:lang w:val="en"/>
        </w:rPr>
        <w:t>Ukraine</w:t>
      </w:r>
      <w:r w:rsidR="0048514C" w:rsidRPr="001E2C1C">
        <w:t xml:space="preserve"> (NGI_</w:t>
      </w:r>
      <w:r w:rsidR="00023F70" w:rsidRPr="001E2C1C">
        <w:t>UA</w:t>
      </w:r>
      <w:r w:rsidR="0048514C" w:rsidRPr="001E2C1C">
        <w:t>) in June 201</w:t>
      </w:r>
      <w:r w:rsidR="001E2C1C" w:rsidRPr="001E2C1C">
        <w:t>2</w:t>
      </w:r>
      <w:r w:rsidR="0048514C" w:rsidRPr="001E2C1C">
        <w:t xml:space="preserve">. </w:t>
      </w:r>
      <w:r w:rsidR="001E2C1C" w:rsidRPr="001E2C1C">
        <w:t>Ukrainian</w:t>
      </w:r>
      <w:r w:rsidR="0048514C" w:rsidRPr="001E2C1C">
        <w:t xml:space="preserve"> resources </w:t>
      </w:r>
      <w:r w:rsidR="001E2C1C" w:rsidRPr="001E2C1C">
        <w:t xml:space="preserve">were previously </w:t>
      </w:r>
      <w:r w:rsidR="0048514C" w:rsidRPr="001E2C1C">
        <w:t xml:space="preserve">operated by </w:t>
      </w:r>
      <w:r w:rsidR="001E2C1C" w:rsidRPr="001E2C1C">
        <w:t>ROC Russia</w:t>
      </w:r>
      <w:r w:rsidR="0048514C" w:rsidRPr="001E2C1C">
        <w:t>.</w:t>
      </w:r>
      <w:r w:rsidR="0048514C">
        <w:t xml:space="preserve"> </w:t>
      </w:r>
    </w:p>
    <w:p w:rsidR="0048514C" w:rsidRPr="001E2C1C" w:rsidRDefault="001E2C1C" w:rsidP="002172EB">
      <w:r w:rsidRPr="001E2C1C">
        <w:t xml:space="preserve">Two </w:t>
      </w:r>
      <w:r w:rsidR="00F077C4">
        <w:t>Operations Centres</w:t>
      </w:r>
      <w:r w:rsidR="00F077C4" w:rsidRPr="001E2C1C">
        <w:t xml:space="preserve"> </w:t>
      </w:r>
      <w:r w:rsidRPr="001E2C1C">
        <w:t xml:space="preserve">were decommissioned: ROC IGALC and NGI IE. </w:t>
      </w:r>
      <w:r>
        <w:t xml:space="preserve">Most of the </w:t>
      </w:r>
      <w:r w:rsidRPr="001E2C1C">
        <w:t xml:space="preserve">ROC IGALC </w:t>
      </w:r>
      <w:r w:rsidR="00F077C4">
        <w:t>RCs</w:t>
      </w:r>
      <w:r w:rsidR="00F077C4" w:rsidRPr="001E2C1C">
        <w:t xml:space="preserve"> </w:t>
      </w:r>
      <w:r w:rsidRPr="001E2C1C">
        <w:t xml:space="preserve">were handed off to ROC LA. </w:t>
      </w:r>
    </w:p>
    <w:p w:rsidR="006438EE" w:rsidRPr="006438EE" w:rsidRDefault="00162C97" w:rsidP="004702F6">
      <w:pPr>
        <w:pStyle w:val="Caption"/>
        <w:jc w:val="center"/>
      </w:pPr>
      <w:bookmarkStart w:id="25" w:name="_Ref320105673"/>
      <w:r>
        <w:t xml:space="preserve">Table </w:t>
      </w:r>
      <w:r w:rsidR="00A560B1">
        <w:fldChar w:fldCharType="begin"/>
      </w:r>
      <w:r w:rsidR="00A560B1">
        <w:instrText xml:space="preserve"> SEQ Table \* ARABIC </w:instrText>
      </w:r>
      <w:r w:rsidR="00A560B1">
        <w:fldChar w:fldCharType="separate"/>
      </w:r>
      <w:r w:rsidR="00A319E4">
        <w:rPr>
          <w:noProof/>
        </w:rPr>
        <w:t>3</w:t>
      </w:r>
      <w:r w:rsidR="00A560B1">
        <w:rPr>
          <w:noProof/>
        </w:rPr>
        <w:fldChar w:fldCharType="end"/>
      </w:r>
      <w:bookmarkEnd w:id="25"/>
      <w:r>
        <w:t>.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rsidTr="006438EE">
        <w:tc>
          <w:tcPr>
            <w:tcW w:w="2235" w:type="dxa"/>
            <w:shd w:val="clear" w:color="auto" w:fill="F2F2F2"/>
          </w:tcPr>
          <w:p w:rsidR="006438EE" w:rsidRPr="00312231" w:rsidRDefault="006438EE" w:rsidP="006438EE">
            <w:pPr>
              <w:jc w:val="center"/>
              <w:rPr>
                <w:b/>
                <w:sz w:val="16"/>
                <w:szCs w:val="16"/>
              </w:rPr>
            </w:pPr>
            <w:r w:rsidRPr="00312231">
              <w:rPr>
                <w:b/>
                <w:sz w:val="16"/>
                <w:szCs w:val="16"/>
              </w:rPr>
              <w:t>Federated operations centres</w:t>
            </w:r>
          </w:p>
        </w:tc>
        <w:tc>
          <w:tcPr>
            <w:tcW w:w="2048" w:type="dxa"/>
            <w:shd w:val="clear" w:color="auto" w:fill="F2F2F2"/>
          </w:tcPr>
          <w:p w:rsidR="006438EE" w:rsidRPr="00312231" w:rsidRDefault="006438EE" w:rsidP="006438EE">
            <w:pPr>
              <w:jc w:val="center"/>
              <w:rPr>
                <w:b/>
                <w:sz w:val="16"/>
                <w:szCs w:val="16"/>
              </w:rPr>
            </w:pPr>
            <w:r w:rsidRPr="00312231">
              <w:rPr>
                <w:b/>
                <w:sz w:val="16"/>
                <w:szCs w:val="16"/>
              </w:rPr>
              <w:t>Member countries</w:t>
            </w:r>
          </w:p>
        </w:tc>
        <w:tc>
          <w:tcPr>
            <w:tcW w:w="4614" w:type="dxa"/>
            <w:shd w:val="clear" w:color="auto" w:fill="F2F2F2"/>
          </w:tcPr>
          <w:p w:rsidR="006438EE" w:rsidRPr="00312231" w:rsidRDefault="006438EE" w:rsidP="006438EE">
            <w:pPr>
              <w:jc w:val="center"/>
              <w:rPr>
                <w:b/>
                <w:sz w:val="16"/>
                <w:szCs w:val="16"/>
              </w:rPr>
            </w:pPr>
            <w:r w:rsidRPr="00312231">
              <w:rPr>
                <w:b/>
                <w:sz w:val="16"/>
                <w:szCs w:val="16"/>
              </w:rPr>
              <w:t>Comments</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Asia Pacific</w:t>
            </w:r>
          </w:p>
        </w:tc>
        <w:tc>
          <w:tcPr>
            <w:tcW w:w="2048" w:type="dxa"/>
            <w:shd w:val="clear" w:color="auto" w:fill="auto"/>
          </w:tcPr>
          <w:p w:rsidR="006438EE" w:rsidRPr="00312231" w:rsidRDefault="006438EE" w:rsidP="006438E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r w:rsidR="00982991">
              <w:rPr>
                <w:sz w:val="16"/>
                <w:szCs w:val="16"/>
              </w:rPr>
              <w:t>, Vietnam, Philippines</w:t>
            </w:r>
          </w:p>
        </w:tc>
        <w:tc>
          <w:tcPr>
            <w:tcW w:w="4614" w:type="dxa"/>
            <w:shd w:val="clear" w:color="auto" w:fill="auto"/>
          </w:tcPr>
          <w:p w:rsidR="006438EE" w:rsidRPr="00312231" w:rsidRDefault="006438EE" w:rsidP="006438EE">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Canada</w:t>
            </w:r>
          </w:p>
        </w:tc>
        <w:tc>
          <w:tcPr>
            <w:tcW w:w="2048" w:type="dxa"/>
            <w:shd w:val="clear" w:color="auto" w:fill="auto"/>
          </w:tcPr>
          <w:p w:rsidR="006438EE" w:rsidRPr="00312231" w:rsidRDefault="006438EE" w:rsidP="00982991">
            <w:pPr>
              <w:jc w:val="left"/>
              <w:rPr>
                <w:sz w:val="16"/>
                <w:szCs w:val="16"/>
              </w:rPr>
            </w:pPr>
            <w:r w:rsidRPr="00312231">
              <w:rPr>
                <w:sz w:val="16"/>
                <w:szCs w:val="16"/>
              </w:rPr>
              <w:t>Canada, China</w:t>
            </w:r>
          </w:p>
        </w:tc>
        <w:tc>
          <w:tcPr>
            <w:tcW w:w="4614" w:type="dxa"/>
            <w:shd w:val="clear" w:color="auto" w:fill="auto"/>
          </w:tcPr>
          <w:p w:rsidR="006438EE" w:rsidRPr="00312231" w:rsidRDefault="006438EE" w:rsidP="00982991">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IberGrid</w:t>
            </w:r>
          </w:p>
        </w:tc>
        <w:tc>
          <w:tcPr>
            <w:tcW w:w="2048" w:type="dxa"/>
            <w:shd w:val="clear" w:color="auto" w:fill="auto"/>
          </w:tcPr>
          <w:p w:rsidR="006438EE" w:rsidRPr="00312231" w:rsidRDefault="006438EE" w:rsidP="006438EE">
            <w:pPr>
              <w:jc w:val="left"/>
              <w:rPr>
                <w:sz w:val="16"/>
                <w:szCs w:val="16"/>
              </w:rPr>
            </w:pPr>
            <w:r w:rsidRPr="00312231">
              <w:rPr>
                <w:sz w:val="16"/>
                <w:szCs w:val="16"/>
              </w:rPr>
              <w:t>Portugal, Spain</w:t>
            </w:r>
          </w:p>
        </w:tc>
        <w:tc>
          <w:tcPr>
            <w:tcW w:w="4614" w:type="dxa"/>
            <w:shd w:val="clear" w:color="auto" w:fill="auto"/>
          </w:tcPr>
          <w:p w:rsidR="006438EE" w:rsidRPr="00312231" w:rsidRDefault="006438EE" w:rsidP="006438EE">
            <w:pPr>
              <w:jc w:val="center"/>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Latin America (ROC_LA)</w:t>
            </w:r>
          </w:p>
        </w:tc>
        <w:tc>
          <w:tcPr>
            <w:tcW w:w="2048" w:type="dxa"/>
            <w:shd w:val="clear" w:color="auto" w:fill="auto"/>
          </w:tcPr>
          <w:p w:rsidR="006438EE" w:rsidRPr="00315549" w:rsidRDefault="006438EE" w:rsidP="00982991">
            <w:pPr>
              <w:jc w:val="left"/>
              <w:rPr>
                <w:sz w:val="16"/>
                <w:szCs w:val="16"/>
                <w:lang w:val="it-IT"/>
              </w:rPr>
            </w:pPr>
            <w:r w:rsidRPr="00315549">
              <w:rPr>
                <w:sz w:val="16"/>
                <w:szCs w:val="16"/>
                <w:lang w:val="it-IT"/>
              </w:rPr>
              <w:t>Brazil, Chile, Colombia, Mexico</w:t>
            </w:r>
            <w:r w:rsidR="00840C43" w:rsidRPr="00315549">
              <w:rPr>
                <w:sz w:val="16"/>
                <w:szCs w:val="16"/>
                <w:lang w:val="it-IT"/>
              </w:rPr>
              <w:t>,  Argentina, Brazil, Chile, Venezuela</w:t>
            </w:r>
            <w:r w:rsidR="00982991" w:rsidRPr="00315549">
              <w:rPr>
                <w:sz w:val="16"/>
                <w:szCs w:val="16"/>
                <w:lang w:val="it-IT"/>
              </w:rPr>
              <w:t xml:space="preserve">, </w:t>
            </w:r>
          </w:p>
        </w:tc>
        <w:tc>
          <w:tcPr>
            <w:tcW w:w="4614" w:type="dxa"/>
            <w:shd w:val="clear" w:color="auto" w:fill="auto"/>
          </w:tcPr>
          <w:p w:rsidR="006438EE" w:rsidRPr="00312231" w:rsidRDefault="00195FA1" w:rsidP="00147323">
            <w:pPr>
              <w:jc w:val="left"/>
              <w:rPr>
                <w:sz w:val="16"/>
                <w:szCs w:val="16"/>
              </w:rPr>
            </w:pPr>
            <w:r>
              <w:rPr>
                <w:sz w:val="16"/>
                <w:szCs w:val="16"/>
              </w:rPr>
              <w:t xml:space="preserve">Part of the RCs </w:t>
            </w:r>
            <w:r w:rsidR="00982991">
              <w:rPr>
                <w:sz w:val="16"/>
                <w:szCs w:val="16"/>
              </w:rPr>
              <w:t xml:space="preserve">from </w:t>
            </w:r>
            <w:r w:rsidR="00982991" w:rsidRPr="00312231">
              <w:rPr>
                <w:sz w:val="16"/>
                <w:szCs w:val="16"/>
              </w:rPr>
              <w:t>Iniciativa de Grid de America Latina – Caribe (ROC_IGALC)</w:t>
            </w:r>
            <w:r w:rsidR="00982991">
              <w:rPr>
                <w:sz w:val="16"/>
                <w:szCs w:val="16"/>
              </w:rPr>
              <w:t xml:space="preserve"> were moved to ROC_LA and ROC_IGALC was decommissioned </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Italy (NGI_IT)</w:t>
            </w:r>
          </w:p>
        </w:tc>
        <w:tc>
          <w:tcPr>
            <w:tcW w:w="2048" w:type="dxa"/>
            <w:shd w:val="clear" w:color="auto" w:fill="auto"/>
          </w:tcPr>
          <w:p w:rsidR="006438EE" w:rsidRPr="00312231" w:rsidRDefault="006438EE" w:rsidP="006438EE">
            <w:pPr>
              <w:jc w:val="left"/>
              <w:rPr>
                <w:sz w:val="16"/>
                <w:szCs w:val="16"/>
              </w:rPr>
            </w:pPr>
            <w:r w:rsidRPr="00312231">
              <w:rPr>
                <w:sz w:val="16"/>
                <w:szCs w:val="16"/>
              </w:rPr>
              <w:t>Austria, Italia</w:t>
            </w:r>
          </w:p>
        </w:tc>
        <w:tc>
          <w:tcPr>
            <w:tcW w:w="4614" w:type="dxa"/>
            <w:shd w:val="clear" w:color="auto" w:fill="auto"/>
          </w:tcPr>
          <w:p w:rsidR="006438EE" w:rsidRPr="00312231" w:rsidRDefault="006438EE" w:rsidP="006438EE">
            <w:pPr>
              <w:jc w:val="left"/>
              <w:rPr>
                <w:sz w:val="16"/>
                <w:szCs w:val="16"/>
              </w:rPr>
            </w:pPr>
            <w:r>
              <w:rPr>
                <w:sz w:val="16"/>
                <w:szCs w:val="16"/>
              </w:rPr>
              <w:t>Operations of Austrian sites provided by NGI_IT since November 2011</w:t>
            </w: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Nordic countries and Baltic region (NGI_NDGF)</w:t>
            </w:r>
          </w:p>
        </w:tc>
        <w:tc>
          <w:tcPr>
            <w:tcW w:w="2048" w:type="dxa"/>
            <w:shd w:val="clear" w:color="auto" w:fill="auto"/>
          </w:tcPr>
          <w:p w:rsidR="006438EE" w:rsidRPr="00312231" w:rsidRDefault="006438EE" w:rsidP="00982991">
            <w:pPr>
              <w:jc w:val="left"/>
              <w:rPr>
                <w:sz w:val="16"/>
                <w:szCs w:val="16"/>
              </w:rPr>
            </w:pPr>
            <w:r>
              <w:rPr>
                <w:sz w:val="16"/>
                <w:szCs w:val="16"/>
              </w:rPr>
              <w:t xml:space="preserve">Denmark, Estonia, Latvia, Lithuania, Norway, </w:t>
            </w:r>
            <w:r w:rsidRPr="00312231">
              <w:rPr>
                <w:sz w:val="16"/>
                <w:szCs w:val="16"/>
              </w:rPr>
              <w:t>Sweden</w:t>
            </w:r>
          </w:p>
        </w:tc>
        <w:tc>
          <w:tcPr>
            <w:tcW w:w="4614" w:type="dxa"/>
            <w:shd w:val="clear" w:color="auto" w:fill="auto"/>
          </w:tcPr>
          <w:p w:rsidR="006438EE" w:rsidRPr="00312231" w:rsidRDefault="006438EE" w:rsidP="00982991">
            <w:pPr>
              <w:jc w:val="left"/>
              <w:rPr>
                <w:sz w:val="16"/>
                <w:szCs w:val="16"/>
              </w:rPr>
            </w:pPr>
          </w:p>
        </w:tc>
      </w:tr>
      <w:tr w:rsidR="006438EE" w:rsidRPr="00312231" w:rsidTr="006438EE">
        <w:tc>
          <w:tcPr>
            <w:tcW w:w="2235" w:type="dxa"/>
            <w:shd w:val="clear" w:color="auto" w:fill="auto"/>
            <w:vAlign w:val="center"/>
          </w:tcPr>
          <w:p w:rsidR="006438EE" w:rsidRPr="00312231" w:rsidRDefault="006438EE" w:rsidP="006438EE">
            <w:pPr>
              <w:jc w:val="center"/>
              <w:rPr>
                <w:sz w:val="16"/>
                <w:szCs w:val="16"/>
              </w:rPr>
            </w:pPr>
            <w:r w:rsidRPr="00312231">
              <w:rPr>
                <w:sz w:val="16"/>
                <w:szCs w:val="16"/>
              </w:rPr>
              <w:t>Netherlands (NGI_NL)</w:t>
            </w:r>
          </w:p>
        </w:tc>
        <w:tc>
          <w:tcPr>
            <w:tcW w:w="2048" w:type="dxa"/>
            <w:shd w:val="clear" w:color="auto" w:fill="auto"/>
          </w:tcPr>
          <w:p w:rsidR="006438EE" w:rsidRPr="00312231" w:rsidRDefault="006438EE" w:rsidP="006438EE">
            <w:pPr>
              <w:jc w:val="left"/>
              <w:rPr>
                <w:sz w:val="16"/>
                <w:szCs w:val="16"/>
              </w:rPr>
            </w:pPr>
            <w:r w:rsidRPr="00312231">
              <w:rPr>
                <w:sz w:val="16"/>
                <w:szCs w:val="16"/>
              </w:rPr>
              <w:t>Belgium, Netherlands</w:t>
            </w:r>
          </w:p>
        </w:tc>
        <w:tc>
          <w:tcPr>
            <w:tcW w:w="4614" w:type="dxa"/>
            <w:shd w:val="clear" w:color="auto" w:fill="auto"/>
          </w:tcPr>
          <w:p w:rsidR="006438EE" w:rsidRPr="00312231" w:rsidRDefault="006438EE" w:rsidP="006438EE">
            <w:pPr>
              <w:jc w:val="left"/>
              <w:rPr>
                <w:sz w:val="16"/>
                <w:szCs w:val="16"/>
              </w:rPr>
            </w:pPr>
          </w:p>
        </w:tc>
      </w:tr>
    </w:tbl>
    <w:p w:rsidR="00207D16" w:rsidRDefault="009818E6" w:rsidP="009818E6">
      <w:pPr>
        <w:pStyle w:val="Heading1"/>
      </w:pPr>
      <w:bookmarkStart w:id="26" w:name="_Ref323914572"/>
      <w:bookmarkStart w:id="27" w:name="_Toc355730406"/>
      <w:r>
        <w:lastRenderedPageBreak/>
        <w:t>Installed Capacity</w:t>
      </w:r>
      <w:bookmarkEnd w:id="26"/>
      <w:bookmarkEnd w:id="27"/>
    </w:p>
    <w:p w:rsidR="007B285A" w:rsidRDefault="00D275D0" w:rsidP="00D275D0">
      <w:r>
        <w:t>Installed capacity is monitored at the end of each project quarter</w:t>
      </w:r>
      <w:r w:rsidR="0039095D">
        <w:t xml:space="preserve"> (PQ)</w:t>
      </w:r>
      <w:r>
        <w:t>. Metrics are automatically collected from the Information Discovery System and validated by NGIs</w:t>
      </w:r>
      <w:r w:rsidR="00F077C4">
        <w:t>, c</w:t>
      </w:r>
      <w:r w:rsidR="007B285A">
        <w:t>onsequently statistics herein reported depend on the accuracy of information published and on the responsiveness of NGIs in reporting resources that are not publish</w:t>
      </w:r>
      <w:r w:rsidR="00492BFD">
        <w:t>ing</w:t>
      </w:r>
      <w:r w:rsidR="007B285A">
        <w:t>.</w:t>
      </w:r>
    </w:p>
    <w:p w:rsidR="00D275D0" w:rsidRPr="00D275D0" w:rsidRDefault="00D275D0" w:rsidP="00D275D0">
      <w:r>
        <w:t xml:space="preserve">ARC, </w:t>
      </w:r>
      <w:r w:rsidR="00DC6B16">
        <w:t xml:space="preserve">UNICORE (distributed through EMI releases) and </w:t>
      </w:r>
      <w:r>
        <w:t xml:space="preserve">GLOBUS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 and UNICORE RCs.</w:t>
      </w:r>
      <w:r>
        <w:t xml:space="preserve"> </w:t>
      </w:r>
      <w:r w:rsidR="00195FA1">
        <w:t>The EMI release v.3 and IGE release v. 3.1 allow publishing of information into top-BDII. A top-BDII and site-BDII deployment plan for countries offering ARC, GLOBUS and UNICORE is part of the PY4 activity plan.</w:t>
      </w:r>
    </w:p>
    <w:p w:rsidR="009818E6" w:rsidRDefault="009818E6" w:rsidP="009818E6">
      <w:pPr>
        <w:pStyle w:val="Heading2"/>
      </w:pPr>
      <w:bookmarkStart w:id="28" w:name="_Toc355730407"/>
      <w:r>
        <w:t>Compute Resources</w:t>
      </w:r>
      <w:bookmarkEnd w:id="28"/>
    </w:p>
    <w:p w:rsidR="003D35D3" w:rsidRPr="00260B86" w:rsidRDefault="00195FA1" w:rsidP="003D35D3">
      <w:r>
        <w:t>At the end of PQ11 t</w:t>
      </w:r>
      <w:r w:rsidR="003D35D3" w:rsidRPr="00260B86">
        <w:t>he total amount of CPU cores contributed by EGI-InSPIRE partners and RPs council members</w:t>
      </w:r>
      <w:r w:rsidR="00D275D0" w:rsidRPr="00260B86">
        <w:t xml:space="preserve"> amounts to </w:t>
      </w:r>
      <w:r w:rsidR="00260B86" w:rsidRPr="00260B86">
        <w:t>347,307</w:t>
      </w:r>
      <w:r>
        <w:t>, which provide</w:t>
      </w:r>
      <w:r w:rsidR="00260B86" w:rsidRPr="00260B86">
        <w:t xml:space="preserve"> 3</w:t>
      </w:r>
      <w:r>
        <w:t>.</w:t>
      </w:r>
      <w:r w:rsidR="00260B86" w:rsidRPr="00260B86">
        <w:t>32</w:t>
      </w:r>
      <w:r w:rsidR="00D275D0" w:rsidRPr="00260B86">
        <w:t xml:space="preserve"> Million HEP-SPEC 06</w:t>
      </w:r>
      <w:r w:rsidR="003D35D3" w:rsidRPr="00260B86">
        <w:t xml:space="preserve">, while the total number including compute resources contributed by integrated and peer infrastructures amounts to </w:t>
      </w:r>
      <w:r w:rsidR="00BA04D8" w:rsidRPr="00260B86">
        <w:rPr>
          <w:szCs w:val="22"/>
        </w:rPr>
        <w:t>373,235</w:t>
      </w:r>
      <w:r w:rsidR="003D35D3" w:rsidRPr="00260B86">
        <w:t xml:space="preserve"> unit</w:t>
      </w:r>
      <w:r>
        <w:t>s</w:t>
      </w:r>
      <w:r w:rsidR="003D35D3" w:rsidRPr="00260B86">
        <w:t>. This value</w:t>
      </w:r>
      <w:r w:rsidR="00140311" w:rsidRPr="00260B86">
        <w:t xml:space="preserve"> </w:t>
      </w:r>
      <w:r w:rsidR="0039095D" w:rsidRPr="00260B86">
        <w:t>significantly</w:t>
      </w:r>
      <w:r w:rsidR="00260B86" w:rsidRPr="00260B86">
        <w:t xml:space="preserve"> exceeds the PY3</w:t>
      </w:r>
      <w:r w:rsidR="003D35D3" w:rsidRPr="00260B86">
        <w:t xml:space="preserve"> target </w:t>
      </w:r>
      <w:r w:rsidR="003023EA" w:rsidRPr="00260B86">
        <w:t>of</w:t>
      </w:r>
      <w:r w:rsidR="00260B86" w:rsidRPr="00260B86">
        <w:t xml:space="preserve"> 30</w:t>
      </w:r>
      <w:r w:rsidR="003D35D3" w:rsidRPr="00260B86">
        <w:t>0,000 total cores.</w:t>
      </w:r>
    </w:p>
    <w:p w:rsidR="003D35D3" w:rsidRPr="003D35D3" w:rsidRDefault="003D35D3" w:rsidP="003D35D3">
      <w:r w:rsidRPr="00D21E55">
        <w:t xml:space="preserve">Looking at the compute resources provided by EGI partners (EGI-InSPIRE partners and </w:t>
      </w:r>
      <w:r w:rsidR="0039095D" w:rsidRPr="00D21E55">
        <w:t>EGI C</w:t>
      </w:r>
      <w:r w:rsidRPr="00D21E55">
        <w:t>ouncil members)</w:t>
      </w:r>
      <w:r w:rsidR="00896897" w:rsidRPr="00D21E55">
        <w:t xml:space="preserve"> </w:t>
      </w:r>
      <w:r w:rsidR="005D53DD" w:rsidRPr="00D21E55">
        <w:t>–</w:t>
      </w:r>
      <w:r w:rsidR="00896897" w:rsidRPr="00D21E55">
        <w:t xml:space="preserve"> </w:t>
      </w:r>
      <w:r w:rsidR="00896897" w:rsidRPr="00D21E55">
        <w:fldChar w:fldCharType="begin"/>
      </w:r>
      <w:r w:rsidR="00896897" w:rsidRPr="00D21E55">
        <w:instrText xml:space="preserve"> REF _Ref321407946 \h </w:instrText>
      </w:r>
      <w:r w:rsidR="00DA16FD" w:rsidRPr="00D21E55">
        <w:instrText xml:space="preserve"> \* MERGEFORMAT </w:instrText>
      </w:r>
      <w:r w:rsidR="00896897" w:rsidRPr="00D21E55">
        <w:fldChar w:fldCharType="separate"/>
      </w:r>
      <w:r w:rsidR="00A319E4" w:rsidRPr="006B4B32">
        <w:t xml:space="preserve">Table </w:t>
      </w:r>
      <w:r w:rsidR="00A319E4">
        <w:rPr>
          <w:noProof/>
        </w:rPr>
        <w:t>5</w:t>
      </w:r>
      <w:r w:rsidR="00896897" w:rsidRPr="00D21E55">
        <w:fldChar w:fldCharType="end"/>
      </w:r>
      <w:r w:rsidRPr="00D21E55">
        <w:t>, the num</w:t>
      </w:r>
      <w:r w:rsidR="00E11188">
        <w:t>ber of CPU cores increased by 33.6</w:t>
      </w:r>
      <w:r w:rsidR="00D21E55" w:rsidRPr="00D21E55">
        <w:t>% since March 2012</w:t>
      </w:r>
      <w:r w:rsidRPr="00D21E55">
        <w:t xml:space="preserve">, while the installed capacity </w:t>
      </w:r>
      <w:r w:rsidR="00D21E55" w:rsidRPr="00D21E55">
        <w:t>i</w:t>
      </w:r>
      <w:r w:rsidR="00E11188">
        <w:t>n HEP-SPEC 06 increased by 44.7</w:t>
      </w:r>
      <w:r w:rsidRPr="00D21E55">
        <w:t>%</w:t>
      </w:r>
      <w:r w:rsidR="003023EA" w:rsidRPr="00D21E55">
        <w:t>. This increase reflects the advancements in CPU technology and core density per CPU</w:t>
      </w:r>
      <w:r w:rsidR="00DB67B3" w:rsidRPr="00D21E55">
        <w:t xml:space="preserve"> and shows a trend in building up capacity in the existing RCs</w:t>
      </w:r>
      <w:r w:rsidR="00140311" w:rsidRPr="00D21E55">
        <w:t>.</w:t>
      </w:r>
    </w:p>
    <w:p w:rsidR="007D33CD" w:rsidRPr="006B4B32" w:rsidRDefault="007D33CD" w:rsidP="007D33CD">
      <w:pPr>
        <w:pStyle w:val="Caption"/>
        <w:jc w:val="center"/>
      </w:pPr>
      <w:bookmarkStart w:id="29" w:name="_Ref289437277"/>
      <w:r w:rsidRPr="00260B86">
        <w:t xml:space="preserve">Table </w:t>
      </w:r>
      <w:r w:rsidR="00A560B1">
        <w:fldChar w:fldCharType="begin"/>
      </w:r>
      <w:r w:rsidR="00A560B1">
        <w:instrText xml:space="preserve"> SEQ Table \* ARABIC </w:instrText>
      </w:r>
      <w:r w:rsidR="00A560B1">
        <w:fldChar w:fldCharType="separate"/>
      </w:r>
      <w:r w:rsidR="00A319E4">
        <w:rPr>
          <w:noProof/>
        </w:rPr>
        <w:t>4</w:t>
      </w:r>
      <w:r w:rsidR="00A560B1">
        <w:rPr>
          <w:noProof/>
        </w:rPr>
        <w:fldChar w:fldCharType="end"/>
      </w:r>
      <w:bookmarkEnd w:id="29"/>
      <w:r w:rsidRPr="00260B86">
        <w:t>.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D60405" w:rsidP="00D60405">
            <w:pPr>
              <w:jc w:val="center"/>
              <w:rPr>
                <w:b/>
                <w:sz w:val="18"/>
                <w:szCs w:val="18"/>
              </w:rPr>
            </w:pPr>
            <w:r>
              <w:rPr>
                <w:b/>
                <w:sz w:val="18"/>
                <w:szCs w:val="18"/>
              </w:rPr>
              <w:t>PQ11</w:t>
            </w:r>
            <w:r w:rsidR="00327BCA">
              <w:rPr>
                <w:b/>
                <w:sz w:val="18"/>
                <w:szCs w:val="18"/>
              </w:rPr>
              <w:t>/PY</w:t>
            </w:r>
            <w:r>
              <w:rPr>
                <w:b/>
                <w:sz w:val="18"/>
                <w:szCs w:val="18"/>
              </w:rPr>
              <w:t>3</w:t>
            </w:r>
            <w:r w:rsidR="00327BCA">
              <w:rPr>
                <w:b/>
                <w:sz w:val="18"/>
                <w:szCs w:val="18"/>
              </w:rPr>
              <w:t xml:space="preserve"> Target</w:t>
            </w:r>
          </w:p>
        </w:tc>
      </w:tr>
      <w:tr w:rsidR="00327BCA" w:rsidRPr="006B4B32" w:rsidTr="00327BCA">
        <w:trPr>
          <w:jc w:val="center"/>
        </w:trPr>
        <w:tc>
          <w:tcPr>
            <w:tcW w:w="3272" w:type="dxa"/>
            <w:shd w:val="clear" w:color="auto" w:fill="F2F2F2"/>
            <w:vAlign w:val="center"/>
          </w:tcPr>
          <w:p w:rsidR="00327BCA" w:rsidRPr="006B4B32" w:rsidRDefault="00327BCA" w:rsidP="0039095D">
            <w:pPr>
              <w:jc w:val="center"/>
              <w:rPr>
                <w:sz w:val="18"/>
                <w:szCs w:val="18"/>
              </w:rPr>
            </w:pPr>
            <w:r w:rsidRPr="006B4B32">
              <w:rPr>
                <w:sz w:val="18"/>
                <w:szCs w:val="18"/>
              </w:rPr>
              <w:t xml:space="preserve">EGI </w:t>
            </w:r>
            <w:r w:rsidR="0039095D">
              <w:rPr>
                <w:sz w:val="18"/>
                <w:szCs w:val="18"/>
              </w:rPr>
              <w:t>Council participants</w:t>
            </w:r>
          </w:p>
        </w:tc>
        <w:tc>
          <w:tcPr>
            <w:tcW w:w="2685" w:type="dxa"/>
            <w:shd w:val="clear" w:color="auto" w:fill="auto"/>
            <w:vAlign w:val="center"/>
          </w:tcPr>
          <w:p w:rsidR="00327BCA" w:rsidRPr="006B4B32" w:rsidRDefault="00ED23FB" w:rsidP="00A156C9">
            <w:pPr>
              <w:jc w:val="center"/>
              <w:rPr>
                <w:sz w:val="18"/>
                <w:szCs w:val="18"/>
              </w:rPr>
            </w:pPr>
            <w:r>
              <w:rPr>
                <w:sz w:val="18"/>
                <w:szCs w:val="18"/>
              </w:rPr>
              <w:t>347,307</w:t>
            </w:r>
            <w:r w:rsidR="0053031F">
              <w:rPr>
                <w:sz w:val="18"/>
                <w:szCs w:val="18"/>
              </w:rPr>
              <w:t>/300,000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BA00AF" w:rsidP="00A156C9">
            <w:pPr>
              <w:jc w:val="center"/>
              <w:rPr>
                <w:sz w:val="18"/>
                <w:szCs w:val="18"/>
              </w:rPr>
            </w:pPr>
            <w:r w:rsidRPr="00756E6A">
              <w:rPr>
                <w:sz w:val="18"/>
                <w:szCs w:val="18"/>
              </w:rPr>
              <w:t>373,235</w:t>
            </w:r>
          </w:p>
        </w:tc>
      </w:tr>
    </w:tbl>
    <w:p w:rsidR="007D33CD" w:rsidRPr="0038394B" w:rsidRDefault="007D33CD" w:rsidP="007D33CD">
      <w:pPr>
        <w:pStyle w:val="Caption"/>
        <w:jc w:val="center"/>
      </w:pPr>
      <w:bookmarkStart w:id="30" w:name="_Ref321407946"/>
      <w:r w:rsidRPr="006B4B32">
        <w:t xml:space="preserve">Table </w:t>
      </w:r>
      <w:r w:rsidR="00A560B1">
        <w:fldChar w:fldCharType="begin"/>
      </w:r>
      <w:r w:rsidR="00A560B1">
        <w:instrText xml:space="preserve"> SEQ Table \* ARABIC </w:instrText>
      </w:r>
      <w:r w:rsidR="00A560B1">
        <w:fldChar w:fldCharType="separate"/>
      </w:r>
      <w:r w:rsidR="00A319E4">
        <w:rPr>
          <w:noProof/>
        </w:rPr>
        <w:t>5</w:t>
      </w:r>
      <w:r w:rsidR="00A560B1">
        <w:rPr>
          <w:noProof/>
        </w:rPr>
        <w:fldChar w:fldCharType="end"/>
      </w:r>
      <w:bookmarkEnd w:id="30"/>
      <w:r w:rsidRPr="006B4B32">
        <w:t xml:space="preserve">. Installed </w:t>
      </w:r>
      <w:r w:rsidRPr="00260B86">
        <w:t xml:space="preserve">compute capacity </w:t>
      </w:r>
      <w:r w:rsidR="003D35D3" w:rsidRPr="00260B86">
        <w:t>in EGI</w:t>
      </w:r>
      <w:r w:rsidR="003D35D3">
        <w:t xml:space="preserve">-InSPIRE partners </w:t>
      </w:r>
      <w:r w:rsidR="007220E9">
        <w:t xml:space="preserve">and </w:t>
      </w:r>
      <w:r w:rsidR="003D35D3">
        <w:t xml:space="preserve">EGI </w:t>
      </w:r>
      <w:r w:rsidR="0039095D">
        <w:t>C</w:t>
      </w:r>
      <w:r w:rsidR="003D35D3">
        <w:t xml:space="preserve">ouncil members </w:t>
      </w:r>
      <w:r w:rsidRPr="006B4B32">
        <w:t xml:space="preserve">(logical CPUs and Million </w:t>
      </w:r>
      <w:r>
        <w:t>HEP-SPEC</w:t>
      </w:r>
      <w:r w:rsidRPr="006B4B32">
        <w:t xml:space="preserve"> 06) in April 2010</w:t>
      </w:r>
      <w:r w:rsidR="00327BCA">
        <w:t>,</w:t>
      </w:r>
      <w:r w:rsidRPr="006B4B32">
        <w:t xml:space="preserve"> March 2011</w:t>
      </w:r>
      <w:r w:rsidR="00BA04D8">
        <w:t>,</w:t>
      </w:r>
      <w:r w:rsidR="00327BCA">
        <w:t xml:space="preserve"> March 2012</w:t>
      </w:r>
      <w:r w:rsidR="00756E6A">
        <w:t xml:space="preserve"> and</w:t>
      </w:r>
      <w:r w:rsidR="00BA04D8">
        <w:t xml:space="preserve"> March 2013</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068"/>
        <w:gridCol w:w="2248"/>
        <w:gridCol w:w="2415"/>
        <w:gridCol w:w="1926"/>
      </w:tblGrid>
      <w:tr w:rsidR="00D60405" w:rsidRPr="006B4B32" w:rsidTr="00D60405">
        <w:trPr>
          <w:jc w:val="center"/>
        </w:trPr>
        <w:tc>
          <w:tcPr>
            <w:tcW w:w="1283" w:type="dxa"/>
            <w:tcBorders>
              <w:bottom w:val="single" w:sz="4" w:space="0" w:color="auto"/>
            </w:tcBorders>
            <w:shd w:val="clear" w:color="auto" w:fill="D9D9D9"/>
            <w:vAlign w:val="center"/>
          </w:tcPr>
          <w:p w:rsidR="00D60405" w:rsidRPr="006B4B32" w:rsidRDefault="00D60405" w:rsidP="00A156C9">
            <w:pPr>
              <w:jc w:val="center"/>
              <w:rPr>
                <w:sz w:val="18"/>
                <w:szCs w:val="18"/>
              </w:rPr>
            </w:pPr>
          </w:p>
        </w:tc>
        <w:tc>
          <w:tcPr>
            <w:tcW w:w="2068" w:type="dxa"/>
            <w:shd w:val="clear" w:color="auto" w:fill="D9D9D9"/>
          </w:tcPr>
          <w:p w:rsidR="00D60405" w:rsidRPr="006B4B32" w:rsidRDefault="00D60405" w:rsidP="00A156C9">
            <w:pPr>
              <w:jc w:val="center"/>
              <w:rPr>
                <w:b/>
                <w:sz w:val="18"/>
                <w:szCs w:val="18"/>
              </w:rPr>
            </w:pPr>
            <w:r w:rsidRPr="006B4B32">
              <w:rPr>
                <w:b/>
                <w:sz w:val="18"/>
                <w:szCs w:val="18"/>
              </w:rPr>
              <w:t>April 2010</w:t>
            </w:r>
          </w:p>
          <w:p w:rsidR="00D60405" w:rsidRPr="006B4B32" w:rsidRDefault="00D60405" w:rsidP="00BD08EE">
            <w:pPr>
              <w:jc w:val="center"/>
              <w:rPr>
                <w:b/>
                <w:sz w:val="18"/>
                <w:szCs w:val="18"/>
              </w:rPr>
            </w:pPr>
            <w:r w:rsidRPr="006B4B32">
              <w:rPr>
                <w:b/>
                <w:sz w:val="18"/>
                <w:szCs w:val="18"/>
              </w:rPr>
              <w:t>(EGEE-III Infrastructure)</w:t>
            </w:r>
          </w:p>
        </w:tc>
        <w:tc>
          <w:tcPr>
            <w:tcW w:w="2248" w:type="dxa"/>
            <w:shd w:val="clear" w:color="auto" w:fill="D9D9D9"/>
          </w:tcPr>
          <w:p w:rsidR="00D60405" w:rsidRPr="006B4B32" w:rsidRDefault="00D60405" w:rsidP="00A156C9">
            <w:pPr>
              <w:jc w:val="center"/>
              <w:rPr>
                <w:b/>
                <w:sz w:val="18"/>
                <w:szCs w:val="18"/>
              </w:rPr>
            </w:pPr>
            <w:r w:rsidRPr="006B4B32">
              <w:rPr>
                <w:b/>
                <w:sz w:val="18"/>
                <w:szCs w:val="18"/>
              </w:rPr>
              <w:t>March 2011</w:t>
            </w:r>
          </w:p>
          <w:p w:rsidR="00D60405" w:rsidRPr="006B4B32" w:rsidRDefault="00D60405" w:rsidP="00A156C9">
            <w:pPr>
              <w:jc w:val="center"/>
              <w:rPr>
                <w:b/>
                <w:sz w:val="18"/>
                <w:szCs w:val="18"/>
              </w:rPr>
            </w:pPr>
            <w:r>
              <w:rPr>
                <w:b/>
                <w:sz w:val="18"/>
                <w:szCs w:val="18"/>
              </w:rPr>
              <w:t xml:space="preserve">(EGI-InSPIRE </w:t>
            </w:r>
            <w:r w:rsidRPr="006B4B32">
              <w:rPr>
                <w:b/>
                <w:sz w:val="18"/>
                <w:szCs w:val="18"/>
              </w:rPr>
              <w:t>Infrastructure)</w:t>
            </w:r>
          </w:p>
        </w:tc>
        <w:tc>
          <w:tcPr>
            <w:tcW w:w="2415" w:type="dxa"/>
            <w:shd w:val="clear" w:color="auto" w:fill="D9D9D9"/>
          </w:tcPr>
          <w:p w:rsidR="00D60405" w:rsidRPr="006B4B32" w:rsidRDefault="00D60405" w:rsidP="00A156C9">
            <w:pPr>
              <w:jc w:val="center"/>
              <w:rPr>
                <w:b/>
                <w:sz w:val="18"/>
                <w:szCs w:val="18"/>
              </w:rPr>
            </w:pPr>
            <w:r>
              <w:rPr>
                <w:b/>
                <w:sz w:val="18"/>
                <w:szCs w:val="18"/>
              </w:rPr>
              <w:t>March 2012</w:t>
            </w:r>
            <w:r w:rsidRPr="006B4B32">
              <w:rPr>
                <w:b/>
                <w:sz w:val="18"/>
                <w:szCs w:val="18"/>
              </w:rPr>
              <w:t xml:space="preserve"> </w:t>
            </w:r>
          </w:p>
          <w:p w:rsidR="00D60405" w:rsidRPr="006B4B32" w:rsidRDefault="00D60405" w:rsidP="00A156C9">
            <w:pPr>
              <w:jc w:val="center"/>
              <w:rPr>
                <w:b/>
                <w:sz w:val="18"/>
                <w:szCs w:val="18"/>
              </w:rPr>
            </w:pPr>
            <w:r>
              <w:rPr>
                <w:b/>
                <w:sz w:val="18"/>
                <w:szCs w:val="18"/>
              </w:rPr>
              <w:t>(EGI-InSPIRE Infrastructure)</w:t>
            </w:r>
          </w:p>
        </w:tc>
        <w:tc>
          <w:tcPr>
            <w:tcW w:w="1926" w:type="dxa"/>
            <w:shd w:val="clear" w:color="auto" w:fill="D9D9D9"/>
          </w:tcPr>
          <w:p w:rsidR="00D60405" w:rsidRDefault="00D60405" w:rsidP="00A156C9">
            <w:pPr>
              <w:jc w:val="center"/>
              <w:rPr>
                <w:b/>
                <w:sz w:val="18"/>
                <w:szCs w:val="18"/>
              </w:rPr>
            </w:pPr>
            <w:r>
              <w:rPr>
                <w:b/>
                <w:sz w:val="18"/>
                <w:szCs w:val="18"/>
              </w:rPr>
              <w:t>March 2013</w:t>
            </w:r>
          </w:p>
          <w:p w:rsidR="00D60405" w:rsidRDefault="00D60405" w:rsidP="00A156C9">
            <w:pPr>
              <w:jc w:val="center"/>
              <w:rPr>
                <w:b/>
                <w:sz w:val="18"/>
                <w:szCs w:val="18"/>
              </w:rPr>
            </w:pPr>
            <w:r>
              <w:rPr>
                <w:b/>
                <w:sz w:val="18"/>
                <w:szCs w:val="18"/>
              </w:rPr>
              <w:t>(EGI-InSPIRE Infrastructure)</w:t>
            </w:r>
          </w:p>
        </w:tc>
      </w:tr>
      <w:tr w:rsidR="00D60405" w:rsidRPr="006B4B32" w:rsidTr="00A320BE">
        <w:trPr>
          <w:jc w:val="center"/>
        </w:trPr>
        <w:tc>
          <w:tcPr>
            <w:tcW w:w="1283" w:type="dxa"/>
            <w:shd w:val="clear" w:color="auto" w:fill="F2F2F2"/>
          </w:tcPr>
          <w:p w:rsidR="00D60405" w:rsidRPr="006B4B32" w:rsidRDefault="00D60405" w:rsidP="001E50CB">
            <w:pPr>
              <w:jc w:val="center"/>
              <w:rPr>
                <w:sz w:val="18"/>
                <w:szCs w:val="18"/>
              </w:rPr>
            </w:pPr>
            <w:r w:rsidRPr="006B4B32">
              <w:rPr>
                <w:sz w:val="18"/>
                <w:szCs w:val="18"/>
              </w:rPr>
              <w:t>Logical CPUs</w:t>
            </w:r>
            <w:r>
              <w:rPr>
                <w:sz w:val="18"/>
                <w:szCs w:val="18"/>
              </w:rPr>
              <w:t>/yearly increase</w:t>
            </w:r>
          </w:p>
        </w:tc>
        <w:tc>
          <w:tcPr>
            <w:tcW w:w="2068" w:type="dxa"/>
            <w:shd w:val="clear" w:color="auto" w:fill="auto"/>
            <w:vAlign w:val="center"/>
          </w:tcPr>
          <w:p w:rsidR="00D60405" w:rsidRPr="0074145F" w:rsidRDefault="00D60405" w:rsidP="001E50CB">
            <w:pPr>
              <w:jc w:val="center"/>
              <w:rPr>
                <w:szCs w:val="22"/>
              </w:rPr>
            </w:pPr>
            <w:r w:rsidRPr="0074145F">
              <w:rPr>
                <w:szCs w:val="22"/>
              </w:rPr>
              <w:t>192,000</w:t>
            </w:r>
          </w:p>
        </w:tc>
        <w:tc>
          <w:tcPr>
            <w:tcW w:w="2248" w:type="dxa"/>
            <w:shd w:val="clear" w:color="auto" w:fill="auto"/>
            <w:vAlign w:val="center"/>
          </w:tcPr>
          <w:p w:rsidR="00D60405" w:rsidRPr="0074145F" w:rsidRDefault="00D60405" w:rsidP="001E50CB">
            <w:pPr>
              <w:jc w:val="center"/>
              <w:rPr>
                <w:szCs w:val="22"/>
              </w:rPr>
            </w:pPr>
            <w:r w:rsidRPr="0074145F">
              <w:rPr>
                <w:szCs w:val="22"/>
              </w:rPr>
              <w:t>207,203/+7.9%</w:t>
            </w:r>
          </w:p>
        </w:tc>
        <w:tc>
          <w:tcPr>
            <w:tcW w:w="2415" w:type="dxa"/>
            <w:shd w:val="clear" w:color="auto" w:fill="auto"/>
            <w:vAlign w:val="center"/>
          </w:tcPr>
          <w:p w:rsidR="00D60405" w:rsidRPr="0074145F" w:rsidRDefault="00D60405" w:rsidP="001E50CB">
            <w:pPr>
              <w:jc w:val="center"/>
              <w:rPr>
                <w:szCs w:val="22"/>
              </w:rPr>
            </w:pPr>
            <w:r w:rsidRPr="0074145F">
              <w:rPr>
                <w:szCs w:val="22"/>
              </w:rPr>
              <w:t>270,800/+30.7%</w:t>
            </w:r>
          </w:p>
        </w:tc>
        <w:tc>
          <w:tcPr>
            <w:tcW w:w="1926" w:type="dxa"/>
            <w:vAlign w:val="center"/>
          </w:tcPr>
          <w:p w:rsidR="00D60405" w:rsidRPr="0074145F" w:rsidRDefault="00ED23FB" w:rsidP="00ED23FB">
            <w:pPr>
              <w:jc w:val="center"/>
              <w:rPr>
                <w:szCs w:val="22"/>
              </w:rPr>
            </w:pPr>
            <w:r w:rsidRPr="00756E6A">
              <w:rPr>
                <w:szCs w:val="22"/>
              </w:rPr>
              <w:t>3</w:t>
            </w:r>
            <w:r w:rsidR="00756E6A" w:rsidRPr="00F018FE">
              <w:rPr>
                <w:szCs w:val="22"/>
              </w:rPr>
              <w:t>73</w:t>
            </w:r>
            <w:r w:rsidRPr="00C902B6">
              <w:rPr>
                <w:szCs w:val="22"/>
              </w:rPr>
              <w:t>,</w:t>
            </w:r>
            <w:r w:rsidR="00756E6A" w:rsidRPr="00F018FE">
              <w:rPr>
                <w:szCs w:val="22"/>
              </w:rPr>
              <w:t>235</w:t>
            </w:r>
            <w:r w:rsidR="00CD3E13" w:rsidRPr="00C902B6">
              <w:rPr>
                <w:szCs w:val="22"/>
              </w:rPr>
              <w:t>/+</w:t>
            </w:r>
            <w:r w:rsidR="00756E6A">
              <w:rPr>
                <w:szCs w:val="22"/>
              </w:rPr>
              <w:t>33.6</w:t>
            </w:r>
            <w:r w:rsidR="00CD3E13">
              <w:rPr>
                <w:szCs w:val="22"/>
              </w:rPr>
              <w:t>%</w:t>
            </w:r>
          </w:p>
        </w:tc>
      </w:tr>
      <w:tr w:rsidR="00D60405" w:rsidRPr="006B4B32" w:rsidTr="00E11188">
        <w:trPr>
          <w:jc w:val="center"/>
        </w:trPr>
        <w:tc>
          <w:tcPr>
            <w:tcW w:w="1283" w:type="dxa"/>
            <w:shd w:val="clear" w:color="auto" w:fill="F2F2F2"/>
            <w:vAlign w:val="center"/>
          </w:tcPr>
          <w:p w:rsidR="00D60405" w:rsidRPr="006B4B32" w:rsidRDefault="00E11188" w:rsidP="00A156C9">
            <w:pPr>
              <w:jc w:val="center"/>
              <w:rPr>
                <w:sz w:val="18"/>
                <w:szCs w:val="18"/>
              </w:rPr>
            </w:pPr>
            <w:r>
              <w:rPr>
                <w:sz w:val="18"/>
                <w:szCs w:val="18"/>
              </w:rPr>
              <w:t>Million HEP-SPEC 06</w:t>
            </w:r>
          </w:p>
        </w:tc>
        <w:tc>
          <w:tcPr>
            <w:tcW w:w="2068" w:type="dxa"/>
            <w:shd w:val="clear" w:color="auto" w:fill="auto"/>
            <w:vAlign w:val="center"/>
          </w:tcPr>
          <w:p w:rsidR="00D60405" w:rsidRPr="00E11188" w:rsidRDefault="00D60405" w:rsidP="00E11188">
            <w:pPr>
              <w:jc w:val="center"/>
              <w:rPr>
                <w:szCs w:val="22"/>
              </w:rPr>
            </w:pPr>
            <w:r w:rsidRPr="00E11188">
              <w:rPr>
                <w:szCs w:val="22"/>
              </w:rPr>
              <w:t>1.34</w:t>
            </w:r>
          </w:p>
        </w:tc>
        <w:tc>
          <w:tcPr>
            <w:tcW w:w="2248" w:type="dxa"/>
            <w:shd w:val="clear" w:color="auto" w:fill="auto"/>
            <w:vAlign w:val="center"/>
          </w:tcPr>
          <w:p w:rsidR="00D60405" w:rsidRPr="00E11188" w:rsidRDefault="00D60405" w:rsidP="00E11188">
            <w:pPr>
              <w:jc w:val="center"/>
              <w:rPr>
                <w:szCs w:val="22"/>
              </w:rPr>
            </w:pPr>
            <w:r w:rsidRPr="00E11188">
              <w:rPr>
                <w:szCs w:val="22"/>
              </w:rPr>
              <w:t>1.98</w:t>
            </w:r>
            <w:r w:rsidR="00E11188" w:rsidRPr="00E11188">
              <w:rPr>
                <w:szCs w:val="22"/>
              </w:rPr>
              <w:t>/+47.7%</w:t>
            </w:r>
          </w:p>
        </w:tc>
        <w:tc>
          <w:tcPr>
            <w:tcW w:w="2415" w:type="dxa"/>
            <w:shd w:val="clear" w:color="auto" w:fill="auto"/>
            <w:vAlign w:val="center"/>
          </w:tcPr>
          <w:p w:rsidR="00D60405" w:rsidRPr="00E11188" w:rsidRDefault="00D60405" w:rsidP="00E11188">
            <w:pPr>
              <w:jc w:val="center"/>
              <w:rPr>
                <w:szCs w:val="22"/>
              </w:rPr>
            </w:pPr>
            <w:r w:rsidRPr="00E11188">
              <w:rPr>
                <w:szCs w:val="22"/>
              </w:rPr>
              <w:t>2.96</w:t>
            </w:r>
            <w:r w:rsidR="00E11188" w:rsidRPr="00E11188">
              <w:rPr>
                <w:szCs w:val="22"/>
              </w:rPr>
              <w:t>/+49.5%</w:t>
            </w:r>
          </w:p>
        </w:tc>
        <w:tc>
          <w:tcPr>
            <w:tcW w:w="1926" w:type="dxa"/>
            <w:vAlign w:val="center"/>
          </w:tcPr>
          <w:p w:rsidR="00EF0811" w:rsidRPr="00E11188" w:rsidRDefault="00BA00AF" w:rsidP="00E11188">
            <w:pPr>
              <w:jc w:val="center"/>
              <w:rPr>
                <w:szCs w:val="22"/>
              </w:rPr>
            </w:pPr>
            <w:r w:rsidRPr="00E11188">
              <w:rPr>
                <w:szCs w:val="22"/>
              </w:rPr>
              <w:t>3,</w:t>
            </w:r>
            <w:r w:rsidR="00756E6A" w:rsidRPr="00F018FE">
              <w:rPr>
                <w:szCs w:val="22"/>
              </w:rPr>
              <w:t>86</w:t>
            </w:r>
            <w:r w:rsidR="00E11188" w:rsidRPr="00E11188">
              <w:rPr>
                <w:szCs w:val="22"/>
              </w:rPr>
              <w:t>/+44.7%</w:t>
            </w:r>
          </w:p>
        </w:tc>
      </w:tr>
    </w:tbl>
    <w:p w:rsidR="00A1092F" w:rsidRDefault="00A1092F" w:rsidP="002B30AD">
      <w:pPr>
        <w:jc w:val="center"/>
        <w:rPr>
          <w:noProof/>
          <w:lang w:eastAsia="en-GB"/>
        </w:rPr>
      </w:pPr>
    </w:p>
    <w:p w:rsidR="007D33CD" w:rsidRDefault="007D33CD" w:rsidP="005F50F4"/>
    <w:p w:rsidR="00F52AF4" w:rsidRDefault="00F52AF4">
      <w:pPr>
        <w:jc w:val="center"/>
        <w:rPr>
          <w:noProof/>
          <w:lang w:eastAsia="en-GB"/>
        </w:rPr>
        <w:sectPr w:rsidR="00F52AF4" w:rsidSect="006425FC">
          <w:type w:val="nextColumn"/>
          <w:pgSz w:w="11900" w:h="16840"/>
          <w:pgMar w:top="1418" w:right="1418" w:bottom="1418" w:left="1418" w:header="708" w:footer="708" w:gutter="0"/>
          <w:cols w:space="708"/>
          <w:docGrid w:linePitch="299"/>
        </w:sectPr>
      </w:pPr>
    </w:p>
    <w:p w:rsidR="00140311" w:rsidRDefault="005A6D06" w:rsidP="005F50F4">
      <w:pPr>
        <w:jc w:val="center"/>
        <w:rPr>
          <w:noProof/>
          <w:lang w:eastAsia="en-GB"/>
        </w:rPr>
      </w:pPr>
      <w:r>
        <w:rPr>
          <w:noProof/>
          <w:lang w:eastAsia="en-GB"/>
        </w:rPr>
        <w:lastRenderedPageBreak/>
        <w:drawing>
          <wp:inline distT="0" distB="0" distL="0" distR="0" wp14:anchorId="13F0874F" wp14:editId="0D83AE5B">
            <wp:extent cx="7349706" cy="3746291"/>
            <wp:effectExtent l="0" t="0" r="3810" b="6985"/>
            <wp:docPr id="1608" name="Picture 1608" descr="C:\Users\Krakowian\Google Drive\Operations\Documentation working space\D4.8\png\Log scale distribution of logical core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49451" cy="3746161"/>
                    </a:xfrm>
                    <a:prstGeom prst="rect">
                      <a:avLst/>
                    </a:prstGeom>
                    <a:noFill/>
                    <a:ln>
                      <a:noFill/>
                    </a:ln>
                  </pic:spPr>
                </pic:pic>
              </a:graphicData>
            </a:graphic>
          </wp:inline>
        </w:drawing>
      </w:r>
    </w:p>
    <w:p w:rsidR="00140311" w:rsidRPr="00140311" w:rsidRDefault="00140311" w:rsidP="009F132B">
      <w:pPr>
        <w:pStyle w:val="Caption"/>
        <w:jc w:val="center"/>
      </w:pPr>
      <w:bookmarkStart w:id="31" w:name="_Toc355730449"/>
      <w:r>
        <w:t xml:space="preserve">Figure </w:t>
      </w:r>
      <w:r w:rsidR="00A560B1">
        <w:fldChar w:fldCharType="begin"/>
      </w:r>
      <w:r w:rsidR="00A560B1">
        <w:instrText xml:space="preserve"> SEQ Figure \* ARABIC </w:instrText>
      </w:r>
      <w:r w:rsidR="00A560B1">
        <w:fldChar w:fldCharType="separate"/>
      </w:r>
      <w:r w:rsidR="00A319E4">
        <w:rPr>
          <w:noProof/>
        </w:rPr>
        <w:t>5</w:t>
      </w:r>
      <w:r w:rsidR="00A560B1">
        <w:rPr>
          <w:noProof/>
        </w:rPr>
        <w:fldChar w:fldCharType="end"/>
      </w:r>
      <w:r>
        <w:t xml:space="preserve">. </w:t>
      </w:r>
      <w:r w:rsidR="00865D76">
        <w:t xml:space="preserve">Log </w:t>
      </w:r>
      <w:r w:rsidR="00865D76" w:rsidRPr="005A6D06">
        <w:t>scale d</w:t>
      </w:r>
      <w:r w:rsidRPr="005A6D06">
        <w:t>istribution</w:t>
      </w:r>
      <w:r>
        <w:t xml:space="preserve"> of logical cores</w:t>
      </w:r>
      <w:r w:rsidR="003538CC">
        <w:t xml:space="preserve"> (blue bar)</w:t>
      </w:r>
      <w:r>
        <w:t xml:space="preserve"> and </w:t>
      </w:r>
      <w:r w:rsidR="003538CC">
        <w:t>HEP SPEC 06 installed</w:t>
      </w:r>
      <w:r>
        <w:t xml:space="preserve"> capacity </w:t>
      </w:r>
      <w:r w:rsidR="003538CC">
        <w:t xml:space="preserve">(red bar) </w:t>
      </w:r>
      <w:r w:rsidR="005A6D06">
        <w:t>at the end of PQ11</w:t>
      </w:r>
      <w:r w:rsidR="00112EAE">
        <w:t xml:space="preserve"> </w:t>
      </w:r>
      <w:r w:rsidR="003538CC">
        <w:t xml:space="preserve">across EGI Resource infrastructure Providers, including EGI-InSPIRE partners, </w:t>
      </w:r>
      <w:r w:rsidR="0039095D">
        <w:t>EGI C</w:t>
      </w:r>
      <w:r w:rsidR="003538CC">
        <w:t xml:space="preserve">ouncil members and </w:t>
      </w:r>
      <w:r>
        <w:t>integrated infrastructures.</w:t>
      </w:r>
      <w:r w:rsidR="00701E57">
        <w:t xml:space="preserve"> Data sorted by number of cores. Source: project quarterly metrics and top-BDII.</w:t>
      </w:r>
      <w:bookmarkEnd w:id="31"/>
    </w:p>
    <w:p w:rsidR="00F52AF4" w:rsidRDefault="00F52AF4" w:rsidP="009818E6">
      <w:pPr>
        <w:pStyle w:val="Heading2"/>
        <w:sectPr w:rsidR="00F52AF4" w:rsidSect="00F52AF4">
          <w:type w:val="nextColumn"/>
          <w:pgSz w:w="16840" w:h="11900" w:orient="landscape"/>
          <w:pgMar w:top="1418" w:right="1418" w:bottom="1418" w:left="1418" w:header="709" w:footer="709" w:gutter="0"/>
          <w:cols w:space="708"/>
          <w:docGrid w:linePitch="299"/>
        </w:sectPr>
      </w:pPr>
    </w:p>
    <w:p w:rsidR="009818E6" w:rsidRDefault="009818E6" w:rsidP="009818E6">
      <w:pPr>
        <w:pStyle w:val="Heading2"/>
      </w:pPr>
      <w:bookmarkStart w:id="32" w:name="_Toc355730408"/>
      <w:r>
        <w:lastRenderedPageBreak/>
        <w:t>Storage Resources</w:t>
      </w:r>
      <w:bookmarkEnd w:id="32"/>
    </w:p>
    <w:p w:rsidR="009F132B" w:rsidRDefault="005B3C6D" w:rsidP="005F50F4">
      <w:r>
        <w:t xml:space="preserve">Information </w:t>
      </w:r>
      <w:r w:rsidR="0039095D">
        <w:t xml:space="preserve">from each </w:t>
      </w:r>
      <w:r w:rsidR="005670E2">
        <w:t>RC</w:t>
      </w:r>
      <w:r w:rsidR="0039095D">
        <w:t xml:space="preserve"> </w:t>
      </w:r>
      <w:r>
        <w:t xml:space="preserve">about </w:t>
      </w:r>
      <w:r w:rsidR="0039095D">
        <w:t xml:space="preserve">the </w:t>
      </w:r>
      <w:r>
        <w:t>storage capacity is periodically collected by the Metrics Portal from the</w:t>
      </w:r>
      <w:r w:rsidR="00681486">
        <w:t xml:space="preserve"> Information Discovery System (G</w:t>
      </w:r>
      <w:r w:rsidR="005D53DD">
        <w:t>s</w:t>
      </w:r>
      <w:r>
        <w:t>tat) and validated by EGI-InSPIRE partners. As</w:t>
      </w:r>
      <w:r w:rsidR="0039095D">
        <w:t xml:space="preserve"> </w:t>
      </w:r>
      <w:r w:rsidR="001D158D">
        <w:t>for</w:t>
      </w:r>
      <w:r>
        <w:t xml:space="preserve"> compute capacity, </w:t>
      </w:r>
      <w:r w:rsidR="0039095D">
        <w:t xml:space="preserve">the </w:t>
      </w:r>
      <w:r>
        <w:t xml:space="preserve">accuracy of </w:t>
      </w:r>
      <w:r w:rsidR="001D158D">
        <w:t xml:space="preserve">data </w:t>
      </w:r>
      <w:r>
        <w:t xml:space="preserve">available from the Information Discovery System depends on the availability of correct and up to date information as provided by the storage dynamic information providers installed at </w:t>
      </w:r>
      <w:r w:rsidR="001D158D">
        <w:t>RCs</w:t>
      </w:r>
      <w:r>
        <w:t>.</w:t>
      </w:r>
    </w:p>
    <w:p w:rsidR="005B3C6D" w:rsidRDefault="00190830" w:rsidP="009F132B">
      <w:r w:rsidRPr="00624DDD">
        <w:t>At the end of PQ11</w:t>
      </w:r>
      <w:r w:rsidR="005B3C6D" w:rsidRPr="00624DDD">
        <w:t xml:space="preserve">, the total amount of reported installed disk capacity amounts to </w:t>
      </w:r>
      <w:r w:rsidRPr="00624DDD">
        <w:t>177</w:t>
      </w:r>
      <w:r w:rsidR="005B3C6D" w:rsidRPr="00624DDD">
        <w:t xml:space="preserve"> PB</w:t>
      </w:r>
      <w:r w:rsidRPr="00624DDD">
        <w:t xml:space="preserve"> (+25.36</w:t>
      </w:r>
      <w:r w:rsidR="008E470E" w:rsidRPr="00624DDD">
        <w:t>% yearly increase)</w:t>
      </w:r>
      <w:r w:rsidR="005B3C6D" w:rsidRPr="00624DDD">
        <w:t xml:space="preserve">. The distribution of disk storage resources among the EGI-InSPIRE partners is illustrated in </w:t>
      </w:r>
      <w:r w:rsidR="008E470E" w:rsidRPr="00624DDD">
        <w:fldChar w:fldCharType="begin"/>
      </w:r>
      <w:r w:rsidR="008E470E" w:rsidRPr="00624DDD">
        <w:instrText xml:space="preserve"> REF _Ref322127563 \h </w:instrText>
      </w:r>
      <w:r w:rsidR="00DA16FD" w:rsidRPr="00624DDD">
        <w:instrText xml:space="preserve"> \* MERGEFORMAT </w:instrText>
      </w:r>
      <w:r w:rsidR="008E470E" w:rsidRPr="00624DDD">
        <w:fldChar w:fldCharType="separate"/>
      </w:r>
      <w:r w:rsidR="00A319E4">
        <w:t xml:space="preserve">Figure </w:t>
      </w:r>
      <w:r w:rsidR="00A319E4">
        <w:rPr>
          <w:noProof/>
        </w:rPr>
        <w:t>6</w:t>
      </w:r>
      <w:r w:rsidR="008E470E" w:rsidRPr="00624DDD">
        <w:fldChar w:fldCharType="end"/>
      </w:r>
      <w:r w:rsidR="008E470E" w:rsidRPr="00624DDD">
        <w:t xml:space="preserve">, which shows that disk capacity is concentrated across </w:t>
      </w:r>
      <w:r w:rsidRPr="00624DDD">
        <w:t>six</w:t>
      </w:r>
      <w:r w:rsidR="008E470E" w:rsidRPr="00624DDD">
        <w:t xml:space="preserve"> NGIs/EIROs, which are in descending order</w:t>
      </w:r>
      <w:r w:rsidR="0083463B">
        <w:t xml:space="preserve"> (for PQ11)</w:t>
      </w:r>
      <w:r w:rsidR="008E470E" w:rsidRPr="00624DDD">
        <w:t>: Germany, CERN, United Kingd</w:t>
      </w:r>
      <w:r w:rsidRPr="00624DDD">
        <w:t>om, Italy, France and Spain</w:t>
      </w:r>
      <w:r w:rsidR="008E470E" w:rsidRPr="00624DDD">
        <w:t>.</w:t>
      </w:r>
    </w:p>
    <w:p w:rsidR="00681486" w:rsidRDefault="00931A6B" w:rsidP="005F50F4">
      <w:pPr>
        <w:jc w:val="center"/>
        <w:rPr>
          <w:noProof/>
          <w:lang w:eastAsia="en-GB"/>
        </w:rPr>
      </w:pPr>
      <w:r>
        <w:rPr>
          <w:noProof/>
          <w:lang w:eastAsia="en-GB"/>
        </w:rPr>
        <w:drawing>
          <wp:inline distT="0" distB="0" distL="0" distR="0" wp14:anchorId="0FC48592" wp14:editId="0144E179">
            <wp:extent cx="5756910" cy="3368040"/>
            <wp:effectExtent l="0" t="0" r="0" b="3810"/>
            <wp:docPr id="5" name="Picture 5" descr="C:\Users\Krakowian\Google Drive\Operations\Documentation working space\D4.8\png\Installed disk capacity in PB across the EGI R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3368040"/>
                    </a:xfrm>
                    <a:prstGeom prst="rect">
                      <a:avLst/>
                    </a:prstGeom>
                    <a:noFill/>
                    <a:ln>
                      <a:noFill/>
                    </a:ln>
                  </pic:spPr>
                </pic:pic>
              </a:graphicData>
            </a:graphic>
          </wp:inline>
        </w:drawing>
      </w:r>
    </w:p>
    <w:p w:rsidR="00681486" w:rsidRDefault="00681486" w:rsidP="005F50F4">
      <w:pPr>
        <w:pStyle w:val="Caption"/>
        <w:jc w:val="center"/>
      </w:pPr>
      <w:bookmarkStart w:id="33" w:name="_Ref322127563"/>
      <w:bookmarkStart w:id="34" w:name="_Ref322127556"/>
      <w:bookmarkStart w:id="35" w:name="_Toc355730450"/>
      <w:r>
        <w:t xml:space="preserve">Figure </w:t>
      </w:r>
      <w:r w:rsidR="00A560B1">
        <w:fldChar w:fldCharType="begin"/>
      </w:r>
      <w:r w:rsidR="00A560B1">
        <w:instrText xml:space="preserve"> SEQ Figure \* ARABIC </w:instrText>
      </w:r>
      <w:r w:rsidR="00A560B1">
        <w:fldChar w:fldCharType="separate"/>
      </w:r>
      <w:r w:rsidR="00A319E4">
        <w:rPr>
          <w:noProof/>
        </w:rPr>
        <w:t>6</w:t>
      </w:r>
      <w:r w:rsidR="00A560B1">
        <w:rPr>
          <w:noProof/>
        </w:rPr>
        <w:fldChar w:fldCharType="end"/>
      </w:r>
      <w:bookmarkEnd w:id="33"/>
      <w:r>
        <w:t xml:space="preserve">. </w:t>
      </w:r>
      <w:r w:rsidRPr="006B4B32">
        <w:t>Installed disk capacity in PB across the EGI</w:t>
      </w:r>
      <w:r>
        <w:t xml:space="preserve"> RPs</w:t>
      </w:r>
      <w:r w:rsidRPr="006B4B32">
        <w:t xml:space="preserve"> </w:t>
      </w:r>
      <w:r w:rsidR="00931A6B">
        <w:t>at the end of PQ11</w:t>
      </w:r>
      <w:r w:rsidR="008E470E">
        <w:t xml:space="preserve"> – red bar – compared </w:t>
      </w:r>
      <w:r w:rsidR="00190830">
        <w:t>to the installed capacity in PQ7</w:t>
      </w:r>
      <w:r w:rsidR="008E470E">
        <w:t xml:space="preserve"> – blue bar</w:t>
      </w:r>
      <w:r w:rsidRPr="006B4B32">
        <w:t xml:space="preserve"> (source: </w:t>
      </w:r>
      <w:r>
        <w:t>Metrics Portal</w:t>
      </w:r>
      <w:r w:rsidRPr="006B4B32">
        <w:t xml:space="preserve"> and G</w:t>
      </w:r>
      <w:r w:rsidR="005D53DD" w:rsidRPr="006B4B32">
        <w:t>s</w:t>
      </w:r>
      <w:r w:rsidRPr="006B4B32">
        <w:t>tat).</w:t>
      </w:r>
      <w:bookmarkEnd w:id="34"/>
      <w:bookmarkEnd w:id="35"/>
    </w:p>
    <w:p w:rsidR="00EF085F" w:rsidRPr="00C60359" w:rsidRDefault="00EF085F" w:rsidP="005F50F4">
      <w:r w:rsidRPr="00421ADD">
        <w:t xml:space="preserve">Tape capacity is mainly provided by </w:t>
      </w:r>
      <w:r w:rsidR="00302AFD" w:rsidRPr="00421ADD">
        <w:t xml:space="preserve">CERN and </w:t>
      </w:r>
      <w:r w:rsidRPr="00421ADD">
        <w:t xml:space="preserve">WLCG Tier-1 RCs. </w:t>
      </w:r>
      <w:r w:rsidR="00624DDD" w:rsidRPr="00421ADD">
        <w:t>At the end of PQ11</w:t>
      </w:r>
      <w:r w:rsidRPr="00421ADD">
        <w:t xml:space="preserve"> the total installed tape (also known as </w:t>
      </w:r>
      <w:r w:rsidRPr="00421ADD">
        <w:rPr>
          <w:i/>
        </w:rPr>
        <w:t>nearline</w:t>
      </w:r>
      <w:r w:rsidRPr="00421ADD">
        <w:t xml:space="preserve">) capacity </w:t>
      </w:r>
      <w:r w:rsidR="00302AFD" w:rsidRPr="00421ADD">
        <w:t>reported in G</w:t>
      </w:r>
      <w:r w:rsidR="005D53DD" w:rsidRPr="00421ADD">
        <w:t>s</w:t>
      </w:r>
      <w:r w:rsidR="00302AFD" w:rsidRPr="00421ADD">
        <w:t xml:space="preserve">tat </w:t>
      </w:r>
      <w:r w:rsidRPr="00421ADD">
        <w:t xml:space="preserve">amounts to </w:t>
      </w:r>
      <w:r w:rsidR="00421ADD" w:rsidRPr="00421ADD">
        <w:t>187.6</w:t>
      </w:r>
      <w:r w:rsidRPr="00421ADD">
        <w:t xml:space="preserve"> PB </w:t>
      </w:r>
      <w:r w:rsidR="00421ADD" w:rsidRPr="00421ADD">
        <w:t>(+28</w:t>
      </w:r>
      <w:r w:rsidR="00302AFD" w:rsidRPr="00421ADD">
        <w:t>% yearly increase).</w:t>
      </w:r>
    </w:p>
    <w:p w:rsidR="009818E6" w:rsidRDefault="009818E6" w:rsidP="009818E6">
      <w:pPr>
        <w:pStyle w:val="Heading2"/>
      </w:pPr>
      <w:bookmarkStart w:id="36" w:name="_Ref326102278"/>
      <w:bookmarkStart w:id="37" w:name="_Toc355730409"/>
      <w:r>
        <w:t>Compute Resources for Parallel Jobs</w:t>
      </w:r>
      <w:bookmarkEnd w:id="36"/>
      <w:bookmarkEnd w:id="37"/>
    </w:p>
    <w:p w:rsidR="00C031AE" w:rsidRPr="00C031AE" w:rsidRDefault="00333210" w:rsidP="00C031AE">
      <w:r>
        <w:t>Information about the number of high-performance clusters operated is gathered periodically in the project quarterly reports.</w:t>
      </w:r>
      <w:r w:rsidR="00C031AE" w:rsidRPr="006B4B32">
        <w:t xml:space="preserve"> With high-performance we refer to clusters that feature a local high-speed low-latency interconnect (e.g. Myrinet</w:t>
      </w:r>
      <w:r w:rsidR="00C031AE" w:rsidRPr="006B4B32">
        <w:rPr>
          <w:rStyle w:val="FootnoteReference"/>
        </w:rPr>
        <w:footnoteReference w:id="5"/>
      </w:r>
      <w:r w:rsidR="00C031AE" w:rsidRPr="006B4B32">
        <w:t>, InfiniBand</w:t>
      </w:r>
      <w:r w:rsidR="00C031AE" w:rsidRPr="006B4B32">
        <w:rPr>
          <w:rStyle w:val="FootnoteReference"/>
        </w:rPr>
        <w:footnoteReference w:id="6"/>
      </w:r>
      <w:r w:rsidR="00C031AE" w:rsidRPr="006B4B32">
        <w:t xml:space="preserve">). </w:t>
      </w:r>
      <w:r w:rsidR="00E33CDE">
        <w:t xml:space="preserve">The clusters that qualify as high-performance, </w:t>
      </w:r>
      <w:r w:rsidR="00E33CDE">
        <w:lastRenderedPageBreak/>
        <w:t xml:space="preserve">as reported by the Resource </w:t>
      </w:r>
      <w:r w:rsidR="00D30516">
        <w:t>i</w:t>
      </w:r>
      <w:r w:rsidR="00E33CDE">
        <w:t>nfrastructure</w:t>
      </w:r>
      <w:r w:rsidR="00A936A5">
        <w:t xml:space="preserve"> Providers, amount in total to 42 units (4.8</w:t>
      </w:r>
      <w:r w:rsidR="00E33CDE">
        <w:t>% yea</w:t>
      </w:r>
      <w:r w:rsidR="00A936A5">
        <w:t>rly increase with respect to PQ7) at the end of PQ11</w:t>
      </w:r>
      <w:r w:rsidR="00C031AE">
        <w:t xml:space="preserve">. </w:t>
      </w:r>
    </w:p>
    <w:p w:rsidR="00302AFD" w:rsidRPr="006B4B32" w:rsidRDefault="000076B7" w:rsidP="00C60359">
      <w:pPr>
        <w:pStyle w:val="Caption"/>
        <w:jc w:val="center"/>
      </w:pPr>
      <w:bookmarkStart w:id="38" w:name="_Ref322129142"/>
      <w:r>
        <w:t xml:space="preserve">Table </w:t>
      </w:r>
      <w:r w:rsidR="00A560B1">
        <w:fldChar w:fldCharType="begin"/>
      </w:r>
      <w:r w:rsidR="00A560B1">
        <w:instrText xml:space="preserve"> SEQ Table \* ARABIC </w:instrText>
      </w:r>
      <w:r w:rsidR="00A560B1">
        <w:fldChar w:fldCharType="separate"/>
      </w:r>
      <w:r w:rsidR="00A319E4">
        <w:rPr>
          <w:noProof/>
        </w:rPr>
        <w:t>6</w:t>
      </w:r>
      <w:r w:rsidR="00A560B1">
        <w:rPr>
          <w:noProof/>
        </w:rPr>
        <w:fldChar w:fldCharType="end"/>
      </w:r>
      <w:bookmarkEnd w:id="38"/>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32"/>
        <w:gridCol w:w="1897"/>
      </w:tblGrid>
      <w:tr w:rsidR="00302AFD" w:rsidRPr="006B4B32" w:rsidTr="005357E9">
        <w:trPr>
          <w:jc w:val="center"/>
        </w:trPr>
        <w:tc>
          <w:tcPr>
            <w:tcW w:w="0" w:type="auto"/>
            <w:tcBorders>
              <w:bottom w:val="single" w:sz="4" w:space="0" w:color="auto"/>
            </w:tcBorders>
            <w:shd w:val="clear" w:color="auto" w:fill="D9D9D9"/>
          </w:tcPr>
          <w:p w:rsidR="00302AFD" w:rsidRPr="005F50F4" w:rsidRDefault="00302AFD" w:rsidP="005357E9">
            <w:pPr>
              <w:rPr>
                <w:b/>
                <w:szCs w:val="22"/>
              </w:rPr>
            </w:pPr>
            <w:r w:rsidRPr="005F50F4">
              <w:rPr>
                <w:b/>
                <w:szCs w:val="22"/>
              </w:rPr>
              <w:t>Metric</w:t>
            </w:r>
          </w:p>
        </w:tc>
        <w:tc>
          <w:tcPr>
            <w:tcW w:w="0" w:type="auto"/>
            <w:shd w:val="clear" w:color="auto" w:fill="D9D9D9"/>
          </w:tcPr>
          <w:p w:rsidR="00302AFD" w:rsidRPr="005F50F4" w:rsidRDefault="00302AFD" w:rsidP="00B93F00">
            <w:pPr>
              <w:rPr>
                <w:b/>
                <w:szCs w:val="22"/>
              </w:rPr>
            </w:pPr>
            <w:r w:rsidRPr="005F50F4">
              <w:rPr>
                <w:b/>
                <w:szCs w:val="22"/>
              </w:rPr>
              <w:t>PQ</w:t>
            </w:r>
            <w:r w:rsidR="00B93F00">
              <w:rPr>
                <w:b/>
                <w:szCs w:val="22"/>
              </w:rPr>
              <w:t>7</w:t>
            </w:r>
          </w:p>
        </w:tc>
        <w:tc>
          <w:tcPr>
            <w:tcW w:w="0" w:type="auto"/>
            <w:shd w:val="clear" w:color="auto" w:fill="D9D9D9"/>
          </w:tcPr>
          <w:p w:rsidR="00302AFD" w:rsidRPr="005F50F4" w:rsidRDefault="00B93F00" w:rsidP="005357E9">
            <w:pPr>
              <w:rPr>
                <w:b/>
                <w:szCs w:val="22"/>
              </w:rPr>
            </w:pPr>
            <w:r>
              <w:rPr>
                <w:b/>
                <w:szCs w:val="22"/>
              </w:rPr>
              <w:t>PQ11/PY3</w:t>
            </w:r>
            <w:r w:rsidR="00302AFD" w:rsidRPr="005F50F4">
              <w:rPr>
                <w:b/>
                <w:szCs w:val="22"/>
              </w:rPr>
              <w:t xml:space="preserve">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B93F00" w:rsidP="005357E9">
            <w:pPr>
              <w:jc w:val="center"/>
              <w:rPr>
                <w:sz w:val="18"/>
                <w:szCs w:val="18"/>
              </w:rPr>
            </w:pPr>
            <w:r>
              <w:rPr>
                <w:sz w:val="18"/>
                <w:szCs w:val="18"/>
              </w:rPr>
              <w:t>40</w:t>
            </w:r>
          </w:p>
        </w:tc>
        <w:tc>
          <w:tcPr>
            <w:tcW w:w="0" w:type="auto"/>
          </w:tcPr>
          <w:p w:rsidR="00302AFD" w:rsidRPr="006B4B32" w:rsidRDefault="00DF6AD9" w:rsidP="00DF6AD9">
            <w:pPr>
              <w:jc w:val="center"/>
              <w:rPr>
                <w:sz w:val="18"/>
                <w:szCs w:val="18"/>
              </w:rPr>
            </w:pPr>
            <w:r>
              <w:rPr>
                <w:sz w:val="18"/>
                <w:szCs w:val="18"/>
              </w:rPr>
              <w:t>42</w:t>
            </w:r>
            <w:r w:rsidR="004B6DDF">
              <w:rPr>
                <w:sz w:val="18"/>
                <w:szCs w:val="18"/>
              </w:rPr>
              <w:t>/</w:t>
            </w:r>
            <w:r w:rsidR="00A936A5">
              <w:rPr>
                <w:sz w:val="18"/>
                <w:szCs w:val="18"/>
              </w:rPr>
              <w:t>50</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B93F00" w:rsidP="005357E9">
            <w:pPr>
              <w:jc w:val="center"/>
              <w:rPr>
                <w:sz w:val="18"/>
                <w:szCs w:val="18"/>
              </w:rPr>
            </w:pPr>
            <w:r>
              <w:rPr>
                <w:sz w:val="18"/>
                <w:szCs w:val="18"/>
              </w:rPr>
              <w:t>108</w:t>
            </w:r>
          </w:p>
        </w:tc>
        <w:tc>
          <w:tcPr>
            <w:tcW w:w="0" w:type="auto"/>
          </w:tcPr>
          <w:p w:rsidR="00302AFD" w:rsidRPr="006B4B32" w:rsidRDefault="004B6DDF" w:rsidP="002958DE">
            <w:pPr>
              <w:jc w:val="center"/>
              <w:rPr>
                <w:sz w:val="18"/>
                <w:szCs w:val="18"/>
              </w:rPr>
            </w:pPr>
            <w:r>
              <w:rPr>
                <w:sz w:val="18"/>
                <w:szCs w:val="18"/>
              </w:rPr>
              <w:t>8</w:t>
            </w:r>
            <w:r w:rsidR="00DF6AD9">
              <w:rPr>
                <w:sz w:val="18"/>
                <w:szCs w:val="18"/>
              </w:rPr>
              <w:t>9</w:t>
            </w:r>
            <w:r>
              <w:rPr>
                <w:sz w:val="18"/>
                <w:szCs w:val="18"/>
              </w:rPr>
              <w:t>/</w:t>
            </w:r>
            <w:r w:rsidR="00A936A5">
              <w:rPr>
                <w:sz w:val="18"/>
                <w:szCs w:val="18"/>
              </w:rPr>
              <w:t>120</w:t>
            </w:r>
          </w:p>
        </w:tc>
      </w:tr>
    </w:tbl>
    <w:p w:rsidR="00302AFD" w:rsidRPr="006B4B32" w:rsidRDefault="00302AFD" w:rsidP="00302AFD"/>
    <w:p w:rsidR="00656728" w:rsidRDefault="00A936A5" w:rsidP="00302AFD">
      <w:r>
        <w:t>At the end of PQ11</w:t>
      </w:r>
      <w:r w:rsidR="00302AFD" w:rsidRPr="006B4B32">
        <w:t xml:space="preserve"> Message Passing Interface [MPI]</w:t>
      </w:r>
      <w:r w:rsidR="000076B7">
        <w:t xml:space="preserve"> </w:t>
      </w:r>
      <w:r>
        <w:t>jobs were supported by 89</w:t>
      </w:r>
      <w:r w:rsidR="00302AFD" w:rsidRPr="006B4B32">
        <w:t xml:space="preserve"> </w:t>
      </w:r>
      <w:r>
        <w:t>sites (-17.6% yearly de</w:t>
      </w:r>
      <w:r w:rsidR="000076B7">
        <w:t>crease</w:t>
      </w:r>
      <w:r w:rsidR="00302AFD" w:rsidRPr="006B4B32">
        <w:t>)</w:t>
      </w:r>
      <w:r w:rsidR="000076B7">
        <w:t xml:space="preserve"> as shown in </w:t>
      </w:r>
      <w:r w:rsidR="000076B7">
        <w:fldChar w:fldCharType="begin"/>
      </w:r>
      <w:r w:rsidR="000076B7">
        <w:instrText xml:space="preserve"> REF _Ref322129142 \h </w:instrText>
      </w:r>
      <w:r w:rsidR="000076B7">
        <w:fldChar w:fldCharType="separate"/>
      </w:r>
      <w:r w:rsidR="00A319E4">
        <w:t xml:space="preserve">Table </w:t>
      </w:r>
      <w:r w:rsidR="00A319E4">
        <w:rPr>
          <w:noProof/>
        </w:rPr>
        <w:t>6</w:t>
      </w:r>
      <w:r w:rsidR="000076B7">
        <w:fldChar w:fldCharType="end"/>
      </w:r>
      <w:r w:rsidR="00302AFD" w:rsidRPr="006B4B32">
        <w:t>.</w:t>
      </w:r>
      <w:r w:rsidR="00656728">
        <w:t xml:space="preserve"> The steady increase observed in PY1 and PY2 was unexpectedly followed by a change of trend in PY3. The reason for this needs further investigation. </w:t>
      </w:r>
    </w:p>
    <w:p w:rsidR="000076B7" w:rsidRDefault="00656728" w:rsidP="00302AFD">
      <w:r>
        <w:t>As a result of the works of the MPI Virtual Team</w:t>
      </w:r>
      <w:r>
        <w:rPr>
          <w:rStyle w:val="FootnoteReference"/>
        </w:rPr>
        <w:footnoteReference w:id="7"/>
      </w:r>
      <w:r>
        <w:t xml:space="preserve">, starting with PQ12 a new mechanism for registering and monitoring resources offering the MPI capability will be rolled </w:t>
      </w:r>
      <w:r w:rsidR="0083463B">
        <w:t xml:space="preserve">out </w:t>
      </w:r>
      <w:r>
        <w:t xml:space="preserve">to production: </w:t>
      </w:r>
      <w:r w:rsidR="001D158D">
        <w:t xml:space="preserve">information about </w:t>
      </w:r>
      <w:r>
        <w:t xml:space="preserve">MPI </w:t>
      </w:r>
      <w:r w:rsidR="001D158D">
        <w:t>capabilities</w:t>
      </w:r>
      <w:r>
        <w:t xml:space="preserve"> will not only be </w:t>
      </w:r>
      <w:r w:rsidR="001D158D">
        <w:t>published by services</w:t>
      </w:r>
      <w:r>
        <w:t xml:space="preserve"> </w:t>
      </w:r>
      <w:r w:rsidR="001D158D">
        <w:t>to</w:t>
      </w:r>
      <w:r>
        <w:t xml:space="preserve"> the Information Discovery Service</w:t>
      </w:r>
      <w:r w:rsidR="00C902B6">
        <w:t xml:space="preserve"> as today</w:t>
      </w:r>
      <w:r>
        <w:t xml:space="preserve">, but </w:t>
      </w:r>
      <w:r w:rsidR="00C902B6">
        <w:t xml:space="preserve">it will </w:t>
      </w:r>
      <w:r>
        <w:t xml:space="preserve">also </w:t>
      </w:r>
      <w:r w:rsidR="00C902B6">
        <w:t>be registered</w:t>
      </w:r>
      <w:r>
        <w:t xml:space="preserve"> </w:t>
      </w:r>
      <w:r w:rsidR="00C902B6">
        <w:t xml:space="preserve">into </w:t>
      </w:r>
      <w:r>
        <w:t xml:space="preserve">the EGI service registration </w:t>
      </w:r>
      <w:r w:rsidR="0083463B">
        <w:t>facility</w:t>
      </w:r>
      <w:r>
        <w:t xml:space="preserve"> (GOCDB). </w:t>
      </w:r>
      <w:r w:rsidR="0083463B">
        <w:t>A</w:t>
      </w:r>
      <w:r>
        <w:t xml:space="preserve"> more accurate mechanism to estimate the MPI support in the infrastructure will be available. In addition, starting with the EMI 3 release, the new APEL publisher will be capable of reporting accounting information </w:t>
      </w:r>
      <w:r w:rsidR="007572CC">
        <w:t xml:space="preserve">of multi-core jobs. The new publisher will be gradually deployed by the production infrastructure. </w:t>
      </w:r>
      <w:r w:rsidR="00C902B6">
        <w:t xml:space="preserve">Accounting of MPI jobs will be </w:t>
      </w:r>
      <w:r w:rsidR="007572CC">
        <w:t>a</w:t>
      </w:r>
      <w:r w:rsidR="00C902B6">
        <w:t xml:space="preserve"> more accurate indicator </w:t>
      </w:r>
      <w:r w:rsidR="007572CC">
        <w:t xml:space="preserve">of </w:t>
      </w:r>
      <w:r w:rsidR="00C902B6">
        <w:t xml:space="preserve">the amount of </w:t>
      </w:r>
      <w:r w:rsidR="007572CC">
        <w:t>parallel computing workload supported by EGI.</w:t>
      </w:r>
    </w:p>
    <w:p w:rsidR="007572CC" w:rsidRDefault="005C6F89" w:rsidP="00302AFD">
      <w:r>
        <w:t>During PY3</w:t>
      </w:r>
      <w:r w:rsidR="000076B7">
        <w:t>, HPC integration activities focused on the objective of supporting loosely and tightly coupled multi-scale simulations across EGI and PRACE resources</w:t>
      </w:r>
      <w:r w:rsidR="007572CC">
        <w:t xml:space="preserve"> continued</w:t>
      </w:r>
      <w:r w:rsidR="000076B7">
        <w:t>. Pilot activities were carried out in collaboration with the MAPPER project</w:t>
      </w:r>
      <w:r w:rsidR="000076B7">
        <w:rPr>
          <w:rStyle w:val="FootnoteReference"/>
        </w:rPr>
        <w:footnoteReference w:id="8"/>
      </w:r>
      <w:r w:rsidR="007572CC">
        <w:t>, and a new initiative seeing the involvement of EGI, EUDAT</w:t>
      </w:r>
      <w:r w:rsidR="00C902B6">
        <w:rPr>
          <w:rStyle w:val="FootnoteReference"/>
        </w:rPr>
        <w:footnoteReference w:id="9"/>
      </w:r>
      <w:r w:rsidR="00C902B6">
        <w:t>,</w:t>
      </w:r>
      <w:r w:rsidR="007572CC">
        <w:t xml:space="preserve"> PRACE </w:t>
      </w:r>
      <w:r w:rsidR="00C902B6">
        <w:t xml:space="preserve">and user communities </w:t>
      </w:r>
      <w:r w:rsidR="007572CC">
        <w:t>started in November 2012</w:t>
      </w:r>
      <w:r w:rsidR="007572CC">
        <w:rPr>
          <w:rStyle w:val="FootnoteReference"/>
        </w:rPr>
        <w:footnoteReference w:id="10"/>
      </w:r>
      <w:r w:rsidR="007572CC">
        <w:t xml:space="preserve"> aiming for the integration of data access and processing across the three infrastructure</w:t>
      </w:r>
      <w:r w:rsidR="00225CBC">
        <w:t>s</w:t>
      </w:r>
      <w:r w:rsidR="007572CC">
        <w:t xml:space="preserve">. </w:t>
      </w:r>
      <w:r w:rsidR="00225CBC">
        <w:t>Objectives of this initiative are</w:t>
      </w:r>
      <w:r w:rsidR="00B91C61">
        <w:rPr>
          <w:rStyle w:val="FootnoteReference"/>
        </w:rPr>
        <w:footnoteReference w:id="11"/>
      </w:r>
      <w:r w:rsidR="00225CBC">
        <w:t xml:space="preserve">: </w:t>
      </w:r>
    </w:p>
    <w:p w:rsidR="00225CBC" w:rsidRDefault="00C902B6" w:rsidP="00F018FE">
      <w:pPr>
        <w:pStyle w:val="ListParagraph"/>
        <w:numPr>
          <w:ilvl w:val="0"/>
          <w:numId w:val="65"/>
        </w:numPr>
      </w:pPr>
      <w:r>
        <w:t>T</w:t>
      </w:r>
      <w:r w:rsidR="00225CBC">
        <w:t>o collect use cases for data access, transfer, replication and processing among different e-Infrastructures (EGI, EUDAT and PRACE</w:t>
      </w:r>
      <w:r>
        <w:t>):</w:t>
      </w:r>
      <w:r w:rsidR="00225CBC">
        <w:t xml:space="preserve"> </w:t>
      </w:r>
      <w:r>
        <w:t>t</w:t>
      </w:r>
      <w:r w:rsidR="00225CBC">
        <w:t>echnological and operational barriers shall be removed or mitigated as far as possible.</w:t>
      </w:r>
    </w:p>
    <w:p w:rsidR="00225CBC" w:rsidRDefault="00C902B6" w:rsidP="00F018FE">
      <w:pPr>
        <w:pStyle w:val="ListParagraph"/>
        <w:numPr>
          <w:ilvl w:val="0"/>
          <w:numId w:val="65"/>
        </w:numPr>
      </w:pPr>
      <w:r>
        <w:t>T</w:t>
      </w:r>
      <w:r w:rsidR="00225CBC">
        <w:t xml:space="preserve">o identify common data access and transfer tools and protocols </w:t>
      </w:r>
      <w:r>
        <w:t>that</w:t>
      </w:r>
      <w:r w:rsidR="00225CBC">
        <w:t xml:space="preserve"> can be provided by all three e-infrastructures</w:t>
      </w:r>
      <w:r>
        <w:t>,</w:t>
      </w:r>
      <w:r w:rsidR="00225CBC">
        <w:t xml:space="preserve"> and </w:t>
      </w:r>
      <w:r>
        <w:t>that</w:t>
      </w:r>
      <w:r w:rsidR="00225CBC">
        <w:t xml:space="preserve"> are useful for the collaborating user communities.</w:t>
      </w:r>
    </w:p>
    <w:p w:rsidR="00225CBC" w:rsidRDefault="00C902B6" w:rsidP="00F018FE">
      <w:pPr>
        <w:pStyle w:val="ListParagraph"/>
        <w:numPr>
          <w:ilvl w:val="0"/>
          <w:numId w:val="65"/>
        </w:numPr>
      </w:pPr>
      <w:r>
        <w:t>T</w:t>
      </w:r>
      <w:r w:rsidR="00225CBC">
        <w:t>o identify technology</w:t>
      </w:r>
      <w:r w:rsidR="00C36EB2">
        <w:t>, operational</w:t>
      </w:r>
      <w:r w:rsidR="00225CBC">
        <w:t xml:space="preserve"> and/or organisational gaps and suggest improvements </w:t>
      </w:r>
      <w:r w:rsidR="00C36EB2">
        <w:t>if</w:t>
      </w:r>
      <w:r w:rsidR="00225CBC">
        <w:t xml:space="preserve"> use cases cannot be realized across the three e-infrastructures.</w:t>
      </w:r>
    </w:p>
    <w:p w:rsidR="00302AFD" w:rsidRPr="00C60359" w:rsidRDefault="00302AFD" w:rsidP="005F50F4"/>
    <w:p w:rsidR="008633B1" w:rsidRDefault="008276BB" w:rsidP="008633B1">
      <w:pPr>
        <w:pStyle w:val="Heading1"/>
      </w:pPr>
      <w:bookmarkStart w:id="39" w:name="_Ref324140538"/>
      <w:bookmarkStart w:id="40" w:name="_Toc355730410"/>
      <w:r>
        <w:lastRenderedPageBreak/>
        <w:t>D</w:t>
      </w:r>
      <w:r w:rsidR="008633B1">
        <w:t>isciplines, Virtual Organizations and Users</w:t>
      </w:r>
      <w:bookmarkEnd w:id="39"/>
      <w:bookmarkEnd w:id="40"/>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Astronomy Astrophysics and Astro-Particle Physics, Life Sciences, Computations Chemistry, Earth Sciences, Fusion, High-Energy Physics, Infrastructure, and Others</w:t>
      </w:r>
      <w:r w:rsidR="00CF7B51">
        <w:rPr>
          <w:rStyle w:val="FootnoteReference"/>
          <w:szCs w:val="22"/>
        </w:rPr>
        <w:footnoteReference w:id="12"/>
      </w:r>
      <w:r w:rsidRPr="006B4B32">
        <w:rPr>
          <w:szCs w:val="22"/>
        </w:rPr>
        <w:t>.</w:t>
      </w:r>
      <w:r w:rsidR="00577F11">
        <w:rPr>
          <w:szCs w:val="22"/>
        </w:rPr>
        <w:t xml:space="preserve"> A new science classification was proposed in PY3 and discussed with user communities, which will adopted in PY4.</w:t>
      </w:r>
    </w:p>
    <w:p w:rsidR="008C4D99" w:rsidRDefault="00B93F3B" w:rsidP="002D0A14">
      <w:pPr>
        <w:rPr>
          <w:szCs w:val="22"/>
        </w:rPr>
      </w:pPr>
      <w:r w:rsidRPr="00B93F3B">
        <w:rPr>
          <w:szCs w:val="22"/>
        </w:rPr>
        <w:t>The overall number of international and national V</w:t>
      </w:r>
      <w:r w:rsidR="00894C0B">
        <w:rPr>
          <w:szCs w:val="22"/>
        </w:rPr>
        <w:t>O</w:t>
      </w:r>
      <w:r w:rsidRPr="00B93F3B">
        <w:rPr>
          <w:szCs w:val="22"/>
        </w:rPr>
        <w:t>s registered in the</w:t>
      </w:r>
      <w:r w:rsidR="002D0A14" w:rsidRPr="00B93F3B">
        <w:rPr>
          <w:szCs w:val="22"/>
        </w:rPr>
        <w:t xml:space="preserve"> Operations Portal</w:t>
      </w:r>
      <w:r w:rsidR="002D0A14" w:rsidRPr="00B93F3B">
        <w:rPr>
          <w:rStyle w:val="FootnoteReference"/>
          <w:szCs w:val="22"/>
        </w:rPr>
        <w:footnoteReference w:id="13"/>
      </w:r>
      <w:r w:rsidRPr="00B93F3B">
        <w:rPr>
          <w:szCs w:val="22"/>
        </w:rPr>
        <w:t xml:space="preserve"> at the en</w:t>
      </w:r>
      <w:r w:rsidR="00236E72">
        <w:rPr>
          <w:szCs w:val="22"/>
        </w:rPr>
        <w:t>d of March 2013</w:t>
      </w:r>
      <w:r w:rsidRPr="00B93F3B">
        <w:rPr>
          <w:szCs w:val="22"/>
        </w:rPr>
        <w:t xml:space="preserve"> amounts to </w:t>
      </w:r>
      <w:r w:rsidR="00236E72">
        <w:rPr>
          <w:szCs w:val="22"/>
        </w:rPr>
        <w:t>212</w:t>
      </w:r>
      <w:r w:rsidRPr="00B93F3B">
        <w:rPr>
          <w:szCs w:val="22"/>
        </w:rPr>
        <w:t xml:space="preserve"> (</w:t>
      </w:r>
      <w:r w:rsidR="00236E72">
        <w:rPr>
          <w:szCs w:val="22"/>
        </w:rPr>
        <w:t>-6.2% from March 2012</w:t>
      </w:r>
      <w:r w:rsidRPr="00B93F3B">
        <w:rPr>
          <w:szCs w:val="22"/>
        </w:rPr>
        <w:t xml:space="preserve">), including </w:t>
      </w:r>
      <w:r w:rsidR="00236E72">
        <w:rPr>
          <w:szCs w:val="22"/>
        </w:rPr>
        <w:t xml:space="preserve">22067 </w:t>
      </w:r>
      <w:r w:rsidR="00BC4451">
        <w:rPr>
          <w:szCs w:val="22"/>
        </w:rPr>
        <w:t xml:space="preserve">registered </w:t>
      </w:r>
      <w:r w:rsidR="002D0A14" w:rsidRPr="00B93F3B">
        <w:rPr>
          <w:szCs w:val="22"/>
        </w:rPr>
        <w:t>users</w:t>
      </w:r>
      <w:r w:rsidRPr="00B93F3B">
        <w:rPr>
          <w:szCs w:val="22"/>
        </w:rPr>
        <w:t xml:space="preserve"> </w:t>
      </w:r>
      <w:r w:rsidR="00236E72">
        <w:rPr>
          <w:szCs w:val="22"/>
        </w:rPr>
        <w:t>(+5.36% increase from March 2012</w:t>
      </w:r>
      <w:r w:rsidRPr="00B93F3B">
        <w:rPr>
          <w:szCs w:val="22"/>
        </w:rPr>
        <w:t>).</w:t>
      </w:r>
      <w:r w:rsidR="002D0A14" w:rsidRPr="00B93F3B">
        <w:rPr>
          <w:szCs w:val="22"/>
        </w:rPr>
        <w:t xml:space="preserve"> </w:t>
      </w:r>
      <w:r w:rsidR="00DF52F5">
        <w:rPr>
          <w:szCs w:val="22"/>
        </w:rPr>
        <w:t>The decrease in the number of VOs is due to a decommissioning campaign that started in 2013 targeted at inactive VOs.</w:t>
      </w:r>
    </w:p>
    <w:p w:rsidR="00C80E57" w:rsidRDefault="00BC4451" w:rsidP="002D0A14">
      <w:pPr>
        <w:rPr>
          <w:szCs w:val="22"/>
        </w:rPr>
      </w:pPr>
      <w:r>
        <w:rPr>
          <w:szCs w:val="22"/>
        </w:rPr>
        <w:t xml:space="preserve">Currently user statistics extracted from VO Membership Services do not provide information </w:t>
      </w:r>
      <w:r w:rsidR="008C4D99">
        <w:rPr>
          <w:szCs w:val="22"/>
        </w:rPr>
        <w:t xml:space="preserve">about the number of active users </w:t>
      </w:r>
      <w:r w:rsidR="00577F11">
        <w:rPr>
          <w:szCs w:val="22"/>
        </w:rPr>
        <w:t>that by interacting with the grid</w:t>
      </w:r>
      <w:r w:rsidR="00C902B6">
        <w:rPr>
          <w:szCs w:val="22"/>
        </w:rPr>
        <w:t xml:space="preserve"> through scientific gateways</w:t>
      </w:r>
      <w:r w:rsidR="00577F11">
        <w:rPr>
          <w:szCs w:val="22"/>
        </w:rPr>
        <w:t>,</w:t>
      </w:r>
      <w:r w:rsidR="00C902B6">
        <w:rPr>
          <w:szCs w:val="22"/>
        </w:rPr>
        <w:t xml:space="preserve"> are associated to</w:t>
      </w:r>
      <w:r w:rsidR="008C4D99">
        <w:rPr>
          <w:szCs w:val="22"/>
        </w:rPr>
        <w:t xml:space="preserve"> robot certificates</w:t>
      </w:r>
      <w:r>
        <w:rPr>
          <w:szCs w:val="22"/>
        </w:rPr>
        <w:t>.</w:t>
      </w:r>
      <w:r w:rsidR="008C4D99">
        <w:rPr>
          <w:szCs w:val="22"/>
        </w:rPr>
        <w:t xml:space="preserve"> </w:t>
      </w:r>
    </w:p>
    <w:p w:rsidR="008633B1" w:rsidRDefault="008633B1" w:rsidP="008633B1">
      <w:pPr>
        <w:pStyle w:val="Heading2"/>
      </w:pPr>
      <w:bookmarkStart w:id="41" w:name="_Toc355730411"/>
      <w:r>
        <w:t>VO Distribution</w:t>
      </w:r>
      <w:r w:rsidR="005A7ADD">
        <w:t xml:space="preserve"> across scientific fields</w:t>
      </w:r>
      <w:bookmarkEnd w:id="41"/>
    </w:p>
    <w:p w:rsidR="00B07BCE" w:rsidRDefault="00B07BCE" w:rsidP="00B07BCE">
      <w:r>
        <w:t>The disciplines which recorded the larger number of V</w:t>
      </w:r>
      <w:r w:rsidR="00894C0B">
        <w:t>O</w:t>
      </w:r>
      <w:r w:rsidR="005A13AB">
        <w:t>s during PY3</w:t>
      </w:r>
      <w:r w:rsidR="00577F11">
        <w:t xml:space="preserve"> are</w:t>
      </w:r>
      <w:r>
        <w:t>: High-En</w:t>
      </w:r>
      <w:r w:rsidR="009C1C5A">
        <w:t>ergy Physics (-7.7</w:t>
      </w:r>
      <w:r>
        <w:t xml:space="preserve">% </w:t>
      </w:r>
      <w:r w:rsidR="009C1C5A">
        <w:t xml:space="preserve">yearly </w:t>
      </w:r>
      <w:r w:rsidR="009C1C5A" w:rsidRPr="00F018FE">
        <w:rPr>
          <w:i/>
        </w:rPr>
        <w:t>relative</w:t>
      </w:r>
      <w:r w:rsidR="009C1C5A">
        <w:t xml:space="preserve"> de</w:t>
      </w:r>
      <w:r w:rsidR="00B91BE1">
        <w:t>crease</w:t>
      </w:r>
      <w:r w:rsidR="009C1C5A">
        <w:t>, with +3.92</w:t>
      </w:r>
      <w:r>
        <w:t>% of new users registered</w:t>
      </w:r>
      <w:r w:rsidR="00B91BE1">
        <w:t xml:space="preserve"> </w:t>
      </w:r>
      <w:r w:rsidR="009C1C5A">
        <w:t>yearly), Others (-10.8</w:t>
      </w:r>
      <w:r w:rsidR="00056FFF">
        <w:t>%</w:t>
      </w:r>
      <w:r w:rsidR="009C1C5A">
        <w:t>, with -4.71</w:t>
      </w:r>
      <w:r>
        <w:t>% of new users), Multidisciplinary V</w:t>
      </w:r>
      <w:r w:rsidR="00894C0B">
        <w:t>O</w:t>
      </w:r>
      <w:r w:rsidR="009C1C5A">
        <w:t>s (-7.9</w:t>
      </w:r>
      <w:r>
        <w:t>% V</w:t>
      </w:r>
      <w:r w:rsidR="00894C0B">
        <w:t>O</w:t>
      </w:r>
      <w:r w:rsidR="009C1C5A">
        <w:t>s and +14.03% users), Infrastructure (-3.4%</w:t>
      </w:r>
      <w:r>
        <w:t xml:space="preserve"> V</w:t>
      </w:r>
      <w:r w:rsidR="00894C0B">
        <w:t>O</w:t>
      </w:r>
      <w:r w:rsidR="009C1C5A">
        <w:t xml:space="preserve">s and </w:t>
      </w:r>
      <w:r w:rsidR="009C1C5A" w:rsidRPr="006D7465">
        <w:t>+</w:t>
      </w:r>
      <w:r w:rsidR="006D7465" w:rsidRPr="00F018FE">
        <w:t>6.6</w:t>
      </w:r>
      <w:r w:rsidRPr="00F00DFF">
        <w:t>% users</w:t>
      </w:r>
      <w:r>
        <w:t>), Astronomy Astrophysics a</w:t>
      </w:r>
      <w:r w:rsidR="009C1C5A">
        <w:t xml:space="preserve">nd Astro-particle Physics </w:t>
      </w:r>
      <w:r w:rsidR="00577F11">
        <w:t xml:space="preserve">(constant number of </w:t>
      </w:r>
      <w:r>
        <w:t>V</w:t>
      </w:r>
      <w:r w:rsidR="00894C0B">
        <w:t>O</w:t>
      </w:r>
      <w:r w:rsidR="009C1C5A">
        <w:t>s and -74.57% users), Life Sciences (+5.6</w:t>
      </w:r>
      <w:r>
        <w:t>% V</w:t>
      </w:r>
      <w:r w:rsidR="00894C0B">
        <w:t>O</w:t>
      </w:r>
      <w:r w:rsidR="009C1C5A">
        <w:t>s and +0.85% users), Earth Sciences (-16.7</w:t>
      </w:r>
      <w:r>
        <w:t>% V</w:t>
      </w:r>
      <w:r w:rsidR="00894C0B">
        <w:t>O</w:t>
      </w:r>
      <w:r w:rsidR="009C1C5A">
        <w:t>s and +2.78</w:t>
      </w:r>
      <w:r>
        <w:t>% users), Comp</w:t>
      </w:r>
      <w:r w:rsidR="009C1C5A">
        <w:t>uter Science and Mathematics (-16.7</w:t>
      </w:r>
      <w:r>
        <w:t>% V</w:t>
      </w:r>
      <w:r w:rsidR="00894C0B">
        <w:t>O</w:t>
      </w:r>
      <w:r w:rsidR="009C1C5A">
        <w:t>s and +11.90</w:t>
      </w:r>
      <w:r>
        <w:t>% users</w:t>
      </w:r>
      <w:r w:rsidR="009C1C5A">
        <w:t>), Computational Chemistry (</w:t>
      </w:r>
      <w:r w:rsidR="00577F11">
        <w:t>constant number of VOs</w:t>
      </w:r>
      <w:r w:rsidR="009C1C5A">
        <w:t xml:space="preserve"> and +1.65</w:t>
      </w:r>
      <w:r>
        <w:t>% u</w:t>
      </w:r>
      <w:r w:rsidR="009C1C5A">
        <w:t>sers) and Fusion (</w:t>
      </w:r>
      <w:r w:rsidR="000E5551">
        <w:t>constant number of</w:t>
      </w:r>
      <w:r>
        <w:t xml:space="preserve"> V</w:t>
      </w:r>
      <w:r w:rsidR="00894C0B">
        <w:t>O</w:t>
      </w:r>
      <w:r w:rsidR="009C1C5A">
        <w:t>s and +4.17</w:t>
      </w:r>
      <w:r>
        <w:t>% users).</w:t>
      </w:r>
    </w:p>
    <w:p w:rsidR="008554B0" w:rsidRDefault="008554B0" w:rsidP="00B07BCE">
      <w:r>
        <w:t>The distribution of V</w:t>
      </w:r>
      <w:r w:rsidR="00894C0B">
        <w:t>O</w:t>
      </w:r>
      <w:r>
        <w:t xml:space="preserve">s per discipline is illustrated in </w:t>
      </w:r>
      <w:r w:rsidR="00AC3922">
        <w:fldChar w:fldCharType="begin"/>
      </w:r>
      <w:r w:rsidR="00AC3922">
        <w:instrText xml:space="preserve"> REF _Ref323342283 \h </w:instrText>
      </w:r>
      <w:r w:rsidR="00AC3922">
        <w:fldChar w:fldCharType="separate"/>
      </w:r>
      <w:r w:rsidR="00A319E4">
        <w:t xml:space="preserve">Figure </w:t>
      </w:r>
      <w:r w:rsidR="00A319E4">
        <w:rPr>
          <w:noProof/>
        </w:rPr>
        <w:t>8</w:t>
      </w:r>
      <w:r w:rsidR="00AC3922">
        <w:fldChar w:fldCharType="end"/>
      </w:r>
      <w:r>
        <w:t>.</w:t>
      </w:r>
      <w:r w:rsidR="00AC3922">
        <w:t xml:space="preserve"> Disciplines that </w:t>
      </w:r>
      <w:r w:rsidR="000E5551">
        <w:t xml:space="preserve">in PY3 </w:t>
      </w:r>
      <w:r w:rsidR="00AC3922">
        <w:t xml:space="preserve">have increased their </w:t>
      </w:r>
      <w:r w:rsidR="000E5551">
        <w:t>fraction of users in comparison with the</w:t>
      </w:r>
      <w:r w:rsidR="00AC3922">
        <w:t xml:space="preserve"> </w:t>
      </w:r>
      <w:r w:rsidR="000E5551">
        <w:t xml:space="preserve">total number </w:t>
      </w:r>
      <w:r w:rsidR="00AC3922">
        <w:t>are</w:t>
      </w:r>
      <w:r w:rsidR="000E5551">
        <w:t>:</w:t>
      </w:r>
      <w:r w:rsidR="00AC3922">
        <w:t xml:space="preserve"> </w:t>
      </w:r>
      <w:r w:rsidR="000B78DD">
        <w:t>Infrastructure (13.2</w:t>
      </w:r>
      <w:r w:rsidR="00AC3922">
        <w:t xml:space="preserve">%), </w:t>
      </w:r>
      <w:r w:rsidR="000B78DD">
        <w:t>A</w:t>
      </w:r>
      <w:r w:rsidR="00AC3922">
        <w:t>stronomy Astrophysics a</w:t>
      </w:r>
      <w:r w:rsidR="000B78DD">
        <w:t>nd Astro-particles Physics (12.</w:t>
      </w:r>
      <w:r w:rsidR="008A0B47">
        <w:t>7</w:t>
      </w:r>
      <w:r w:rsidR="00AC3922">
        <w:t>%)</w:t>
      </w:r>
      <w:r w:rsidR="000B78DD">
        <w:t xml:space="preserve"> and Life Science</w:t>
      </w:r>
      <w:r w:rsidR="000E5551">
        <w:t>s</w:t>
      </w:r>
      <w:r w:rsidR="000B78DD">
        <w:t xml:space="preserve"> (</w:t>
      </w:r>
      <w:r w:rsidR="00623ED2">
        <w:t>9</w:t>
      </w:r>
      <w:r w:rsidR="000B78DD">
        <w:t>%)</w:t>
      </w:r>
      <w:r w:rsidR="00AC3922">
        <w:t>.</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F00DFF" w:rsidP="00F00DFF">
      <w:pPr>
        <w:jc w:val="center"/>
        <w:rPr>
          <w:noProof/>
          <w:lang w:eastAsia="en-GB"/>
        </w:rPr>
      </w:pPr>
      <w:r>
        <w:rPr>
          <w:noProof/>
          <w:lang w:eastAsia="en-GB"/>
        </w:rPr>
        <w:lastRenderedPageBreak/>
        <w:drawing>
          <wp:inline distT="0" distB="0" distL="0" distR="0" wp14:anchorId="4A8A919C" wp14:editId="4100DF6C">
            <wp:extent cx="4590654" cy="2999232"/>
            <wp:effectExtent l="0" t="0" r="635" b="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3164" cy="3000872"/>
                    </a:xfrm>
                    <a:prstGeom prst="rect">
                      <a:avLst/>
                    </a:prstGeom>
                    <a:noFill/>
                  </pic:spPr>
                </pic:pic>
              </a:graphicData>
            </a:graphic>
          </wp:inline>
        </w:drawing>
      </w:r>
    </w:p>
    <w:p w:rsidR="008554B0" w:rsidRDefault="008554B0" w:rsidP="008554B0">
      <w:pPr>
        <w:pStyle w:val="Caption"/>
        <w:jc w:val="center"/>
      </w:pPr>
      <w:bookmarkStart w:id="42" w:name="_Toc355730451"/>
      <w:r>
        <w:t xml:space="preserve">Figure </w:t>
      </w:r>
      <w:r w:rsidR="00A560B1">
        <w:fldChar w:fldCharType="begin"/>
      </w:r>
      <w:r w:rsidR="00A560B1">
        <w:instrText xml:space="preserve"> SEQ Figure \* ARABIC </w:instrText>
      </w:r>
      <w:r w:rsidR="00A560B1">
        <w:fldChar w:fldCharType="separate"/>
      </w:r>
      <w:r w:rsidR="00A319E4">
        <w:rPr>
          <w:noProof/>
        </w:rPr>
        <w:t>7</w:t>
      </w:r>
      <w:r w:rsidR="00A560B1">
        <w:rPr>
          <w:noProof/>
        </w:rPr>
        <w:fldChar w:fldCharType="end"/>
      </w:r>
      <w:r>
        <w:t>. Distribution of number V</w:t>
      </w:r>
      <w:r w:rsidR="00894C0B">
        <w:t>O</w:t>
      </w:r>
      <w:r w:rsidR="0096377B">
        <w:t>s per discipline (March 2013</w:t>
      </w:r>
      <w:r>
        <w:t>, source: Operations Portal).</w:t>
      </w:r>
      <w:bookmarkEnd w:id="42"/>
    </w:p>
    <w:p w:rsidR="003D0B1B" w:rsidRDefault="0096377B" w:rsidP="003D0B1B">
      <w:pPr>
        <w:jc w:val="center"/>
      </w:pPr>
      <w:r>
        <w:rPr>
          <w:noProof/>
          <w:lang w:eastAsia="en-GB"/>
        </w:rPr>
        <w:drawing>
          <wp:inline distT="0" distB="0" distL="0" distR="0" wp14:anchorId="5987F7B1" wp14:editId="503629C0">
            <wp:extent cx="5749925" cy="3740150"/>
            <wp:effectExtent l="0" t="0" r="3175" b="0"/>
            <wp:docPr id="4" name="Picture 4" descr="C:\Users\Krakowian\Desktop\D4.5\png\Comparison of the number of VOper discip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9925" cy="3740150"/>
                    </a:xfrm>
                    <a:prstGeom prst="rect">
                      <a:avLst/>
                    </a:prstGeom>
                    <a:noFill/>
                    <a:ln>
                      <a:noFill/>
                    </a:ln>
                  </pic:spPr>
                </pic:pic>
              </a:graphicData>
            </a:graphic>
          </wp:inline>
        </w:drawing>
      </w:r>
    </w:p>
    <w:p w:rsidR="00A83A78" w:rsidRPr="002D0A14" w:rsidRDefault="00A83A78" w:rsidP="00A83A78">
      <w:pPr>
        <w:pStyle w:val="Caption"/>
        <w:jc w:val="center"/>
      </w:pPr>
      <w:bookmarkStart w:id="43" w:name="_Ref323342283"/>
      <w:bookmarkStart w:id="44" w:name="_Toc355730452"/>
      <w:r>
        <w:t xml:space="preserve">Figure </w:t>
      </w:r>
      <w:r w:rsidR="00A560B1">
        <w:fldChar w:fldCharType="begin"/>
      </w:r>
      <w:r w:rsidR="00A560B1">
        <w:instrText xml:space="preserve"> SEQ Figure \* ARABIC </w:instrText>
      </w:r>
      <w:r w:rsidR="00A560B1">
        <w:fldChar w:fldCharType="separate"/>
      </w:r>
      <w:r w:rsidR="00A319E4">
        <w:rPr>
          <w:noProof/>
        </w:rPr>
        <w:t>8</w:t>
      </w:r>
      <w:r w:rsidR="00A560B1">
        <w:rPr>
          <w:noProof/>
        </w:rPr>
        <w:fldChar w:fldCharType="end"/>
      </w:r>
      <w:bookmarkEnd w:id="43"/>
      <w:r>
        <w:t xml:space="preserve">. </w:t>
      </w:r>
      <w:r w:rsidR="00AC3922">
        <w:t>Comparison of the VO distribution at the</w:t>
      </w:r>
      <w:r w:rsidR="0096377B">
        <w:t xml:space="preserve"> end of March 2011 (blue bars),</w:t>
      </w:r>
      <w:r w:rsidR="00AC3922">
        <w:t xml:space="preserve"> at the end of March 2012 (red bars)</w:t>
      </w:r>
      <w:r w:rsidR="0096377B">
        <w:t xml:space="preserve"> and at the end of March 2013 (green bars)</w:t>
      </w:r>
      <w:r w:rsidR="00AC3922">
        <w:t>.</w:t>
      </w:r>
      <w:r w:rsidR="00AC140B">
        <w:t xml:space="preserve"> Source: Operations Portal.</w:t>
      </w:r>
      <w:bookmarkEnd w:id="44"/>
    </w:p>
    <w:p w:rsidR="008633B1" w:rsidRDefault="008633B1" w:rsidP="008633B1">
      <w:pPr>
        <w:pStyle w:val="Heading2"/>
      </w:pPr>
      <w:bookmarkStart w:id="45" w:name="_Toc355730412"/>
      <w:r>
        <w:lastRenderedPageBreak/>
        <w:t>User Distribution</w:t>
      </w:r>
      <w:r w:rsidR="005A7ADD">
        <w:t xml:space="preserve"> across scientific fields</w:t>
      </w:r>
      <w:bookmarkEnd w:id="45"/>
    </w:p>
    <w:p w:rsidR="001D5C64" w:rsidRDefault="00BA7422" w:rsidP="005A7ADD">
      <w:r>
        <w:t>The largest disciplines in terms of number of registered users are</w:t>
      </w:r>
      <w:r w:rsidR="004448A7">
        <w:t xml:space="preserve">: </w:t>
      </w:r>
      <w:r w:rsidR="000D4888">
        <w:t>High Energy Physics (38.60%), Others (17.50</w:t>
      </w:r>
      <w:r w:rsidR="004448A7">
        <w:t>%) and Multidisciplinary V</w:t>
      </w:r>
      <w:r w:rsidR="00894C0B">
        <w:t>O</w:t>
      </w:r>
      <w:r w:rsidR="000D4888">
        <w:t>s (16.47</w:t>
      </w:r>
      <w:r w:rsidR="004448A7">
        <w:t>%).</w:t>
      </w:r>
      <w:r w:rsidR="006F19C2">
        <w:t xml:space="preserve"> </w:t>
      </w:r>
      <w:r w:rsidR="000D4888">
        <w:t>During PY3</w:t>
      </w:r>
      <w:r w:rsidR="00C21E4B">
        <w:t xml:space="preserve"> the number of registered users for </w:t>
      </w:r>
      <w:r w:rsidR="000D4888">
        <w:t>some disciplines</w:t>
      </w:r>
      <w:r w:rsidR="00C21E4B">
        <w:t xml:space="preserve"> has increased</w:t>
      </w:r>
      <w:r w:rsidR="00001845">
        <w:t>:</w:t>
      </w:r>
      <w:r w:rsidR="00C21E4B">
        <w:t xml:space="preserve"> </w:t>
      </w:r>
      <w:r w:rsidR="000D4888">
        <w:t>Infrastructure (+</w:t>
      </w:r>
      <w:r w:rsidR="00001845">
        <w:t>6.6</w:t>
      </w:r>
      <w:r w:rsidR="00C21E4B">
        <w:t>%)</w:t>
      </w:r>
      <w:r w:rsidR="00001845">
        <w:t>,</w:t>
      </w:r>
      <w:r w:rsidR="00FC6EF5">
        <w:t xml:space="preserve"> </w:t>
      </w:r>
      <w:r w:rsidR="00001845">
        <w:t>Multidisciplinary VOs (+13.03%), Astronomy Astrophysics and Astro</w:t>
      </w:r>
      <w:r w:rsidR="006F19C2">
        <w:t>-</w:t>
      </w:r>
      <w:r w:rsidR="00001845">
        <w:t xml:space="preserve">particle Physics (+6.81) and Computer Science (+11.90%). </w:t>
      </w:r>
      <w:r w:rsidR="007630B9">
        <w:t>The detailed user distribution per discipline is present</w:t>
      </w:r>
      <w:r w:rsidR="003D0B1B">
        <w:t>ed in Appendix.</w:t>
      </w:r>
    </w:p>
    <w:p w:rsidR="003D0B1B" w:rsidRDefault="00001845" w:rsidP="003D0B1B">
      <w:pPr>
        <w:jc w:val="center"/>
        <w:rPr>
          <w:noProof/>
          <w:lang w:eastAsia="en-GB"/>
        </w:rPr>
      </w:pPr>
      <w:r>
        <w:rPr>
          <w:noProof/>
          <w:lang w:eastAsia="en-GB"/>
        </w:rPr>
        <w:drawing>
          <wp:inline distT="0" distB="0" distL="0" distR="0" wp14:anchorId="48EC8C88" wp14:editId="35D818D2">
            <wp:extent cx="4577799" cy="2990850"/>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0665" cy="2992722"/>
                    </a:xfrm>
                    <a:prstGeom prst="rect">
                      <a:avLst/>
                    </a:prstGeom>
                    <a:noFill/>
                  </pic:spPr>
                </pic:pic>
              </a:graphicData>
            </a:graphic>
          </wp:inline>
        </w:drawing>
      </w:r>
    </w:p>
    <w:p w:rsidR="004448A7" w:rsidRDefault="004448A7" w:rsidP="004448A7">
      <w:pPr>
        <w:pStyle w:val="Caption"/>
        <w:jc w:val="center"/>
      </w:pPr>
      <w:bookmarkStart w:id="46" w:name="_Toc355730453"/>
      <w:r>
        <w:t xml:space="preserve">Figure </w:t>
      </w:r>
      <w:r w:rsidR="00A560B1">
        <w:fldChar w:fldCharType="begin"/>
      </w:r>
      <w:r w:rsidR="00A560B1">
        <w:instrText xml:space="preserve"> SEQ Figure \* ARABIC </w:instrText>
      </w:r>
      <w:r w:rsidR="00A560B1">
        <w:fldChar w:fldCharType="separate"/>
      </w:r>
      <w:r w:rsidR="00A319E4">
        <w:rPr>
          <w:noProof/>
        </w:rPr>
        <w:t>9</w:t>
      </w:r>
      <w:r w:rsidR="00A560B1">
        <w:rPr>
          <w:noProof/>
        </w:rPr>
        <w:fldChar w:fldCharType="end"/>
      </w:r>
      <w:r>
        <w:t>. User distribution per discipline (March 201</w:t>
      </w:r>
      <w:r w:rsidR="0096377B">
        <w:t>3</w:t>
      </w:r>
      <w:r>
        <w:t>, source: Operations Portal)</w:t>
      </w:r>
      <w:bookmarkEnd w:id="46"/>
    </w:p>
    <w:p w:rsidR="004F659B" w:rsidRPr="0096377B" w:rsidRDefault="006F19C2" w:rsidP="003D0B1B">
      <w:pPr>
        <w:jc w:val="center"/>
        <w:rPr>
          <w:noProof/>
          <w:lang w:eastAsia="en-GB"/>
        </w:rPr>
      </w:pPr>
      <w:r>
        <w:rPr>
          <w:noProof/>
          <w:lang w:eastAsia="en-GB"/>
        </w:rPr>
        <w:drawing>
          <wp:inline distT="0" distB="0" distL="0" distR="0" wp14:anchorId="3E3CFAD8" wp14:editId="4470000B">
            <wp:extent cx="4602770" cy="3008441"/>
            <wp:effectExtent l="0" t="0" r="7620" b="190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4417" cy="3009518"/>
                    </a:xfrm>
                    <a:prstGeom prst="rect">
                      <a:avLst/>
                    </a:prstGeom>
                    <a:noFill/>
                  </pic:spPr>
                </pic:pic>
              </a:graphicData>
            </a:graphic>
          </wp:inline>
        </w:drawing>
      </w:r>
    </w:p>
    <w:p w:rsidR="004F659B" w:rsidRPr="005A7ADD" w:rsidRDefault="004448A7" w:rsidP="003D0B1B">
      <w:pPr>
        <w:pStyle w:val="Caption"/>
        <w:jc w:val="center"/>
      </w:pPr>
      <w:bookmarkStart w:id="47" w:name="_Toc355730454"/>
      <w:r>
        <w:t xml:space="preserve">Figure </w:t>
      </w:r>
      <w:r w:rsidR="00A560B1">
        <w:fldChar w:fldCharType="begin"/>
      </w:r>
      <w:r w:rsidR="00A560B1">
        <w:instrText xml:space="preserve"> SEQ Figure \* ARABIC </w:instrText>
      </w:r>
      <w:r w:rsidR="00A560B1">
        <w:fldChar w:fldCharType="separate"/>
      </w:r>
      <w:r w:rsidR="00A319E4">
        <w:rPr>
          <w:noProof/>
        </w:rPr>
        <w:t>10</w:t>
      </w:r>
      <w:r w:rsidR="00A560B1">
        <w:rPr>
          <w:noProof/>
        </w:rPr>
        <w:fldChar w:fldCharType="end"/>
      </w:r>
      <w:r>
        <w:t>. Comparison of the number of users per disc</w:t>
      </w:r>
      <w:r w:rsidR="0096377B">
        <w:t xml:space="preserve">ipline in April 2011 (blue bar), </w:t>
      </w:r>
      <w:r>
        <w:t>April 2012 (red bar)</w:t>
      </w:r>
      <w:r w:rsidR="0096377B">
        <w:t xml:space="preserve"> and at the end of March 2013 (green bars)</w:t>
      </w:r>
      <w:r>
        <w:t>.</w:t>
      </w:r>
      <w:r w:rsidR="00AC140B">
        <w:t xml:space="preserve"> Source: Operations Portal.</w:t>
      </w:r>
      <w:bookmarkEnd w:id="47"/>
    </w:p>
    <w:p w:rsidR="008633B1" w:rsidRDefault="008633B1" w:rsidP="008633B1">
      <w:pPr>
        <w:pStyle w:val="Heading2"/>
      </w:pPr>
      <w:bookmarkStart w:id="48" w:name="_Toc355730413"/>
      <w:r>
        <w:lastRenderedPageBreak/>
        <w:t>Resource Utilizatio</w:t>
      </w:r>
      <w:r w:rsidR="002A03B2">
        <w:t>n per Discipline</w:t>
      </w:r>
      <w:bookmarkEnd w:id="48"/>
    </w:p>
    <w:p w:rsidR="004B58B8" w:rsidRPr="00C95D87" w:rsidRDefault="004B58B8" w:rsidP="00F018FE">
      <w:pPr>
        <w:pStyle w:val="Caption"/>
        <w:jc w:val="center"/>
      </w:pPr>
      <w:bookmarkStart w:id="49" w:name="_Ref354657709"/>
      <w:r>
        <w:t xml:space="preserve">Table </w:t>
      </w:r>
      <w:r w:rsidR="00A560B1">
        <w:fldChar w:fldCharType="begin"/>
      </w:r>
      <w:r w:rsidR="00A560B1">
        <w:instrText xml:space="preserve"> SEQ Table \* ARABIC </w:instrText>
      </w:r>
      <w:r w:rsidR="00A560B1">
        <w:fldChar w:fldCharType="separate"/>
      </w:r>
      <w:r w:rsidR="00A319E4">
        <w:rPr>
          <w:noProof/>
        </w:rPr>
        <w:t>7</w:t>
      </w:r>
      <w:r w:rsidR="00A560B1">
        <w:rPr>
          <w:noProof/>
        </w:rPr>
        <w:fldChar w:fldCharType="end"/>
      </w:r>
      <w:bookmarkEnd w:id="49"/>
      <w:r>
        <w:t>. Cumulative compute resource utilization (number of executed jobs and normalized CPU wall time).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6B4B32" w:rsidTr="00F018FE">
        <w:trPr>
          <w:jc w:val="center"/>
        </w:trPr>
        <w:tc>
          <w:tcPr>
            <w:tcW w:w="3323" w:type="dxa"/>
            <w:tcBorders>
              <w:bottom w:val="single" w:sz="4" w:space="0" w:color="auto"/>
            </w:tcBorders>
            <w:shd w:val="clear" w:color="auto" w:fill="D9D9D9"/>
          </w:tcPr>
          <w:p w:rsidR="00BB68D3" w:rsidRDefault="00BB68D3" w:rsidP="00C95D87">
            <w:pPr>
              <w:rPr>
                <w:b/>
                <w:szCs w:val="22"/>
              </w:rPr>
            </w:pPr>
            <w:r>
              <w:rPr>
                <w:b/>
                <w:szCs w:val="22"/>
              </w:rPr>
              <w:t>Metric</w:t>
            </w:r>
          </w:p>
        </w:tc>
        <w:tc>
          <w:tcPr>
            <w:tcW w:w="2088" w:type="dxa"/>
            <w:tcBorders>
              <w:bottom w:val="single" w:sz="4" w:space="0" w:color="auto"/>
            </w:tcBorders>
            <w:shd w:val="clear" w:color="auto" w:fill="D9D9D9"/>
          </w:tcPr>
          <w:p w:rsidR="00BB68D3" w:rsidRPr="005F50F4" w:rsidRDefault="00BB68D3" w:rsidP="00C95D87">
            <w:pPr>
              <w:rPr>
                <w:b/>
                <w:szCs w:val="22"/>
              </w:rPr>
            </w:pPr>
            <w:r>
              <w:rPr>
                <w:b/>
                <w:szCs w:val="22"/>
              </w:rPr>
              <w:t>Period</w:t>
            </w:r>
          </w:p>
        </w:tc>
        <w:tc>
          <w:tcPr>
            <w:tcW w:w="851" w:type="dxa"/>
            <w:shd w:val="clear" w:color="auto" w:fill="D9D9D9"/>
          </w:tcPr>
          <w:p w:rsidR="00BB68D3" w:rsidRPr="005F50F4" w:rsidRDefault="00BB68D3" w:rsidP="00C95D87">
            <w:pPr>
              <w:rPr>
                <w:b/>
                <w:szCs w:val="22"/>
              </w:rPr>
            </w:pPr>
            <w:r>
              <w:rPr>
                <w:b/>
                <w:szCs w:val="22"/>
              </w:rPr>
              <w:t>Metric value</w:t>
            </w:r>
          </w:p>
        </w:tc>
        <w:tc>
          <w:tcPr>
            <w:tcW w:w="986" w:type="dxa"/>
            <w:shd w:val="clear" w:color="auto" w:fill="D9D9D9"/>
          </w:tcPr>
          <w:p w:rsidR="00BB68D3" w:rsidRPr="005F50F4" w:rsidRDefault="00BB68D3" w:rsidP="00C95D87">
            <w:pPr>
              <w:rPr>
                <w:b/>
                <w:szCs w:val="22"/>
              </w:rPr>
            </w:pPr>
            <w:r>
              <w:rPr>
                <w:b/>
                <w:szCs w:val="22"/>
              </w:rPr>
              <w:t>Yearly increase (%)</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Cumulative number of executed jobs - Million</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320.7</w:t>
            </w:r>
          </w:p>
        </w:tc>
        <w:tc>
          <w:tcPr>
            <w:tcW w:w="986" w:type="dxa"/>
            <w:shd w:val="clear" w:color="auto" w:fill="auto"/>
          </w:tcPr>
          <w:p w:rsidR="00BB68D3" w:rsidRPr="006B4B32"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485.1</w:t>
            </w:r>
          </w:p>
        </w:tc>
        <w:tc>
          <w:tcPr>
            <w:tcW w:w="986" w:type="dxa"/>
            <w:shd w:val="clear" w:color="auto" w:fill="auto"/>
          </w:tcPr>
          <w:p w:rsidR="00BB68D3" w:rsidRDefault="00BB68D3" w:rsidP="00C95D87">
            <w:pPr>
              <w:jc w:val="center"/>
              <w:rPr>
                <w:sz w:val="18"/>
                <w:szCs w:val="18"/>
              </w:rPr>
            </w:pPr>
            <w:r>
              <w:rPr>
                <w:sz w:val="18"/>
                <w:szCs w:val="18"/>
              </w:rPr>
              <w:t>+51</w:t>
            </w:r>
            <w:r w:rsidR="002B1FBD">
              <w:rPr>
                <w:sz w:val="18"/>
                <w:szCs w:val="18"/>
              </w:rPr>
              <w:t>.3</w:t>
            </w:r>
            <w:r>
              <w:rPr>
                <w:sz w:val="18"/>
                <w:szCs w:val="18"/>
              </w:rPr>
              <w:t>%</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524.0</w:t>
            </w:r>
          </w:p>
        </w:tc>
        <w:tc>
          <w:tcPr>
            <w:tcW w:w="986" w:type="dxa"/>
            <w:shd w:val="clear" w:color="auto" w:fill="auto"/>
          </w:tcPr>
          <w:p w:rsidR="00BB68D3" w:rsidRDefault="00BB68D3" w:rsidP="00C95D87">
            <w:pPr>
              <w:jc w:val="center"/>
              <w:rPr>
                <w:sz w:val="18"/>
                <w:szCs w:val="18"/>
              </w:rPr>
            </w:pPr>
            <w:r>
              <w:rPr>
                <w:sz w:val="18"/>
                <w:szCs w:val="18"/>
              </w:rPr>
              <w:t>+8</w:t>
            </w:r>
            <w:r w:rsidR="002B1FBD">
              <w:rPr>
                <w:sz w:val="18"/>
                <w:szCs w:val="18"/>
              </w:rPr>
              <w:t>.0</w:t>
            </w:r>
            <w:r>
              <w:rPr>
                <w:sz w:val="18"/>
                <w:szCs w:val="18"/>
              </w:rPr>
              <w:t>%</w:t>
            </w:r>
          </w:p>
        </w:tc>
      </w:tr>
      <w:tr w:rsidR="00BB68D3" w:rsidRPr="006B4B32" w:rsidTr="00F018FE">
        <w:trPr>
          <w:jc w:val="center"/>
        </w:trPr>
        <w:tc>
          <w:tcPr>
            <w:tcW w:w="3323" w:type="dxa"/>
            <w:vMerge w:val="restart"/>
            <w:shd w:val="clear" w:color="auto" w:fill="F2F2F2"/>
            <w:vAlign w:val="center"/>
          </w:tcPr>
          <w:p w:rsidR="00BB68D3" w:rsidRDefault="00BB68D3" w:rsidP="00F018FE">
            <w:pPr>
              <w:jc w:val="center"/>
              <w:rPr>
                <w:sz w:val="18"/>
                <w:szCs w:val="18"/>
              </w:rPr>
            </w:pPr>
            <w:r>
              <w:rPr>
                <w:sz w:val="18"/>
                <w:szCs w:val="18"/>
              </w:rPr>
              <w:t>Normalized CPU wall time (HEP-SPEC06) – Billion hours</w:t>
            </w:r>
          </w:p>
        </w:tc>
        <w:tc>
          <w:tcPr>
            <w:tcW w:w="2088" w:type="dxa"/>
            <w:shd w:val="clear" w:color="auto" w:fill="F2F2F2"/>
          </w:tcPr>
          <w:p w:rsidR="00BB68D3" w:rsidRDefault="00BB68D3" w:rsidP="00C95D87">
            <w:pPr>
              <w:rPr>
                <w:sz w:val="18"/>
                <w:szCs w:val="18"/>
              </w:rPr>
            </w:pPr>
            <w:r>
              <w:rPr>
                <w:sz w:val="18"/>
                <w:szCs w:val="18"/>
              </w:rPr>
              <w:t>Apr 2010 - Mar 2011</w:t>
            </w:r>
          </w:p>
        </w:tc>
        <w:tc>
          <w:tcPr>
            <w:tcW w:w="851" w:type="dxa"/>
          </w:tcPr>
          <w:p w:rsidR="00BB68D3" w:rsidRDefault="00BB68D3" w:rsidP="00C95D87">
            <w:pPr>
              <w:jc w:val="center"/>
              <w:rPr>
                <w:sz w:val="18"/>
                <w:szCs w:val="18"/>
              </w:rPr>
            </w:pPr>
            <w:r>
              <w:rPr>
                <w:sz w:val="18"/>
                <w:szCs w:val="18"/>
              </w:rPr>
              <w:t>6.37</w:t>
            </w:r>
          </w:p>
        </w:tc>
        <w:tc>
          <w:tcPr>
            <w:tcW w:w="986" w:type="dxa"/>
            <w:shd w:val="clear" w:color="auto" w:fill="auto"/>
          </w:tcPr>
          <w:p w:rsidR="00BB68D3" w:rsidRDefault="00BB68D3" w:rsidP="00C95D87">
            <w:pPr>
              <w:jc w:val="center"/>
              <w:rPr>
                <w:sz w:val="18"/>
                <w:szCs w:val="18"/>
              </w:rPr>
            </w:pP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2011 – Mar 2012</w:t>
            </w:r>
          </w:p>
        </w:tc>
        <w:tc>
          <w:tcPr>
            <w:tcW w:w="851" w:type="dxa"/>
          </w:tcPr>
          <w:p w:rsidR="00BB68D3" w:rsidRDefault="00BB68D3" w:rsidP="00C95D87">
            <w:pPr>
              <w:jc w:val="center"/>
              <w:rPr>
                <w:sz w:val="18"/>
                <w:szCs w:val="18"/>
              </w:rPr>
            </w:pPr>
            <w:r>
              <w:rPr>
                <w:sz w:val="18"/>
                <w:szCs w:val="18"/>
              </w:rPr>
              <w:t>10.27</w:t>
            </w:r>
          </w:p>
        </w:tc>
        <w:tc>
          <w:tcPr>
            <w:tcW w:w="986" w:type="dxa"/>
            <w:shd w:val="clear" w:color="auto" w:fill="auto"/>
          </w:tcPr>
          <w:p w:rsidR="00BB68D3" w:rsidRDefault="00BB68D3" w:rsidP="00C95D87">
            <w:pPr>
              <w:jc w:val="center"/>
              <w:rPr>
                <w:sz w:val="18"/>
                <w:szCs w:val="18"/>
              </w:rPr>
            </w:pPr>
            <w:r>
              <w:rPr>
                <w:sz w:val="18"/>
                <w:szCs w:val="18"/>
              </w:rPr>
              <w:t>61.3%</w:t>
            </w:r>
          </w:p>
        </w:tc>
      </w:tr>
      <w:tr w:rsidR="00BB68D3" w:rsidRPr="006B4B32" w:rsidTr="00F018FE">
        <w:trPr>
          <w:jc w:val="center"/>
        </w:trPr>
        <w:tc>
          <w:tcPr>
            <w:tcW w:w="3323" w:type="dxa"/>
            <w:vMerge/>
            <w:shd w:val="clear" w:color="auto" w:fill="F2F2F2"/>
          </w:tcPr>
          <w:p w:rsidR="00BB68D3" w:rsidRDefault="00BB68D3" w:rsidP="00C95D87">
            <w:pPr>
              <w:rPr>
                <w:sz w:val="18"/>
                <w:szCs w:val="18"/>
              </w:rPr>
            </w:pPr>
          </w:p>
        </w:tc>
        <w:tc>
          <w:tcPr>
            <w:tcW w:w="2088" w:type="dxa"/>
            <w:shd w:val="clear" w:color="auto" w:fill="F2F2F2"/>
          </w:tcPr>
          <w:p w:rsidR="00BB68D3" w:rsidRDefault="00BB68D3" w:rsidP="00C95D87">
            <w:pPr>
              <w:rPr>
                <w:sz w:val="18"/>
                <w:szCs w:val="18"/>
              </w:rPr>
            </w:pPr>
            <w:r>
              <w:rPr>
                <w:sz w:val="18"/>
                <w:szCs w:val="18"/>
              </w:rPr>
              <w:t>Apr 2012 – Mar 2013</w:t>
            </w:r>
          </w:p>
        </w:tc>
        <w:tc>
          <w:tcPr>
            <w:tcW w:w="851" w:type="dxa"/>
          </w:tcPr>
          <w:p w:rsidR="00BB68D3" w:rsidRDefault="00BB68D3" w:rsidP="00C95D87">
            <w:pPr>
              <w:jc w:val="center"/>
              <w:rPr>
                <w:sz w:val="18"/>
                <w:szCs w:val="18"/>
              </w:rPr>
            </w:pPr>
            <w:r>
              <w:rPr>
                <w:sz w:val="18"/>
                <w:szCs w:val="18"/>
              </w:rPr>
              <w:t>14.99</w:t>
            </w:r>
          </w:p>
        </w:tc>
        <w:tc>
          <w:tcPr>
            <w:tcW w:w="986" w:type="dxa"/>
            <w:shd w:val="clear" w:color="auto" w:fill="auto"/>
          </w:tcPr>
          <w:p w:rsidR="00BB68D3" w:rsidRDefault="00BB68D3" w:rsidP="00C95D87">
            <w:pPr>
              <w:jc w:val="center"/>
              <w:rPr>
                <w:sz w:val="18"/>
                <w:szCs w:val="18"/>
              </w:rPr>
            </w:pPr>
            <w:r>
              <w:rPr>
                <w:sz w:val="18"/>
                <w:szCs w:val="18"/>
              </w:rPr>
              <w:t>45.8%</w:t>
            </w:r>
          </w:p>
        </w:tc>
      </w:tr>
    </w:tbl>
    <w:p w:rsidR="003C2BC5" w:rsidRDefault="003C2BC5" w:rsidP="002A03B2">
      <w:pPr>
        <w:rPr>
          <w:noProof/>
          <w:lang w:eastAsia="en-GB"/>
        </w:rPr>
      </w:pPr>
    </w:p>
    <w:p w:rsidR="004B58B8" w:rsidRDefault="00DF52F5" w:rsidP="002A03B2">
      <w:pPr>
        <w:rPr>
          <w:noProof/>
          <w:lang w:eastAsia="en-GB"/>
        </w:rPr>
      </w:pPr>
      <w:r>
        <w:rPr>
          <w:noProof/>
          <w:lang w:eastAsia="en-GB"/>
        </w:rPr>
        <w:t>The o</w:t>
      </w:r>
      <w:r w:rsidR="002A03B2" w:rsidRPr="004F65C2">
        <w:rPr>
          <w:noProof/>
          <w:lang w:eastAsia="en-GB"/>
        </w:rPr>
        <w:t xml:space="preserve">verall </w:t>
      </w:r>
      <w:r>
        <w:rPr>
          <w:noProof/>
          <w:lang w:eastAsia="en-GB"/>
        </w:rPr>
        <w:t xml:space="preserve">compute </w:t>
      </w:r>
      <w:r w:rsidR="002A03B2" w:rsidRPr="004F65C2">
        <w:rPr>
          <w:noProof/>
          <w:lang w:eastAsia="en-GB"/>
        </w:rPr>
        <w:t>resource u</w:t>
      </w:r>
      <w:r w:rsidR="00D30516">
        <w:rPr>
          <w:noProof/>
          <w:lang w:eastAsia="en-GB"/>
        </w:rPr>
        <w:t>sage</w:t>
      </w:r>
      <w:r w:rsidR="002A03B2" w:rsidRPr="004F65C2">
        <w:rPr>
          <w:noProof/>
          <w:lang w:eastAsia="en-GB"/>
        </w:rPr>
        <w:t xml:space="preserve"> during PY</w:t>
      </w:r>
      <w:r w:rsidR="0009600D" w:rsidRPr="004F65C2">
        <w:rPr>
          <w:noProof/>
          <w:lang w:eastAsia="en-GB"/>
        </w:rPr>
        <w:t>3</w:t>
      </w:r>
      <w:r w:rsidR="002A03B2" w:rsidRPr="004F65C2">
        <w:rPr>
          <w:noProof/>
          <w:lang w:eastAsia="en-GB"/>
        </w:rPr>
        <w:t xml:space="preserve"> has </w:t>
      </w:r>
      <w:r w:rsidR="00D30516">
        <w:rPr>
          <w:noProof/>
          <w:lang w:eastAsia="en-GB"/>
        </w:rPr>
        <w:t xml:space="preserve">increased </w:t>
      </w:r>
      <w:r w:rsidR="004B58B8">
        <w:rPr>
          <w:noProof/>
          <w:lang w:eastAsia="en-GB"/>
        </w:rPr>
        <w:t>significantly</w:t>
      </w:r>
      <w:r w:rsidR="004B58B8" w:rsidRPr="004F65C2">
        <w:rPr>
          <w:noProof/>
          <w:lang w:eastAsia="en-GB"/>
        </w:rPr>
        <w:t xml:space="preserve"> </w:t>
      </w:r>
      <w:r w:rsidR="004B58B8">
        <w:rPr>
          <w:noProof/>
          <w:lang w:eastAsia="en-GB"/>
        </w:rPr>
        <w:t xml:space="preserve">both in terms of the cumulative number of jobs successfully done and the normalized CPU wall time consumed </w:t>
      </w:r>
      <w:r w:rsidR="0040069C">
        <w:rPr>
          <w:noProof/>
          <w:lang w:eastAsia="en-GB"/>
        </w:rPr>
        <w:t>by all disciplines. In the refe</w:t>
      </w:r>
      <w:r w:rsidR="004B58B8">
        <w:rPr>
          <w:noProof/>
          <w:lang w:eastAsia="en-GB"/>
        </w:rPr>
        <w:t>re</w:t>
      </w:r>
      <w:r w:rsidR="0040069C">
        <w:rPr>
          <w:noProof/>
          <w:lang w:eastAsia="en-GB"/>
        </w:rPr>
        <w:t>n</w:t>
      </w:r>
      <w:r w:rsidR="004B58B8">
        <w:rPr>
          <w:noProof/>
          <w:lang w:eastAsia="en-GB"/>
        </w:rPr>
        <w:t>ce period April 2012-March 2013 the rate of jobs succssfully executed incrased by +8.0%, while the total normalized</w:t>
      </w:r>
      <w:r w:rsidR="00C36EB2">
        <w:rPr>
          <w:noProof/>
          <w:lang w:eastAsia="en-GB"/>
        </w:rPr>
        <w:t xml:space="preserve"> CPU wall time (HEP-SPE</w:t>
      </w:r>
      <w:r w:rsidR="004B58B8">
        <w:rPr>
          <w:noProof/>
          <w:lang w:eastAsia="en-GB"/>
        </w:rPr>
        <w:t xml:space="preserve">C06) incrased by +45.8%. </w:t>
      </w:r>
      <w:r w:rsidR="004B58B8">
        <w:rPr>
          <w:noProof/>
          <w:lang w:eastAsia="en-GB"/>
        </w:rPr>
        <w:fldChar w:fldCharType="begin"/>
      </w:r>
      <w:r w:rsidR="004B58B8">
        <w:rPr>
          <w:noProof/>
          <w:lang w:eastAsia="en-GB"/>
        </w:rPr>
        <w:instrText xml:space="preserve"> REF _Ref354657709 \h </w:instrText>
      </w:r>
      <w:r w:rsidR="004B58B8">
        <w:rPr>
          <w:noProof/>
          <w:lang w:eastAsia="en-GB"/>
        </w:rPr>
      </w:r>
      <w:r w:rsidR="004B58B8">
        <w:rPr>
          <w:noProof/>
          <w:lang w:eastAsia="en-GB"/>
        </w:rPr>
        <w:fldChar w:fldCharType="separate"/>
      </w:r>
      <w:r w:rsidR="00A319E4">
        <w:t xml:space="preserve">Table </w:t>
      </w:r>
      <w:r w:rsidR="00A319E4">
        <w:rPr>
          <w:noProof/>
        </w:rPr>
        <w:t>7</w:t>
      </w:r>
      <w:r w:rsidR="004B58B8">
        <w:rPr>
          <w:noProof/>
          <w:lang w:eastAsia="en-GB"/>
        </w:rPr>
        <w:fldChar w:fldCharType="end"/>
      </w:r>
      <w:r w:rsidR="004B58B8">
        <w:rPr>
          <w:noProof/>
          <w:lang w:eastAsia="en-GB"/>
        </w:rPr>
        <w:t xml:space="preserve"> compares the April 2012 – March 2013 increase trends with those </w:t>
      </w:r>
      <w:r w:rsidR="00B952DC">
        <w:rPr>
          <w:noProof/>
          <w:lang w:eastAsia="en-GB"/>
        </w:rPr>
        <w:t xml:space="preserve">achived in the previous 2 years. </w:t>
      </w:r>
      <w:r w:rsidR="004B58B8">
        <w:rPr>
          <w:noProof/>
          <w:lang w:eastAsia="en-GB"/>
        </w:rPr>
        <w:t xml:space="preserve"> </w:t>
      </w:r>
    </w:p>
    <w:p w:rsidR="008229CB" w:rsidRPr="004F65C2" w:rsidRDefault="007C79AE" w:rsidP="002A03B2">
      <w:pPr>
        <w:rPr>
          <w:rFonts w:eastAsia="Cambria"/>
          <w:szCs w:val="22"/>
          <w:lang w:eastAsia="en-GB"/>
        </w:rPr>
      </w:pPr>
      <w:r w:rsidRPr="004F65C2">
        <w:rPr>
          <w:szCs w:val="22"/>
        </w:rPr>
        <w:t>HEP-SPEC</w:t>
      </w:r>
      <w:r w:rsidR="00B24804" w:rsidRPr="004F65C2">
        <w:rPr>
          <w:szCs w:val="22"/>
        </w:rPr>
        <w:t xml:space="preserve"> </w:t>
      </w:r>
      <w:r w:rsidRPr="004F65C2">
        <w:rPr>
          <w:szCs w:val="22"/>
        </w:rPr>
        <w:t xml:space="preserve">06 is the EGI reference performance benchmark of compute resources </w:t>
      </w:r>
      <w:r w:rsidRPr="004F65C2">
        <w:rPr>
          <w:rFonts w:eastAsia="Cambria"/>
          <w:szCs w:val="22"/>
          <w:lang w:eastAsia="en-GB"/>
        </w:rPr>
        <w:t>[HS06]. It was defined by the HEPiX Benchmarking Working Group and it</w:t>
      </w:r>
      <w:r w:rsidR="008229CB" w:rsidRPr="004F65C2">
        <w:rPr>
          <w:rFonts w:eastAsia="Cambria"/>
          <w:szCs w:val="22"/>
          <w:lang w:eastAsia="en-GB"/>
        </w:rPr>
        <w:t xml:space="preserve"> is</w:t>
      </w:r>
      <w:r w:rsidRPr="004F65C2">
        <w:rPr>
          <w:rFonts w:eastAsia="Cambria"/>
          <w:szCs w:val="22"/>
          <w:lang w:eastAsia="en-GB"/>
        </w:rPr>
        <w:t xml:space="preserve"> based on SPEC. One HEP</w:t>
      </w:r>
      <w:r w:rsidR="008229CB" w:rsidRPr="004F65C2">
        <w:rPr>
          <w:rFonts w:eastAsia="Cambria"/>
          <w:szCs w:val="22"/>
          <w:lang w:eastAsia="en-GB"/>
        </w:rPr>
        <w:t>-</w:t>
      </w:r>
      <w:r w:rsidRPr="004F65C2">
        <w:rPr>
          <w:rFonts w:eastAsia="Cambria"/>
          <w:szCs w:val="22"/>
          <w:lang w:eastAsia="en-GB"/>
        </w:rPr>
        <w:t>SPE</w:t>
      </w:r>
      <w:r w:rsidR="008229CB" w:rsidRPr="004F65C2">
        <w:rPr>
          <w:rFonts w:eastAsia="Cambria"/>
          <w:szCs w:val="22"/>
          <w:lang w:eastAsia="en-GB"/>
        </w:rPr>
        <w:t>C</w:t>
      </w:r>
      <w:r w:rsidR="00B24804" w:rsidRPr="004F65C2">
        <w:rPr>
          <w:rFonts w:eastAsia="Cambria"/>
          <w:szCs w:val="22"/>
          <w:lang w:eastAsia="en-GB"/>
        </w:rPr>
        <w:t xml:space="preserve"> </w:t>
      </w:r>
      <w:r w:rsidRPr="004F65C2">
        <w:rPr>
          <w:rFonts w:eastAsia="Cambria"/>
          <w:szCs w:val="22"/>
          <w:lang w:eastAsia="en-GB"/>
        </w:rPr>
        <w:t>06 corresponds approximately to</w:t>
      </w:r>
      <w:r w:rsidR="008229CB" w:rsidRPr="004F65C2">
        <w:rPr>
          <w:rFonts w:eastAsia="Cambria"/>
          <w:szCs w:val="22"/>
          <w:lang w:eastAsia="en-GB"/>
        </w:rPr>
        <w:t xml:space="preserve"> 250 SI00 (this was tested with</w:t>
      </w:r>
      <w:r w:rsidRPr="004F65C2">
        <w:rPr>
          <w:rFonts w:eastAsia="Cambria"/>
          <w:szCs w:val="22"/>
          <w:lang w:eastAsia="en-GB"/>
        </w:rPr>
        <w:t xml:space="preserve"> HEP applications</w:t>
      </w:r>
      <w:r w:rsidR="008229CB" w:rsidRPr="004F65C2">
        <w:rPr>
          <w:rFonts w:eastAsia="Cambria"/>
          <w:szCs w:val="22"/>
          <w:lang w:eastAsia="en-GB"/>
        </w:rPr>
        <w:t xml:space="preserve">). </w:t>
      </w:r>
    </w:p>
    <w:p w:rsidR="003C391F" w:rsidRPr="004F65C2" w:rsidRDefault="003C391F" w:rsidP="003C391F">
      <w:pPr>
        <w:rPr>
          <w:rFonts w:eastAsia="Cambria"/>
          <w:lang w:eastAsia="en-GB"/>
        </w:rPr>
      </w:pPr>
      <w:r w:rsidRPr="004F65C2">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F65C2">
        <w:rPr>
          <w:rFonts w:eastAsia="Cambria"/>
          <w:lang w:eastAsia="en-GB"/>
        </w:rPr>
        <w:t xml:space="preserve">e to a reference benchmark of 1,000 </w:t>
      </w:r>
      <w:r w:rsidRPr="004F65C2">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Pr>
          <w:rFonts w:eastAsia="Cambria"/>
          <w:lang w:eastAsia="en-GB"/>
        </w:rPr>
        <w:t>queries</w:t>
      </w:r>
      <w:r w:rsidR="00C8090C" w:rsidRPr="004F65C2">
        <w:rPr>
          <w:rFonts w:eastAsia="Cambria"/>
          <w:lang w:eastAsia="en-GB"/>
        </w:rPr>
        <w:t xml:space="preserve"> </w:t>
      </w:r>
      <w:r w:rsidRPr="004F65C2">
        <w:rPr>
          <w:rFonts w:eastAsia="Cambria"/>
          <w:lang w:eastAsia="en-GB"/>
        </w:rPr>
        <w:t>the site</w:t>
      </w:r>
      <w:r w:rsidR="00894C0B" w:rsidRPr="004F65C2">
        <w:rPr>
          <w:rFonts w:eastAsia="Cambria"/>
          <w:lang w:eastAsia="en-GB"/>
        </w:rPr>
        <w:t>’s</w:t>
      </w:r>
      <w:r w:rsidRPr="004F65C2">
        <w:rPr>
          <w:rFonts w:eastAsia="Cambria"/>
          <w:lang w:eastAsia="en-GB"/>
        </w:rPr>
        <w:t xml:space="preserve"> </w:t>
      </w:r>
      <w:r w:rsidR="00894C0B" w:rsidRPr="004F65C2">
        <w:rPr>
          <w:rFonts w:eastAsia="Cambria"/>
          <w:lang w:eastAsia="en-GB"/>
        </w:rPr>
        <w:t>I</w:t>
      </w:r>
      <w:r w:rsidRPr="004F65C2">
        <w:rPr>
          <w:rFonts w:eastAsia="Cambria"/>
          <w:lang w:eastAsia="en-GB"/>
        </w:rPr>
        <w:t xml:space="preserve">nformation </w:t>
      </w:r>
      <w:r w:rsidR="00894C0B" w:rsidRPr="004F65C2">
        <w:rPr>
          <w:rFonts w:eastAsia="Cambria"/>
          <w:lang w:eastAsia="en-GB"/>
        </w:rPr>
        <w:t>D</w:t>
      </w:r>
      <w:r w:rsidRPr="004F65C2">
        <w:rPr>
          <w:rFonts w:eastAsia="Cambria"/>
          <w:lang w:eastAsia="en-GB"/>
        </w:rPr>
        <w:t xml:space="preserve">iscovery </w:t>
      </w:r>
      <w:r w:rsidR="00894C0B" w:rsidRPr="004F65C2">
        <w:rPr>
          <w:rFonts w:eastAsia="Cambria"/>
          <w:lang w:eastAsia="en-GB"/>
        </w:rPr>
        <w:t>S</w:t>
      </w:r>
      <w:r w:rsidRPr="004F65C2">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rsidR="004E2605" w:rsidRPr="004F65C2" w:rsidRDefault="004E2605" w:rsidP="003C391F">
      <w:pPr>
        <w:rPr>
          <w:rFonts w:eastAsia="Cambria"/>
          <w:lang w:eastAsia="en-GB"/>
        </w:rPr>
      </w:pPr>
      <w:r w:rsidRPr="00493DA3">
        <w:rPr>
          <w:rFonts w:eastAsia="Cambria"/>
          <w:lang w:eastAsia="en-GB"/>
        </w:rPr>
        <w:t xml:space="preserve">The trend in usage of </w:t>
      </w:r>
      <w:r w:rsidR="00D25D9E" w:rsidRPr="00493DA3">
        <w:rPr>
          <w:rFonts w:eastAsia="Cambria"/>
          <w:lang w:eastAsia="en-GB"/>
        </w:rPr>
        <w:t>normalized</w:t>
      </w:r>
      <w:r w:rsidR="00D25D9E" w:rsidRPr="004F65C2">
        <w:rPr>
          <w:rFonts w:eastAsia="Cambria"/>
          <w:lang w:eastAsia="en-GB"/>
        </w:rPr>
        <w:t xml:space="preserve"> </w:t>
      </w:r>
      <w:r w:rsidRPr="004F65C2">
        <w:rPr>
          <w:rFonts w:eastAsia="Cambria"/>
          <w:lang w:eastAsia="en-GB"/>
        </w:rPr>
        <w:t xml:space="preserve">CPU </w:t>
      </w:r>
      <w:r w:rsidR="00D25D9E" w:rsidRPr="004F65C2">
        <w:rPr>
          <w:rFonts w:eastAsia="Cambria"/>
          <w:lang w:eastAsia="en-GB"/>
        </w:rPr>
        <w:t>wall clock since t</w:t>
      </w:r>
      <w:r w:rsidR="004F65C2">
        <w:rPr>
          <w:rFonts w:eastAsia="Cambria"/>
          <w:lang w:eastAsia="en-GB"/>
        </w:rPr>
        <w:t>he beginning for EGI-InSPIRE,</w:t>
      </w:r>
      <w:r w:rsidR="00D25D9E" w:rsidRPr="004F65C2">
        <w:rPr>
          <w:rFonts w:eastAsia="Cambria"/>
          <w:lang w:eastAsia="en-GB"/>
        </w:rPr>
        <w:t xml:space="preserve"> during </w:t>
      </w:r>
      <w:r w:rsidR="004F65C2">
        <w:rPr>
          <w:rFonts w:eastAsia="Cambria"/>
          <w:lang w:eastAsia="en-GB"/>
        </w:rPr>
        <w:t xml:space="preserve">PY2 and </w:t>
      </w:r>
      <w:r w:rsidR="00D25D9E" w:rsidRPr="004F65C2">
        <w:rPr>
          <w:rFonts w:eastAsia="Cambria"/>
          <w:lang w:eastAsia="en-GB"/>
        </w:rPr>
        <w:t>PY</w:t>
      </w:r>
      <w:r w:rsidR="004F65C2">
        <w:rPr>
          <w:rFonts w:eastAsia="Cambria"/>
          <w:lang w:eastAsia="en-GB"/>
        </w:rPr>
        <w:t>3</w:t>
      </w:r>
      <w:r w:rsidR="00D25D9E" w:rsidRPr="004F65C2">
        <w:rPr>
          <w:rFonts w:eastAsia="Cambria"/>
          <w:lang w:eastAsia="en-GB"/>
        </w:rPr>
        <w:t xml:space="preserve"> are shown in</w:t>
      </w:r>
      <w:r w:rsidR="000F0FE0" w:rsidRPr="004F65C2">
        <w:rPr>
          <w:rFonts w:eastAsia="Cambria"/>
          <w:lang w:eastAsia="en-GB"/>
        </w:rPr>
        <w:t xml:space="preserve"> </w:t>
      </w:r>
      <w:r w:rsidR="000F0FE0" w:rsidRPr="004F65C2">
        <w:rPr>
          <w:rFonts w:eastAsia="Cambria"/>
          <w:lang w:eastAsia="en-GB"/>
        </w:rPr>
        <w:fldChar w:fldCharType="begin"/>
      </w:r>
      <w:r w:rsidR="000F0FE0" w:rsidRPr="004F65C2">
        <w:rPr>
          <w:rFonts w:eastAsia="Cambria"/>
          <w:lang w:eastAsia="en-GB"/>
        </w:rPr>
        <w:instrText xml:space="preserve"> REF _Ref323656933 \h </w:instrText>
      </w:r>
      <w:r w:rsidR="000D4888" w:rsidRPr="004F65C2">
        <w:rPr>
          <w:rFonts w:eastAsia="Cambria"/>
          <w:lang w:eastAsia="en-GB"/>
        </w:rPr>
        <w:instrText xml:space="preserve"> \* MERGEFORMAT </w:instrText>
      </w:r>
      <w:r w:rsidR="000F0FE0" w:rsidRPr="004F65C2">
        <w:rPr>
          <w:rFonts w:eastAsia="Cambria"/>
          <w:lang w:eastAsia="en-GB"/>
        </w:rPr>
      </w:r>
      <w:r w:rsidR="000F0FE0" w:rsidRPr="004F65C2">
        <w:rPr>
          <w:rFonts w:eastAsia="Cambria"/>
          <w:lang w:eastAsia="en-GB"/>
        </w:rPr>
        <w:fldChar w:fldCharType="separate"/>
      </w:r>
      <w:r w:rsidR="00A319E4">
        <w:t xml:space="preserve">Figure </w:t>
      </w:r>
      <w:r w:rsidR="00A319E4">
        <w:rPr>
          <w:noProof/>
        </w:rPr>
        <w:t>11</w:t>
      </w:r>
      <w:r w:rsidR="000F0FE0" w:rsidRPr="004F65C2">
        <w:rPr>
          <w:rFonts w:eastAsia="Cambria"/>
          <w:lang w:eastAsia="en-GB"/>
        </w:rPr>
        <w:fldChar w:fldCharType="end"/>
      </w:r>
      <w:r w:rsidR="00C95D87">
        <w:rPr>
          <w:rFonts w:eastAsia="Cambria"/>
          <w:lang w:eastAsia="en-GB"/>
        </w:rPr>
        <w:t>(a)</w:t>
      </w:r>
      <w:r w:rsidR="00D25D9E" w:rsidRPr="004F65C2">
        <w:rPr>
          <w:rFonts w:eastAsia="Cambria"/>
          <w:lang w:eastAsia="en-GB"/>
        </w:rPr>
        <w:t>.</w:t>
      </w:r>
    </w:p>
    <w:p w:rsidR="0006339D" w:rsidRPr="00DC4452" w:rsidRDefault="0006339D" w:rsidP="002A03B2">
      <w:r w:rsidRPr="00DC4452">
        <w:t>T</w:t>
      </w:r>
      <w:r w:rsidR="002A03B2" w:rsidRPr="00DC4452">
        <w:t>he High-Energy Physi</w:t>
      </w:r>
      <w:r w:rsidR="004F65C2" w:rsidRPr="00DC4452">
        <w:t>cs discipline (contributing 38.60</w:t>
      </w:r>
      <w:r w:rsidR="002A03B2" w:rsidRPr="00DC4452">
        <w:t xml:space="preserve">% of the user community) </w:t>
      </w:r>
      <w:r w:rsidR="004F65C2" w:rsidRPr="00DC4452">
        <w:rPr>
          <w:rStyle w:val="hps"/>
          <w:lang w:val="en"/>
        </w:rPr>
        <w:t>utilizes</w:t>
      </w:r>
      <w:r w:rsidR="004F65C2" w:rsidRPr="00DC4452">
        <w:t xml:space="preserve"> </w:t>
      </w:r>
      <w:r w:rsidR="00493DA3">
        <w:t xml:space="preserve">the </w:t>
      </w:r>
      <w:r w:rsidR="00DC4452" w:rsidRPr="00DC4452">
        <w:t xml:space="preserve">highest </w:t>
      </w:r>
      <w:r w:rsidR="00493DA3">
        <w:t>amount</w:t>
      </w:r>
      <w:r w:rsidR="00DC4452" w:rsidRPr="00DC4452">
        <w:t xml:space="preserve"> of resources</w:t>
      </w:r>
      <w:r w:rsidR="00493DA3">
        <w:t>:</w:t>
      </w:r>
      <w:r w:rsidR="009477C8" w:rsidRPr="00DC4452">
        <w:t xml:space="preserve"> </w:t>
      </w:r>
      <w:r w:rsidR="00F826D8">
        <w:t>93.78</w:t>
      </w:r>
      <w:r w:rsidR="00493DA3">
        <w:t>%</w:t>
      </w:r>
      <w:r w:rsidR="00124E76" w:rsidRPr="00DC4452">
        <w:t xml:space="preserve"> of the overall EGI </w:t>
      </w:r>
      <w:r w:rsidR="00493DA3">
        <w:t xml:space="preserve">amount of normalized CPU wall time hours consumed. As indicated in </w:t>
      </w:r>
      <w:r w:rsidRPr="00DC4452">
        <w:fldChar w:fldCharType="begin"/>
      </w:r>
      <w:r w:rsidRPr="00DC4452">
        <w:instrText xml:space="preserve"> REF _Ref323640793 \h </w:instrText>
      </w:r>
      <w:r w:rsidR="000D4888" w:rsidRPr="00DC4452">
        <w:instrText xml:space="preserve"> \* MERGEFORMAT </w:instrText>
      </w:r>
      <w:r w:rsidRPr="00DC4452">
        <w:fldChar w:fldCharType="separate"/>
      </w:r>
      <w:r w:rsidR="00A319E4">
        <w:t xml:space="preserve">Table </w:t>
      </w:r>
      <w:r w:rsidR="00A319E4">
        <w:rPr>
          <w:noProof/>
        </w:rPr>
        <w:t>8</w:t>
      </w:r>
      <w:r w:rsidRPr="00DC4452">
        <w:fldChar w:fldCharType="end"/>
      </w:r>
      <w:r w:rsidR="00493DA3">
        <w:t xml:space="preserve">, </w:t>
      </w:r>
      <w:r w:rsidR="00124E76" w:rsidRPr="00DC4452">
        <w:t xml:space="preserve">the </w:t>
      </w:r>
      <w:r w:rsidR="00493DA3">
        <w:t xml:space="preserve">HEP usage yearly increase </w:t>
      </w:r>
      <w:r w:rsidR="00124E76" w:rsidRPr="00DC4452">
        <w:t xml:space="preserve">amounts to </w:t>
      </w:r>
      <w:r w:rsidR="00F826D8">
        <w:t>40.97</w:t>
      </w:r>
      <w:r w:rsidR="00DC4452" w:rsidRPr="00DC4452">
        <w:t>%.</w:t>
      </w:r>
    </w:p>
    <w:p w:rsidR="00493DA3" w:rsidRDefault="00493DA3" w:rsidP="00A55283">
      <w:r>
        <w:t xml:space="preserve">While the HEP utilization is dominating in absolute terms, a number of other communities significantly increased their CPU wall time utilization: Earth Sciences (+123.45% yearly increase), Computational Chemistry (+78.31%), Astronomy Astro-particle and Astrophysics (+76.64%), Life Science (+65.12) and other sciences (+199.45%). </w:t>
      </w:r>
    </w:p>
    <w:p w:rsidR="0006339D" w:rsidRPr="00BE134C" w:rsidRDefault="00F826D8" w:rsidP="00BE134C">
      <w:r w:rsidRPr="00BE134C">
        <w:lastRenderedPageBreak/>
        <w:t>Astronomy Astrophysics and Astro-particle Physics</w:t>
      </w:r>
      <w:r w:rsidRPr="00A55283">
        <w:t xml:space="preserve"> </w:t>
      </w:r>
      <w:r w:rsidR="0006339D" w:rsidRPr="00A55283">
        <w:t xml:space="preserve">are the second community in terms of used normalized CPU wall clock time, which now amounts to </w:t>
      </w:r>
      <w:r>
        <w:t>2.82</w:t>
      </w:r>
      <w:r w:rsidR="0006339D" w:rsidRPr="00A55283">
        <w:t>%</w:t>
      </w:r>
      <w:r w:rsidR="00124E76" w:rsidRPr="00A55283">
        <w:t xml:space="preserve"> of the overall EGI used CPU wall clock time</w:t>
      </w:r>
      <w:r w:rsidR="0006339D" w:rsidRPr="00BE134C">
        <w:t>.</w:t>
      </w:r>
      <w:r w:rsidR="00861FEF">
        <w:t xml:space="preserve"> </w:t>
      </w:r>
      <w:r>
        <w:t xml:space="preserve">Life Sciences </w:t>
      </w:r>
      <w:r w:rsidR="00FE34C3" w:rsidRPr="00BE134C">
        <w:t xml:space="preserve">are the third community </w:t>
      </w:r>
      <w:r w:rsidR="00124E76" w:rsidRPr="00BE134C">
        <w:t>for</w:t>
      </w:r>
      <w:r>
        <w:t xml:space="preserve"> usage (1.52</w:t>
      </w:r>
      <w:r w:rsidR="00FE34C3" w:rsidRPr="00BE134C">
        <w:t xml:space="preserve">% of the overall EGI used normalized CPU time). For this community </w:t>
      </w:r>
      <w:r w:rsidR="00E41C6F" w:rsidRPr="00BE134C">
        <w:t>the job submission pattern</w:t>
      </w:r>
      <w:r w:rsidR="00E94CE0" w:rsidRPr="00BE134C">
        <w:t xml:space="preserve"> </w:t>
      </w:r>
      <w:r w:rsidR="00861FEF">
        <w:t>shows a further increase of</w:t>
      </w:r>
      <w:r w:rsidR="00E94CE0" w:rsidRPr="00BE134C">
        <w:t xml:space="preserve"> the </w:t>
      </w:r>
      <w:r w:rsidR="00861FEF">
        <w:t xml:space="preserve">job submission </w:t>
      </w:r>
      <w:r w:rsidR="00E94CE0" w:rsidRPr="00BE134C">
        <w:t xml:space="preserve">rate </w:t>
      </w:r>
      <w:r w:rsidR="00861FEF">
        <w:t>(</w:t>
      </w:r>
      <w:r w:rsidR="00E94CE0" w:rsidRPr="00BE134C">
        <w:t>+</w:t>
      </w:r>
      <w:r>
        <w:t>156.79</w:t>
      </w:r>
      <w:r w:rsidR="00BE134C" w:rsidRPr="00BE134C">
        <w:t>%</w:t>
      </w:r>
      <w:r w:rsidR="00861FEF">
        <w:t>)</w:t>
      </w:r>
      <w:r w:rsidR="00E94CE0" w:rsidRPr="00BE134C">
        <w:t>.</w:t>
      </w:r>
      <w:r w:rsidR="00861FEF">
        <w:t xml:space="preserve"> This trend already started in PY2, during which the rate already showed a relative increase of +42.54%.</w:t>
      </w:r>
    </w:p>
    <w:p w:rsidR="0006339D" w:rsidRPr="007853EE" w:rsidRDefault="007853EE" w:rsidP="007853EE">
      <w:r w:rsidRPr="007853EE">
        <w:t>Comput</w:t>
      </w:r>
      <w:r w:rsidR="00543716">
        <w:t>ational</w:t>
      </w:r>
      <w:r w:rsidRPr="007853EE">
        <w:t xml:space="preserve"> Chemistry</w:t>
      </w:r>
      <w:r w:rsidR="00124E76" w:rsidRPr="007853EE">
        <w:t xml:space="preserve">, </w:t>
      </w:r>
      <w:r w:rsidRPr="007853EE">
        <w:t>Earth Science</w:t>
      </w:r>
      <w:r w:rsidR="00124E76" w:rsidRPr="007853EE">
        <w:t xml:space="preserve"> also increased both their used CPU wall clock time and the job rate.</w:t>
      </w:r>
      <w:r w:rsidR="00A242A2" w:rsidRPr="007853EE">
        <w:t xml:space="preserve"> The overall trend of used normalized CPU wall clock time for non-HEP disciplines is plotted in </w:t>
      </w:r>
      <w:r w:rsidR="00E45ED8" w:rsidRPr="007853EE">
        <w:fldChar w:fldCharType="begin"/>
      </w:r>
      <w:r w:rsidR="00E45ED8" w:rsidRPr="007853EE">
        <w:instrText xml:space="preserve"> REF _Ref323653288 \h </w:instrText>
      </w:r>
      <w:r w:rsidR="000D4888" w:rsidRPr="007853EE">
        <w:instrText xml:space="preserve"> \* MERGEFORMAT </w:instrText>
      </w:r>
      <w:r w:rsidR="00E45ED8" w:rsidRPr="007853EE">
        <w:fldChar w:fldCharType="separate"/>
      </w:r>
      <w:r w:rsidR="00A319E4">
        <w:t>Figure 13</w:t>
      </w:r>
      <w:r w:rsidR="00E45ED8" w:rsidRPr="007853EE">
        <w:fldChar w:fldCharType="end"/>
      </w:r>
      <w:r w:rsidR="00A242A2" w:rsidRPr="007853EE">
        <w:t>.</w:t>
      </w:r>
      <w:r w:rsidR="00E45ED8" w:rsidRPr="007853EE">
        <w:t xml:space="preserve"> As the diagram shows, for the largest user communities with the exception of HEP, usage is subject to short-term fluctuations</w:t>
      </w:r>
      <w:r w:rsidR="00444D20" w:rsidRPr="007853EE">
        <w:t xml:space="preserve">, and the job workload produced is </w:t>
      </w:r>
      <w:r w:rsidR="00861FEF">
        <w:t>generally independent from</w:t>
      </w:r>
      <w:r w:rsidR="00444D20" w:rsidRPr="007853EE">
        <w:t xml:space="preserve"> the corresponding amount of CPU wall time consumed</w:t>
      </w:r>
      <w:r w:rsidR="00E45ED8" w:rsidRPr="007853EE">
        <w:t>.</w:t>
      </w:r>
    </w:p>
    <w:p w:rsidR="003276F2" w:rsidRDefault="00C95D87" w:rsidP="003276F2">
      <w:pPr>
        <w:jc w:val="center"/>
        <w:rPr>
          <w:noProof/>
          <w:lang w:eastAsia="en-GB"/>
        </w:rPr>
      </w:pPr>
      <w:r>
        <w:rPr>
          <w:noProof/>
          <w:lang w:eastAsia="en-GB"/>
        </w:rPr>
        <w:drawing>
          <wp:inline distT="0" distB="0" distL="0" distR="0" wp14:anchorId="17BE7C17" wp14:editId="01AB4CE2">
            <wp:extent cx="5101090" cy="2409208"/>
            <wp:effectExtent l="0" t="0" r="4445" b="0"/>
            <wp:docPr id="1616" name="Picture 1616" descr="C:\Users\Krakowian\Google Drive\Operations\inspire-deliverables\SA1\D4.8\png\the Cumulative Normalised CPU time (HEPSPEC06) grouped by DISCIPLINE and DATE 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1262" cy="2409289"/>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893122" w:rsidP="003276F2">
      <w:pPr>
        <w:jc w:val="center"/>
        <w:rPr>
          <w:noProof/>
          <w:lang w:eastAsia="en-GB"/>
        </w:rPr>
      </w:pPr>
      <w:r>
        <w:rPr>
          <w:noProof/>
          <w:lang w:eastAsia="en-GB"/>
        </w:rPr>
        <w:drawing>
          <wp:inline distT="0" distB="0" distL="0" distR="0" wp14:anchorId="23B13B5E" wp14:editId="613F40A4">
            <wp:extent cx="5038951" cy="2425148"/>
            <wp:effectExtent l="0" t="0" r="9525" b="0"/>
            <wp:docPr id="1617" name="Picture 1617" descr="C:\Users\Krakowian\Google Drive\Operations\inspire-deliverables\SA1\D4.8\png\the Cumulative Normalised CPU time (HEPSPEC06) grouped by DISCIPLINE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8901" cy="2425124"/>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50" w:name="_Ref323656933"/>
      <w:bookmarkStart w:id="51" w:name="_Toc355730455"/>
      <w:r>
        <w:t xml:space="preserve">Figure </w:t>
      </w:r>
      <w:r w:rsidR="00A560B1">
        <w:fldChar w:fldCharType="begin"/>
      </w:r>
      <w:r w:rsidR="00A560B1">
        <w:instrText xml:space="preserve"> SEQ Figure \* ARABIC </w:instrText>
      </w:r>
      <w:r w:rsidR="00A560B1">
        <w:fldChar w:fldCharType="separate"/>
      </w:r>
      <w:r w:rsidR="00A319E4">
        <w:rPr>
          <w:noProof/>
        </w:rPr>
        <w:t>11</w:t>
      </w:r>
      <w:r w:rsidR="00A560B1">
        <w:rPr>
          <w:noProof/>
        </w:rPr>
        <w:fldChar w:fldCharType="end"/>
      </w:r>
      <w:bookmarkEnd w:id="50"/>
      <w:r>
        <w:t xml:space="preserve">. Usage of EGI resources (HEP-SPEC 06 CPU wall clock hours) from </w:t>
      </w:r>
      <w:r w:rsidR="00894C0B">
        <w:t xml:space="preserve">(a) </w:t>
      </w:r>
      <w:r>
        <w:t>the beginning of the project to date</w:t>
      </w:r>
      <w:r w:rsidR="00894C0B">
        <w:t>,</w:t>
      </w:r>
      <w:r>
        <w:t xml:space="preserve"> and </w:t>
      </w:r>
      <w:r w:rsidR="00894C0B">
        <w:t xml:space="preserve">(b) </w:t>
      </w:r>
      <w:r>
        <w:t>during PY</w:t>
      </w:r>
      <w:r w:rsidR="00CE234A">
        <w:t>3</w:t>
      </w:r>
      <w:r>
        <w:t xml:space="preserve">   (source: accounting portal).</w:t>
      </w:r>
      <w:bookmarkEnd w:id="51"/>
    </w:p>
    <w:p w:rsidR="00C031AE" w:rsidRDefault="00C031AE" w:rsidP="003276F2"/>
    <w:p w:rsidR="00A242A2" w:rsidRDefault="00A242A2" w:rsidP="00A242A2">
      <w:pPr>
        <w:pStyle w:val="Caption"/>
        <w:jc w:val="center"/>
      </w:pPr>
      <w:bookmarkStart w:id="52" w:name="_Ref323640793"/>
      <w:r>
        <w:t xml:space="preserve">Table </w:t>
      </w:r>
      <w:r w:rsidR="00A560B1">
        <w:fldChar w:fldCharType="begin"/>
      </w:r>
      <w:r w:rsidR="00A560B1">
        <w:instrText xml:space="preserve"> SEQ Table \* ARABIC </w:instrText>
      </w:r>
      <w:r w:rsidR="00A560B1">
        <w:fldChar w:fldCharType="separate"/>
      </w:r>
      <w:r w:rsidR="00A319E4">
        <w:rPr>
          <w:noProof/>
        </w:rPr>
        <w:t>8</w:t>
      </w:r>
      <w:r w:rsidR="00A560B1">
        <w:rPr>
          <w:noProof/>
        </w:rPr>
        <w:fldChar w:fldCharType="end"/>
      </w:r>
      <w:bookmarkEnd w:id="52"/>
      <w:r>
        <w:t xml:space="preserve">. </w:t>
      </w:r>
      <w:r w:rsidRPr="003960FB">
        <w:t>Used normalized CPU wall clock time and</w:t>
      </w:r>
      <w:r w:rsidR="00647456" w:rsidRPr="003960FB">
        <w:t xml:space="preserve"> jobs</w:t>
      </w:r>
      <w:r w:rsidR="00647456">
        <w:t xml:space="preserve"> done per discipline in PY2, PY3</w:t>
      </w:r>
      <w:r>
        <w:t xml:space="preserve"> and the respective </w:t>
      </w:r>
      <w:r w:rsidR="00B24804">
        <w:t>yearly</w:t>
      </w:r>
      <w:r>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Tr="00647456">
        <w:tc>
          <w:tcPr>
            <w:tcW w:w="2093" w:type="dxa"/>
            <w:vMerge w:val="restart"/>
            <w:vAlign w:val="center"/>
          </w:tcPr>
          <w:p w:rsidR="00647456" w:rsidRPr="00755364" w:rsidRDefault="00647456" w:rsidP="00901236">
            <w:pPr>
              <w:jc w:val="center"/>
              <w:rPr>
                <w:b/>
              </w:rPr>
            </w:pPr>
            <w:r w:rsidRPr="00755364">
              <w:rPr>
                <w:b/>
              </w:rPr>
              <w:t>Discipline</w:t>
            </w:r>
          </w:p>
        </w:tc>
        <w:tc>
          <w:tcPr>
            <w:tcW w:w="1984" w:type="dxa"/>
            <w:gridSpan w:val="2"/>
          </w:tcPr>
          <w:p w:rsidR="00647456" w:rsidRPr="00755364" w:rsidRDefault="00647456" w:rsidP="00C95D87">
            <w:pPr>
              <w:jc w:val="center"/>
              <w:rPr>
                <w:b/>
              </w:rPr>
            </w:pPr>
            <w:r w:rsidRPr="00755364">
              <w:rPr>
                <w:b/>
              </w:rPr>
              <w:t>May 1</w:t>
            </w:r>
            <w:r>
              <w:rPr>
                <w:b/>
              </w:rPr>
              <w:t>2</w:t>
            </w:r>
            <w:r w:rsidRPr="00755364">
              <w:rPr>
                <w:b/>
              </w:rPr>
              <w:t>–</w:t>
            </w:r>
            <w:r w:rsidR="00C95D87">
              <w:rPr>
                <w:b/>
              </w:rPr>
              <w:t>April</w:t>
            </w:r>
            <w:r w:rsidRPr="00755364">
              <w:rPr>
                <w:b/>
              </w:rPr>
              <w:t xml:space="preserve"> 1</w:t>
            </w:r>
            <w:r>
              <w:rPr>
                <w:b/>
              </w:rPr>
              <w:t>3</w:t>
            </w:r>
          </w:p>
        </w:tc>
        <w:tc>
          <w:tcPr>
            <w:tcW w:w="2126" w:type="dxa"/>
            <w:gridSpan w:val="2"/>
          </w:tcPr>
          <w:p w:rsidR="00647456" w:rsidRPr="00755364" w:rsidRDefault="00647456" w:rsidP="005F50F4">
            <w:pPr>
              <w:jc w:val="center"/>
              <w:rPr>
                <w:b/>
              </w:rPr>
            </w:pPr>
            <w:r>
              <w:rPr>
                <w:b/>
              </w:rPr>
              <w:t>May 11 – April 12</w:t>
            </w:r>
          </w:p>
        </w:tc>
        <w:tc>
          <w:tcPr>
            <w:tcW w:w="1560" w:type="dxa"/>
            <w:vMerge w:val="restart"/>
          </w:tcPr>
          <w:p w:rsidR="00647456" w:rsidRPr="00755364" w:rsidRDefault="00647456" w:rsidP="00894C0B">
            <w:pPr>
              <w:jc w:val="center"/>
              <w:rPr>
                <w:b/>
              </w:rPr>
            </w:pPr>
            <w:r w:rsidRPr="00755364">
              <w:rPr>
                <w:b/>
              </w:rPr>
              <w:t>Jobs</w:t>
            </w:r>
          </w:p>
          <w:p w:rsidR="00647456" w:rsidRDefault="00647456" w:rsidP="005F50F4">
            <w:pPr>
              <w:jc w:val="center"/>
              <w:rPr>
                <w:sz w:val="16"/>
                <w:szCs w:val="16"/>
              </w:rPr>
            </w:pPr>
            <w:r w:rsidRPr="00124E76">
              <w:rPr>
                <w:sz w:val="16"/>
                <w:szCs w:val="16"/>
              </w:rPr>
              <w:t>(yearly increase from May 1</w:t>
            </w:r>
            <w:r w:rsidR="003E38E1">
              <w:rPr>
                <w:sz w:val="16"/>
                <w:szCs w:val="16"/>
              </w:rPr>
              <w:t>1</w:t>
            </w:r>
            <w:r w:rsidRPr="00124E76">
              <w:rPr>
                <w:sz w:val="16"/>
                <w:szCs w:val="16"/>
              </w:rPr>
              <w:t>)</w:t>
            </w:r>
          </w:p>
          <w:p w:rsidR="00647456" w:rsidRPr="00124E76" w:rsidRDefault="00647456" w:rsidP="00894C0B">
            <w:pPr>
              <w:jc w:val="center"/>
              <w:rPr>
                <w:sz w:val="16"/>
                <w:szCs w:val="16"/>
              </w:rPr>
            </w:pPr>
            <w:r>
              <w:rPr>
                <w:sz w:val="16"/>
                <w:szCs w:val="16"/>
              </w:rPr>
              <w:t>(E)</w:t>
            </w:r>
          </w:p>
        </w:tc>
        <w:tc>
          <w:tcPr>
            <w:tcW w:w="1559" w:type="dxa"/>
            <w:vMerge w:val="restart"/>
          </w:tcPr>
          <w:p w:rsidR="00647456" w:rsidRPr="00755364" w:rsidRDefault="00647456">
            <w:pPr>
              <w:jc w:val="center"/>
              <w:rPr>
                <w:b/>
                <w:sz w:val="20"/>
              </w:rPr>
            </w:pPr>
            <w:r w:rsidRPr="00755364">
              <w:rPr>
                <w:b/>
                <w:sz w:val="20"/>
              </w:rPr>
              <w:t>CPU wall time</w:t>
            </w:r>
          </w:p>
          <w:p w:rsidR="00647456" w:rsidRDefault="003E38E1" w:rsidP="005F50F4">
            <w:pPr>
              <w:jc w:val="center"/>
              <w:rPr>
                <w:sz w:val="16"/>
                <w:szCs w:val="16"/>
              </w:rPr>
            </w:pPr>
            <w:r>
              <w:rPr>
                <w:sz w:val="16"/>
                <w:szCs w:val="16"/>
              </w:rPr>
              <w:t>(yearly increase from May 11</w:t>
            </w:r>
            <w:r w:rsidR="00647456" w:rsidRPr="00124E76">
              <w:rPr>
                <w:sz w:val="16"/>
                <w:szCs w:val="16"/>
              </w:rPr>
              <w:t>)</w:t>
            </w:r>
          </w:p>
          <w:p w:rsidR="00647456" w:rsidRPr="00124E76" w:rsidRDefault="00647456" w:rsidP="00894C0B">
            <w:pPr>
              <w:jc w:val="center"/>
              <w:rPr>
                <w:sz w:val="16"/>
                <w:szCs w:val="16"/>
              </w:rPr>
            </w:pPr>
            <w:r>
              <w:rPr>
                <w:sz w:val="16"/>
                <w:szCs w:val="16"/>
              </w:rPr>
              <w:t>(F)</w:t>
            </w:r>
          </w:p>
        </w:tc>
      </w:tr>
      <w:tr w:rsidR="00647456" w:rsidTr="00647456">
        <w:tc>
          <w:tcPr>
            <w:tcW w:w="2093" w:type="dxa"/>
            <w:vMerge/>
          </w:tcPr>
          <w:p w:rsidR="00647456" w:rsidRDefault="00647456" w:rsidP="00901236"/>
        </w:tc>
        <w:tc>
          <w:tcPr>
            <w:tcW w:w="992"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5F50F4">
            <w:pPr>
              <w:jc w:val="center"/>
            </w:pPr>
            <w:r>
              <w:rPr>
                <w:sz w:val="16"/>
              </w:rPr>
              <w:t>(A)</w:t>
            </w:r>
          </w:p>
        </w:tc>
        <w:tc>
          <w:tcPr>
            <w:tcW w:w="992" w:type="dxa"/>
          </w:tcPr>
          <w:p w:rsidR="00647456" w:rsidRDefault="00647456" w:rsidP="005F50F4">
            <w:pPr>
              <w:jc w:val="center"/>
              <w:rPr>
                <w:sz w:val="16"/>
              </w:rPr>
            </w:pPr>
            <w:r>
              <w:rPr>
                <w:sz w:val="16"/>
              </w:rPr>
              <w:t>% of Jobs done</w:t>
            </w:r>
          </w:p>
          <w:p w:rsidR="00647456" w:rsidRDefault="00647456" w:rsidP="005F50F4">
            <w:pPr>
              <w:jc w:val="center"/>
            </w:pPr>
            <w:r>
              <w:rPr>
                <w:sz w:val="16"/>
              </w:rPr>
              <w:t>(B)</w:t>
            </w:r>
          </w:p>
        </w:tc>
        <w:tc>
          <w:tcPr>
            <w:tcW w:w="1063" w:type="dxa"/>
          </w:tcPr>
          <w:p w:rsidR="00647456" w:rsidRDefault="00647456" w:rsidP="005F50F4">
            <w:pPr>
              <w:jc w:val="center"/>
              <w:rPr>
                <w:sz w:val="16"/>
              </w:rPr>
            </w:pPr>
            <w:r>
              <w:rPr>
                <w:sz w:val="16"/>
              </w:rPr>
              <w:t xml:space="preserve">% </w:t>
            </w:r>
            <w:r w:rsidRPr="00535A88">
              <w:rPr>
                <w:sz w:val="16"/>
              </w:rPr>
              <w:t xml:space="preserve">CPU  </w:t>
            </w:r>
            <w:r>
              <w:rPr>
                <w:sz w:val="16"/>
              </w:rPr>
              <w:t xml:space="preserve">n. wall </w:t>
            </w:r>
            <w:r w:rsidRPr="00535A88">
              <w:rPr>
                <w:sz w:val="16"/>
              </w:rPr>
              <w:t>time</w:t>
            </w:r>
          </w:p>
          <w:p w:rsidR="00647456" w:rsidRDefault="00647456" w:rsidP="00894C0B">
            <w:pPr>
              <w:jc w:val="center"/>
            </w:pPr>
            <w:r>
              <w:rPr>
                <w:sz w:val="16"/>
              </w:rPr>
              <w:t>(C)</w:t>
            </w:r>
          </w:p>
        </w:tc>
        <w:tc>
          <w:tcPr>
            <w:tcW w:w="1063" w:type="dxa"/>
          </w:tcPr>
          <w:p w:rsidR="00647456" w:rsidRDefault="00647456" w:rsidP="005F50F4">
            <w:pPr>
              <w:jc w:val="center"/>
              <w:rPr>
                <w:sz w:val="16"/>
              </w:rPr>
            </w:pPr>
            <w:r>
              <w:rPr>
                <w:sz w:val="16"/>
              </w:rPr>
              <w:t>% of jobs done</w:t>
            </w:r>
          </w:p>
          <w:p w:rsidR="00647456" w:rsidRDefault="00647456" w:rsidP="00894C0B">
            <w:pPr>
              <w:jc w:val="center"/>
            </w:pPr>
            <w:r>
              <w:rPr>
                <w:sz w:val="16"/>
              </w:rPr>
              <w:t>(D)</w:t>
            </w:r>
          </w:p>
        </w:tc>
        <w:tc>
          <w:tcPr>
            <w:tcW w:w="1560" w:type="dxa"/>
            <w:vMerge/>
          </w:tcPr>
          <w:p w:rsidR="00647456" w:rsidRDefault="00647456" w:rsidP="00901236"/>
        </w:tc>
        <w:tc>
          <w:tcPr>
            <w:tcW w:w="1559" w:type="dxa"/>
            <w:vMerge/>
          </w:tcPr>
          <w:p w:rsidR="00647456" w:rsidRDefault="00647456" w:rsidP="00901236">
            <w:pPr>
              <w:jc w:val="left"/>
            </w:pPr>
          </w:p>
        </w:tc>
      </w:tr>
      <w:tr w:rsidR="00647456" w:rsidTr="00647456">
        <w:tc>
          <w:tcPr>
            <w:tcW w:w="2093" w:type="dxa"/>
          </w:tcPr>
          <w:tbl>
            <w:tblPr>
              <w:tblW w:w="2694" w:type="dxa"/>
              <w:tblLayout w:type="fixed"/>
              <w:tblLook w:val="04A0" w:firstRow="1" w:lastRow="0" w:firstColumn="1" w:lastColumn="0" w:noHBand="0" w:noVBand="1"/>
            </w:tblPr>
            <w:tblGrid>
              <w:gridCol w:w="2694"/>
            </w:tblGrid>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34"/>
                    <w:rPr>
                      <w:b/>
                      <w:color w:val="000000"/>
                      <w:sz w:val="18"/>
                      <w:szCs w:val="22"/>
                    </w:rPr>
                  </w:pPr>
                  <w:r w:rsidRPr="00F826D8">
                    <w:rPr>
                      <w:b/>
                      <w:color w:val="000000"/>
                      <w:sz w:val="18"/>
                      <w:szCs w:val="22"/>
                    </w:rPr>
                    <w:t xml:space="preserve">High-Energy 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Infrastructure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b/>
                      <w:color w:val="000000"/>
                      <w:sz w:val="18"/>
                      <w:szCs w:val="22"/>
                    </w:rPr>
                  </w:pPr>
                  <w:r w:rsidRPr="003E38E1">
                    <w:rPr>
                      <w:b/>
                      <w:color w:val="000000"/>
                      <w:sz w:val="18"/>
                      <w:szCs w:val="22"/>
                    </w:rPr>
                    <w:t xml:space="preserve">Life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F826D8" w:rsidRDefault="00647456" w:rsidP="00901236">
                  <w:pPr>
                    <w:ind w:right="742"/>
                    <w:rPr>
                      <w:b/>
                      <w:color w:val="000000"/>
                      <w:sz w:val="18"/>
                      <w:szCs w:val="22"/>
                    </w:rPr>
                  </w:pPr>
                  <w:r w:rsidRPr="00F826D8">
                    <w:rPr>
                      <w:b/>
                      <w:color w:val="000000"/>
                      <w:sz w:val="18"/>
                      <w:szCs w:val="22"/>
                    </w:rPr>
                    <w:t xml:space="preserve">Astrophysics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color w:val="000000"/>
                      <w:sz w:val="18"/>
                      <w:szCs w:val="22"/>
                    </w:rPr>
                  </w:pPr>
                  <w:r w:rsidRPr="007D683E">
                    <w:rPr>
                      <w:color w:val="000000"/>
                      <w:sz w:val="18"/>
                      <w:szCs w:val="22"/>
                    </w:rPr>
                    <w:t xml:space="preserve">Multidisciplinary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3E38E1" w:rsidRDefault="00647456" w:rsidP="00901236">
                  <w:pPr>
                    <w:ind w:right="742"/>
                    <w:rPr>
                      <w:color w:val="000000"/>
                      <w:sz w:val="18"/>
                      <w:szCs w:val="22"/>
                    </w:rPr>
                  </w:pPr>
                  <w:r w:rsidRPr="003E38E1">
                    <w:rPr>
                      <w:color w:val="000000"/>
                      <w:sz w:val="18"/>
                      <w:szCs w:val="22"/>
                    </w:rPr>
                    <w:t xml:space="preserve">Others Disciplines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493DA3" w:rsidRDefault="00647456" w:rsidP="00901236">
                  <w:pPr>
                    <w:ind w:right="34"/>
                    <w:rPr>
                      <w:b/>
                      <w:color w:val="000000"/>
                      <w:sz w:val="18"/>
                      <w:szCs w:val="22"/>
                    </w:rPr>
                  </w:pPr>
                  <w:r w:rsidRPr="00493DA3">
                    <w:rPr>
                      <w:b/>
                      <w:color w:val="000000"/>
                      <w:sz w:val="18"/>
                      <w:szCs w:val="22"/>
                    </w:rPr>
                    <w:t xml:space="preserve">Unknown Discipline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C85E92" w:rsidRDefault="00647456" w:rsidP="00901236">
                  <w:pPr>
                    <w:ind w:right="742"/>
                    <w:rPr>
                      <w:b/>
                      <w:color w:val="000000"/>
                      <w:sz w:val="18"/>
                      <w:szCs w:val="22"/>
                    </w:rPr>
                  </w:pPr>
                  <w:r w:rsidRPr="00C85E92">
                    <w:rPr>
                      <w:b/>
                      <w:color w:val="000000"/>
                      <w:sz w:val="18"/>
                      <w:szCs w:val="22"/>
                    </w:rPr>
                    <w:t xml:space="preserve">Comput. Chemistry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742"/>
                    <w:rPr>
                      <w:color w:val="000000"/>
                      <w:sz w:val="18"/>
                      <w:szCs w:val="22"/>
                    </w:rPr>
                  </w:pPr>
                  <w:r w:rsidRPr="00034EAA">
                    <w:rPr>
                      <w:color w:val="000000"/>
                      <w:sz w:val="18"/>
                      <w:szCs w:val="22"/>
                    </w:rPr>
                    <w:t xml:space="preserve">Fusion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7D683E" w:rsidRDefault="00647456" w:rsidP="00901236">
                  <w:pPr>
                    <w:ind w:right="742"/>
                    <w:rPr>
                      <w:b/>
                      <w:color w:val="000000"/>
                      <w:sz w:val="18"/>
                      <w:szCs w:val="22"/>
                    </w:rPr>
                  </w:pPr>
                  <w:r w:rsidRPr="007D683E">
                    <w:rPr>
                      <w:b/>
                      <w:color w:val="000000"/>
                      <w:sz w:val="18"/>
                      <w:szCs w:val="22"/>
                    </w:rPr>
                    <w:t xml:space="preserve">Earth Sciences             </w:t>
                  </w:r>
                </w:p>
              </w:tc>
            </w:tr>
            <w:tr w:rsidR="00647456" w:rsidRPr="007D683E" w:rsidTr="00901236">
              <w:trPr>
                <w:trHeight w:val="300"/>
              </w:trPr>
              <w:tc>
                <w:tcPr>
                  <w:tcW w:w="2694" w:type="dxa"/>
                  <w:tcBorders>
                    <w:top w:val="nil"/>
                    <w:left w:val="nil"/>
                    <w:bottom w:val="nil"/>
                    <w:right w:val="nil"/>
                  </w:tcBorders>
                  <w:shd w:val="clear" w:color="auto" w:fill="auto"/>
                  <w:noWrap/>
                  <w:vAlign w:val="bottom"/>
                  <w:hideMark/>
                </w:tcPr>
                <w:p w:rsidR="00647456" w:rsidRPr="00034EAA" w:rsidRDefault="00647456" w:rsidP="00901236">
                  <w:pPr>
                    <w:ind w:right="34"/>
                    <w:rPr>
                      <w:color w:val="000000"/>
                      <w:sz w:val="18"/>
                      <w:szCs w:val="22"/>
                    </w:rPr>
                  </w:pPr>
                  <w:r w:rsidRPr="00034EAA">
                    <w:rPr>
                      <w:color w:val="000000"/>
                      <w:sz w:val="18"/>
                      <w:szCs w:val="22"/>
                    </w:rPr>
                    <w:t xml:space="preserve">CS and Mathematics  </w:t>
                  </w:r>
                </w:p>
              </w:tc>
            </w:tr>
          </w:tbl>
          <w:p w:rsidR="00647456" w:rsidRPr="007D683E"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C95D87" w:rsidP="00901236">
                  <w:pPr>
                    <w:jc w:val="right"/>
                    <w:rPr>
                      <w:color w:val="000000"/>
                      <w:sz w:val="18"/>
                      <w:szCs w:val="22"/>
                    </w:rPr>
                  </w:pPr>
                  <w:r>
                    <w:rPr>
                      <w:color w:val="000000"/>
                      <w:sz w:val="18"/>
                      <w:szCs w:val="22"/>
                    </w:rPr>
                    <w:t>93</w:t>
                  </w:r>
                  <w:r w:rsidR="001A7AAB">
                    <w:rPr>
                      <w:color w:val="000000"/>
                      <w:sz w:val="18"/>
                      <w:szCs w:val="22"/>
                    </w:rPr>
                    <w:t>.</w:t>
                  </w:r>
                  <w:r>
                    <w:rPr>
                      <w:color w:val="000000"/>
                      <w:sz w:val="18"/>
                      <w:szCs w:val="22"/>
                    </w:rPr>
                    <w:t>78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8</w:t>
                  </w:r>
                  <w:r w:rsidR="00C95D87">
                    <w:rPr>
                      <w:color w:val="000000"/>
                      <w:sz w:val="18"/>
                      <w:szCs w:val="22"/>
                    </w:rPr>
                    <w:t>9.58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A7AAB">
                  <w:pPr>
                    <w:jc w:val="right"/>
                    <w:rPr>
                      <w:color w:val="000000"/>
                      <w:sz w:val="18"/>
                      <w:szCs w:val="22"/>
                    </w:rPr>
                  </w:pPr>
                  <w:r w:rsidRPr="007D683E">
                    <w:rPr>
                      <w:color w:val="000000"/>
                      <w:sz w:val="18"/>
                      <w:szCs w:val="22"/>
                    </w:rPr>
                    <w:t xml:space="preserve">   0.</w:t>
                  </w:r>
                  <w:r w:rsidR="001A7AAB">
                    <w:rPr>
                      <w:color w:val="000000"/>
                      <w:sz w:val="18"/>
                      <w:szCs w:val="22"/>
                    </w:rPr>
                    <w:t>1</w:t>
                  </w:r>
                  <w:r w:rsidRPr="007D683E">
                    <w:rPr>
                      <w:color w:val="000000"/>
                      <w:sz w:val="18"/>
                      <w:szCs w:val="22"/>
                    </w:rPr>
                    <w:t>0</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2.88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1.</w:t>
                  </w:r>
                  <w:r w:rsidR="00D40EFB">
                    <w:rPr>
                      <w:color w:val="000000"/>
                      <w:sz w:val="18"/>
                      <w:szCs w:val="22"/>
                    </w:rPr>
                    <w:t>52</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4.34</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2.</w:t>
                  </w:r>
                  <w:r w:rsidR="00D40EFB">
                    <w:rPr>
                      <w:color w:val="000000"/>
                      <w:sz w:val="18"/>
                      <w:szCs w:val="22"/>
                    </w:rPr>
                    <w:t>8</w:t>
                  </w:r>
                  <w:r>
                    <w:rPr>
                      <w:color w:val="000000"/>
                      <w:sz w:val="18"/>
                      <w:szCs w:val="22"/>
                    </w:rPr>
                    <w:t>2</w:t>
                  </w:r>
                  <w:r w:rsidR="00647456" w:rsidRPr="007D683E">
                    <w:rPr>
                      <w:color w:val="000000"/>
                      <w:sz w:val="18"/>
                      <w:szCs w:val="22"/>
                    </w:rPr>
                    <w:t xml:space="preserve">        </w:t>
                  </w:r>
                </w:p>
              </w:tc>
              <w:tc>
                <w:tcPr>
                  <w:tcW w:w="960" w:type="dxa"/>
                  <w:tcBorders>
                    <w:top w:val="nil"/>
                    <w:left w:val="nil"/>
                    <w:bottom w:val="nil"/>
                    <w:right w:val="nil"/>
                  </w:tcBorders>
                  <w:vAlign w:val="bottom"/>
                </w:tcPr>
                <w:p w:rsidR="00647456" w:rsidRPr="007D683E" w:rsidRDefault="00C95D87" w:rsidP="00625337">
                  <w:pPr>
                    <w:jc w:val="right"/>
                    <w:rPr>
                      <w:color w:val="000000"/>
                      <w:sz w:val="18"/>
                      <w:szCs w:val="22"/>
                    </w:rPr>
                  </w:pPr>
                  <w:r>
                    <w:rPr>
                      <w:color w:val="000000"/>
                      <w:sz w:val="18"/>
                      <w:szCs w:val="22"/>
                    </w:rPr>
                    <w:t>1.8</w:t>
                  </w:r>
                  <w:r w:rsidR="00625337">
                    <w:rPr>
                      <w:color w:val="000000"/>
                      <w:sz w:val="18"/>
                      <w:szCs w:val="22"/>
                    </w:rPr>
                    <w:t>2</w:t>
                  </w:r>
                  <w:r w:rsidR="00647456" w:rsidRPr="007D683E">
                    <w:rPr>
                      <w:color w:val="000000"/>
                      <w:sz w:val="18"/>
                      <w:szCs w:val="22"/>
                    </w:rPr>
                    <w:t xml:space="preserve">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 xml:space="preserve"> 0.</w:t>
                  </w:r>
                  <w:r w:rsidR="001A7AAB">
                    <w:rPr>
                      <w:color w:val="000000"/>
                      <w:sz w:val="18"/>
                      <w:szCs w:val="22"/>
                    </w:rPr>
                    <w:t>12</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 xml:space="preserve"> 0.1</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1A7AAB" w:rsidP="00D40EFB">
                  <w:pPr>
                    <w:jc w:val="right"/>
                    <w:rPr>
                      <w:color w:val="000000"/>
                      <w:sz w:val="18"/>
                      <w:szCs w:val="22"/>
                    </w:rPr>
                  </w:pPr>
                  <w:r>
                    <w:rPr>
                      <w:color w:val="000000"/>
                      <w:sz w:val="18"/>
                      <w:szCs w:val="22"/>
                    </w:rPr>
                    <w:t>0.5</w:t>
                  </w:r>
                  <w:r w:rsidR="00D40EFB">
                    <w:rPr>
                      <w:color w:val="000000"/>
                      <w:sz w:val="18"/>
                      <w:szCs w:val="22"/>
                    </w:rPr>
                    <w:t>9</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0.45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D40EFB" w:rsidP="00901236">
                  <w:pPr>
                    <w:jc w:val="right"/>
                    <w:rPr>
                      <w:color w:val="000000"/>
                      <w:sz w:val="18"/>
                      <w:szCs w:val="22"/>
                    </w:rPr>
                  </w:pPr>
                  <w:r>
                    <w:rPr>
                      <w:color w:val="000000"/>
                      <w:sz w:val="18"/>
                      <w:szCs w:val="22"/>
                    </w:rPr>
                    <w:t>0</w:t>
                  </w:r>
                  <w:r w:rsidR="00647456" w:rsidRPr="007D683E">
                    <w:rPr>
                      <w:color w:val="000000"/>
                      <w:sz w:val="18"/>
                      <w:szCs w:val="22"/>
                    </w:rPr>
                    <w:t>.</w:t>
                  </w:r>
                  <w:r>
                    <w:rPr>
                      <w:color w:val="000000"/>
                      <w:sz w:val="18"/>
                      <w:szCs w:val="22"/>
                    </w:rPr>
                    <w:t>43</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7</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4</w:t>
                  </w:r>
                  <w:r w:rsidR="00D40EFB">
                    <w:rPr>
                      <w:color w:val="000000"/>
                      <w:sz w:val="18"/>
                      <w:szCs w:val="22"/>
                    </w:rPr>
                    <w:t>8</w:t>
                  </w:r>
                </w:p>
              </w:tc>
              <w:tc>
                <w:tcPr>
                  <w:tcW w:w="960" w:type="dxa"/>
                  <w:tcBorders>
                    <w:top w:val="nil"/>
                    <w:left w:val="nil"/>
                    <w:bottom w:val="nil"/>
                    <w:right w:val="nil"/>
                  </w:tcBorders>
                  <w:vAlign w:val="bottom"/>
                </w:tcPr>
                <w:p w:rsidR="00647456" w:rsidRPr="007D683E" w:rsidRDefault="00625337" w:rsidP="00C95D87">
                  <w:pPr>
                    <w:jc w:val="right"/>
                    <w:rPr>
                      <w:color w:val="000000"/>
                      <w:sz w:val="18"/>
                      <w:szCs w:val="22"/>
                    </w:rPr>
                  </w:pPr>
                  <w:r>
                    <w:rPr>
                      <w:color w:val="000000"/>
                      <w:sz w:val="18"/>
                      <w:szCs w:val="22"/>
                    </w:rPr>
                    <w:t>0.2</w:t>
                  </w:r>
                  <w:r w:rsidR="00C95D87">
                    <w:rPr>
                      <w:color w:val="000000"/>
                      <w:sz w:val="18"/>
                      <w:szCs w:val="22"/>
                    </w:rPr>
                    <w:t>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D40EFB">
                  <w:pPr>
                    <w:jc w:val="right"/>
                    <w:rPr>
                      <w:color w:val="000000"/>
                      <w:sz w:val="18"/>
                      <w:szCs w:val="22"/>
                    </w:rPr>
                  </w:pPr>
                  <w:r w:rsidRPr="007D683E">
                    <w:rPr>
                      <w:color w:val="000000"/>
                      <w:sz w:val="18"/>
                      <w:szCs w:val="22"/>
                    </w:rPr>
                    <w:t>0.</w:t>
                  </w:r>
                  <w:r w:rsidR="001A7AAB">
                    <w:rPr>
                      <w:color w:val="000000"/>
                      <w:sz w:val="18"/>
                      <w:szCs w:val="22"/>
                    </w:rPr>
                    <w:t>0</w:t>
                  </w:r>
                  <w:r w:rsidR="00D40EFB">
                    <w:rPr>
                      <w:color w:val="000000"/>
                      <w:sz w:val="18"/>
                      <w:szCs w:val="22"/>
                    </w:rPr>
                    <w:t>1</w:t>
                  </w:r>
                </w:p>
              </w:tc>
              <w:tc>
                <w:tcPr>
                  <w:tcW w:w="960" w:type="dxa"/>
                  <w:tcBorders>
                    <w:top w:val="nil"/>
                    <w:left w:val="nil"/>
                    <w:bottom w:val="nil"/>
                    <w:right w:val="nil"/>
                  </w:tcBorders>
                  <w:vAlign w:val="bottom"/>
                </w:tcPr>
                <w:p w:rsidR="00647456" w:rsidRPr="007D683E" w:rsidRDefault="00C95D87" w:rsidP="00C95D87">
                  <w:pPr>
                    <w:jc w:val="right"/>
                    <w:rPr>
                      <w:color w:val="000000"/>
                      <w:sz w:val="18"/>
                      <w:szCs w:val="22"/>
                    </w:rPr>
                  </w:pPr>
                  <w:r>
                    <w:rPr>
                      <w:color w:val="000000"/>
                      <w:sz w:val="18"/>
                      <w:szCs w:val="22"/>
                    </w:rPr>
                    <w:t>0.10</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0.1</w:t>
                  </w:r>
                  <w:r w:rsidR="001A7AAB">
                    <w:rPr>
                      <w:color w:val="000000"/>
                      <w:sz w:val="18"/>
                      <w:szCs w:val="22"/>
                    </w:rPr>
                    <w:t>5</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0.11</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901236">
                  <w:pPr>
                    <w:jc w:val="right"/>
                    <w:rPr>
                      <w:color w:val="000000"/>
                      <w:sz w:val="18"/>
                      <w:szCs w:val="22"/>
                    </w:rPr>
                  </w:pPr>
                  <w:r w:rsidRPr="007D683E">
                    <w:rPr>
                      <w:color w:val="000000"/>
                      <w:sz w:val="18"/>
                      <w:szCs w:val="22"/>
                    </w:rPr>
                    <w:t>0.0</w:t>
                  </w:r>
                  <w:r w:rsidR="001A7AAB">
                    <w:rPr>
                      <w:color w:val="000000"/>
                      <w:sz w:val="18"/>
                      <w:szCs w:val="22"/>
                    </w:rPr>
                    <w:t>0</w:t>
                  </w:r>
                </w:p>
              </w:tc>
              <w:tc>
                <w:tcPr>
                  <w:tcW w:w="960" w:type="dxa"/>
                  <w:tcBorders>
                    <w:top w:val="nil"/>
                    <w:left w:val="nil"/>
                    <w:bottom w:val="nil"/>
                    <w:right w:val="nil"/>
                  </w:tcBorders>
                  <w:vAlign w:val="bottom"/>
                </w:tcPr>
                <w:p w:rsidR="00647456" w:rsidRPr="007D683E" w:rsidRDefault="00625337" w:rsidP="00901236">
                  <w:pPr>
                    <w:jc w:val="right"/>
                    <w:rPr>
                      <w:color w:val="000000"/>
                      <w:sz w:val="18"/>
                      <w:szCs w:val="22"/>
                    </w:rPr>
                  </w:pPr>
                  <w:r>
                    <w:rPr>
                      <w:color w:val="000000"/>
                      <w:sz w:val="18"/>
                      <w:szCs w:val="22"/>
                    </w:rPr>
                    <w:t>0.07</w:t>
                  </w:r>
                </w:p>
              </w:tc>
            </w:tr>
          </w:tbl>
          <w:p w:rsidR="00647456" w:rsidRPr="007D683E"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91.58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3.26</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1.75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1.58        </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 xml:space="preserve"> 0.48</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0.72</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0.29</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0.13</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0.05</w:t>
                  </w:r>
                </w:p>
              </w:tc>
            </w:tr>
            <w:tr w:rsidR="00647456" w:rsidRPr="007D683E" w:rsidTr="00901236">
              <w:trPr>
                <w:trHeight w:val="300"/>
              </w:trPr>
              <w:tc>
                <w:tcPr>
                  <w:tcW w:w="960" w:type="dxa"/>
                  <w:tcBorders>
                    <w:top w:val="nil"/>
                    <w:left w:val="nil"/>
                    <w:bottom w:val="nil"/>
                    <w:right w:val="nil"/>
                  </w:tcBorders>
                  <w:shd w:val="clear" w:color="auto" w:fill="auto"/>
                  <w:noWrap/>
                  <w:vAlign w:val="bottom"/>
                  <w:hideMark/>
                </w:tcPr>
                <w:p w:rsidR="00647456" w:rsidRPr="007D683E" w:rsidRDefault="00647456" w:rsidP="00136EE9">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647456" w:rsidRPr="007D683E" w:rsidRDefault="00647456" w:rsidP="00136EE9">
                  <w:pPr>
                    <w:jc w:val="right"/>
                    <w:rPr>
                      <w:color w:val="000000"/>
                      <w:sz w:val="18"/>
                      <w:szCs w:val="22"/>
                    </w:rPr>
                  </w:pPr>
                  <w:r w:rsidRPr="007D683E">
                    <w:rPr>
                      <w:color w:val="000000"/>
                      <w:sz w:val="18"/>
                      <w:szCs w:val="22"/>
                    </w:rPr>
                    <w:t>0.03</w:t>
                  </w:r>
                </w:p>
              </w:tc>
            </w:tr>
          </w:tbl>
          <w:p w:rsidR="00647456" w:rsidRPr="007D683E" w:rsidRDefault="00647456"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87245E" w:rsidP="00901236">
                  <w:pPr>
                    <w:jc w:val="right"/>
                    <w:rPr>
                      <w:b/>
                      <w:color w:val="000000"/>
                      <w:sz w:val="18"/>
                      <w:szCs w:val="22"/>
                    </w:rPr>
                  </w:pPr>
                  <w:r>
                    <w:rPr>
                      <w:b/>
                      <w:color w:val="000000"/>
                      <w:sz w:val="18"/>
                      <w:szCs w:val="22"/>
                    </w:rPr>
                    <w:t>+</w:t>
                  </w:r>
                  <w:r w:rsidR="00C95D87" w:rsidRPr="0087245E">
                    <w:rPr>
                      <w:b/>
                      <w:color w:val="000000"/>
                      <w:sz w:val="18"/>
                      <w:szCs w:val="22"/>
                    </w:rPr>
                    <w:t>1.22</w:t>
                  </w:r>
                  <w:r w:rsidR="00647456" w:rsidRPr="0087245E">
                    <w:rPr>
                      <w:b/>
                      <w:color w:val="000000"/>
                      <w:sz w:val="18"/>
                      <w:szCs w:val="22"/>
                    </w:rPr>
                    <w:t>%</w:t>
                  </w:r>
                </w:p>
                <w:p w:rsidR="00647456" w:rsidRPr="007D683E" w:rsidRDefault="00C95D87" w:rsidP="00C85E92">
                  <w:pPr>
                    <w:jc w:val="right"/>
                    <w:rPr>
                      <w:color w:val="000000"/>
                      <w:sz w:val="18"/>
                      <w:szCs w:val="22"/>
                    </w:rPr>
                  </w:pPr>
                  <w:r>
                    <w:rPr>
                      <w:color w:val="000000"/>
                      <w:sz w:val="18"/>
                      <w:szCs w:val="22"/>
                    </w:rPr>
                    <w:t>-8.70</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C85E92">
                  <w:pPr>
                    <w:jc w:val="right"/>
                    <w:rPr>
                      <w:b/>
                      <w:color w:val="000000"/>
                      <w:sz w:val="18"/>
                      <w:szCs w:val="22"/>
                    </w:rPr>
                  </w:pPr>
                  <w:r>
                    <w:rPr>
                      <w:b/>
                      <w:color w:val="000000"/>
                      <w:sz w:val="18"/>
                      <w:szCs w:val="22"/>
                    </w:rPr>
                    <w:t>+156.79</w:t>
                  </w:r>
                  <w:r w:rsidR="00647456"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C85E92" w:rsidP="00901236">
                  <w:pPr>
                    <w:jc w:val="right"/>
                    <w:rPr>
                      <w:b/>
                      <w:color w:val="000000"/>
                      <w:sz w:val="18"/>
                      <w:szCs w:val="22"/>
                    </w:rPr>
                  </w:pPr>
                  <w:r w:rsidRPr="0087245E">
                    <w:rPr>
                      <w:b/>
                      <w:color w:val="000000"/>
                      <w:sz w:val="18"/>
                      <w:szCs w:val="22"/>
                    </w:rPr>
                    <w:t>+</w:t>
                  </w:r>
                  <w:r w:rsidR="00C95D87" w:rsidRPr="0087245E">
                    <w:rPr>
                      <w:b/>
                      <w:color w:val="000000"/>
                      <w:sz w:val="18"/>
                      <w:szCs w:val="22"/>
                    </w:rPr>
                    <w:t>18.5</w:t>
                  </w:r>
                  <w:r w:rsidRPr="0087245E">
                    <w:rPr>
                      <w:b/>
                      <w:color w:val="000000"/>
                      <w:sz w:val="18"/>
                      <w:szCs w:val="22"/>
                    </w:rPr>
                    <w:t>7</w:t>
                  </w:r>
                  <w:r w:rsidR="00647456" w:rsidRPr="0087245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C95D87" w:rsidP="00901236">
                  <w:pPr>
                    <w:jc w:val="right"/>
                    <w:rPr>
                      <w:color w:val="000000"/>
                      <w:sz w:val="18"/>
                      <w:szCs w:val="22"/>
                    </w:rPr>
                  </w:pPr>
                  <w:r>
                    <w:rPr>
                      <w:color w:val="000000"/>
                      <w:sz w:val="18"/>
                      <w:szCs w:val="22"/>
                    </w:rPr>
                    <w:t>-62.77</w:t>
                  </w:r>
                  <w:r w:rsidR="00647456" w:rsidRPr="007D683E">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901236">
                  <w:pPr>
                    <w:jc w:val="right"/>
                    <w:rPr>
                      <w:color w:val="000000"/>
                      <w:sz w:val="18"/>
                      <w:szCs w:val="22"/>
                    </w:rPr>
                  </w:pPr>
                  <w:r>
                    <w:rPr>
                      <w:color w:val="000000"/>
                      <w:sz w:val="18"/>
                      <w:szCs w:val="22"/>
                    </w:rPr>
                    <w:t>-36</w:t>
                  </w:r>
                  <w:r w:rsidR="00C85E92" w:rsidRPr="00C85E92">
                    <w:rPr>
                      <w:color w:val="000000"/>
                      <w:sz w:val="18"/>
                      <w:szCs w:val="22"/>
                    </w:rPr>
                    <w:t>.7</w:t>
                  </w:r>
                  <w:r>
                    <w:rPr>
                      <w:color w:val="000000"/>
                      <w:sz w:val="18"/>
                      <w:szCs w:val="22"/>
                    </w:rPr>
                    <w:t>13</w:t>
                  </w:r>
                  <w:r w:rsidR="00C85E92"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493DA3" w:rsidRDefault="00647456" w:rsidP="00C85E92">
                  <w:pPr>
                    <w:jc w:val="right"/>
                    <w:rPr>
                      <w:b/>
                      <w:color w:val="000000"/>
                      <w:sz w:val="18"/>
                      <w:szCs w:val="22"/>
                    </w:rPr>
                  </w:pPr>
                  <w:r w:rsidRPr="00493DA3">
                    <w:rPr>
                      <w:b/>
                      <w:color w:val="000000"/>
                      <w:sz w:val="18"/>
                      <w:szCs w:val="22"/>
                    </w:rPr>
                    <w:t>-</w:t>
                  </w:r>
                  <w:r w:rsidR="00C95D87" w:rsidRPr="00493DA3">
                    <w:rPr>
                      <w:b/>
                      <w:color w:val="000000"/>
                      <w:sz w:val="18"/>
                      <w:szCs w:val="22"/>
                    </w:rPr>
                    <w:t>3.08</w:t>
                  </w:r>
                  <w:r w:rsidR="00C85E92" w:rsidRPr="00493DA3">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3E38E1" w:rsidRPr="00670EBE" w:rsidRDefault="00C95D87" w:rsidP="00C95D87">
                  <w:pPr>
                    <w:jc w:val="right"/>
                    <w:rPr>
                      <w:b/>
                      <w:color w:val="000000"/>
                      <w:sz w:val="18"/>
                      <w:szCs w:val="22"/>
                    </w:rPr>
                  </w:pPr>
                  <w:r>
                    <w:rPr>
                      <w:b/>
                      <w:color w:val="000000"/>
                      <w:sz w:val="18"/>
                      <w:szCs w:val="22"/>
                    </w:rPr>
                    <w:t>+83.04</w:t>
                  </w:r>
                  <w:r w:rsidR="00647456" w:rsidRPr="00C85E92">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C85E92" w:rsidRDefault="00C95D87" w:rsidP="00C95D87">
                  <w:pPr>
                    <w:jc w:val="right"/>
                    <w:rPr>
                      <w:color w:val="000000"/>
                      <w:sz w:val="18"/>
                      <w:szCs w:val="22"/>
                    </w:rPr>
                  </w:pPr>
                  <w:r>
                    <w:rPr>
                      <w:color w:val="000000"/>
                      <w:sz w:val="18"/>
                      <w:szCs w:val="22"/>
                    </w:rPr>
                    <w:t>-24.56</w:t>
                  </w:r>
                  <w:r w:rsidR="00647456" w:rsidRPr="00C85E92">
                    <w:rPr>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7D683E" w:rsidRDefault="00647456" w:rsidP="00C85E92">
                  <w:pPr>
                    <w:jc w:val="right"/>
                    <w:rPr>
                      <w:b/>
                      <w:color w:val="000000"/>
                      <w:sz w:val="18"/>
                      <w:szCs w:val="22"/>
                    </w:rPr>
                  </w:pPr>
                  <w:r w:rsidRPr="007D683E">
                    <w:rPr>
                      <w:b/>
                      <w:color w:val="000000"/>
                      <w:sz w:val="18"/>
                      <w:szCs w:val="22"/>
                    </w:rPr>
                    <w:t>+</w:t>
                  </w:r>
                  <w:r w:rsidR="00C95D87">
                    <w:rPr>
                      <w:b/>
                      <w:color w:val="000000"/>
                      <w:sz w:val="18"/>
                      <w:szCs w:val="22"/>
                    </w:rPr>
                    <w:t>139.95</w:t>
                  </w:r>
                  <w:r w:rsidRPr="007D683E">
                    <w:rPr>
                      <w:b/>
                      <w:color w:val="000000"/>
                      <w:sz w:val="18"/>
                      <w:szCs w:val="22"/>
                    </w:rPr>
                    <w:t>%</w:t>
                  </w:r>
                </w:p>
              </w:tc>
            </w:tr>
            <w:tr w:rsidR="00647456" w:rsidRPr="007D683E" w:rsidTr="00901236">
              <w:trPr>
                <w:gridAfter w:val="1"/>
                <w:wAfter w:w="752" w:type="dxa"/>
                <w:trHeight w:val="300"/>
              </w:trPr>
              <w:tc>
                <w:tcPr>
                  <w:tcW w:w="1168" w:type="dxa"/>
                  <w:tcBorders>
                    <w:top w:val="nil"/>
                    <w:left w:val="nil"/>
                    <w:bottom w:val="nil"/>
                    <w:right w:val="nil"/>
                  </w:tcBorders>
                  <w:vAlign w:val="bottom"/>
                </w:tcPr>
                <w:p w:rsidR="00647456" w:rsidRPr="0087245E" w:rsidRDefault="00647456" w:rsidP="00C85E92">
                  <w:pPr>
                    <w:jc w:val="right"/>
                    <w:rPr>
                      <w:color w:val="000000"/>
                      <w:sz w:val="18"/>
                      <w:szCs w:val="22"/>
                    </w:rPr>
                  </w:pPr>
                  <w:r w:rsidRPr="0087245E">
                    <w:rPr>
                      <w:color w:val="000000"/>
                      <w:sz w:val="18"/>
                      <w:szCs w:val="22"/>
                    </w:rPr>
                    <w:t>+</w:t>
                  </w:r>
                  <w:r w:rsidR="00C85E92" w:rsidRPr="0087245E">
                    <w:rPr>
                      <w:color w:val="000000"/>
                      <w:sz w:val="18"/>
                      <w:szCs w:val="22"/>
                    </w:rPr>
                    <w:t>170.56</w:t>
                  </w:r>
                  <w:r w:rsidRPr="0087245E">
                    <w:rPr>
                      <w:color w:val="000000"/>
                      <w:sz w:val="18"/>
                      <w:szCs w:val="22"/>
                    </w:rPr>
                    <w:t>%</w:t>
                  </w:r>
                </w:p>
              </w:tc>
            </w:tr>
            <w:tr w:rsidR="00647456" w:rsidRPr="007D683E" w:rsidTr="00901236">
              <w:trPr>
                <w:trHeight w:val="300"/>
              </w:trPr>
              <w:tc>
                <w:tcPr>
                  <w:tcW w:w="1920" w:type="dxa"/>
                  <w:gridSpan w:val="2"/>
                  <w:tcBorders>
                    <w:top w:val="nil"/>
                    <w:left w:val="nil"/>
                    <w:bottom w:val="nil"/>
                    <w:right w:val="nil"/>
                  </w:tcBorders>
                  <w:vAlign w:val="bottom"/>
                </w:tcPr>
                <w:p w:rsidR="00647456" w:rsidRPr="007D683E" w:rsidRDefault="00647456" w:rsidP="00901236">
                  <w:pPr>
                    <w:jc w:val="right"/>
                    <w:rPr>
                      <w:color w:val="000000"/>
                      <w:sz w:val="18"/>
                      <w:szCs w:val="22"/>
                    </w:rPr>
                  </w:pPr>
                </w:p>
              </w:tc>
            </w:tr>
          </w:tbl>
          <w:p w:rsidR="00647456" w:rsidRPr="007D683E" w:rsidRDefault="00647456"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+40.97</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647456" w:rsidP="00D40EFB">
                  <w:pPr>
                    <w:ind w:right="772"/>
                    <w:jc w:val="center"/>
                    <w:rPr>
                      <w:color w:val="000000"/>
                      <w:sz w:val="18"/>
                      <w:szCs w:val="22"/>
                    </w:rPr>
                  </w:pPr>
                  <w:r w:rsidRPr="007D683E">
                    <w:rPr>
                      <w:b/>
                      <w:color w:val="000000"/>
                      <w:sz w:val="18"/>
                      <w:szCs w:val="22"/>
                    </w:rPr>
                    <w:t xml:space="preserve">   </w:t>
                  </w:r>
                  <w:r w:rsidR="00D40EFB">
                    <w:rPr>
                      <w:color w:val="000000"/>
                      <w:sz w:val="18"/>
                      <w:szCs w:val="22"/>
                    </w:rPr>
                    <w:t>-29,6</w:t>
                  </w:r>
                  <w:r w:rsidR="003E38E1" w:rsidRPr="003E38E1">
                    <w:rPr>
                      <w:color w:val="000000"/>
                      <w:sz w:val="18"/>
                      <w:szCs w:val="22"/>
                    </w:rPr>
                    <w:t>7</w:t>
                  </w:r>
                  <w:r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b/>
                      <w:color w:val="000000"/>
                      <w:sz w:val="18"/>
                      <w:szCs w:val="22"/>
                    </w:rPr>
                  </w:pPr>
                  <w:r>
                    <w:rPr>
                      <w:b/>
                      <w:color w:val="000000"/>
                      <w:sz w:val="18"/>
                      <w:szCs w:val="22"/>
                    </w:rPr>
                    <w:t>+65.12</w:t>
                  </w:r>
                  <w:r w:rsidR="00647456" w:rsidRPr="003E38E1">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901236">
                  <w:pPr>
                    <w:ind w:right="772"/>
                    <w:jc w:val="right"/>
                    <w:rPr>
                      <w:b/>
                      <w:color w:val="000000"/>
                      <w:sz w:val="18"/>
                      <w:szCs w:val="22"/>
                    </w:rPr>
                  </w:pPr>
                  <w:r>
                    <w:rPr>
                      <w:b/>
                      <w:color w:val="000000"/>
                      <w:sz w:val="18"/>
                      <w:szCs w:val="22"/>
                    </w:rPr>
                    <w:t>+76.64</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3E38E1" w:rsidP="00D40EFB">
                  <w:pPr>
                    <w:ind w:right="772"/>
                    <w:jc w:val="right"/>
                    <w:rPr>
                      <w:color w:val="000000"/>
                      <w:sz w:val="18"/>
                      <w:szCs w:val="22"/>
                    </w:rPr>
                  </w:pPr>
                  <w:r>
                    <w:rPr>
                      <w:color w:val="000000"/>
                      <w:sz w:val="18"/>
                      <w:szCs w:val="22"/>
                    </w:rPr>
                    <w:t>-5</w:t>
                  </w:r>
                  <w:r w:rsidR="00D40EFB">
                    <w:rPr>
                      <w:color w:val="000000"/>
                      <w:sz w:val="18"/>
                      <w:szCs w:val="22"/>
                    </w:rPr>
                    <w:t>6.97</w:t>
                  </w:r>
                  <w:r w:rsidR="00647456" w:rsidRPr="007D683E">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901236">
                  <w:pPr>
                    <w:ind w:right="772"/>
                    <w:jc w:val="right"/>
                    <w:rPr>
                      <w:color w:val="000000"/>
                      <w:sz w:val="18"/>
                      <w:szCs w:val="22"/>
                    </w:rPr>
                  </w:pPr>
                  <w:r>
                    <w:rPr>
                      <w:color w:val="000000"/>
                      <w:sz w:val="18"/>
                      <w:szCs w:val="22"/>
                    </w:rPr>
                    <w:t>-32.12</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493DA3" w:rsidRDefault="00D40EFB" w:rsidP="00901236">
                  <w:pPr>
                    <w:ind w:right="772"/>
                    <w:jc w:val="right"/>
                    <w:rPr>
                      <w:b/>
                      <w:color w:val="000000"/>
                      <w:sz w:val="18"/>
                      <w:szCs w:val="22"/>
                    </w:rPr>
                  </w:pPr>
                  <w:r w:rsidRPr="00493DA3">
                    <w:rPr>
                      <w:b/>
                      <w:color w:val="000000"/>
                      <w:sz w:val="18"/>
                      <w:szCs w:val="22"/>
                    </w:rPr>
                    <w:t>+199.45</w:t>
                  </w:r>
                  <w:r w:rsidR="00647456" w:rsidRPr="00493DA3">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901236">
                  <w:pPr>
                    <w:ind w:right="772"/>
                    <w:jc w:val="right"/>
                    <w:rPr>
                      <w:b/>
                      <w:color w:val="000000"/>
                      <w:sz w:val="18"/>
                      <w:szCs w:val="22"/>
                    </w:rPr>
                  </w:pPr>
                  <w:r w:rsidRPr="003E38E1">
                    <w:rPr>
                      <w:b/>
                      <w:color w:val="000000"/>
                      <w:sz w:val="18"/>
                      <w:szCs w:val="22"/>
                    </w:rPr>
                    <w:t>+</w:t>
                  </w:r>
                  <w:r w:rsidR="00D40EFB">
                    <w:rPr>
                      <w:b/>
                      <w:color w:val="000000"/>
                      <w:sz w:val="18"/>
                      <w:szCs w:val="22"/>
                    </w:rPr>
                    <w:t>78.31</w:t>
                  </w:r>
                  <w:r w:rsidR="00C85E92">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3E38E1" w:rsidP="00D40EFB">
                  <w:pPr>
                    <w:ind w:right="772"/>
                    <w:jc w:val="right"/>
                    <w:rPr>
                      <w:color w:val="000000"/>
                      <w:sz w:val="18"/>
                      <w:szCs w:val="22"/>
                    </w:rPr>
                  </w:pPr>
                  <w:r w:rsidRPr="003E38E1">
                    <w:rPr>
                      <w:color w:val="000000"/>
                      <w:sz w:val="18"/>
                      <w:szCs w:val="22"/>
                    </w:rPr>
                    <w:t>-9</w:t>
                  </w:r>
                  <w:r w:rsidR="00D40EFB">
                    <w:rPr>
                      <w:color w:val="000000"/>
                      <w:sz w:val="18"/>
                      <w:szCs w:val="22"/>
                    </w:rPr>
                    <w:t>6,98</w:t>
                  </w:r>
                  <w:r w:rsidR="00647456" w:rsidRPr="003E38E1">
                    <w:rPr>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7D683E" w:rsidRDefault="00D40EFB" w:rsidP="00D40EFB">
                  <w:pPr>
                    <w:ind w:right="772"/>
                    <w:jc w:val="right"/>
                    <w:rPr>
                      <w:b/>
                      <w:color w:val="000000"/>
                      <w:sz w:val="18"/>
                      <w:szCs w:val="22"/>
                    </w:rPr>
                  </w:pPr>
                  <w:r>
                    <w:rPr>
                      <w:b/>
                      <w:color w:val="000000"/>
                      <w:sz w:val="18"/>
                      <w:szCs w:val="22"/>
                    </w:rPr>
                    <w:t>+123.45</w:t>
                  </w:r>
                  <w:r w:rsidR="00647456" w:rsidRPr="007D683E">
                    <w:rPr>
                      <w:b/>
                      <w:color w:val="000000"/>
                      <w:sz w:val="18"/>
                      <w:szCs w:val="22"/>
                    </w:rPr>
                    <w:t>%</w:t>
                  </w:r>
                </w:p>
              </w:tc>
            </w:tr>
            <w:tr w:rsidR="00647456" w:rsidRPr="007D683E" w:rsidTr="00901236">
              <w:trPr>
                <w:trHeight w:val="300"/>
              </w:trPr>
              <w:tc>
                <w:tcPr>
                  <w:tcW w:w="960" w:type="dxa"/>
                  <w:tcBorders>
                    <w:top w:val="nil"/>
                    <w:left w:val="nil"/>
                    <w:bottom w:val="nil"/>
                    <w:right w:val="nil"/>
                  </w:tcBorders>
                  <w:vAlign w:val="bottom"/>
                </w:tcPr>
                <w:p w:rsidR="00647456" w:rsidRPr="003E38E1" w:rsidRDefault="00D40EFB" w:rsidP="003E38E1">
                  <w:pPr>
                    <w:ind w:right="772"/>
                    <w:jc w:val="right"/>
                    <w:rPr>
                      <w:color w:val="000000"/>
                      <w:sz w:val="18"/>
                      <w:szCs w:val="22"/>
                    </w:rPr>
                  </w:pPr>
                  <w:r>
                    <w:rPr>
                      <w:color w:val="000000"/>
                      <w:sz w:val="18"/>
                      <w:szCs w:val="22"/>
                    </w:rPr>
                    <w:t>-68</w:t>
                  </w:r>
                  <w:r w:rsidR="00647456" w:rsidRPr="003E38E1">
                    <w:rPr>
                      <w:color w:val="000000"/>
                      <w:sz w:val="18"/>
                      <w:szCs w:val="22"/>
                    </w:rPr>
                    <w:t>.</w:t>
                  </w:r>
                  <w:r w:rsidR="003E38E1" w:rsidRPr="003E38E1">
                    <w:rPr>
                      <w:color w:val="000000"/>
                      <w:sz w:val="18"/>
                      <w:szCs w:val="22"/>
                    </w:rPr>
                    <w:t>06</w:t>
                  </w:r>
                  <w:r w:rsidR="00647456" w:rsidRPr="003E38E1">
                    <w:rPr>
                      <w:color w:val="000000"/>
                      <w:sz w:val="18"/>
                      <w:szCs w:val="22"/>
                    </w:rPr>
                    <w:t>%</w:t>
                  </w:r>
                </w:p>
              </w:tc>
            </w:tr>
          </w:tbl>
          <w:p w:rsidR="00647456" w:rsidRPr="007D683E" w:rsidRDefault="00647456" w:rsidP="00901236">
            <w:pPr>
              <w:jc w:val="right"/>
              <w:rPr>
                <w:color w:val="000000"/>
                <w:sz w:val="18"/>
                <w:szCs w:val="22"/>
              </w:rPr>
            </w:pPr>
          </w:p>
        </w:tc>
      </w:tr>
    </w:tbl>
    <w:p w:rsidR="00A242A2" w:rsidRDefault="00C36EB2" w:rsidP="003276F2">
      <w:r>
        <w:fldChar w:fldCharType="begin"/>
      </w:r>
      <w:r>
        <w:instrText xml:space="preserve"> REF _Ref355702121 \h </w:instrText>
      </w:r>
      <w:r>
        <w:fldChar w:fldCharType="separate"/>
      </w:r>
      <w:r w:rsidR="00A319E4">
        <w:t xml:space="preserve">Figure </w:t>
      </w:r>
      <w:r w:rsidR="00A319E4">
        <w:rPr>
          <w:noProof/>
        </w:rPr>
        <w:t>12</w:t>
      </w:r>
      <w:r w:rsidR="00A319E4">
        <w:t>. Distribution of consumed normalized CPU wall time among the main active VOs (May 2012-March 2013)</w:t>
      </w:r>
      <w:r>
        <w:fldChar w:fldCharType="end"/>
      </w:r>
      <w:r>
        <w:fldChar w:fldCharType="begin"/>
      </w:r>
      <w:r>
        <w:instrText xml:space="preserve"> REF _Ref355702127 \h </w:instrText>
      </w:r>
      <w:r>
        <w:fldChar w:fldCharType="separate"/>
      </w:r>
      <w:r w:rsidR="00A319E4">
        <w:t xml:space="preserve">Figure </w:t>
      </w:r>
      <w:r w:rsidR="00A319E4">
        <w:rPr>
          <w:noProof/>
        </w:rPr>
        <w:t>12</w:t>
      </w:r>
      <w:r>
        <w:fldChar w:fldCharType="end"/>
      </w:r>
      <w:r w:rsidR="003B4828">
        <w:t xml:space="preserve"> shows the distribution of consumed normalized CPU wall time among the main VOs.</w:t>
      </w:r>
    </w:p>
    <w:p w:rsidR="0096200D" w:rsidRDefault="003D7FCD" w:rsidP="00A319E4">
      <w:pPr>
        <w:jc w:val="center"/>
        <w:rPr>
          <w:noProof/>
          <w:lang w:eastAsia="en-GB"/>
        </w:rPr>
      </w:pPr>
      <w:r>
        <w:rPr>
          <w:noProof/>
          <w:lang w:eastAsia="en-GB"/>
        </w:rPr>
        <w:drawing>
          <wp:inline distT="0" distB="0" distL="0" distR="0" wp14:anchorId="0A3DA7D3" wp14:editId="7A5C01B2">
            <wp:extent cx="5090615" cy="2457306"/>
            <wp:effectExtent l="0" t="0" r="0" b="635"/>
            <wp:docPr id="1618" name="Picture 1618" descr="C:\Users\Krakowian\Google Drive\Operations\inspire-deliverables\SA1\D4.8\png\Cumulative Normalised Elapsed time (HEPSPEC06) grouped by VO and 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81157" cy="2452741"/>
                    </a:xfrm>
                    <a:prstGeom prst="rect">
                      <a:avLst/>
                    </a:prstGeom>
                    <a:noFill/>
                    <a:ln>
                      <a:noFill/>
                    </a:ln>
                  </pic:spPr>
                </pic:pic>
              </a:graphicData>
            </a:graphic>
          </wp:inline>
        </w:drawing>
      </w:r>
      <w:r w:rsidR="00C72615">
        <w:rPr>
          <w:noProof/>
          <w:lang w:eastAsia="en-GB"/>
        </w:rPr>
        <w:softHyphen/>
      </w:r>
      <w:r w:rsidR="00C72615">
        <w:rPr>
          <w:noProof/>
          <w:lang w:eastAsia="en-GB"/>
        </w:rPr>
        <w:softHyphen/>
      </w:r>
    </w:p>
    <w:p w:rsidR="00C36EB2" w:rsidRDefault="00C36EB2" w:rsidP="00C36EB2">
      <w:pPr>
        <w:pStyle w:val="Caption"/>
        <w:jc w:val="center"/>
        <w:rPr>
          <w:noProof/>
          <w:lang w:eastAsia="en-GB"/>
        </w:rPr>
      </w:pPr>
      <w:bookmarkStart w:id="53" w:name="_Ref355702121"/>
      <w:bookmarkStart w:id="54" w:name="_Ref355702127"/>
      <w:bookmarkStart w:id="55" w:name="_Toc355730456"/>
      <w:r>
        <w:t xml:space="preserve">Figure </w:t>
      </w:r>
      <w:r>
        <w:fldChar w:fldCharType="begin"/>
      </w:r>
      <w:r>
        <w:instrText xml:space="preserve"> SEQ Figure \* ARABIC </w:instrText>
      </w:r>
      <w:r>
        <w:fldChar w:fldCharType="separate"/>
      </w:r>
      <w:r w:rsidR="00A319E4">
        <w:rPr>
          <w:noProof/>
        </w:rPr>
        <w:t>12</w:t>
      </w:r>
      <w:r>
        <w:fldChar w:fldCharType="end"/>
      </w:r>
      <w:bookmarkEnd w:id="54"/>
      <w:r>
        <w:t>. Distribution of consumed normalized CPU wall time among the main active VOs (May 2012-March 2013)</w:t>
      </w:r>
      <w:bookmarkEnd w:id="53"/>
      <w:bookmarkEnd w:id="55"/>
    </w:p>
    <w:p w:rsidR="0064098D" w:rsidRDefault="0064098D" w:rsidP="003276F2">
      <w:pPr>
        <w:rPr>
          <w:noProof/>
          <w:lang w:eastAsia="en-GB"/>
        </w:rPr>
      </w:pPr>
    </w:p>
    <w:p w:rsidR="0064098D" w:rsidRDefault="0064098D" w:rsidP="002D1051">
      <w:pPr>
        <w:framePr w:w="10010" w:wrap="auto" w:hAnchor="text" w:x="1418"/>
        <w:sectPr w:rsidR="0064098D" w:rsidSect="00F52AF4">
          <w:pgSz w:w="11900" w:h="16840"/>
          <w:pgMar w:top="1418" w:right="1418" w:bottom="1418" w:left="1418" w:header="708" w:footer="708" w:gutter="0"/>
          <w:cols w:space="708"/>
          <w:docGrid w:linePitch="299"/>
        </w:sectPr>
      </w:pPr>
    </w:p>
    <w:p w:rsidR="00504A70" w:rsidRDefault="00504A70" w:rsidP="00504A70">
      <w:pPr>
        <w:rPr>
          <w:noProof/>
          <w:lang w:eastAsia="en-GB"/>
        </w:rPr>
      </w:pPr>
    </w:p>
    <w:p w:rsidR="00504A70" w:rsidRDefault="00504A70" w:rsidP="00504A70">
      <w:pPr>
        <w:rPr>
          <w:noProof/>
          <w:lang w:eastAsia="en-GB"/>
        </w:rPr>
      </w:pPr>
    </w:p>
    <w:p w:rsidR="00B20926" w:rsidRPr="00504A70" w:rsidRDefault="000C28DB" w:rsidP="00504A70">
      <w:pPr>
        <w:rPr>
          <w:noProof/>
          <w:lang w:eastAsia="en-GB"/>
        </w:rPr>
      </w:pPr>
      <w:r>
        <w:rPr>
          <w:noProof/>
          <w:lang w:eastAsia="en-GB"/>
        </w:rPr>
        <w:drawing>
          <wp:inline distT="0" distB="0" distL="0" distR="0" wp14:anchorId="6BDCD8DA" wp14:editId="12781C0F">
            <wp:extent cx="4206553" cy="2756079"/>
            <wp:effectExtent l="0" t="0" r="3810" b="6350"/>
            <wp:docPr id="29" name="Picture 29" descr="C:\Users\Krakowian\Desktop\D4.5\png\Cumulative Normalised Elapsed time (HEPSPEC06) grouped by DISCIPLINE and DATE (only information about LHC VOs is retur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1799" cy="2759516"/>
                    </a:xfrm>
                    <a:prstGeom prst="rect">
                      <a:avLst/>
                    </a:prstGeom>
                    <a:noFill/>
                    <a:ln>
                      <a:noFill/>
                    </a:ln>
                  </pic:spPr>
                </pic:pic>
              </a:graphicData>
            </a:graphic>
          </wp:inline>
        </w:drawing>
      </w:r>
      <w:r w:rsidR="00ED6562">
        <w:rPr>
          <w:noProof/>
          <w:lang w:eastAsia="en-GB"/>
        </w:rPr>
        <w:drawing>
          <wp:inline distT="0" distB="0" distL="0" distR="0" wp14:anchorId="1E0133CA">
            <wp:extent cx="4148751" cy="2715905"/>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60609" cy="2723668"/>
                    </a:xfrm>
                    <a:prstGeom prst="rect">
                      <a:avLst/>
                    </a:prstGeom>
                    <a:noFill/>
                  </pic:spPr>
                </pic:pic>
              </a:graphicData>
            </a:graphic>
          </wp:inline>
        </w:drawing>
      </w:r>
      <w:r w:rsidR="0096200D">
        <w:rPr>
          <w:noProof/>
          <w:lang w:eastAsia="en-GB"/>
        </w:rPr>
        <w:t xml:space="preserve"> </w:t>
      </w:r>
    </w:p>
    <w:p w:rsidR="00B20926" w:rsidRDefault="00B20926" w:rsidP="003276F2">
      <w:pPr>
        <w:rPr>
          <w:noProof/>
          <w:lang w:eastAsia="en-GB"/>
        </w:rPr>
      </w:pPr>
    </w:p>
    <w:p w:rsidR="00E45ED8" w:rsidRDefault="00E45ED8" w:rsidP="00E45ED8">
      <w:pPr>
        <w:pStyle w:val="Caption"/>
        <w:jc w:val="center"/>
      </w:pPr>
      <w:bookmarkStart w:id="56" w:name="_Ref323653288"/>
      <w:bookmarkStart w:id="57" w:name="_Toc355730457"/>
      <w:r>
        <w:t xml:space="preserve">Figure </w:t>
      </w:r>
      <w:r w:rsidR="00A560B1">
        <w:fldChar w:fldCharType="begin"/>
      </w:r>
      <w:r w:rsidR="00A560B1">
        <w:instrText xml:space="preserve"> SEQ Figure \* ARABIC </w:instrText>
      </w:r>
      <w:r w:rsidR="00A560B1">
        <w:fldChar w:fldCharType="separate"/>
      </w:r>
      <w:r w:rsidR="00A319E4">
        <w:rPr>
          <w:noProof/>
        </w:rPr>
        <w:t>13</w:t>
      </w:r>
      <w:r w:rsidR="00A560B1">
        <w:rPr>
          <w:noProof/>
        </w:rPr>
        <w:fldChar w:fldCharType="end"/>
      </w:r>
      <w:bookmarkEnd w:id="56"/>
      <w:r>
        <w:t xml:space="preserve">. Used normalized CPU wall clock time </w:t>
      </w:r>
      <w:r w:rsidR="00504A70">
        <w:t>(left</w:t>
      </w:r>
      <w:r w:rsidR="00B20926">
        <w:t>) a</w:t>
      </w:r>
      <w:r w:rsidR="00504A70">
        <w:t>nd number of jobs done (right</w:t>
      </w:r>
      <w:r w:rsidR="00B20926">
        <w:t xml:space="preserve">) </w:t>
      </w:r>
      <w:r w:rsidR="004F0D4F">
        <w:t>across disciplines during PY3</w:t>
      </w:r>
      <w:r>
        <w:t>.</w:t>
      </w:r>
      <w:bookmarkEnd w:id="57"/>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EE0599" w:rsidRDefault="00EE0599" w:rsidP="00EE0599">
      <w:pPr>
        <w:pStyle w:val="Heading1"/>
      </w:pPr>
      <w:bookmarkStart w:id="58" w:name="_Ref324140541"/>
      <w:bookmarkStart w:id="59" w:name="_Toc355730414"/>
      <w:r>
        <w:lastRenderedPageBreak/>
        <w:t>Resource U</w:t>
      </w:r>
      <w:r w:rsidR="00D30516">
        <w:t>sage</w:t>
      </w:r>
      <w:bookmarkEnd w:id="59"/>
    </w:p>
    <w:p w:rsidR="00EE0599"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14"/>
      </w:r>
      <w:r w:rsidRPr="00D0036D">
        <w:rPr>
          <w:rFonts w:eastAsia="Cambria"/>
          <w:lang w:eastAsia="en-GB"/>
        </w:rPr>
        <w:t>. Accounting information is aggregated by Operations Centre, whose list is obtained from GOCDB.</w:t>
      </w:r>
      <w:r>
        <w:t xml:space="preserve"> </w:t>
      </w:r>
    </w:p>
    <w:p w:rsidR="00EE0599" w:rsidRPr="007C5189" w:rsidRDefault="00EE0599" w:rsidP="00EE0599">
      <w:pPr>
        <w:pStyle w:val="Caption"/>
        <w:jc w:val="center"/>
      </w:pPr>
      <w:bookmarkStart w:id="60" w:name="_Ref323829758"/>
      <w:bookmarkStart w:id="61" w:name="_Ref323829747"/>
      <w:r>
        <w:t xml:space="preserve">Table </w:t>
      </w:r>
      <w:r w:rsidR="00A560B1">
        <w:fldChar w:fldCharType="begin"/>
      </w:r>
      <w:r w:rsidR="00A560B1">
        <w:instrText xml:space="preserve"> SEQ Table \* ARABIC </w:instrText>
      </w:r>
      <w:r w:rsidR="00A560B1">
        <w:fldChar w:fldCharType="separate"/>
      </w:r>
      <w:r w:rsidR="00A319E4">
        <w:rPr>
          <w:noProof/>
        </w:rPr>
        <w:t>9</w:t>
      </w:r>
      <w:r w:rsidR="00A560B1">
        <w:rPr>
          <w:noProof/>
        </w:rPr>
        <w:fldChar w:fldCharType="end"/>
      </w:r>
      <w:bookmarkEnd w:id="60"/>
      <w:r>
        <w:t>. Annual compute resource usage (yearly figures)</w:t>
      </w:r>
      <w:bookmarkEnd w:id="61"/>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Tr="00317058">
        <w:trPr>
          <w:jc w:val="center"/>
        </w:trPr>
        <w:tc>
          <w:tcPr>
            <w:tcW w:w="4235" w:type="dxa"/>
          </w:tcPr>
          <w:p w:rsidR="00EE0599" w:rsidRDefault="00EE0599" w:rsidP="00317058">
            <w:pPr>
              <w:rPr>
                <w:rFonts w:eastAsia="Cambria"/>
                <w:lang w:eastAsia="en-GB"/>
              </w:rPr>
            </w:pPr>
          </w:p>
        </w:tc>
        <w:tc>
          <w:tcPr>
            <w:tcW w:w="1413" w:type="dxa"/>
          </w:tcPr>
          <w:p w:rsidR="00EE0599" w:rsidRPr="00777FA7" w:rsidRDefault="00EE0599" w:rsidP="00317058">
            <w:pPr>
              <w:jc w:val="center"/>
              <w:rPr>
                <w:rFonts w:eastAsia="Cambria"/>
                <w:b/>
                <w:lang w:eastAsia="en-GB"/>
              </w:rPr>
            </w:pPr>
            <w:r>
              <w:rPr>
                <w:rFonts w:eastAsia="Cambria"/>
                <w:b/>
                <w:lang w:eastAsia="en-GB"/>
              </w:rPr>
              <w:t>PY2</w:t>
            </w:r>
          </w:p>
        </w:tc>
        <w:tc>
          <w:tcPr>
            <w:tcW w:w="2201" w:type="dxa"/>
          </w:tcPr>
          <w:p w:rsidR="00EE0599" w:rsidRPr="00777FA7" w:rsidRDefault="00EE0599" w:rsidP="00317058">
            <w:pPr>
              <w:jc w:val="center"/>
              <w:rPr>
                <w:rFonts w:eastAsia="Cambria"/>
                <w:b/>
                <w:lang w:eastAsia="en-GB"/>
              </w:rPr>
            </w:pPr>
            <w:r w:rsidRPr="00777FA7">
              <w:rPr>
                <w:rFonts w:eastAsia="Cambria"/>
                <w:b/>
                <w:lang w:eastAsia="en-GB"/>
              </w:rPr>
              <w:t>PY</w:t>
            </w:r>
            <w:r>
              <w:rPr>
                <w:rFonts w:eastAsia="Cambria"/>
                <w:b/>
                <w:lang w:eastAsia="en-GB"/>
              </w:rPr>
              <w:t>3 Value/</w:t>
            </w:r>
            <w:r w:rsidRPr="00777FA7">
              <w:rPr>
                <w:rFonts w:eastAsia="Cambria"/>
                <w:b/>
                <w:lang w:eastAsia="en-GB"/>
              </w:rPr>
              <w:t>Target</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EE0599" w:rsidRDefault="00EE0599" w:rsidP="00317058">
            <w:pPr>
              <w:jc w:val="center"/>
              <w:rPr>
                <w:rFonts w:eastAsia="Cambria"/>
                <w:lang w:eastAsia="en-GB"/>
              </w:rPr>
            </w:pPr>
            <w:r>
              <w:rPr>
                <w:rFonts w:eastAsia="Cambria"/>
                <w:lang w:eastAsia="en-GB"/>
              </w:rPr>
              <w:t>10.5</w:t>
            </w:r>
          </w:p>
        </w:tc>
        <w:tc>
          <w:tcPr>
            <w:tcW w:w="2201" w:type="dxa"/>
            <w:vAlign w:val="center"/>
          </w:tcPr>
          <w:p w:rsidR="00EE0599" w:rsidRDefault="00EE0599" w:rsidP="00317058">
            <w:pPr>
              <w:jc w:val="center"/>
              <w:rPr>
                <w:rFonts w:eastAsia="Cambria"/>
                <w:lang w:eastAsia="en-GB"/>
              </w:rPr>
            </w:pPr>
            <w:r>
              <w:rPr>
                <w:rFonts w:eastAsia="Cambria"/>
                <w:lang w:eastAsia="en-GB"/>
              </w:rPr>
              <w:t>12.01</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EE0599" w:rsidRDefault="00EE0599" w:rsidP="00317058">
            <w:pPr>
              <w:jc w:val="center"/>
              <w:rPr>
                <w:rFonts w:eastAsia="Cambria"/>
                <w:lang w:eastAsia="en-GB"/>
              </w:rPr>
            </w:pPr>
            <w:r>
              <w:rPr>
                <w:rFonts w:eastAsia="Cambria"/>
                <w:lang w:eastAsia="en-GB"/>
              </w:rPr>
              <w:t>492.5</w:t>
            </w:r>
          </w:p>
        </w:tc>
        <w:tc>
          <w:tcPr>
            <w:tcW w:w="2201" w:type="dxa"/>
            <w:vAlign w:val="center"/>
          </w:tcPr>
          <w:p w:rsidR="00EE0599" w:rsidRDefault="00EE0599" w:rsidP="00317058">
            <w:pPr>
              <w:jc w:val="center"/>
              <w:rPr>
                <w:rFonts w:eastAsia="Cambria"/>
                <w:lang w:eastAsia="en-GB"/>
              </w:rPr>
            </w:pPr>
            <w:r>
              <w:rPr>
                <w:rFonts w:eastAsia="Cambria"/>
                <w:lang w:eastAsia="en-GB"/>
              </w:rPr>
              <w:t>507.2</w:t>
            </w:r>
          </w:p>
        </w:tc>
      </w:tr>
      <w:tr w:rsidR="00EE0599" w:rsidTr="00317058">
        <w:trPr>
          <w:jc w:val="center"/>
        </w:trPr>
        <w:tc>
          <w:tcPr>
            <w:tcW w:w="4235" w:type="dxa"/>
            <w:vAlign w:val="center"/>
          </w:tcPr>
          <w:p w:rsidR="00EE0599" w:rsidRPr="007C5189" w:rsidRDefault="00EE0599" w:rsidP="00317058">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EE0599" w:rsidRDefault="00EE0599" w:rsidP="00317058">
            <w:pPr>
              <w:jc w:val="center"/>
              <w:rPr>
                <w:rFonts w:eastAsia="Cambria"/>
                <w:lang w:eastAsia="en-GB"/>
              </w:rPr>
            </w:pPr>
            <w:r>
              <w:rPr>
                <w:rFonts w:eastAsia="Cambria"/>
                <w:lang w:eastAsia="en-GB"/>
              </w:rPr>
              <w:t>1.35</w:t>
            </w:r>
          </w:p>
        </w:tc>
        <w:tc>
          <w:tcPr>
            <w:tcW w:w="2201" w:type="dxa"/>
            <w:vAlign w:val="center"/>
          </w:tcPr>
          <w:p w:rsidR="00EE0599" w:rsidRDefault="00317058" w:rsidP="00317058">
            <w:pPr>
              <w:jc w:val="center"/>
              <w:rPr>
                <w:rFonts w:eastAsia="Cambria"/>
                <w:lang w:eastAsia="en-GB"/>
              </w:rPr>
            </w:pPr>
            <w:r>
              <w:rPr>
                <w:rFonts w:eastAsia="Cambria"/>
                <w:lang w:eastAsia="en-GB"/>
              </w:rPr>
              <w:t>1.43</w:t>
            </w:r>
            <w:r w:rsidR="00EE0599">
              <w:rPr>
                <w:rFonts w:eastAsia="Cambria"/>
                <w:lang w:eastAsia="en-GB"/>
              </w:rPr>
              <w:t>/1.2</w:t>
            </w:r>
          </w:p>
        </w:tc>
      </w:tr>
    </w:tbl>
    <w:p w:rsidR="00EE0599" w:rsidRDefault="00EE0599" w:rsidP="00EE0599">
      <w:pPr>
        <w:rPr>
          <w:rFonts w:eastAsia="Cambria"/>
          <w:lang w:eastAsia="en-GB"/>
        </w:rPr>
      </w:pPr>
    </w:p>
    <w:p w:rsidR="00EE0599" w:rsidRPr="00D0036D" w:rsidRDefault="00EE0599" w:rsidP="00EE0599">
      <w:pPr>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A319E4">
        <w:t xml:space="preserve">Table </w:t>
      </w:r>
      <w:r w:rsidR="00A319E4">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sidR="00317058">
        <w:rPr>
          <w:rFonts w:eastAsia="Cambria"/>
          <w:lang w:eastAsia="en-GB"/>
        </w:rPr>
        <w:t>ch amounts to an average of 1.43</w:t>
      </w:r>
      <w:r>
        <w:rPr>
          <w:rFonts w:eastAsia="Cambria"/>
          <w:lang w:eastAsia="en-GB"/>
        </w:rPr>
        <w:t xml:space="preserve"> Million j</w:t>
      </w:r>
      <w:r w:rsidRPr="00D0036D">
        <w:rPr>
          <w:rFonts w:eastAsia="Cambria"/>
          <w:lang w:eastAsia="en-GB"/>
        </w:rPr>
        <w:t>ob/day.</w:t>
      </w:r>
      <w:r>
        <w:rPr>
          <w:rFonts w:eastAsia="Cambria"/>
          <w:lang w:eastAsia="en-GB"/>
        </w:rPr>
        <w:t xml:space="preserve"> </w:t>
      </w:r>
      <w:r w:rsidRPr="00D0036D">
        <w:rPr>
          <w:rFonts w:eastAsia="Cambria"/>
          <w:lang w:eastAsia="en-GB"/>
        </w:rPr>
        <w:t xml:space="preserve"> </w:t>
      </w:r>
    </w:p>
    <w:p w:rsidR="00EE0599" w:rsidRPr="00DD2D96" w:rsidRDefault="00EE0599" w:rsidP="00EE0599">
      <w:pPr>
        <w:rPr>
          <w:rFonts w:eastAsia="Cambria"/>
          <w:lang w:eastAsia="en-GB"/>
        </w:rPr>
      </w:pPr>
      <w:r w:rsidRPr="00AA62F8">
        <w:rPr>
          <w:rFonts w:eastAsia="Cambria"/>
          <w:lang w:eastAsia="en-GB"/>
        </w:rPr>
        <w:t>PY3 usage expressed in HEP-SPEC</w:t>
      </w:r>
      <w:r w:rsidRPr="00D0036D">
        <w:rPr>
          <w:rFonts w:eastAsia="Cambria"/>
          <w:lang w:eastAsia="en-GB"/>
        </w:rPr>
        <w:t xml:space="preserve"> 06 Hours of CPU wall time across the various resource </w:t>
      </w:r>
      <w:r w:rsidRPr="0051584B">
        <w:rPr>
          <w:rFonts w:eastAsia="Cambria"/>
          <w:lang w:eastAsia="en-GB"/>
        </w:rPr>
        <w:t xml:space="preserve">infrastructures of EGI is plotted in </w:t>
      </w:r>
      <w:r w:rsidRPr="0051584B">
        <w:rPr>
          <w:rFonts w:eastAsia="Cambria"/>
          <w:lang w:eastAsia="en-GB"/>
        </w:rPr>
        <w:fldChar w:fldCharType="begin"/>
      </w:r>
      <w:r w:rsidRPr="0051584B">
        <w:rPr>
          <w:rFonts w:eastAsia="Cambria"/>
          <w:lang w:eastAsia="en-GB"/>
        </w:rPr>
        <w:instrText xml:space="preserve"> REF _Ref323914345 \h  \* MERGEFORMAT </w:instrText>
      </w:r>
      <w:r w:rsidRPr="0051584B">
        <w:rPr>
          <w:rFonts w:eastAsia="Cambria"/>
          <w:lang w:eastAsia="en-GB"/>
        </w:rPr>
      </w:r>
      <w:r w:rsidRPr="0051584B">
        <w:rPr>
          <w:rFonts w:eastAsia="Cambria"/>
          <w:lang w:eastAsia="en-GB"/>
        </w:rPr>
        <w:fldChar w:fldCharType="separate"/>
      </w:r>
      <w:r w:rsidR="00A319E4">
        <w:t xml:space="preserve">Figure </w:t>
      </w:r>
      <w:r w:rsidR="00A319E4">
        <w:rPr>
          <w:noProof/>
        </w:rPr>
        <w:t>14</w:t>
      </w:r>
      <w:r w:rsidRPr="0051584B">
        <w:rPr>
          <w:rFonts w:eastAsia="Cambria"/>
          <w:lang w:eastAsia="en-GB"/>
        </w:rPr>
        <w:fldChar w:fldCharType="end"/>
      </w:r>
      <w:r w:rsidRPr="0051584B">
        <w:rPr>
          <w:rFonts w:eastAsia="Cambria"/>
          <w:lang w:eastAsia="en-GB"/>
        </w:rPr>
        <w:t>, where infrastructures are grouped by operations centre. The diagram also shows the distribution between HEP user communities (blue bars) and the non-HEP user communities (green bars), the top infrastructures</w:t>
      </w:r>
      <w:r w:rsidR="002F040D">
        <w:rPr>
          <w:rFonts w:eastAsia="Cambria"/>
          <w:lang w:eastAsia="en-GB"/>
        </w:rPr>
        <w:t xml:space="preserve"> for multidisciplinary support</w:t>
      </w:r>
      <w:r w:rsidRPr="0051584B">
        <w:rPr>
          <w:rFonts w:eastAsia="Cambria"/>
          <w:lang w:eastAsia="en-GB"/>
        </w:rPr>
        <w:t xml:space="preserve"> being (in decreasing order): </w:t>
      </w:r>
      <w:r>
        <w:rPr>
          <w:rFonts w:eastAsia="Cambria"/>
          <w:lang w:eastAsia="en-GB"/>
        </w:rPr>
        <w:t>NGI_UK</w:t>
      </w:r>
      <w:r w:rsidRPr="0051584B">
        <w:rPr>
          <w:rFonts w:eastAsia="Cambria"/>
          <w:lang w:eastAsia="en-GB"/>
        </w:rPr>
        <w:t xml:space="preserve">, </w:t>
      </w:r>
      <w:r>
        <w:rPr>
          <w:rFonts w:eastAsia="Cambria"/>
          <w:lang w:eastAsia="en-GB"/>
        </w:rPr>
        <w:t>NGI_DE</w:t>
      </w:r>
      <w:r w:rsidRPr="0051584B">
        <w:rPr>
          <w:rFonts w:eastAsia="Cambria"/>
          <w:lang w:eastAsia="en-GB"/>
        </w:rPr>
        <w:t xml:space="preserve">, </w:t>
      </w:r>
      <w:r>
        <w:rPr>
          <w:rFonts w:eastAsia="Cambria"/>
          <w:lang w:eastAsia="en-GB"/>
        </w:rPr>
        <w:t>NGI_IT</w:t>
      </w:r>
      <w:r w:rsidRPr="0051584B">
        <w:rPr>
          <w:rFonts w:eastAsia="Cambria"/>
          <w:lang w:eastAsia="en-GB"/>
        </w:rPr>
        <w:t>, NGI_</w:t>
      </w:r>
      <w:r>
        <w:rPr>
          <w:rFonts w:eastAsia="Cambria"/>
          <w:lang w:eastAsia="en-GB"/>
        </w:rPr>
        <w:t>F</w:t>
      </w:r>
      <w:r w:rsidR="00D30516">
        <w:rPr>
          <w:rFonts w:eastAsia="Cambria"/>
          <w:lang w:eastAsia="en-GB"/>
        </w:rPr>
        <w:t>R</w:t>
      </w:r>
      <w:r w:rsidRPr="0051584B">
        <w:rPr>
          <w:rFonts w:eastAsia="Cambria"/>
          <w:lang w:eastAsia="en-GB"/>
        </w:rPr>
        <w:t xml:space="preserve"> and</w:t>
      </w:r>
      <w:r>
        <w:rPr>
          <w:rFonts w:eastAsia="Cambria"/>
          <w:lang w:eastAsia="en-GB"/>
        </w:rPr>
        <w:t xml:space="preserve"> </w:t>
      </w:r>
      <w:r w:rsidR="00AA62F8">
        <w:rPr>
          <w:rFonts w:eastAsia="Cambria"/>
          <w:lang w:eastAsia="en-GB"/>
        </w:rPr>
        <w:t>CERN</w:t>
      </w:r>
      <w:r w:rsidRPr="0051584B">
        <w:rPr>
          <w:rFonts w:eastAsia="Cambria"/>
          <w:lang w:eastAsia="en-GB"/>
        </w:rPr>
        <w:t xml:space="preserve">. Usage distribution naturally reflects availability of installed capacity (Section </w:t>
      </w:r>
      <w:r w:rsidRPr="0051584B">
        <w:rPr>
          <w:rFonts w:eastAsia="Cambria"/>
          <w:lang w:eastAsia="en-GB"/>
        </w:rPr>
        <w:fldChar w:fldCharType="begin"/>
      </w:r>
      <w:r w:rsidRPr="0051584B">
        <w:rPr>
          <w:rFonts w:eastAsia="Cambria"/>
          <w:lang w:eastAsia="en-GB"/>
        </w:rPr>
        <w:instrText xml:space="preserve"> REF _Ref323914572 \r \h  \* MERGEFORMAT </w:instrText>
      </w:r>
      <w:r w:rsidRPr="0051584B">
        <w:rPr>
          <w:rFonts w:eastAsia="Cambria"/>
          <w:lang w:eastAsia="en-GB"/>
        </w:rPr>
      </w:r>
      <w:r w:rsidRPr="0051584B">
        <w:rPr>
          <w:rFonts w:eastAsia="Cambria"/>
          <w:lang w:eastAsia="en-GB"/>
        </w:rPr>
        <w:fldChar w:fldCharType="separate"/>
      </w:r>
      <w:r w:rsidR="00A319E4">
        <w:rPr>
          <w:rFonts w:eastAsia="Cambria"/>
          <w:lang w:eastAsia="en-GB"/>
        </w:rPr>
        <w:t>3</w:t>
      </w:r>
      <w:r w:rsidRPr="0051584B">
        <w:rPr>
          <w:rFonts w:eastAsia="Cambria"/>
          <w:lang w:eastAsia="en-GB"/>
        </w:rPr>
        <w:fldChar w:fldCharType="end"/>
      </w:r>
      <w:r w:rsidRPr="0051584B">
        <w:rPr>
          <w:rFonts w:eastAsia="Cambria"/>
          <w:lang w:eastAsia="en-GB"/>
        </w:rPr>
        <w:t xml:space="preserve">), however the level of multidisciplinary support varies considerably across the infrastructures. </w:t>
      </w:r>
      <w:r w:rsidRPr="0051584B">
        <w:rPr>
          <w:rFonts w:eastAsia="Cambria"/>
          <w:lang w:eastAsia="en-GB"/>
        </w:rPr>
        <w:fldChar w:fldCharType="begin"/>
      </w:r>
      <w:r w:rsidRPr="0051584B">
        <w:rPr>
          <w:rFonts w:eastAsia="Cambria"/>
          <w:lang w:eastAsia="en-GB"/>
        </w:rPr>
        <w:instrText xml:space="preserve"> REF _Ref323914894 \h  \* MERGEFORMAT </w:instrText>
      </w:r>
      <w:r w:rsidRPr="0051584B">
        <w:rPr>
          <w:rFonts w:eastAsia="Cambria"/>
          <w:lang w:eastAsia="en-GB"/>
        </w:rPr>
      </w:r>
      <w:r w:rsidRPr="0051584B">
        <w:rPr>
          <w:rFonts w:eastAsia="Cambria"/>
          <w:lang w:eastAsia="en-GB"/>
        </w:rPr>
        <w:fldChar w:fldCharType="separate"/>
      </w:r>
      <w:r w:rsidR="00A319E4">
        <w:t xml:space="preserve">Figure </w:t>
      </w:r>
      <w:r w:rsidR="00A319E4">
        <w:rPr>
          <w:noProof/>
        </w:rPr>
        <w:t>15</w:t>
      </w:r>
      <w:r w:rsidRPr="0051584B">
        <w:rPr>
          <w:rFonts w:eastAsia="Cambria"/>
          <w:lang w:eastAsia="en-GB"/>
        </w:rPr>
        <w:fldChar w:fldCharType="end"/>
      </w:r>
      <w:r w:rsidRPr="0051584B">
        <w:rPr>
          <w:rFonts w:eastAsia="Cambria"/>
          <w:lang w:eastAsia="en-GB"/>
        </w:rPr>
        <w:t xml:space="preserve"> plots the distribution of used HEP-SPEC 06 CPU wall clock hours of non-HEP user communities. </w:t>
      </w:r>
      <w:r w:rsidR="00D30516">
        <w:rPr>
          <w:rFonts w:eastAsia="Cambria"/>
          <w:lang w:eastAsia="en-GB"/>
        </w:rPr>
        <w:t>NGI_DE</w:t>
      </w:r>
      <w:r w:rsidRPr="0051584B">
        <w:rPr>
          <w:rFonts w:eastAsia="Cambria"/>
          <w:lang w:eastAsia="en-GB"/>
        </w:rPr>
        <w:t xml:space="preserve"> is the infrastructure with the largest absolute amount of resources used by non-HEP communities with more than </w:t>
      </w:r>
      <w:r>
        <w:rPr>
          <w:rFonts w:eastAsia="Cambria"/>
          <w:lang w:eastAsia="en-GB"/>
        </w:rPr>
        <w:t>203</w:t>
      </w:r>
      <w:r w:rsidRPr="0051584B">
        <w:rPr>
          <w:rFonts w:eastAsia="Cambria"/>
          <w:lang w:eastAsia="en-GB"/>
        </w:rPr>
        <w:t xml:space="preserve"> Million </w:t>
      </w:r>
      <w:r w:rsidR="00AA62F8">
        <w:rPr>
          <w:rFonts w:eastAsia="Cambria"/>
          <w:lang w:eastAsia="en-GB"/>
        </w:rPr>
        <w:t xml:space="preserve">CPU wall time </w:t>
      </w:r>
      <w:r w:rsidRPr="0051584B">
        <w:rPr>
          <w:rFonts w:eastAsia="Cambria"/>
          <w:lang w:eastAsia="en-GB"/>
        </w:rPr>
        <w:t>hours</w:t>
      </w:r>
      <w:r w:rsidR="00AA62F8">
        <w:rPr>
          <w:rFonts w:eastAsia="Cambria"/>
          <w:lang w:eastAsia="en-GB"/>
        </w:rPr>
        <w:t xml:space="preserve">, followed by </w:t>
      </w:r>
      <w:r w:rsidR="00D30516">
        <w:rPr>
          <w:rFonts w:eastAsia="Cambria"/>
          <w:lang w:eastAsia="en-GB"/>
        </w:rPr>
        <w:t>NGI_IT, NGI_FR, NGI_NL and NGI_UK</w:t>
      </w:r>
      <w:r w:rsidRPr="0051584B">
        <w:rPr>
          <w:rFonts w:eastAsia="Cambria"/>
          <w:lang w:eastAsia="en-GB"/>
        </w:rPr>
        <w:t>.</w:t>
      </w:r>
    </w:p>
    <w:p w:rsidR="00EE0599" w:rsidRPr="006B4B32" w:rsidRDefault="00EE0599" w:rsidP="00EE0599">
      <w:pPr>
        <w:rPr>
          <w:rFonts w:eastAsia="Cambria"/>
          <w:lang w:eastAsia="en-GB"/>
        </w:rPr>
      </w:pPr>
      <w:r w:rsidRPr="00DD2D96">
        <w:rPr>
          <w:rFonts w:eastAsia="Cambria"/>
          <w:lang w:eastAsia="en-GB"/>
        </w:rPr>
        <w:t>The</w:t>
      </w:r>
      <w:r w:rsidRPr="0051584B">
        <w:rPr>
          <w:rFonts w:eastAsia="Cambria"/>
          <w:lang w:eastAsia="en-GB"/>
        </w:rPr>
        <w:t xml:space="preserve"> </w:t>
      </w:r>
      <w:r>
        <w:rPr>
          <w:rFonts w:eastAsia="Cambria"/>
          <w:lang w:eastAsia="en-GB"/>
        </w:rPr>
        <w:t>Figure 15</w:t>
      </w:r>
      <w:r w:rsidRPr="00DD2D96">
        <w:rPr>
          <w:rFonts w:eastAsia="Cambria"/>
          <w:lang w:eastAsia="en-GB"/>
        </w:rPr>
        <w:t xml:space="preserve"> shows how support of HEP is dominant in large resource infrastructures, while other disciplines dominate in </w:t>
      </w:r>
      <w:r w:rsidR="00AA62F8">
        <w:rPr>
          <w:rFonts w:eastAsia="Cambria"/>
          <w:lang w:eastAsia="en-GB"/>
        </w:rPr>
        <w:t>various</w:t>
      </w:r>
      <w:r w:rsidRPr="00DD2D96">
        <w:rPr>
          <w:rFonts w:eastAsia="Cambria"/>
          <w:lang w:eastAsia="en-GB"/>
        </w:rPr>
        <w:t xml:space="preserve"> countries in Eastern Europe</w:t>
      </w:r>
      <w:r w:rsidR="00AA62F8">
        <w:rPr>
          <w:rFonts w:eastAsia="Cambria"/>
          <w:lang w:eastAsia="en-GB"/>
        </w:rPr>
        <w:t>,</w:t>
      </w:r>
      <w:r w:rsidRPr="00DD2D96">
        <w:rPr>
          <w:rFonts w:eastAsia="Cambria"/>
          <w:lang w:eastAsia="en-GB"/>
        </w:rPr>
        <w:t xml:space="preserve"> where is some cases it equals 100% of the entire usage of resources. An expected outcome of the EGI-InSPIRE activities in outreach and technical support of new user communities introduced in PY3, is that the fraction of non-HEP usage will increase in future years.</w:t>
      </w:r>
      <w:r>
        <w:rPr>
          <w:rFonts w:eastAsia="Cambria"/>
          <w:lang w:eastAsia="en-GB"/>
        </w:rPr>
        <w:t xml:space="preserve">       </w:t>
      </w:r>
    </w:p>
    <w:p w:rsidR="00EE0599" w:rsidRDefault="00EE0599" w:rsidP="00EE0599">
      <w:pPr>
        <w:jc w:val="center"/>
      </w:pPr>
      <w:r>
        <w:rPr>
          <w:noProof/>
          <w:lang w:eastAsia="en-GB"/>
        </w:rPr>
        <w:lastRenderedPageBreak/>
        <w:drawing>
          <wp:inline distT="0" distB="0" distL="0" distR="0" wp14:anchorId="2E4F529D" wp14:editId="34211D03">
            <wp:extent cx="4594884" cy="3641698"/>
            <wp:effectExtent l="0" t="0" r="0" b="0"/>
            <wp:docPr id="23" name="Picture 23" descr="C:\Users\Krakowian\Google Drive\Operations\inspire-deliverables\SA1\D4.8\png\resource utilization non_hep+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4911" cy="3641720"/>
                    </a:xfrm>
                    <a:prstGeom prst="rect">
                      <a:avLst/>
                    </a:prstGeom>
                    <a:noFill/>
                    <a:ln>
                      <a:noFill/>
                    </a:ln>
                  </pic:spPr>
                </pic:pic>
              </a:graphicData>
            </a:graphic>
          </wp:inline>
        </w:drawing>
      </w:r>
    </w:p>
    <w:p w:rsidR="00EE0599" w:rsidRPr="00741BF3" w:rsidRDefault="00EE0599" w:rsidP="00EE0599">
      <w:pPr>
        <w:pStyle w:val="Caption"/>
        <w:jc w:val="center"/>
        <w:sectPr w:rsidR="00EE0599" w:rsidRPr="00741BF3" w:rsidSect="00EE0599">
          <w:type w:val="nextColumn"/>
          <w:pgSz w:w="11900" w:h="16840"/>
          <w:pgMar w:top="1418" w:right="1418" w:bottom="1418" w:left="1418" w:header="709" w:footer="709" w:gutter="0"/>
          <w:cols w:space="708"/>
          <w:docGrid w:linePitch="299"/>
        </w:sectPr>
      </w:pPr>
      <w:bookmarkStart w:id="62" w:name="_Ref323914345"/>
      <w:bookmarkStart w:id="63" w:name="_Toc355730458"/>
      <w:r>
        <w:t xml:space="preserve">Figure </w:t>
      </w:r>
      <w:r w:rsidR="00A560B1">
        <w:fldChar w:fldCharType="begin"/>
      </w:r>
      <w:r w:rsidR="00A560B1">
        <w:instrText xml:space="preserve"> SEQ Figure \* ARABIC </w:instrText>
      </w:r>
      <w:r w:rsidR="00A560B1">
        <w:fldChar w:fldCharType="separate"/>
      </w:r>
      <w:r w:rsidR="00A319E4">
        <w:rPr>
          <w:noProof/>
        </w:rPr>
        <w:t>14</w:t>
      </w:r>
      <w:r w:rsidR="00A560B1">
        <w:rPr>
          <w:noProof/>
        </w:rPr>
        <w:fldChar w:fldCharType="end"/>
      </w:r>
      <w:bookmarkEnd w:id="62"/>
      <w:r>
        <w:t>. (HEP-SPEC 06 hours) from May 2012 to April 2013 (source: accounting portal). HEP usage is displayed in blue while the aggregated usage of non-HEP disciplines is in green</w:t>
      </w:r>
      <w:bookmarkEnd w:id="63"/>
    </w:p>
    <w:p w:rsidR="00EE0599" w:rsidRDefault="00EE0599" w:rsidP="00EE0599">
      <w:r>
        <w:rPr>
          <w:noProof/>
          <w:lang w:eastAsia="en-GB"/>
        </w:rPr>
        <w:lastRenderedPageBreak/>
        <w:drawing>
          <wp:inline distT="0" distB="0" distL="0" distR="0" wp14:anchorId="7562DCF8" wp14:editId="6CC410F9">
            <wp:extent cx="4222115" cy="3721100"/>
            <wp:effectExtent l="0" t="0" r="6985" b="0"/>
            <wp:docPr id="25" name="Picture 25" descr="C:\Users\Krakowian\Google Drive\Operations\inspire-deliverables\SA1\D4.8\png\resource utilization non_h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2115" cy="3721100"/>
                    </a:xfrm>
                    <a:prstGeom prst="rect">
                      <a:avLst/>
                    </a:prstGeom>
                    <a:noFill/>
                    <a:ln>
                      <a:noFill/>
                    </a:ln>
                  </pic:spPr>
                </pic:pic>
              </a:graphicData>
            </a:graphic>
          </wp:inline>
        </w:drawing>
      </w:r>
    </w:p>
    <w:p w:rsidR="00EE0599" w:rsidRDefault="00EE0599" w:rsidP="00EE0599">
      <w:pPr>
        <w:pStyle w:val="Caption"/>
        <w:jc w:val="center"/>
      </w:pPr>
      <w:bookmarkStart w:id="64" w:name="_Ref323914894"/>
      <w:bookmarkStart w:id="65" w:name="_Toc355730459"/>
      <w:r>
        <w:t xml:space="preserve">Figure </w:t>
      </w:r>
      <w:r w:rsidR="00A560B1">
        <w:fldChar w:fldCharType="begin"/>
      </w:r>
      <w:r w:rsidR="00A560B1">
        <w:instrText xml:space="preserve"> SEQ Figure \* ARABIC </w:instrText>
      </w:r>
      <w:r w:rsidR="00A560B1">
        <w:fldChar w:fldCharType="separate"/>
      </w:r>
      <w:r w:rsidR="00A319E4">
        <w:rPr>
          <w:noProof/>
        </w:rPr>
        <w:t>15</w:t>
      </w:r>
      <w:r w:rsidR="00A560B1">
        <w:rPr>
          <w:noProof/>
        </w:rPr>
        <w:fldChar w:fldCharType="end"/>
      </w:r>
      <w:bookmarkEnd w:id="64"/>
      <w:r>
        <w:t xml:space="preserve">. Distribution across EGI Operations Centres of aggregated usage of non-HEP disciplines (CPU wall clock time in </w:t>
      </w:r>
      <w:r w:rsidR="00AA62F8">
        <w:t>HEP-SPEC 06 hours) from May 2012 to May 2013</w:t>
      </w:r>
      <w:r>
        <w:t xml:space="preserve"> (source: accounting portal).</w:t>
      </w:r>
      <w:bookmarkEnd w:id="65"/>
    </w:p>
    <w:p w:rsidR="00EE0599" w:rsidRPr="00E10576" w:rsidRDefault="00EE0599" w:rsidP="00EE0599"/>
    <w:p w:rsidR="00EE0599" w:rsidRDefault="00AA62F8" w:rsidP="00EE0599">
      <w:r>
        <w:rPr>
          <w:noProof/>
          <w:lang w:eastAsia="en-GB"/>
        </w:rPr>
        <w:lastRenderedPageBreak/>
        <w:drawing>
          <wp:inline distT="0" distB="0" distL="0" distR="0" wp14:anchorId="38CC1C77" wp14:editId="096CCC63">
            <wp:extent cx="4557436" cy="3800724"/>
            <wp:effectExtent l="0" t="0" r="0" b="9525"/>
            <wp:docPr id="27" name="Picture 27" descr="C:\Users\Krakowian\Google Drive\Operations\inspire-deliverables\SA1\D4.8\png\resource utilization hep+non_he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7764" cy="3800997"/>
                    </a:xfrm>
                    <a:prstGeom prst="rect">
                      <a:avLst/>
                    </a:prstGeom>
                    <a:noFill/>
                    <a:ln>
                      <a:noFill/>
                    </a:ln>
                  </pic:spPr>
                </pic:pic>
              </a:graphicData>
            </a:graphic>
          </wp:inline>
        </w:drawing>
      </w:r>
    </w:p>
    <w:p w:rsidR="00EE0599" w:rsidRDefault="00EE0599" w:rsidP="00EE0599">
      <w:pPr>
        <w:pStyle w:val="Caption"/>
        <w:jc w:val="center"/>
      </w:pPr>
      <w:bookmarkStart w:id="66" w:name="_Ref323915284"/>
    </w:p>
    <w:p w:rsidR="00EE0599" w:rsidRDefault="00EE0599" w:rsidP="00EE0599">
      <w:pPr>
        <w:pStyle w:val="Caption"/>
        <w:jc w:val="center"/>
      </w:pPr>
    </w:p>
    <w:p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7" w:name="_Toc355730460"/>
      <w:r>
        <w:t xml:space="preserve">Figure </w:t>
      </w:r>
      <w:r w:rsidR="00A560B1">
        <w:fldChar w:fldCharType="begin"/>
      </w:r>
      <w:r w:rsidR="00A560B1">
        <w:instrText xml:space="preserve"> SEQ Figure \* ARABIC </w:instrText>
      </w:r>
      <w:r w:rsidR="00A560B1">
        <w:fldChar w:fldCharType="separate"/>
      </w:r>
      <w:r w:rsidR="00A319E4">
        <w:rPr>
          <w:noProof/>
        </w:rPr>
        <w:t>16</w:t>
      </w:r>
      <w:r w:rsidR="00A560B1">
        <w:rPr>
          <w:noProof/>
        </w:rPr>
        <w:fldChar w:fldCharType="end"/>
      </w:r>
      <w:bookmarkEnd w:id="66"/>
      <w:r>
        <w:t xml:space="preserve">. Distribution of resource usage (%) across HEP and non-HEP disciplines from May </w:t>
      </w:r>
      <w:r w:rsidR="00AA62F8">
        <w:t>2012 to April 2013</w:t>
      </w:r>
      <w:r>
        <w:t xml:space="preserve"> (source: accounting portal).</w:t>
      </w:r>
      <w:bookmarkEnd w:id="67"/>
      <w:r>
        <w:t xml:space="preserve"> </w:t>
      </w:r>
    </w:p>
    <w:p w:rsidR="008F18AA" w:rsidRDefault="008F18AA" w:rsidP="008F18AA">
      <w:pPr>
        <w:pStyle w:val="Heading1"/>
      </w:pPr>
      <w:bookmarkStart w:id="68" w:name="_Ref324140773"/>
      <w:bookmarkStart w:id="69" w:name="_Toc355730415"/>
      <w:bookmarkEnd w:id="58"/>
      <w:r>
        <w:lastRenderedPageBreak/>
        <w:t>Service Levels</w:t>
      </w:r>
      <w:bookmarkEnd w:id="68"/>
      <w:bookmarkEnd w:id="69"/>
    </w:p>
    <w:p w:rsidR="008F18AA" w:rsidRPr="00022F10" w:rsidRDefault="00022F10" w:rsidP="008F18AA">
      <w:r w:rsidRPr="00022F10">
        <w:t>Services are monitored at three</w:t>
      </w:r>
      <w:r w:rsidR="008F18AA" w:rsidRPr="00022F10">
        <w:t xml:space="preserve"> different levels:</w:t>
      </w:r>
    </w:p>
    <w:p w:rsidR="008F18AA" w:rsidRPr="00022F10" w:rsidRDefault="008430C9" w:rsidP="008F18AA">
      <w:pPr>
        <w:numPr>
          <w:ilvl w:val="0"/>
          <w:numId w:val="45"/>
        </w:numPr>
      </w:pPr>
      <w:r w:rsidRPr="00022F10">
        <w:t xml:space="preserve">Resource Centre </w:t>
      </w:r>
      <w:r w:rsidR="008F18AA" w:rsidRPr="00022F10">
        <w:t>Services</w:t>
      </w:r>
      <w:r w:rsidRPr="00022F10">
        <w:t>;</w:t>
      </w:r>
    </w:p>
    <w:p w:rsidR="00022F10" w:rsidRPr="00022F10" w:rsidRDefault="008430C9" w:rsidP="008F18AA">
      <w:pPr>
        <w:numPr>
          <w:ilvl w:val="0"/>
          <w:numId w:val="45"/>
        </w:numPr>
      </w:pPr>
      <w:r w:rsidRPr="00022F10">
        <w:t xml:space="preserve">Resource infrastructure Provider </w:t>
      </w:r>
      <w:r w:rsidR="008F18AA" w:rsidRPr="00022F10">
        <w:t>Services</w:t>
      </w:r>
    </w:p>
    <w:p w:rsidR="008F18AA" w:rsidRPr="00022F10" w:rsidRDefault="00022F10" w:rsidP="008F18AA">
      <w:pPr>
        <w:numPr>
          <w:ilvl w:val="0"/>
          <w:numId w:val="45"/>
        </w:numPr>
      </w:pPr>
      <w:r w:rsidRPr="00022F10">
        <w:t>EGI.eu Services</w:t>
      </w:r>
      <w:r w:rsidR="002878C1" w:rsidRPr="00022F10">
        <w:t>.</w:t>
      </w:r>
    </w:p>
    <w:p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A319E4">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3453B5">
        <w:t xml:space="preserve">started work on calculation of VO availability and reliability metrics. </w:t>
      </w:r>
    </w:p>
    <w:p w:rsidR="008F18AA" w:rsidRPr="006E0EA7" w:rsidRDefault="008F18AA" w:rsidP="008F18AA">
      <w:pPr>
        <w:pStyle w:val="Heading2"/>
      </w:pPr>
      <w:bookmarkStart w:id="70" w:name="_Ref325718340"/>
      <w:bookmarkStart w:id="71" w:name="_Toc355730416"/>
      <w:r w:rsidRPr="006E0EA7">
        <w:t>Service Level Targets and Reporting</w:t>
      </w:r>
      <w:bookmarkEnd w:id="70"/>
      <w:bookmarkEnd w:id="71"/>
    </w:p>
    <w:p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rsidR="008F18AA" w:rsidRPr="006E0EA7" w:rsidRDefault="008F18AA" w:rsidP="008F18AA">
      <w:pPr>
        <w:numPr>
          <w:ilvl w:val="0"/>
          <w:numId w:val="46"/>
        </w:numPr>
      </w:pPr>
      <w:r w:rsidRPr="006E0EA7">
        <w:t>Resource Centres</w:t>
      </w:r>
      <w:r w:rsidRPr="006E0EA7">
        <w:rPr>
          <w:rStyle w:val="FootnoteReference"/>
        </w:rPr>
        <w:footnoteReference w:id="15"/>
      </w:r>
    </w:p>
    <w:p w:rsidR="008F18AA" w:rsidRPr="006E0EA7" w:rsidRDefault="001109FE" w:rsidP="008F18AA">
      <w:pPr>
        <w:numPr>
          <w:ilvl w:val="1"/>
          <w:numId w:val="46"/>
        </w:numPr>
      </w:pPr>
      <w:r w:rsidRPr="006E0EA7">
        <w:t>Minimum Availability: 7</w:t>
      </w:r>
      <w:r w:rsidR="008F18AA" w:rsidRPr="006E0EA7">
        <w:t>0%</w:t>
      </w:r>
    </w:p>
    <w:p w:rsidR="008F18AA" w:rsidRPr="006E0EA7" w:rsidRDefault="001109FE" w:rsidP="008F18AA">
      <w:pPr>
        <w:numPr>
          <w:ilvl w:val="1"/>
          <w:numId w:val="46"/>
        </w:numPr>
      </w:pPr>
      <w:r w:rsidRPr="006E0EA7">
        <w:t>Minimum Reliability: 75</w:t>
      </w:r>
      <w:r w:rsidR="008F18AA" w:rsidRPr="006E0EA7">
        <w:t>%</w:t>
      </w:r>
    </w:p>
    <w:p w:rsidR="008F18AA" w:rsidRPr="006E0EA7" w:rsidRDefault="008F18AA" w:rsidP="008F18AA">
      <w:pPr>
        <w:numPr>
          <w:ilvl w:val="1"/>
          <w:numId w:val="46"/>
        </w:numPr>
      </w:pPr>
      <w:r w:rsidRPr="006E0EA7">
        <w:t xml:space="preserve">Reports: </w:t>
      </w:r>
      <w:hyperlink r:id="rId35" w:anchor="Resource_Centres" w:history="1">
        <w:r w:rsidRPr="006E0EA7">
          <w:rPr>
            <w:rStyle w:val="Hyperlink"/>
          </w:rPr>
          <w:t>https://wiki.egi.eu/wiki/Availability_and_reliability_monthly_statistics#Resource_Centres</w:t>
        </w:r>
      </w:hyperlink>
    </w:p>
    <w:p w:rsidR="008F18AA" w:rsidRPr="006E0EA7" w:rsidRDefault="008F18AA" w:rsidP="008F18AA">
      <w:pPr>
        <w:numPr>
          <w:ilvl w:val="0"/>
          <w:numId w:val="46"/>
        </w:numPr>
      </w:pPr>
      <w:r w:rsidRPr="006E0EA7">
        <w:t>Resource infrastructure Providers</w:t>
      </w:r>
      <w:r w:rsidRPr="006E0EA7">
        <w:rPr>
          <w:rStyle w:val="FootnoteReference"/>
        </w:rPr>
        <w:footnoteReference w:id="16"/>
      </w:r>
    </w:p>
    <w:p w:rsidR="008F18AA" w:rsidRPr="006E0EA7" w:rsidRDefault="008F18AA" w:rsidP="008F18AA">
      <w:pPr>
        <w:numPr>
          <w:ilvl w:val="1"/>
          <w:numId w:val="46"/>
        </w:numPr>
      </w:pPr>
      <w:r w:rsidRPr="006E0EA7">
        <w:t>Minimum top-BDII Availability: 99%</w:t>
      </w:r>
    </w:p>
    <w:p w:rsidR="008F18AA" w:rsidRPr="006E0EA7" w:rsidRDefault="008F18AA" w:rsidP="008F18AA">
      <w:pPr>
        <w:numPr>
          <w:ilvl w:val="1"/>
          <w:numId w:val="46"/>
        </w:numPr>
      </w:pPr>
      <w:r w:rsidRPr="006E0EA7">
        <w:t>Minimum top-BDII Reliability: 99%</w:t>
      </w:r>
    </w:p>
    <w:p w:rsidR="008F18AA" w:rsidRPr="006E0EA7" w:rsidRDefault="008F18AA" w:rsidP="008F18AA">
      <w:pPr>
        <w:numPr>
          <w:ilvl w:val="1"/>
          <w:numId w:val="46"/>
        </w:numPr>
      </w:pPr>
      <w:r w:rsidRPr="006E0EA7">
        <w:t>Maximum Regional Operator on Duty Performance Index</w:t>
      </w:r>
      <w:r w:rsidR="005B4F08" w:rsidRPr="006E0EA7">
        <w:t xml:space="preserve"> (see section </w:t>
      </w:r>
      <w:r w:rsidR="005B4F08" w:rsidRPr="006E0EA7">
        <w:fldChar w:fldCharType="begin"/>
      </w:r>
      <w:r w:rsidR="005B4F08" w:rsidRPr="006E0EA7">
        <w:instrText xml:space="preserve"> REF _Ref326077733 \r \h </w:instrText>
      </w:r>
      <w:r w:rsidR="000D4888" w:rsidRPr="006E0EA7">
        <w:instrText xml:space="preserve"> \* MERGEFORMAT </w:instrText>
      </w:r>
      <w:r w:rsidR="005B4F08" w:rsidRPr="006E0EA7">
        <w:fldChar w:fldCharType="separate"/>
      </w:r>
      <w:r w:rsidR="00A319E4">
        <w:t>6.4.1</w:t>
      </w:r>
      <w:r w:rsidR="005B4F08" w:rsidRPr="006E0EA7">
        <w:fldChar w:fldCharType="end"/>
      </w:r>
      <w:r w:rsidR="005B4F08" w:rsidRPr="006E0EA7">
        <w:t>)</w:t>
      </w:r>
      <w:r w:rsidRPr="006E0EA7">
        <w:t>: 10</w:t>
      </w:r>
    </w:p>
    <w:p w:rsidR="008F18AA" w:rsidRDefault="008F18AA" w:rsidP="006E0EA7">
      <w:pPr>
        <w:numPr>
          <w:ilvl w:val="1"/>
          <w:numId w:val="46"/>
        </w:numPr>
      </w:pPr>
      <w:r w:rsidRPr="006E0EA7">
        <w:t xml:space="preserve">Reports: </w:t>
      </w:r>
      <w:hyperlink r:id="rId36"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rsidR="00A7408B" w:rsidRDefault="006E0EA7" w:rsidP="00A7408B">
      <w:pPr>
        <w:numPr>
          <w:ilvl w:val="0"/>
          <w:numId w:val="46"/>
        </w:numPr>
      </w:pPr>
      <w:r>
        <w:t>EGI.eu</w:t>
      </w:r>
      <w:r w:rsidRPr="006E0EA7">
        <w:rPr>
          <w:rStyle w:val="FootnoteReference"/>
        </w:rPr>
        <w:footnoteReference w:id="17"/>
      </w:r>
      <w:r>
        <w:t>:</w:t>
      </w:r>
    </w:p>
    <w:p w:rsidR="006E0EA7" w:rsidRDefault="006E0EA7" w:rsidP="006E0EA7">
      <w:pPr>
        <w:numPr>
          <w:ilvl w:val="1"/>
          <w:numId w:val="46"/>
        </w:numPr>
      </w:pPr>
      <w:r>
        <w:t>Depending on type of service different service targets</w:t>
      </w:r>
      <w:r w:rsidR="00073266">
        <w:t xml:space="preserve"> were defined:</w:t>
      </w:r>
    </w:p>
    <w:p w:rsidR="00A7408B" w:rsidRDefault="00A7408B" w:rsidP="00A7408B">
      <w:pPr>
        <w:pStyle w:val="Caption"/>
        <w:keepNext/>
        <w:jc w:val="center"/>
      </w:pPr>
      <w:r>
        <w:lastRenderedPageBreak/>
        <w:t xml:space="preserve">Table </w:t>
      </w:r>
      <w:r w:rsidR="00A560B1">
        <w:fldChar w:fldCharType="begin"/>
      </w:r>
      <w:r w:rsidR="00A560B1">
        <w:instrText xml:space="preserve"> SEQ Table \* ARABIC </w:instrText>
      </w:r>
      <w:r w:rsidR="00A560B1">
        <w:fldChar w:fldCharType="separate"/>
      </w:r>
      <w:r w:rsidR="00A319E4">
        <w:rPr>
          <w:noProof/>
        </w:rPr>
        <w:t>10</w:t>
      </w:r>
      <w:r w:rsidR="00A560B1">
        <w:rPr>
          <w:noProof/>
        </w:rPr>
        <w:fldChar w:fldCharType="end"/>
      </w:r>
      <w:r>
        <w:t xml:space="preserve"> EGI.eu Service Level Targets</w:t>
      </w:r>
    </w:p>
    <w:p w:rsidR="00A7408B" w:rsidRDefault="00A7408B" w:rsidP="00A7408B">
      <w:r>
        <w:rPr>
          <w:noProof/>
          <w:lang w:eastAsia="en-GB"/>
        </w:rPr>
        <w:drawing>
          <wp:inline distT="0" distB="0" distL="0" distR="0" wp14:anchorId="2DE9AC8F" wp14:editId="788DC56F">
            <wp:extent cx="5755640" cy="3955900"/>
            <wp:effectExtent l="0" t="0" r="0" b="6985"/>
            <wp:docPr id="1603" name="Picture 1603" descr="C:\Users\Krakowian\Google Drive\Operations\Documentation working space\D4.8\png\EGI service targ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EGI service target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5640" cy="3955900"/>
                    </a:xfrm>
                    <a:prstGeom prst="rect">
                      <a:avLst/>
                    </a:prstGeom>
                    <a:noFill/>
                    <a:ln>
                      <a:noFill/>
                    </a:ln>
                  </pic:spPr>
                </pic:pic>
              </a:graphicData>
            </a:graphic>
          </wp:inline>
        </w:drawing>
      </w:r>
    </w:p>
    <w:p w:rsidR="006E0EA7" w:rsidRPr="006E0EA7" w:rsidRDefault="006E0EA7" w:rsidP="006E0EA7">
      <w:pPr>
        <w:numPr>
          <w:ilvl w:val="1"/>
          <w:numId w:val="46"/>
        </w:numPr>
      </w:pPr>
      <w:r>
        <w:t>EGI.</w:t>
      </w:r>
      <w:r w:rsidR="008F63E5">
        <w:t>eu service level</w:t>
      </w:r>
      <w:r>
        <w:t xml:space="preserve"> reports are </w:t>
      </w:r>
      <w:r w:rsidR="008F63E5">
        <w:t xml:space="preserve">currently </w:t>
      </w:r>
      <w:r>
        <w:t>under development</w:t>
      </w:r>
      <w:r w:rsidR="008F63E5">
        <w:t xml:space="preserve"> within JRA1 and are expected to be available from the Operations Portal from June 2013</w:t>
      </w:r>
      <w:r>
        <w:t>.</w:t>
      </w:r>
    </w:p>
    <w:p w:rsidR="008F18AA" w:rsidRDefault="008F18AA" w:rsidP="008F18AA">
      <w:pPr>
        <w:pStyle w:val="Heading2"/>
      </w:pPr>
      <w:bookmarkStart w:id="72" w:name="_Toc355730417"/>
      <w:r>
        <w:t>RC Performance</w:t>
      </w:r>
      <w:bookmarkEnd w:id="72"/>
    </w:p>
    <w:p w:rsidR="008F18AA" w:rsidRDefault="008F18AA" w:rsidP="008F18AA">
      <w:pPr>
        <w:pStyle w:val="Heading3"/>
      </w:pPr>
      <w:bookmarkStart w:id="73" w:name="_Toc355730418"/>
      <w:r>
        <w:t>Availability and Reliability</w:t>
      </w:r>
      <w:bookmarkEnd w:id="73"/>
    </w:p>
    <w:p w:rsidR="008F18AA" w:rsidRPr="003929F6" w:rsidRDefault="008F18AA" w:rsidP="008F18AA">
      <w:pPr>
        <w:pStyle w:val="Caption"/>
        <w:jc w:val="center"/>
      </w:pPr>
      <w:bookmarkStart w:id="74" w:name="_Ref323339315"/>
      <w:r w:rsidRPr="003929F6">
        <w:t xml:space="preserve">Table </w:t>
      </w:r>
      <w:r w:rsidR="00A560B1">
        <w:fldChar w:fldCharType="begin"/>
      </w:r>
      <w:r w:rsidR="00A560B1">
        <w:instrText xml:space="preserve"> SEQ Table \* ARABIC </w:instrText>
      </w:r>
      <w:r w:rsidR="00A560B1">
        <w:fldChar w:fldCharType="separate"/>
      </w:r>
      <w:r w:rsidR="00A319E4">
        <w:rPr>
          <w:noProof/>
        </w:rPr>
        <w:t>11</w:t>
      </w:r>
      <w:r w:rsidR="00A560B1">
        <w:rPr>
          <w:noProof/>
        </w:rPr>
        <w:fldChar w:fldCharType="end"/>
      </w:r>
      <w:bookmarkEnd w:id="74"/>
      <w:r w:rsidRPr="003929F6">
        <w:t>. EGI-wide Availability and Reliability and the related project metric target.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3929F6" w:rsidTr="009B1455">
        <w:trPr>
          <w:jc w:val="center"/>
        </w:trPr>
        <w:tc>
          <w:tcPr>
            <w:tcW w:w="0" w:type="auto"/>
            <w:tcBorders>
              <w:bottom w:val="single" w:sz="4" w:space="0" w:color="auto"/>
            </w:tcBorders>
            <w:shd w:val="clear" w:color="auto" w:fill="D9D9D9"/>
            <w:vAlign w:val="center"/>
          </w:tcPr>
          <w:p w:rsidR="008F18AA" w:rsidRPr="003929F6" w:rsidRDefault="008F18AA" w:rsidP="009B1455">
            <w:pPr>
              <w:jc w:val="center"/>
              <w:rPr>
                <w:b/>
                <w:sz w:val="18"/>
                <w:szCs w:val="18"/>
              </w:rPr>
            </w:pPr>
            <w:r w:rsidRPr="003929F6">
              <w:rPr>
                <w:b/>
                <w:sz w:val="18"/>
                <w:szCs w:val="18"/>
              </w:rPr>
              <w:t>EGI Average Monthly Reliability</w:t>
            </w:r>
          </w:p>
        </w:tc>
        <w:tc>
          <w:tcPr>
            <w:tcW w:w="0" w:type="auto"/>
            <w:shd w:val="clear" w:color="auto" w:fill="D9D9D9"/>
            <w:vAlign w:val="center"/>
          </w:tcPr>
          <w:p w:rsidR="008F18AA" w:rsidRPr="003929F6" w:rsidRDefault="008F18AA" w:rsidP="009B1455">
            <w:pPr>
              <w:jc w:val="center"/>
              <w:rPr>
                <w:b/>
                <w:sz w:val="18"/>
                <w:szCs w:val="18"/>
              </w:rPr>
            </w:pPr>
            <w:r w:rsidRPr="003929F6">
              <w:rPr>
                <w:b/>
                <w:sz w:val="18"/>
                <w:szCs w:val="18"/>
              </w:rPr>
              <w:t>May 2011-January 2012</w:t>
            </w:r>
          </w:p>
        </w:tc>
        <w:tc>
          <w:tcPr>
            <w:tcW w:w="0" w:type="auto"/>
            <w:shd w:val="clear" w:color="auto" w:fill="D9D9D9"/>
            <w:vAlign w:val="center"/>
          </w:tcPr>
          <w:p w:rsidR="008F18AA" w:rsidRPr="003929F6" w:rsidRDefault="003929F6" w:rsidP="009B1455">
            <w:pPr>
              <w:jc w:val="center"/>
              <w:rPr>
                <w:b/>
                <w:sz w:val="18"/>
                <w:szCs w:val="18"/>
              </w:rPr>
            </w:pPr>
            <w:r w:rsidRPr="003929F6">
              <w:rPr>
                <w:b/>
                <w:sz w:val="18"/>
                <w:szCs w:val="18"/>
              </w:rPr>
              <w:t>Y3</w:t>
            </w:r>
            <w:r w:rsidR="008F18AA" w:rsidRPr="003929F6">
              <w:rPr>
                <w:b/>
                <w:sz w:val="18"/>
                <w:szCs w:val="18"/>
              </w:rPr>
              <w:t xml:space="preserve"> Target</w:t>
            </w:r>
          </w:p>
        </w:tc>
      </w:tr>
      <w:tr w:rsidR="008F18AA" w:rsidRPr="003929F6"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Reliability</w:t>
            </w:r>
          </w:p>
        </w:tc>
        <w:tc>
          <w:tcPr>
            <w:tcW w:w="0" w:type="auto"/>
            <w:shd w:val="clear" w:color="auto" w:fill="auto"/>
            <w:vAlign w:val="center"/>
          </w:tcPr>
          <w:p w:rsidR="008F18AA" w:rsidRPr="003929F6" w:rsidRDefault="003929F6" w:rsidP="003752AB">
            <w:pPr>
              <w:jc w:val="center"/>
              <w:rPr>
                <w:sz w:val="18"/>
                <w:szCs w:val="18"/>
              </w:rPr>
            </w:pPr>
            <w:r w:rsidRPr="003929F6">
              <w:rPr>
                <w:sz w:val="18"/>
                <w:szCs w:val="18"/>
              </w:rPr>
              <w:t>9</w:t>
            </w:r>
            <w:r w:rsidR="003752AB">
              <w:rPr>
                <w:sz w:val="18"/>
                <w:szCs w:val="18"/>
              </w:rPr>
              <w:t>4.86</w:t>
            </w:r>
            <w:r w:rsidR="008F18AA" w:rsidRPr="003929F6">
              <w:rPr>
                <w:sz w:val="18"/>
                <w:szCs w:val="18"/>
              </w:rPr>
              <w:t xml:space="preserve"> %</w:t>
            </w:r>
          </w:p>
        </w:tc>
        <w:tc>
          <w:tcPr>
            <w:tcW w:w="0" w:type="auto"/>
            <w:shd w:val="clear" w:color="auto" w:fill="auto"/>
            <w:vAlign w:val="center"/>
          </w:tcPr>
          <w:p w:rsidR="008F18AA" w:rsidRPr="003929F6" w:rsidRDefault="003929F6" w:rsidP="009B1455">
            <w:pPr>
              <w:jc w:val="center"/>
              <w:rPr>
                <w:sz w:val="18"/>
                <w:szCs w:val="18"/>
              </w:rPr>
            </w:pPr>
            <w:r w:rsidRPr="003929F6">
              <w:rPr>
                <w:sz w:val="18"/>
                <w:szCs w:val="18"/>
              </w:rPr>
              <w:t>95</w:t>
            </w:r>
            <w:r w:rsidR="008F18AA" w:rsidRPr="003929F6">
              <w:rPr>
                <w:sz w:val="18"/>
                <w:szCs w:val="18"/>
              </w:rPr>
              <w:t>%</w:t>
            </w:r>
          </w:p>
        </w:tc>
      </w:tr>
      <w:tr w:rsidR="008F18AA" w:rsidRPr="000D4888" w:rsidTr="009B1455">
        <w:trPr>
          <w:jc w:val="center"/>
        </w:trPr>
        <w:tc>
          <w:tcPr>
            <w:tcW w:w="0" w:type="auto"/>
            <w:shd w:val="clear" w:color="auto" w:fill="F2F2F2"/>
            <w:vAlign w:val="center"/>
          </w:tcPr>
          <w:p w:rsidR="008F18AA" w:rsidRPr="003929F6" w:rsidRDefault="008F18AA" w:rsidP="009B1455">
            <w:pPr>
              <w:jc w:val="center"/>
              <w:rPr>
                <w:sz w:val="18"/>
                <w:szCs w:val="18"/>
              </w:rPr>
            </w:pPr>
            <w:r w:rsidRPr="003929F6">
              <w:rPr>
                <w:sz w:val="18"/>
                <w:szCs w:val="18"/>
              </w:rPr>
              <w:t>Availability</w:t>
            </w:r>
          </w:p>
        </w:tc>
        <w:tc>
          <w:tcPr>
            <w:tcW w:w="0" w:type="auto"/>
            <w:shd w:val="clear" w:color="auto" w:fill="auto"/>
            <w:vAlign w:val="center"/>
          </w:tcPr>
          <w:p w:rsidR="008F18AA" w:rsidRPr="003929F6" w:rsidRDefault="003752AB" w:rsidP="009B1455">
            <w:pPr>
              <w:jc w:val="center"/>
              <w:rPr>
                <w:sz w:val="18"/>
                <w:szCs w:val="18"/>
              </w:rPr>
            </w:pPr>
            <w:r>
              <w:rPr>
                <w:sz w:val="18"/>
                <w:szCs w:val="18"/>
              </w:rPr>
              <w:t>93.74</w:t>
            </w:r>
            <w:r w:rsidR="008F18AA" w:rsidRPr="003929F6">
              <w:rPr>
                <w:sz w:val="18"/>
                <w:szCs w:val="18"/>
              </w:rPr>
              <w:t xml:space="preserve"> %</w:t>
            </w:r>
          </w:p>
        </w:tc>
        <w:tc>
          <w:tcPr>
            <w:tcW w:w="0" w:type="auto"/>
            <w:shd w:val="clear" w:color="auto" w:fill="auto"/>
            <w:vAlign w:val="center"/>
          </w:tcPr>
          <w:p w:rsidR="008F18AA" w:rsidRPr="003929F6" w:rsidRDefault="008F18AA" w:rsidP="009B1455">
            <w:pPr>
              <w:jc w:val="center"/>
              <w:rPr>
                <w:sz w:val="18"/>
                <w:szCs w:val="18"/>
              </w:rPr>
            </w:pPr>
            <w:r w:rsidRPr="003929F6">
              <w:rPr>
                <w:sz w:val="18"/>
                <w:szCs w:val="18"/>
              </w:rPr>
              <w:t>-</w:t>
            </w:r>
          </w:p>
        </w:tc>
      </w:tr>
    </w:tbl>
    <w:p w:rsidR="008F18AA" w:rsidRPr="003929F6" w:rsidRDefault="008F18AA" w:rsidP="008F18AA">
      <w:r w:rsidRPr="003929F6">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Pr="003929F6" w:rsidRDefault="008F18AA" w:rsidP="008F18AA">
      <w:r w:rsidRPr="003929F6">
        <w:t xml:space="preserve">The capability </w:t>
      </w:r>
      <w:r w:rsidR="00063388" w:rsidRPr="003929F6">
        <w:t>of</w:t>
      </w:r>
      <w:r w:rsidRPr="003929F6">
        <w:t xml:space="preserve"> closely reflect</w:t>
      </w:r>
      <w:r w:rsidR="00063388" w:rsidRPr="003929F6">
        <w:t>ing</w:t>
      </w:r>
      <w:r w:rsidRPr="003929F6">
        <w:t xml:space="preserve"> the experience of the end-user depends on the tests performed. In order to correctly mimic user workflows user-specific tests can be run by customized user-specific </w:t>
      </w:r>
      <w:r w:rsidRPr="003929F6">
        <w:lastRenderedPageBreak/>
        <w:t xml:space="preserve">SAM installations [SAMV]. The EGI monthly availability and reliability reports are based on tests (run using the OPS VO), which are sufficiently generic to allow a comparison across all Resource Centres of the infrastructure. </w:t>
      </w:r>
    </w:p>
    <w:p w:rsidR="008F18AA" w:rsidRPr="003929F6" w:rsidRDefault="008F18AA" w:rsidP="008F18AA">
      <w:r w:rsidRPr="003929F6">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w:t>
      </w:r>
      <w:r w:rsidR="00F91CC5">
        <w:t xml:space="preserve">down </w:t>
      </w:r>
      <w:r w:rsidRPr="003929F6">
        <w:t xml:space="preserve">time)] * 100) [AVL]. </w:t>
      </w:r>
    </w:p>
    <w:p w:rsidR="008F18AA" w:rsidRPr="003929F6" w:rsidRDefault="008F18AA" w:rsidP="008F18AA">
      <w:r w:rsidRPr="003929F6">
        <w:t>Certified Resource Centres guarantee 70% availability and 75% reliability for their services. The minimum availability and reliability values accepted for a Resource Centre are defined in Operational Level Agreements established with EGI.eu.</w:t>
      </w:r>
    </w:p>
    <w:p w:rsidR="008F18AA" w:rsidRPr="005225DE" w:rsidRDefault="008F18AA" w:rsidP="008F18AA">
      <w:r w:rsidRPr="00047FE9">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047FE9">
        <w:t>–</w:t>
      </w:r>
      <w:r w:rsidRPr="00047FE9">
        <w:t xml:space="preserve"> April 2010 (last year of EGEE-III), to 94.50%/95.42% during May 2011 – </w:t>
      </w:r>
      <w:r w:rsidR="00047FE9" w:rsidRPr="00047FE9">
        <w:t>April</w:t>
      </w:r>
      <w:r w:rsidRPr="00047FE9">
        <w:t xml:space="preserve"> 2012 (second year of EGI-InSPIRE)</w:t>
      </w:r>
      <w:r w:rsidR="002878C1" w:rsidRPr="00047FE9">
        <w:t>.</w:t>
      </w:r>
      <w:r w:rsidR="00047FE9" w:rsidRPr="00047FE9">
        <w:t xml:space="preserve"> </w:t>
      </w:r>
      <w:r w:rsidR="008F63E5">
        <w:t>In the period</w:t>
      </w:r>
      <w:r w:rsidR="00047FE9" w:rsidRPr="00047FE9">
        <w:t xml:space="preserve"> May 2012 – Februar</w:t>
      </w:r>
      <w:r w:rsidR="001608A8">
        <w:t xml:space="preserve">y 2013 </w:t>
      </w:r>
      <w:r w:rsidR="008F63E5">
        <w:t xml:space="preserve">this </w:t>
      </w:r>
      <w:r w:rsidR="001608A8">
        <w:t>slightly decrease to 93.74%/94.86</w:t>
      </w:r>
      <w:r w:rsidR="00047FE9" w:rsidRPr="00047FE9">
        <w:t>%.</w:t>
      </w:r>
      <w:r w:rsidR="008F63E5">
        <w:t xml:space="preserve"> This is probably related to the maintenance work at RCs to upgrade their software infrastructure (see section </w:t>
      </w:r>
      <w:r w:rsidR="008F63E5">
        <w:fldChar w:fldCharType="begin"/>
      </w:r>
      <w:r w:rsidR="008F63E5">
        <w:instrText xml:space="preserve"> REF _Ref354671028 \r \h </w:instrText>
      </w:r>
      <w:r w:rsidR="008F63E5">
        <w:fldChar w:fldCharType="separate"/>
      </w:r>
      <w:r w:rsidR="00A319E4">
        <w:t>7.2</w:t>
      </w:r>
      <w:r w:rsidR="008F63E5">
        <w:fldChar w:fldCharType="end"/>
      </w:r>
      <w:r w:rsidR="008F63E5">
        <w:t xml:space="preserve">). </w:t>
      </w:r>
      <w:r w:rsidR="00047FE9">
        <w:t>T</w:t>
      </w:r>
      <w:r w:rsidR="00047FE9" w:rsidRPr="00047FE9">
        <w:t>he PY</w:t>
      </w:r>
      <w:r w:rsidR="00047FE9">
        <w:t>3</w:t>
      </w:r>
      <w:r w:rsidR="00047FE9" w:rsidRPr="00047FE9">
        <w:t xml:space="preserve"> Reliability target (9</w:t>
      </w:r>
      <w:r w:rsidR="00047FE9">
        <w:t>5</w:t>
      </w:r>
      <w:r w:rsidR="00047FE9" w:rsidRPr="00047FE9">
        <w:t xml:space="preserve">%) </w:t>
      </w:r>
      <w:r w:rsidR="00047FE9">
        <w:t xml:space="preserve">was not met with </w:t>
      </w:r>
      <w:r w:rsidR="008F63E5">
        <w:t xml:space="preserve">a </w:t>
      </w:r>
      <w:r w:rsidR="008F63E5">
        <w:rPr>
          <w:rStyle w:val="hps"/>
          <w:lang w:val="en"/>
        </w:rPr>
        <w:t>small</w:t>
      </w:r>
      <w:r w:rsidR="0066001F">
        <w:rPr>
          <w:rStyle w:val="hps"/>
          <w:lang w:val="en"/>
        </w:rPr>
        <w:t xml:space="preserve"> </w:t>
      </w:r>
      <w:r w:rsidR="001608A8">
        <w:t xml:space="preserve">deviation </w:t>
      </w:r>
      <w:r w:rsidR="008F63E5">
        <w:t>(</w:t>
      </w:r>
      <w:r w:rsidR="001608A8">
        <w:t>-0,14</w:t>
      </w:r>
      <w:r w:rsidR="00047FE9">
        <w:t>%</w:t>
      </w:r>
      <w:r w:rsidR="008F63E5">
        <w:t>)</w:t>
      </w:r>
      <w:r w:rsidR="00047FE9">
        <w:t xml:space="preserve"> </w:t>
      </w:r>
      <w:r w:rsidRPr="00047FE9">
        <w:t xml:space="preserve">– see </w:t>
      </w:r>
      <w:r w:rsidRPr="00047FE9">
        <w:fldChar w:fldCharType="begin"/>
      </w:r>
      <w:r w:rsidRPr="00047FE9">
        <w:instrText xml:space="preserve"> REF _Ref323339315 \h </w:instrText>
      </w:r>
      <w:r w:rsidR="000D4888" w:rsidRPr="00047FE9">
        <w:instrText xml:space="preserve"> \* MERGEFORMAT </w:instrText>
      </w:r>
      <w:r w:rsidRPr="00047FE9">
        <w:fldChar w:fldCharType="separate"/>
      </w:r>
      <w:r w:rsidR="00A319E4" w:rsidRPr="003929F6">
        <w:t xml:space="preserve">Table </w:t>
      </w:r>
      <w:r w:rsidR="00A319E4">
        <w:rPr>
          <w:noProof/>
        </w:rPr>
        <w:t>11</w:t>
      </w:r>
      <w:r w:rsidRPr="00047FE9">
        <w:fldChar w:fldCharType="end"/>
      </w:r>
      <w:r w:rsidRPr="00047FE9">
        <w:t xml:space="preserve">. </w:t>
      </w:r>
    </w:p>
    <w:p w:rsidR="008F18AA" w:rsidRDefault="008F18AA" w:rsidP="008F18AA">
      <w:r w:rsidRPr="00CF5F92">
        <w:t xml:space="preserve">The trend of the overall EGI </w:t>
      </w:r>
      <w:r w:rsidR="008F63E5">
        <w:t xml:space="preserve">RC </w:t>
      </w:r>
      <w:r w:rsidRPr="00CF5F92">
        <w:t xml:space="preserve">availability and reliability is </w:t>
      </w:r>
      <w:r w:rsidR="008F63E5">
        <w:t>shown</w:t>
      </w:r>
      <w:r w:rsidRPr="00CF5F92">
        <w:t xml:space="preserve"> in </w:t>
      </w:r>
      <w:r w:rsidRPr="00CF5F92">
        <w:fldChar w:fldCharType="begin"/>
      </w:r>
      <w:r w:rsidRPr="00CF5F92">
        <w:instrText xml:space="preserve"> REF _Ref322130819 \h </w:instrText>
      </w:r>
      <w:r w:rsidR="000D4888" w:rsidRPr="00CF5F92">
        <w:instrText xml:space="preserve"> \* MERGEFORMAT </w:instrText>
      </w:r>
      <w:r w:rsidRPr="00CF5F92">
        <w:fldChar w:fldCharType="separate"/>
      </w:r>
      <w:r w:rsidR="00A319E4">
        <w:t xml:space="preserve">Figure </w:t>
      </w:r>
      <w:r w:rsidR="00A319E4">
        <w:rPr>
          <w:noProof/>
        </w:rPr>
        <w:t>17</w:t>
      </w:r>
      <w:r w:rsidRPr="00CF5F92">
        <w:fldChar w:fldCharType="end"/>
      </w:r>
      <w:r w:rsidRPr="00CF5F92">
        <w:t>, which plots the average quarterly availability and reliability of RCs from May 2010. For example, the d</w:t>
      </w:r>
      <w:r w:rsidR="0076571F" w:rsidRPr="00CF5F92">
        <w:t>rop</w:t>
      </w:r>
      <w:r w:rsidRPr="00CF5F92">
        <w:t xml:space="preserve"> recorded from August to November 2011 reflects the transition of various large federated Operations Centres evolving towards a set of operationally ind</w:t>
      </w:r>
      <w:r w:rsidR="008F63E5">
        <w:t>ependent NGIs</w:t>
      </w:r>
      <w:r w:rsidRPr="00CF5F92">
        <w:t>.</w:t>
      </w:r>
      <w:r>
        <w:t xml:space="preserve"> </w:t>
      </w:r>
    </w:p>
    <w:p w:rsidR="008F18AA" w:rsidRDefault="003752AB" w:rsidP="009835BF">
      <w:pPr>
        <w:jc w:val="center"/>
      </w:pPr>
      <w:r>
        <w:rPr>
          <w:noProof/>
          <w:lang w:eastAsia="en-GB"/>
        </w:rPr>
        <w:drawing>
          <wp:inline distT="0" distB="0" distL="0" distR="0" wp14:anchorId="1E160036" wp14:editId="4D12C985">
            <wp:extent cx="5106838" cy="3329077"/>
            <wp:effectExtent l="0" t="0" r="0" b="5080"/>
            <wp:docPr id="1615" name="Picture 1615" descr="C:\Users\Krakowian\Google Drive\Operations\inspire-deliverables\SA1\D4.8\png\Quarterly EGI ava_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9581" cy="3330865"/>
                    </a:xfrm>
                    <a:prstGeom prst="rect">
                      <a:avLst/>
                    </a:prstGeom>
                    <a:noFill/>
                    <a:ln>
                      <a:noFill/>
                    </a:ln>
                  </pic:spPr>
                </pic:pic>
              </a:graphicData>
            </a:graphic>
          </wp:inline>
        </w:drawing>
      </w:r>
    </w:p>
    <w:p w:rsidR="008F18AA" w:rsidRDefault="008F18AA" w:rsidP="005F50F4">
      <w:pPr>
        <w:pStyle w:val="Caption"/>
        <w:jc w:val="center"/>
      </w:pPr>
      <w:bookmarkStart w:id="75" w:name="_Ref322130819"/>
      <w:bookmarkStart w:id="76" w:name="_Toc355730461"/>
      <w:r>
        <w:t xml:space="preserve">Figure </w:t>
      </w:r>
      <w:r w:rsidR="00A560B1">
        <w:fldChar w:fldCharType="begin"/>
      </w:r>
      <w:r w:rsidR="00A560B1">
        <w:instrText xml:space="preserve"> SEQ Figure \* ARABIC </w:instrText>
      </w:r>
      <w:r w:rsidR="00A560B1">
        <w:fldChar w:fldCharType="separate"/>
      </w:r>
      <w:r w:rsidR="00A319E4">
        <w:rPr>
          <w:noProof/>
        </w:rPr>
        <w:t>17</w:t>
      </w:r>
      <w:r w:rsidR="00A560B1">
        <w:rPr>
          <w:noProof/>
        </w:rPr>
        <w:fldChar w:fldCharType="end"/>
      </w:r>
      <w:bookmarkEnd w:id="75"/>
      <w:r>
        <w:t>. Quarterly availability and reliability of resource centres averaged across EGI from May 2010 to end of PQ7.</w:t>
      </w:r>
      <w:r w:rsidR="0029366B">
        <w:t xml:space="preserve"> Source: Availability and reliability monthly reports.</w:t>
      </w:r>
      <w:bookmarkEnd w:id="76"/>
    </w:p>
    <w:p w:rsidR="008F63E5" w:rsidRDefault="00F57908" w:rsidP="005F50F4">
      <w:r>
        <w:lastRenderedPageBreak/>
        <w:t xml:space="preserve">Since November 2012 the responsibility to </w:t>
      </w:r>
      <w:r w:rsidR="00F36D93">
        <w:t>foll</w:t>
      </w:r>
      <w:bookmarkStart w:id="77" w:name="_GoBack"/>
      <w:bookmarkEnd w:id="77"/>
      <w:r w:rsidR="00F36D93">
        <w:t>ow up</w:t>
      </w:r>
      <w:r>
        <w:t xml:space="preserve"> underperforming RCs was handed off </w:t>
      </w:r>
      <w:r w:rsidR="00F36D93">
        <w:t>from Grid Oversight team to Regional Operator on Duty teams</w:t>
      </w:r>
      <w:r w:rsidR="008F63E5">
        <w:t>. This change allows for a quick automated notification to be sent to the RC administrators through the Operations</w:t>
      </w:r>
      <w:r w:rsidR="003D7529">
        <w:t xml:space="preserve"> Dashboard in case of a RC failing</w:t>
      </w:r>
      <w:r w:rsidR="008F63E5">
        <w:t xml:space="preserve"> to meet the minimum requested performance level</w:t>
      </w:r>
      <w:r w:rsidR="00F36D93">
        <w:t xml:space="preserve">. A specific Nagios probe was developed </w:t>
      </w:r>
      <w:r w:rsidR="008F63E5">
        <w:t>for this and as of November 2012</w:t>
      </w:r>
      <w:r w:rsidR="00A2453C">
        <w:t xml:space="preserve"> ROD teams are </w:t>
      </w:r>
      <w:r w:rsidR="008F63E5">
        <w:t>requested</w:t>
      </w:r>
      <w:r w:rsidR="00A2453C">
        <w:t xml:space="preserve"> to follow</w:t>
      </w:r>
      <w:r w:rsidR="003D7529">
        <w:t xml:space="preserve"> the</w:t>
      </w:r>
      <w:r w:rsidR="00A2453C">
        <w:t xml:space="preserve"> “</w:t>
      </w:r>
      <w:r w:rsidR="00A2453C" w:rsidRPr="00A2453C">
        <w:rPr>
          <w:iCs/>
        </w:rPr>
        <w:t>Quality verification of monthly availability and reliability statistics</w:t>
      </w:r>
      <w:r w:rsidR="00A2453C">
        <w:t>“</w:t>
      </w:r>
      <w:r w:rsidR="00C86F9E">
        <w:t xml:space="preserve"> </w:t>
      </w:r>
      <w:r w:rsidR="00A2453C">
        <w:t>procedure</w:t>
      </w:r>
      <w:r w:rsidR="00A2453C" w:rsidRPr="00F57908">
        <w:rPr>
          <w:rStyle w:val="FootnoteReference"/>
        </w:rPr>
        <w:footnoteReference w:id="18"/>
      </w:r>
      <w:r w:rsidR="008F63E5">
        <w:t xml:space="preserve"> for handling of performance issues</w:t>
      </w:r>
      <w:r w:rsidR="00F36D93">
        <w:t>.</w:t>
      </w:r>
    </w:p>
    <w:p w:rsidR="008F18AA" w:rsidRPr="00C60359" w:rsidRDefault="008F63E5" w:rsidP="005F50F4">
      <w:r>
        <w:t>Starting with PY4 RC availability and reliability statistics will be complemented by a new set of VO-oriented availability and reliability statistics, which will more accurately represent the performance perceived by VOs when using the distributed EGI services.</w:t>
      </w:r>
    </w:p>
    <w:p w:rsidR="008F18AA" w:rsidRDefault="008F18AA" w:rsidP="008F18AA">
      <w:pPr>
        <w:pStyle w:val="Heading2"/>
      </w:pPr>
      <w:bookmarkStart w:id="78" w:name="_Toc355730419"/>
      <w:r>
        <w:t>RP Performance</w:t>
      </w:r>
      <w:bookmarkEnd w:id="78"/>
    </w:p>
    <w:p w:rsidR="009835BF" w:rsidRPr="009835BF" w:rsidRDefault="009835BF" w:rsidP="009835BF">
      <w:pPr>
        <w:pStyle w:val="Caption"/>
        <w:jc w:val="center"/>
      </w:pPr>
      <w:bookmarkStart w:id="79" w:name="_Ref354675668"/>
      <w:r>
        <w:t xml:space="preserve">Table </w:t>
      </w:r>
      <w:r w:rsidR="00A560B1">
        <w:fldChar w:fldCharType="begin"/>
      </w:r>
      <w:r w:rsidR="00A560B1">
        <w:instrText xml:space="preserve"> SEQ Table \* ARABIC </w:instrText>
      </w:r>
      <w:r w:rsidR="00A560B1">
        <w:fldChar w:fldCharType="separate"/>
      </w:r>
      <w:r w:rsidR="00A319E4">
        <w:rPr>
          <w:noProof/>
        </w:rPr>
        <w:t>12</w:t>
      </w:r>
      <w:r w:rsidR="00A560B1">
        <w:rPr>
          <w:noProof/>
        </w:rPr>
        <w:fldChar w:fldCharType="end"/>
      </w:r>
      <w:bookmarkEnd w:id="79"/>
      <w:r>
        <w:t xml:space="preserve">. Yearly average </w:t>
      </w:r>
      <w:r w:rsidR="00C93062">
        <w:t xml:space="preserve">availability and </w:t>
      </w:r>
      <w:r>
        <w:rPr>
          <w:szCs w:val="22"/>
        </w:rPr>
        <w:t>reliability of NGI functional services (May 2012-March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956"/>
        <w:gridCol w:w="1111"/>
      </w:tblGrid>
      <w:tr w:rsidR="000516FA" w:rsidRPr="003929F6" w:rsidTr="009408CA">
        <w:trPr>
          <w:jc w:val="center"/>
        </w:trPr>
        <w:tc>
          <w:tcPr>
            <w:tcW w:w="0" w:type="auto"/>
            <w:tcBorders>
              <w:bottom w:val="single" w:sz="4" w:space="0" w:color="auto"/>
            </w:tcBorders>
            <w:shd w:val="clear" w:color="auto" w:fill="D9D9D9"/>
            <w:vAlign w:val="center"/>
          </w:tcPr>
          <w:p w:rsidR="000516FA" w:rsidRPr="003929F6" w:rsidRDefault="000516FA" w:rsidP="000516FA">
            <w:pPr>
              <w:jc w:val="center"/>
              <w:rPr>
                <w:b/>
                <w:sz w:val="18"/>
                <w:szCs w:val="18"/>
              </w:rPr>
            </w:pPr>
            <w:r>
              <w:rPr>
                <w:b/>
                <w:sz w:val="18"/>
                <w:szCs w:val="18"/>
              </w:rPr>
              <w:t>NGI Services</w:t>
            </w:r>
            <w:r w:rsidRPr="003929F6">
              <w:rPr>
                <w:b/>
                <w:sz w:val="18"/>
                <w:szCs w:val="18"/>
              </w:rPr>
              <w:t xml:space="preserve"> Average Monthly </w:t>
            </w:r>
            <w:r>
              <w:rPr>
                <w:b/>
                <w:sz w:val="18"/>
                <w:szCs w:val="18"/>
              </w:rPr>
              <w:t>Performance</w:t>
            </w:r>
          </w:p>
        </w:tc>
        <w:tc>
          <w:tcPr>
            <w:tcW w:w="0" w:type="auto"/>
            <w:shd w:val="clear" w:color="auto" w:fill="D9D9D9"/>
            <w:vAlign w:val="center"/>
          </w:tcPr>
          <w:p w:rsidR="000516FA" w:rsidRPr="003929F6" w:rsidRDefault="000516F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0516FA" w:rsidRPr="003929F6" w:rsidRDefault="0031100E" w:rsidP="009408CA">
            <w:pPr>
              <w:jc w:val="center"/>
              <w:rPr>
                <w:b/>
                <w:sz w:val="18"/>
                <w:szCs w:val="18"/>
              </w:rPr>
            </w:pPr>
            <w:r>
              <w:rPr>
                <w:b/>
                <w:sz w:val="18"/>
                <w:szCs w:val="18"/>
              </w:rPr>
              <w:t>P</w:t>
            </w:r>
            <w:r w:rsidR="000516FA" w:rsidRPr="003929F6">
              <w:rPr>
                <w:b/>
                <w:sz w:val="18"/>
                <w:szCs w:val="18"/>
              </w:rPr>
              <w:t>Y3 Target</w:t>
            </w:r>
          </w:p>
        </w:tc>
      </w:tr>
      <w:tr w:rsidR="000516FA" w:rsidRPr="003929F6"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Reliability</w:t>
            </w:r>
            <w:r w:rsidR="009835BF">
              <w:rPr>
                <w:sz w:val="18"/>
                <w:szCs w:val="18"/>
              </w:rPr>
              <w:t xml:space="preserve"> </w:t>
            </w:r>
            <w:r w:rsidR="009835BF" w:rsidRPr="009835BF">
              <w:rPr>
                <w:sz w:val="18"/>
                <w:szCs w:val="18"/>
              </w:rPr>
              <w:t>(MSA1.Operations.4)</w:t>
            </w:r>
          </w:p>
        </w:tc>
        <w:tc>
          <w:tcPr>
            <w:tcW w:w="0" w:type="auto"/>
            <w:shd w:val="clear" w:color="auto" w:fill="auto"/>
            <w:vAlign w:val="center"/>
          </w:tcPr>
          <w:p w:rsidR="000516FA" w:rsidRPr="003929F6" w:rsidRDefault="000516FA" w:rsidP="000516FA">
            <w:pPr>
              <w:jc w:val="center"/>
              <w:rPr>
                <w:sz w:val="18"/>
                <w:szCs w:val="18"/>
              </w:rPr>
            </w:pPr>
            <w:r w:rsidRPr="003929F6">
              <w:rPr>
                <w:sz w:val="18"/>
                <w:szCs w:val="18"/>
              </w:rPr>
              <w:t>9</w:t>
            </w:r>
            <w:r>
              <w:rPr>
                <w:sz w:val="18"/>
                <w:szCs w:val="18"/>
              </w:rPr>
              <w:t>9.98</w:t>
            </w:r>
            <w:r w:rsidRPr="003929F6">
              <w:rPr>
                <w:sz w:val="18"/>
                <w:szCs w:val="18"/>
              </w:rPr>
              <w:t xml:space="preserve"> %</w:t>
            </w:r>
          </w:p>
        </w:tc>
        <w:tc>
          <w:tcPr>
            <w:tcW w:w="0" w:type="auto"/>
            <w:shd w:val="clear" w:color="auto" w:fill="auto"/>
            <w:vAlign w:val="center"/>
          </w:tcPr>
          <w:p w:rsidR="000516FA" w:rsidRPr="003929F6" w:rsidRDefault="009835BF" w:rsidP="009408CA">
            <w:pPr>
              <w:jc w:val="center"/>
              <w:rPr>
                <w:sz w:val="18"/>
                <w:szCs w:val="18"/>
              </w:rPr>
            </w:pPr>
            <w:r w:rsidRPr="009835BF">
              <w:rPr>
                <w:sz w:val="18"/>
                <w:szCs w:val="18"/>
              </w:rPr>
              <w:t>97</w:t>
            </w:r>
            <w:r w:rsidR="000516FA" w:rsidRPr="009835BF">
              <w:rPr>
                <w:sz w:val="18"/>
                <w:szCs w:val="18"/>
              </w:rPr>
              <w:t>%</w:t>
            </w:r>
          </w:p>
        </w:tc>
      </w:tr>
      <w:tr w:rsidR="000516FA" w:rsidRPr="000D4888" w:rsidTr="009408CA">
        <w:trPr>
          <w:jc w:val="center"/>
        </w:trPr>
        <w:tc>
          <w:tcPr>
            <w:tcW w:w="0" w:type="auto"/>
            <w:shd w:val="clear" w:color="auto" w:fill="F2F2F2"/>
            <w:vAlign w:val="center"/>
          </w:tcPr>
          <w:p w:rsidR="000516FA" w:rsidRPr="003929F6" w:rsidRDefault="000516FA" w:rsidP="009408CA">
            <w:pPr>
              <w:jc w:val="center"/>
              <w:rPr>
                <w:sz w:val="18"/>
                <w:szCs w:val="18"/>
              </w:rPr>
            </w:pPr>
            <w:r w:rsidRPr="003929F6">
              <w:rPr>
                <w:sz w:val="18"/>
                <w:szCs w:val="18"/>
              </w:rPr>
              <w:t>Availability</w:t>
            </w:r>
          </w:p>
        </w:tc>
        <w:tc>
          <w:tcPr>
            <w:tcW w:w="0" w:type="auto"/>
            <w:shd w:val="clear" w:color="auto" w:fill="auto"/>
            <w:vAlign w:val="center"/>
          </w:tcPr>
          <w:p w:rsidR="000516FA" w:rsidRPr="003929F6" w:rsidRDefault="000516FA" w:rsidP="009408CA">
            <w:pPr>
              <w:jc w:val="center"/>
              <w:rPr>
                <w:sz w:val="18"/>
                <w:szCs w:val="18"/>
              </w:rPr>
            </w:pPr>
            <w:r>
              <w:rPr>
                <w:sz w:val="18"/>
                <w:szCs w:val="18"/>
              </w:rPr>
              <w:t>98.17</w:t>
            </w:r>
            <w:r w:rsidRPr="003929F6">
              <w:rPr>
                <w:sz w:val="18"/>
                <w:szCs w:val="18"/>
              </w:rPr>
              <w:t xml:space="preserve"> %</w:t>
            </w:r>
          </w:p>
        </w:tc>
        <w:tc>
          <w:tcPr>
            <w:tcW w:w="0" w:type="auto"/>
            <w:shd w:val="clear" w:color="auto" w:fill="auto"/>
            <w:vAlign w:val="center"/>
          </w:tcPr>
          <w:p w:rsidR="000516FA" w:rsidRPr="003929F6" w:rsidRDefault="000516FA" w:rsidP="009408CA">
            <w:pPr>
              <w:jc w:val="center"/>
              <w:rPr>
                <w:sz w:val="18"/>
                <w:szCs w:val="18"/>
              </w:rPr>
            </w:pPr>
            <w:r w:rsidRPr="003929F6">
              <w:rPr>
                <w:sz w:val="18"/>
                <w:szCs w:val="18"/>
              </w:rPr>
              <w:t>-</w:t>
            </w:r>
          </w:p>
        </w:tc>
      </w:tr>
    </w:tbl>
    <w:p w:rsidR="008F18AA" w:rsidRPr="003C3536" w:rsidRDefault="00A8202C" w:rsidP="008F18AA">
      <w:r>
        <w:t>The p</w:t>
      </w:r>
      <w:r w:rsidR="000D4888" w:rsidRPr="003C3536">
        <w:t>erformance experienced by users</w:t>
      </w:r>
      <w:r w:rsidR="008F18AA" w:rsidRPr="003C3536">
        <w:t xml:space="preserve"> not only depends on resource-access services</w:t>
      </w:r>
      <w:r w:rsidR="0031100E">
        <w:t xml:space="preserve"> provided by the </w:t>
      </w:r>
      <w:r w:rsidR="008C0FE8">
        <w:t>RCs</w:t>
      </w:r>
      <w:r w:rsidR="008F18AA" w:rsidRPr="003C3536">
        <w:t xml:space="preserve">,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rsidRPr="003C3536">
        <w:t xml:space="preserve">to </w:t>
      </w:r>
      <w:r w:rsidR="008F18AA" w:rsidRPr="003C3536">
        <w:t>distributed resources.</w:t>
      </w:r>
    </w:p>
    <w:p w:rsidR="008F18AA" w:rsidRDefault="008F18AA" w:rsidP="008F18AA">
      <w:r w:rsidRPr="003C3536">
        <w:t xml:space="preserve">RP performance is reported monthly. </w:t>
      </w:r>
      <w:r w:rsidR="00C347AB" w:rsidRPr="003C3536">
        <w:t>The p</w:t>
      </w:r>
      <w:r w:rsidRPr="003C3536">
        <w:t xml:space="preserve">urpose of this reporting is to check the availability and reliability of core services operated by NGIs and EIROs, which </w:t>
      </w:r>
      <w:r w:rsidR="00C347AB" w:rsidRPr="003C3536">
        <w:t>are</w:t>
      </w:r>
      <w:r w:rsidRPr="003C3536">
        <w:t xml:space="preserve"> typically highly critical as these services provide access to RC services, and are often shared across multiple user communities. In order to enhance </w:t>
      </w:r>
      <w:r w:rsidR="00C347AB" w:rsidRPr="003C3536">
        <w:t xml:space="preserve">their </w:t>
      </w:r>
      <w:r w:rsidRPr="003C3536">
        <w:t>robustness a</w:t>
      </w:r>
      <w:r w:rsidR="00C347AB" w:rsidRPr="003C3536">
        <w:t xml:space="preserve">nd performance, these services </w:t>
      </w:r>
      <w:r w:rsidRPr="003C3536">
        <w:t xml:space="preserve">frequently </w:t>
      </w:r>
      <w:r w:rsidR="00C347AB" w:rsidRPr="003C3536">
        <w:t>comprise</w:t>
      </w:r>
      <w:r w:rsidRPr="003C3536">
        <w:t xml:space="preserve"> distributed physical instances deployed across multiple RCs. In this case, performance results from the compounded availability of the service physical instances.</w:t>
      </w:r>
    </w:p>
    <w:p w:rsidR="001D185E" w:rsidRPr="003C3536" w:rsidRDefault="001D185E" w:rsidP="008F18AA">
      <w:r>
        <w:t xml:space="preserve">The average reliability performed by NGI functional services </w:t>
      </w:r>
      <w:r w:rsidR="003D7529">
        <w:t>by far</w:t>
      </w:r>
      <w:r>
        <w:t xml:space="preserve"> exceeded the PY3 target as shown in </w:t>
      </w:r>
      <w:r>
        <w:fldChar w:fldCharType="begin"/>
      </w:r>
      <w:r>
        <w:instrText xml:space="preserve"> REF _Ref354675668 \h </w:instrText>
      </w:r>
      <w:r>
        <w:fldChar w:fldCharType="separate"/>
      </w:r>
      <w:r w:rsidR="00A319E4">
        <w:t xml:space="preserve">Table </w:t>
      </w:r>
      <w:r w:rsidR="00A319E4">
        <w:rPr>
          <w:noProof/>
        </w:rPr>
        <w:t>12</w:t>
      </w:r>
      <w:r>
        <w:fldChar w:fldCharType="end"/>
      </w:r>
      <w:r>
        <w:t>.</w:t>
      </w:r>
    </w:p>
    <w:p w:rsidR="008F18AA" w:rsidRPr="003C3536" w:rsidRDefault="008F18AA" w:rsidP="008F18AA">
      <w:pPr>
        <w:pStyle w:val="Heading3"/>
      </w:pPr>
      <w:bookmarkStart w:id="80" w:name="_Toc355730420"/>
      <w:r w:rsidRPr="003C3536">
        <w:t>Availability and Reliability</w:t>
      </w:r>
      <w:bookmarkEnd w:id="80"/>
    </w:p>
    <w:p w:rsidR="00AA62F8" w:rsidRDefault="008F18AA" w:rsidP="008F18AA">
      <w:r w:rsidRPr="007E7455">
        <w:t xml:space="preserve">Current availability and reliability reports include statistics for the information discovery services (top-BDIIs). The set of monitored core services will be extended to include workload management </w:t>
      </w:r>
      <w:r w:rsidRPr="00F33FDA">
        <w:t xml:space="preserve">systems, file catalogues, VO management services etc. </w:t>
      </w:r>
      <w:r w:rsidR="00AA62F8">
        <w:t>Topology information about NGI authoritative service end-points is provided by GOCDB through NGI service groups</w:t>
      </w:r>
      <w:r w:rsidR="00F51902">
        <w:t>, whose implementation was completed in PY3</w:t>
      </w:r>
      <w:r w:rsidR="00F51902">
        <w:rPr>
          <w:rStyle w:val="FootnoteReference"/>
        </w:rPr>
        <w:footnoteReference w:id="19"/>
      </w:r>
      <w:r w:rsidR="00AA62F8">
        <w:t>.</w:t>
      </w:r>
    </w:p>
    <w:p w:rsidR="00F33FDA" w:rsidRPr="00F33FDA" w:rsidRDefault="00F33FDA" w:rsidP="008F18AA">
      <w:r w:rsidRPr="00F33FDA">
        <w:t>It was decided to introduce two profiles for RP availability/reliability calculations:</w:t>
      </w:r>
    </w:p>
    <w:p w:rsidR="00F33FDA" w:rsidRDefault="00F33FDA" w:rsidP="00F33FDA">
      <w:pPr>
        <w:pStyle w:val="ListParagraph"/>
        <w:numPr>
          <w:ilvl w:val="0"/>
          <w:numId w:val="63"/>
        </w:numPr>
      </w:pPr>
      <w:r w:rsidRPr="00F33FDA">
        <w:t xml:space="preserve">NGI OPS profile </w:t>
      </w:r>
      <w:r>
        <w:t>–</w:t>
      </w:r>
      <w:r w:rsidRPr="00F33FDA">
        <w:t xml:space="preserve"> </w:t>
      </w:r>
      <w:r w:rsidR="00762205">
        <w:t>m</w:t>
      </w:r>
      <w:r>
        <w:t>onitoring services (</w:t>
      </w:r>
      <w:r w:rsidRPr="00F33FDA">
        <w:t xml:space="preserve">SAM, </w:t>
      </w:r>
      <w:r w:rsidRPr="00F33FDA">
        <w:rPr>
          <w:rStyle w:val="il"/>
        </w:rPr>
        <w:t>VO</w:t>
      </w:r>
      <w:r w:rsidRPr="00F33FDA">
        <w:t xml:space="preserve"> SAM</w:t>
      </w:r>
      <w:r>
        <w:t>)</w:t>
      </w:r>
      <w:r w:rsidRPr="00F33FDA">
        <w:t xml:space="preserve"> and </w:t>
      </w:r>
      <w:r w:rsidR="00F51902">
        <w:t xml:space="preserve">the </w:t>
      </w:r>
      <w:r w:rsidRPr="00F33FDA">
        <w:t>regional APEL DB</w:t>
      </w:r>
      <w:r>
        <w:t xml:space="preserve"> </w:t>
      </w:r>
      <w:r w:rsidRPr="00F33FDA">
        <w:t xml:space="preserve"> </w:t>
      </w:r>
    </w:p>
    <w:p w:rsidR="007E7455" w:rsidRPr="00F33FDA" w:rsidRDefault="00F33FDA" w:rsidP="00F33FDA">
      <w:pPr>
        <w:pStyle w:val="ListParagraph"/>
        <w:numPr>
          <w:ilvl w:val="0"/>
          <w:numId w:val="63"/>
        </w:numPr>
      </w:pPr>
      <w:r w:rsidRPr="00F33FDA">
        <w:t xml:space="preserve">NGI Tech profile </w:t>
      </w:r>
      <w:r>
        <w:t>–</w:t>
      </w:r>
      <w:r w:rsidRPr="00F33FDA">
        <w:t xml:space="preserve"> </w:t>
      </w:r>
      <w:r>
        <w:t xml:space="preserve">other core services </w:t>
      </w:r>
    </w:p>
    <w:p w:rsidR="008F18AA" w:rsidRPr="00745A8A" w:rsidRDefault="008F18AA" w:rsidP="008F18AA">
      <w:r w:rsidRPr="00C91E79">
        <w:lastRenderedPageBreak/>
        <w:t xml:space="preserve">As shown in </w:t>
      </w:r>
      <w:r w:rsidRPr="00C91E79">
        <w:fldChar w:fldCharType="begin"/>
      </w:r>
      <w:r w:rsidRPr="00C91E79">
        <w:instrText xml:space="preserve"> REF _Ref322131053 \h </w:instrText>
      </w:r>
      <w:r w:rsidR="00067221" w:rsidRPr="00C91E79">
        <w:instrText xml:space="preserve"> \* MERGEFORMAT </w:instrText>
      </w:r>
      <w:r w:rsidRPr="00C91E79">
        <w:fldChar w:fldCharType="separate"/>
      </w:r>
      <w:r w:rsidR="00A319E4">
        <w:t xml:space="preserve">Figure </w:t>
      </w:r>
      <w:r w:rsidR="00A319E4">
        <w:rPr>
          <w:noProof/>
        </w:rPr>
        <w:t>18</w:t>
      </w:r>
      <w:r w:rsidRPr="00C91E79">
        <w:fldChar w:fldCharType="end"/>
      </w:r>
      <w:r w:rsidR="00BC4BB5" w:rsidRPr="00C91E79">
        <w:t xml:space="preserve">, </w:t>
      </w:r>
      <w:r w:rsidR="00F51902">
        <w:t>the performance of NGI services has been excellently improving since January 2012 when the NGI Availability/Reliability statistics were introduced for the first time. As of</w:t>
      </w:r>
      <w:r w:rsidRPr="00C91E79">
        <w:t xml:space="preserve"> January 2012, NGIs whose service availability does not reach 99%, are being assisted to define a plan for service improvement. The short term objective of this action</w:t>
      </w:r>
      <w:r w:rsidR="00F51902">
        <w:t>, which was</w:t>
      </w:r>
      <w:r w:rsidRPr="00C91E79">
        <w:t xml:space="preserve"> the</w:t>
      </w:r>
      <w:r w:rsidR="00F51902">
        <w:t xml:space="preserve"> improvement of the</w:t>
      </w:r>
      <w:r w:rsidRPr="00C91E79">
        <w:t xml:space="preserve"> performance offered to end-users</w:t>
      </w:r>
      <w:r w:rsidR="00F51902">
        <w:t xml:space="preserve"> by NGIs, was successfully accomplished</w:t>
      </w:r>
      <w:r w:rsidRPr="00C91E79">
        <w:t>.</w:t>
      </w:r>
    </w:p>
    <w:p w:rsidR="008F18AA" w:rsidRDefault="000129E8" w:rsidP="008F18AA">
      <w:pPr>
        <w:jc w:val="center"/>
      </w:pPr>
      <w:r>
        <w:rPr>
          <w:noProof/>
          <w:lang w:eastAsia="en-GB"/>
        </w:rPr>
        <w:drawing>
          <wp:inline distT="0" distB="0" distL="0" distR="0" wp14:anchorId="67699B56" wp14:editId="59792DB9">
            <wp:extent cx="5226408" cy="3416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28943" cy="3417717"/>
                    </a:xfrm>
                    <a:prstGeom prst="rect">
                      <a:avLst/>
                    </a:prstGeom>
                    <a:noFill/>
                  </pic:spPr>
                </pic:pic>
              </a:graphicData>
            </a:graphic>
          </wp:inline>
        </w:drawing>
      </w:r>
    </w:p>
    <w:p w:rsidR="008F18AA" w:rsidRDefault="008F18AA" w:rsidP="008F18AA">
      <w:pPr>
        <w:pStyle w:val="Caption"/>
        <w:jc w:val="center"/>
      </w:pPr>
      <w:bookmarkStart w:id="81" w:name="_Ref322131053"/>
      <w:bookmarkStart w:id="82" w:name="_Toc355730462"/>
      <w:r>
        <w:t xml:space="preserve">Figure </w:t>
      </w:r>
      <w:r w:rsidR="00A560B1">
        <w:fldChar w:fldCharType="begin"/>
      </w:r>
      <w:r w:rsidR="00A560B1">
        <w:instrText xml:space="preserve"> SEQ Figure \* ARABIC </w:instrText>
      </w:r>
      <w:r w:rsidR="00A560B1">
        <w:fldChar w:fldCharType="separate"/>
      </w:r>
      <w:r w:rsidR="00A319E4">
        <w:rPr>
          <w:noProof/>
        </w:rPr>
        <w:t>18</w:t>
      </w:r>
      <w:r w:rsidR="00A560B1">
        <w:rPr>
          <w:noProof/>
        </w:rPr>
        <w:fldChar w:fldCharType="end"/>
      </w:r>
      <w:bookmarkEnd w:id="81"/>
      <w:r w:rsidRPr="00BC4BB5">
        <w:t xml:space="preserve">. </w:t>
      </w:r>
      <w:r w:rsidR="000129E8">
        <w:t>M</w:t>
      </w:r>
      <w:r w:rsidR="00F51902">
        <w:t>edian of NGI</w:t>
      </w:r>
      <w:r w:rsidRPr="00BC4BB5">
        <w:t xml:space="preserve"> </w:t>
      </w:r>
      <w:r w:rsidR="00F51902">
        <w:t>monthly Availability and Reliability performance (top-BDII service) – Jan</w:t>
      </w:r>
      <w:r w:rsidR="00BC4BB5">
        <w:t xml:space="preserve"> 2012</w:t>
      </w:r>
      <w:r>
        <w:t xml:space="preserve"> – </w:t>
      </w:r>
      <w:r w:rsidR="00F51902">
        <w:t>March 2013</w:t>
      </w:r>
      <w:r>
        <w:t>.</w:t>
      </w:r>
      <w:bookmarkEnd w:id="82"/>
    </w:p>
    <w:p w:rsidR="008F18AA" w:rsidRPr="00C91E79" w:rsidRDefault="008F18AA" w:rsidP="005F50F4">
      <w:r w:rsidRPr="00C91E79">
        <w:t>In order to consolidate the information discovery service various actions were undertaken:</w:t>
      </w:r>
    </w:p>
    <w:p w:rsidR="008F18AA" w:rsidRPr="00C91E79" w:rsidRDefault="008F18AA" w:rsidP="008F18AA">
      <w:pPr>
        <w:numPr>
          <w:ilvl w:val="0"/>
          <w:numId w:val="47"/>
        </w:numPr>
      </w:pPr>
      <w:r w:rsidRPr="00C91E79">
        <w:t xml:space="preserve">In collaboration with the Distributed Middleware Support Unit, </w:t>
      </w:r>
      <w:r w:rsidR="0076571F" w:rsidRPr="00C91E79">
        <w:t>v</w:t>
      </w:r>
      <w:r w:rsidRPr="00C91E79">
        <w:t xml:space="preserve">arious techniques for the configuration of top-BDII in failover mode were documented in </w:t>
      </w:r>
      <w:r w:rsidR="0076571F" w:rsidRPr="00C91E79">
        <w:t xml:space="preserve">a </w:t>
      </w:r>
      <w:r w:rsidRPr="00C91E79">
        <w:t>manual [MAN05].</w:t>
      </w:r>
    </w:p>
    <w:p w:rsidR="008F18AA" w:rsidRPr="00C91E79" w:rsidRDefault="008F18AA" w:rsidP="008F18AA">
      <w:pPr>
        <w:numPr>
          <w:ilvl w:val="0"/>
          <w:numId w:val="47"/>
        </w:numPr>
      </w:pPr>
      <w:r w:rsidRPr="00C91E79">
        <w:t>The list of authoritative top-BDIIs was collected and their configuration was assessed.</w:t>
      </w:r>
    </w:p>
    <w:p w:rsidR="008F18AA" w:rsidRDefault="008F18AA" w:rsidP="008F18AA">
      <w:pPr>
        <w:numPr>
          <w:ilvl w:val="0"/>
          <w:numId w:val="47"/>
        </w:numPr>
      </w:pPr>
      <w:r w:rsidRPr="00C91E79">
        <w:t>The list</w:t>
      </w:r>
      <w:r w:rsidR="0005172D" w:rsidRPr="00C91E79">
        <w:t xml:space="preserve"> of</w:t>
      </w:r>
      <w:r w:rsidRPr="00C91E79">
        <w:t xml:space="preserve"> RCs making use of the CERN top-BDII as primary instance was collected and the NGIs were requested to support the administrators </w:t>
      </w:r>
      <w:r w:rsidR="003D7529">
        <w:t xml:space="preserve">to </w:t>
      </w:r>
      <w:r w:rsidRPr="00C91E79">
        <w:t xml:space="preserve">change configurations, so that the correct authoritative instance is used instead.    </w:t>
      </w:r>
    </w:p>
    <w:p w:rsidR="00C91E79" w:rsidRDefault="00C91E79" w:rsidP="008F18AA">
      <w:pPr>
        <w:numPr>
          <w:ilvl w:val="0"/>
          <w:numId w:val="47"/>
        </w:numPr>
      </w:pPr>
      <w:r>
        <w:t xml:space="preserve">Small NGIs which failed to provide reliable top-BDII can </w:t>
      </w:r>
      <w:r w:rsidR="000516FA">
        <w:t xml:space="preserve">now </w:t>
      </w:r>
      <w:r>
        <w:t xml:space="preserve">use </w:t>
      </w:r>
      <w:r w:rsidR="003D7529">
        <w:t xml:space="preserve">the </w:t>
      </w:r>
      <w:r>
        <w:t xml:space="preserve">EGI Catch All top-BDII server provided </w:t>
      </w:r>
      <w:r w:rsidRPr="00C91E79">
        <w:t xml:space="preserve">by </w:t>
      </w:r>
      <w:r w:rsidRPr="00C91E79">
        <w:rPr>
          <w:rStyle w:val="st"/>
        </w:rPr>
        <w:t>Greek JRU</w:t>
      </w:r>
      <w:r w:rsidRPr="00F57908">
        <w:rPr>
          <w:rStyle w:val="FootnoteReference"/>
        </w:rPr>
        <w:footnoteReference w:id="20"/>
      </w:r>
      <w:r w:rsidRPr="00C91E79">
        <w:t>.</w:t>
      </w:r>
      <w:r>
        <w:t xml:space="preserve">  </w:t>
      </w:r>
    </w:p>
    <w:p w:rsidR="0091753A" w:rsidRDefault="0091753A" w:rsidP="0091753A">
      <w:pPr>
        <w:pStyle w:val="Heading2"/>
      </w:pPr>
      <w:bookmarkStart w:id="83" w:name="_Toc355730421"/>
      <w:r>
        <w:t>EGI.eu Performance</w:t>
      </w:r>
      <w:bookmarkEnd w:id="83"/>
    </w:p>
    <w:p w:rsidR="0091753A" w:rsidRPr="009835BF" w:rsidRDefault="0091753A" w:rsidP="0091753A">
      <w:pPr>
        <w:pStyle w:val="Caption"/>
        <w:jc w:val="center"/>
      </w:pPr>
      <w:bookmarkStart w:id="84" w:name="_Ref354676481"/>
      <w:r>
        <w:t xml:space="preserve">Table </w:t>
      </w:r>
      <w:r w:rsidR="00A560B1">
        <w:fldChar w:fldCharType="begin"/>
      </w:r>
      <w:r w:rsidR="00A560B1">
        <w:instrText xml:space="preserve"> SEQ Table \* ARABIC </w:instrText>
      </w:r>
      <w:r w:rsidR="00A560B1">
        <w:fldChar w:fldCharType="separate"/>
      </w:r>
      <w:r w:rsidR="00A319E4">
        <w:rPr>
          <w:noProof/>
        </w:rPr>
        <w:t>13</w:t>
      </w:r>
      <w:r w:rsidR="00A560B1">
        <w:rPr>
          <w:noProof/>
        </w:rPr>
        <w:fldChar w:fldCharType="end"/>
      </w:r>
      <w:bookmarkEnd w:id="84"/>
      <w:r>
        <w:t xml:space="preserve">. Yearly average </w:t>
      </w:r>
      <w:r w:rsidR="00C93062">
        <w:t xml:space="preserve">availability and </w:t>
      </w:r>
      <w:r>
        <w:rPr>
          <w:szCs w:val="22"/>
        </w:rPr>
        <w:t>reliability of EGI.eu Core Infrastructure Platform (PQ11)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1956"/>
        <w:gridCol w:w="1111"/>
      </w:tblGrid>
      <w:tr w:rsidR="0091753A" w:rsidRPr="003929F6" w:rsidTr="009408CA">
        <w:trPr>
          <w:jc w:val="center"/>
        </w:trPr>
        <w:tc>
          <w:tcPr>
            <w:tcW w:w="0" w:type="auto"/>
            <w:tcBorders>
              <w:bottom w:val="single" w:sz="4" w:space="0" w:color="auto"/>
            </w:tcBorders>
            <w:shd w:val="clear" w:color="auto" w:fill="D9D9D9"/>
            <w:vAlign w:val="center"/>
          </w:tcPr>
          <w:p w:rsidR="0091753A" w:rsidRDefault="0091753A" w:rsidP="0091753A">
            <w:pPr>
              <w:jc w:val="center"/>
              <w:rPr>
                <w:b/>
                <w:sz w:val="18"/>
                <w:szCs w:val="18"/>
              </w:rPr>
            </w:pPr>
            <w:r>
              <w:rPr>
                <w:b/>
                <w:sz w:val="18"/>
                <w:szCs w:val="18"/>
              </w:rPr>
              <w:lastRenderedPageBreak/>
              <w:t>EGI.eu Core Infrastructure Mont</w:t>
            </w:r>
            <w:r w:rsidR="0031100E">
              <w:rPr>
                <w:b/>
                <w:sz w:val="18"/>
                <w:szCs w:val="18"/>
              </w:rPr>
              <w:t>h</w:t>
            </w:r>
            <w:r>
              <w:rPr>
                <w:b/>
                <w:sz w:val="18"/>
                <w:szCs w:val="18"/>
              </w:rPr>
              <w:t>ly</w:t>
            </w:r>
            <w:r w:rsidRPr="003929F6">
              <w:rPr>
                <w:b/>
                <w:sz w:val="18"/>
                <w:szCs w:val="18"/>
              </w:rPr>
              <w:t xml:space="preserve"> </w:t>
            </w:r>
            <w:r>
              <w:rPr>
                <w:b/>
                <w:sz w:val="18"/>
                <w:szCs w:val="18"/>
              </w:rPr>
              <w:t>Performance</w:t>
            </w:r>
          </w:p>
          <w:p w:rsidR="00FC79AE" w:rsidRPr="003929F6" w:rsidRDefault="00FC79AE" w:rsidP="0091753A">
            <w:pPr>
              <w:jc w:val="center"/>
              <w:rPr>
                <w:b/>
                <w:sz w:val="18"/>
                <w:szCs w:val="18"/>
              </w:rPr>
            </w:pPr>
            <w:r w:rsidRPr="009835BF">
              <w:rPr>
                <w:sz w:val="18"/>
                <w:szCs w:val="18"/>
              </w:rPr>
              <w:t>(</w:t>
            </w:r>
            <w:r w:rsidRPr="0091753A">
              <w:rPr>
                <w:sz w:val="18"/>
                <w:szCs w:val="18"/>
              </w:rPr>
              <w:t>MSA1.Operations.6a</w:t>
            </w:r>
            <w:r w:rsidRPr="009835BF">
              <w:rPr>
                <w:sz w:val="18"/>
                <w:szCs w:val="18"/>
              </w:rPr>
              <w:t>)</w:t>
            </w:r>
          </w:p>
        </w:tc>
        <w:tc>
          <w:tcPr>
            <w:tcW w:w="0" w:type="auto"/>
            <w:shd w:val="clear" w:color="auto" w:fill="D9D9D9"/>
            <w:vAlign w:val="center"/>
          </w:tcPr>
          <w:p w:rsidR="0091753A" w:rsidRPr="003929F6" w:rsidRDefault="0091753A" w:rsidP="009408CA">
            <w:pPr>
              <w:jc w:val="center"/>
              <w:rPr>
                <w:b/>
                <w:sz w:val="18"/>
                <w:szCs w:val="18"/>
              </w:rPr>
            </w:pPr>
            <w:r>
              <w:rPr>
                <w:b/>
                <w:sz w:val="18"/>
                <w:szCs w:val="18"/>
              </w:rPr>
              <w:t>May 2012-March</w:t>
            </w:r>
            <w:r w:rsidRPr="003929F6">
              <w:rPr>
                <w:b/>
                <w:sz w:val="18"/>
                <w:szCs w:val="18"/>
              </w:rPr>
              <w:t xml:space="preserve"> 201</w:t>
            </w:r>
            <w:r>
              <w:rPr>
                <w:b/>
                <w:sz w:val="18"/>
                <w:szCs w:val="18"/>
              </w:rPr>
              <w:t>3</w:t>
            </w:r>
          </w:p>
        </w:tc>
        <w:tc>
          <w:tcPr>
            <w:tcW w:w="0" w:type="auto"/>
            <w:shd w:val="clear" w:color="auto" w:fill="D9D9D9"/>
            <w:vAlign w:val="center"/>
          </w:tcPr>
          <w:p w:rsidR="0091753A" w:rsidRPr="003929F6" w:rsidRDefault="0031100E" w:rsidP="009408CA">
            <w:pPr>
              <w:jc w:val="center"/>
              <w:rPr>
                <w:b/>
                <w:sz w:val="18"/>
                <w:szCs w:val="18"/>
              </w:rPr>
            </w:pPr>
            <w:r>
              <w:rPr>
                <w:b/>
                <w:sz w:val="18"/>
                <w:szCs w:val="18"/>
              </w:rPr>
              <w:t>P</w:t>
            </w:r>
            <w:r w:rsidR="0091753A" w:rsidRPr="003929F6">
              <w:rPr>
                <w:b/>
                <w:sz w:val="18"/>
                <w:szCs w:val="18"/>
              </w:rPr>
              <w:t>Y3 Target</w:t>
            </w:r>
          </w:p>
        </w:tc>
      </w:tr>
      <w:tr w:rsidR="0091753A" w:rsidRPr="003929F6" w:rsidTr="009408CA">
        <w:trPr>
          <w:jc w:val="center"/>
        </w:trPr>
        <w:tc>
          <w:tcPr>
            <w:tcW w:w="0" w:type="auto"/>
            <w:shd w:val="clear" w:color="auto" w:fill="F2F2F2"/>
            <w:vAlign w:val="center"/>
          </w:tcPr>
          <w:p w:rsidR="0091753A" w:rsidRPr="003929F6" w:rsidRDefault="00FC79AE" w:rsidP="00FC79AE">
            <w:pPr>
              <w:jc w:val="center"/>
              <w:rPr>
                <w:sz w:val="18"/>
                <w:szCs w:val="18"/>
              </w:rPr>
            </w:pPr>
            <w:r>
              <w:rPr>
                <w:sz w:val="18"/>
                <w:szCs w:val="18"/>
              </w:rPr>
              <w:t>Reliability</w:t>
            </w:r>
          </w:p>
        </w:tc>
        <w:tc>
          <w:tcPr>
            <w:tcW w:w="0" w:type="auto"/>
            <w:shd w:val="clear" w:color="auto" w:fill="auto"/>
            <w:vAlign w:val="center"/>
          </w:tcPr>
          <w:p w:rsidR="0091753A" w:rsidRPr="003929F6" w:rsidRDefault="0091753A" w:rsidP="009408CA">
            <w:pPr>
              <w:jc w:val="center"/>
              <w:rPr>
                <w:sz w:val="18"/>
                <w:szCs w:val="18"/>
              </w:rPr>
            </w:pPr>
            <w:r>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9835BF">
              <w:rPr>
                <w:sz w:val="18"/>
                <w:szCs w:val="18"/>
              </w:rPr>
              <w:t>97%</w:t>
            </w:r>
          </w:p>
        </w:tc>
      </w:tr>
      <w:tr w:rsidR="0091753A" w:rsidRPr="000D4888" w:rsidTr="009408CA">
        <w:trPr>
          <w:jc w:val="center"/>
        </w:trPr>
        <w:tc>
          <w:tcPr>
            <w:tcW w:w="0" w:type="auto"/>
            <w:shd w:val="clear" w:color="auto" w:fill="F2F2F2"/>
            <w:vAlign w:val="center"/>
          </w:tcPr>
          <w:p w:rsidR="0091753A" w:rsidRPr="003929F6" w:rsidRDefault="0091753A" w:rsidP="009408CA">
            <w:pPr>
              <w:jc w:val="center"/>
              <w:rPr>
                <w:sz w:val="18"/>
                <w:szCs w:val="18"/>
              </w:rPr>
            </w:pPr>
            <w:r w:rsidRPr="003929F6">
              <w:rPr>
                <w:sz w:val="18"/>
                <w:szCs w:val="18"/>
              </w:rPr>
              <w:t>Availability</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 xml:space="preserve"> </w:t>
            </w:r>
            <w:r w:rsidR="00FC79AE">
              <w:rPr>
                <w:sz w:val="18"/>
                <w:szCs w:val="18"/>
              </w:rPr>
              <w:t>98.60</w:t>
            </w:r>
            <w:r w:rsidRPr="003929F6">
              <w:rPr>
                <w:sz w:val="18"/>
                <w:szCs w:val="18"/>
              </w:rPr>
              <w:t>%</w:t>
            </w:r>
          </w:p>
        </w:tc>
        <w:tc>
          <w:tcPr>
            <w:tcW w:w="0" w:type="auto"/>
            <w:shd w:val="clear" w:color="auto" w:fill="auto"/>
            <w:vAlign w:val="center"/>
          </w:tcPr>
          <w:p w:rsidR="0091753A" w:rsidRPr="003929F6" w:rsidRDefault="0091753A" w:rsidP="009408CA">
            <w:pPr>
              <w:jc w:val="center"/>
              <w:rPr>
                <w:sz w:val="18"/>
                <w:szCs w:val="18"/>
              </w:rPr>
            </w:pPr>
            <w:r w:rsidRPr="003929F6">
              <w:rPr>
                <w:sz w:val="18"/>
                <w:szCs w:val="18"/>
              </w:rPr>
              <w:t>-</w:t>
            </w:r>
          </w:p>
        </w:tc>
      </w:tr>
    </w:tbl>
    <w:p w:rsidR="00144CBF" w:rsidRDefault="00144CBF" w:rsidP="0091753A">
      <w:r>
        <w:t>Monitoring of EGI.eu Core Infrastructure Platform was rolled to production in November 2012. The central EGI.eu services being monitored – which are part of the EGI Core Infrastructure Platform – are: the distributed monitoring infrastructure – SAM, the EGI-InSPIRE Metrics Portal, the Accounting Portal and central database, the central Operations Portal and the service registry GOCDB. In order to do so, a</w:t>
      </w:r>
      <w:r w:rsidRPr="00144CBF">
        <w:t xml:space="preserve"> new central SAM instance was rolled to production to monitor </w:t>
      </w:r>
      <w:r>
        <w:t>these</w:t>
      </w:r>
      <w:r w:rsidRPr="00144CBF">
        <w:t xml:space="preserve"> tools and </w:t>
      </w:r>
      <w:r>
        <w:t>various user community service</w:t>
      </w:r>
      <w:r w:rsidRPr="00144CBF">
        <w:t xml:space="preserve">s (Training Marketplace, CRM and Application Database). </w:t>
      </w:r>
    </w:p>
    <w:p w:rsidR="0091753A" w:rsidRDefault="00144CBF" w:rsidP="0091753A">
      <w:r w:rsidRPr="00144CBF">
        <w:t>Availability statistics of these tools are now accessible through the MyEGI portal</w:t>
      </w:r>
      <w:r>
        <w:rPr>
          <w:rStyle w:val="FootnoteReference"/>
        </w:rPr>
        <w:footnoteReference w:id="21"/>
      </w:r>
      <w:r w:rsidRPr="00144CBF">
        <w:t>.</w:t>
      </w:r>
    </w:p>
    <w:p w:rsidR="00C93062" w:rsidRPr="0091753A" w:rsidRDefault="00C93062" w:rsidP="0091753A">
      <w:r>
        <w:t xml:space="preserve">The average availability and reliability performed by these EGI.eu tools in PQ11 is indicated in </w:t>
      </w:r>
      <w:r>
        <w:fldChar w:fldCharType="begin"/>
      </w:r>
      <w:r>
        <w:instrText xml:space="preserve"> REF _Ref354676481 \h </w:instrText>
      </w:r>
      <w:r>
        <w:fldChar w:fldCharType="separate"/>
      </w:r>
      <w:r w:rsidR="00A319E4">
        <w:t xml:space="preserve">Table </w:t>
      </w:r>
      <w:r w:rsidR="00A319E4">
        <w:rPr>
          <w:noProof/>
        </w:rPr>
        <w:t>13</w:t>
      </w:r>
      <w:r>
        <w:fldChar w:fldCharType="end"/>
      </w:r>
      <w:r>
        <w:t xml:space="preserve"> and exceeded the PY3 target (97%).</w:t>
      </w:r>
      <w:r w:rsidR="000129E8">
        <w:t xml:space="preserve"> The performance was affected by some instability experienced by the accounting portal</w:t>
      </w:r>
      <w:r w:rsidR="00C83453">
        <w:t>,</w:t>
      </w:r>
      <w:r w:rsidR="000129E8">
        <w:t xml:space="preserve"> the central accounting database</w:t>
      </w:r>
      <w:r w:rsidR="00C83453">
        <w:t xml:space="preserve"> and CRM. The performance of these tools is being monitored on a monthly basis. From PQ4 an automated monthly report generator will be available in the Operations Portal. Partners failing to meet the minimum performance requirements defined in the EGI.eu Operational Level Agreement will be requested to provide performance improvement plans.</w:t>
      </w:r>
    </w:p>
    <w:p w:rsidR="008F18AA" w:rsidRDefault="008F18AA" w:rsidP="008F18AA">
      <w:pPr>
        <w:pStyle w:val="Heading3"/>
      </w:pPr>
      <w:bookmarkStart w:id="85" w:name="_Ref326077733"/>
      <w:bookmarkStart w:id="86" w:name="_Toc355730422"/>
      <w:r>
        <w:t>ROD Performance Index</w:t>
      </w:r>
      <w:bookmarkEnd w:id="85"/>
      <w:bookmarkEnd w:id="86"/>
    </w:p>
    <w:p w:rsidR="008F18AA" w:rsidRPr="00643C9B" w:rsidRDefault="008F18AA" w:rsidP="008F18AA">
      <w:r w:rsidRPr="00643C9B">
        <w:t xml:space="preserve">A performance metric was defined </w:t>
      </w:r>
      <w:r w:rsidR="00C30619">
        <w:t xml:space="preserve">in PY2 </w:t>
      </w:r>
      <w:r w:rsidR="00643C9B" w:rsidRPr="00643C9B">
        <w:t xml:space="preserve">to </w:t>
      </w:r>
      <w:r w:rsidRPr="00643C9B">
        <w:t>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643C9B" w:rsidRDefault="008F18AA" w:rsidP="00A9017F">
      <w:r w:rsidRPr="00643C9B">
        <w:rPr>
          <w:bCs/>
          <w:lang w:eastAsia="en-GB"/>
        </w:rPr>
        <w:t>The ROD performance index</w:t>
      </w:r>
      <w:r w:rsidRPr="00643C9B">
        <w:rPr>
          <w:rStyle w:val="FootnoteReference"/>
          <w:bCs/>
          <w:szCs w:val="22"/>
          <w:lang w:eastAsia="en-GB"/>
        </w:rPr>
        <w:footnoteReference w:id="22"/>
      </w:r>
      <w:r w:rsidR="00A9017F" w:rsidRPr="00643C9B">
        <w:rPr>
          <w:lang w:eastAsia="en-GB"/>
        </w:rPr>
        <w:t xml:space="preserve"> is the sum of t</w:t>
      </w:r>
      <w:r w:rsidRPr="00643C9B">
        <w:rPr>
          <w:lang w:eastAsia="en-GB"/>
        </w:rPr>
        <w:t xml:space="preserve">he number of ticket expired </w:t>
      </w:r>
      <w:r w:rsidRPr="00643C9B">
        <w:rPr>
          <w:lang w:val="en" w:eastAsia="en-GB"/>
        </w:rPr>
        <w:t>in the operations dashboard daily</w:t>
      </w:r>
      <w:r w:rsidR="00A9017F" w:rsidRPr="00643C9B">
        <w:rPr>
          <w:lang w:val="en" w:eastAsia="en-GB"/>
        </w:rPr>
        <w:t>, and t</w:t>
      </w:r>
      <w:r w:rsidRPr="00643C9B">
        <w:rPr>
          <w:lang w:eastAsia="en-GB"/>
        </w:rPr>
        <w:t xml:space="preserve">he number of alarms older than 72h </w:t>
      </w:r>
      <w:r w:rsidRPr="00643C9B">
        <w:rPr>
          <w:lang w:val="en" w:eastAsia="en-GB"/>
        </w:rPr>
        <w:t>appearing in the operations dashboard daily</w:t>
      </w:r>
      <w:r w:rsidR="00C30619">
        <w:rPr>
          <w:lang w:val="en" w:eastAsia="en-GB"/>
        </w:rPr>
        <w:t>.</w:t>
      </w:r>
      <w:r w:rsidRPr="00643C9B">
        <w:rPr>
          <w:lang w:eastAsia="en-GB"/>
        </w:rPr>
        <w:t xml:space="preserve"> </w:t>
      </w:r>
    </w:p>
    <w:p w:rsidR="008F18AA" w:rsidRPr="007D47D0" w:rsidRDefault="00C30619" w:rsidP="00A9017F">
      <w:pPr>
        <w:rPr>
          <w:lang w:eastAsia="en-GB"/>
        </w:rPr>
      </w:pPr>
      <w:r>
        <w:rPr>
          <w:lang w:eastAsia="en-GB"/>
        </w:rPr>
        <w:t xml:space="preserve">The </w:t>
      </w:r>
      <w:r w:rsidR="008F18AA" w:rsidRPr="00643C9B">
        <w:rPr>
          <w:lang w:eastAsia="en-GB"/>
        </w:rPr>
        <w:t>ROD performance index is calculated monthly from the data ga</w:t>
      </w:r>
      <w:r>
        <w:rPr>
          <w:lang w:eastAsia="en-GB"/>
        </w:rPr>
        <w:t>thered by EGI Operations Portal, and i</w:t>
      </w:r>
      <w:r w:rsidR="008F18AA" w:rsidRPr="00643C9B">
        <w:rPr>
          <w:lang w:eastAsia="en-GB"/>
        </w:rPr>
        <w:t xml:space="preserve">t </w:t>
      </w:r>
      <w:r w:rsidR="008F18AA" w:rsidRPr="007D47D0">
        <w:rPr>
          <w:lang w:eastAsia="en-GB"/>
        </w:rPr>
        <w:t xml:space="preserve">does not </w:t>
      </w:r>
      <w:r w:rsidR="008F18AA" w:rsidRPr="007D47D0">
        <w:rPr>
          <w:lang w:val="en" w:eastAsia="en-GB"/>
        </w:rPr>
        <w:t>take into account weekends</w:t>
      </w:r>
      <w:r w:rsidR="008F18AA" w:rsidRPr="007D47D0">
        <w:rPr>
          <w:lang w:eastAsia="en-GB"/>
        </w:rPr>
        <w:t xml:space="preserve">. </w:t>
      </w:r>
      <w:r w:rsidR="008F18AA" w:rsidRPr="007D47D0">
        <w:rPr>
          <w:bCs/>
          <w:lang w:eastAsia="en-GB"/>
        </w:rPr>
        <w:t>The threshold is set to 10 items.</w:t>
      </w:r>
      <w:r w:rsidR="008F18AA" w:rsidRPr="007D47D0">
        <w:rPr>
          <w:lang w:eastAsia="en-GB"/>
        </w:rPr>
        <w:t xml:space="preserve"> Above this value ROD teams </w:t>
      </w:r>
      <w:r>
        <w:rPr>
          <w:lang w:eastAsia="en-GB"/>
        </w:rPr>
        <w:t>have</w:t>
      </w:r>
      <w:r w:rsidR="008F18AA" w:rsidRPr="007D47D0">
        <w:rPr>
          <w:lang w:eastAsia="en-GB"/>
        </w:rPr>
        <w:t xml:space="preserve"> to provide explanation</w:t>
      </w:r>
      <w:r>
        <w:rPr>
          <w:lang w:eastAsia="en-GB"/>
        </w:rPr>
        <w:t>s</w:t>
      </w:r>
      <w:r w:rsidR="008F18AA" w:rsidRPr="007D47D0">
        <w:rPr>
          <w:lang w:eastAsia="en-GB"/>
        </w:rPr>
        <w:t xml:space="preserve"> and a plan of improvement of the</w:t>
      </w:r>
      <w:r>
        <w:rPr>
          <w:lang w:eastAsia="en-GB"/>
        </w:rPr>
        <w:t>ir</w:t>
      </w:r>
      <w:r w:rsidR="008F18AA" w:rsidRPr="007D47D0">
        <w:rPr>
          <w:lang w:eastAsia="en-GB"/>
        </w:rPr>
        <w:t xml:space="preserve"> oversight service. </w:t>
      </w:r>
    </w:p>
    <w:p w:rsidR="008F18AA" w:rsidRPr="006A15CE" w:rsidRDefault="008F18AA" w:rsidP="008F18AA">
      <w:r w:rsidRPr="007D47D0">
        <w:lastRenderedPageBreak/>
        <w:fldChar w:fldCharType="begin"/>
      </w:r>
      <w:r w:rsidRPr="007D47D0">
        <w:instrText xml:space="preserve"> REF _Ref322710513 \h </w:instrText>
      </w:r>
      <w:r w:rsidR="00067221" w:rsidRPr="007D47D0">
        <w:instrText xml:space="preserve"> \* MERGEFORMAT </w:instrText>
      </w:r>
      <w:r w:rsidRPr="007D47D0">
        <w:fldChar w:fldCharType="separate"/>
      </w:r>
      <w:r w:rsidR="00A319E4">
        <w:t xml:space="preserve">Figure </w:t>
      </w:r>
      <w:r w:rsidR="00A319E4">
        <w:rPr>
          <w:noProof/>
        </w:rPr>
        <w:t>19</w:t>
      </w:r>
      <w:r w:rsidRPr="007D47D0">
        <w:fldChar w:fldCharType="end"/>
      </w:r>
      <w:r w:rsidRPr="007D47D0">
        <w:t xml:space="preserve"> shows the </w:t>
      </w:r>
      <w:r w:rsidR="007D47D0" w:rsidRPr="007D47D0">
        <w:t>monthly number of unhandled items on operations dashboard</w:t>
      </w:r>
      <w:r w:rsidRPr="007D47D0">
        <w:t xml:space="preserve">. </w:t>
      </w:r>
      <w:r w:rsidR="007D47D0" w:rsidRPr="007D47D0">
        <w:t xml:space="preserve">The chart shows that the metric is highly </w:t>
      </w:r>
      <w:r w:rsidR="00C30619">
        <w:t>affected by</w:t>
      </w:r>
      <w:r w:rsidR="007D47D0" w:rsidRPr="007D47D0">
        <w:t xml:space="preserve"> holiday periods when ROD teams </w:t>
      </w:r>
      <w:r w:rsidR="00C30619">
        <w:t>may</w:t>
      </w:r>
      <w:r w:rsidR="007D47D0" w:rsidRPr="007D47D0">
        <w:t xml:space="preserve"> not </w:t>
      </w:r>
      <w:r w:rsidR="00C30619">
        <w:t xml:space="preserve">be </w:t>
      </w:r>
      <w:r w:rsidR="007D47D0" w:rsidRPr="007D47D0">
        <w:t>on duty</w:t>
      </w:r>
      <w:r w:rsidRPr="007D47D0">
        <w:t>.</w:t>
      </w:r>
      <w:r w:rsidR="007D47D0">
        <w:rPr>
          <w:rFonts w:ascii="Calibri" w:eastAsia="Calibri" w:hAnsi="Calibri" w:cs="Calibri"/>
          <w:noProof/>
          <w:szCs w:val="22"/>
          <w:lang w:eastAsia="en-GB"/>
        </w:rPr>
        <w:drawing>
          <wp:inline distT="0" distB="0" distL="0" distR="0" wp14:anchorId="544F62F5" wp14:editId="04944200">
            <wp:extent cx="5755640" cy="3754161"/>
            <wp:effectExtent l="0" t="0" r="0" b="0"/>
            <wp:docPr id="1602" name="Picture 1602" descr="C:\Users\Krakowian\Google Drive\Operations\Documentation working space\D4.8\png\rodperform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rodperforman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5640" cy="3754161"/>
                    </a:xfrm>
                    <a:prstGeom prst="rect">
                      <a:avLst/>
                    </a:prstGeom>
                    <a:noFill/>
                    <a:ln>
                      <a:noFill/>
                    </a:ln>
                  </pic:spPr>
                </pic:pic>
              </a:graphicData>
            </a:graphic>
          </wp:inline>
        </w:drawing>
      </w:r>
    </w:p>
    <w:p w:rsidR="008F18AA" w:rsidRDefault="008F18AA" w:rsidP="00A7408B">
      <w:pPr>
        <w:pStyle w:val="Caption"/>
        <w:jc w:val="center"/>
      </w:pPr>
      <w:bookmarkStart w:id="87" w:name="_Ref322710513"/>
      <w:bookmarkStart w:id="88" w:name="_Toc355730463"/>
      <w:r>
        <w:t xml:space="preserve">Figure </w:t>
      </w:r>
      <w:r w:rsidR="00A560B1">
        <w:fldChar w:fldCharType="begin"/>
      </w:r>
      <w:r w:rsidR="00A560B1">
        <w:instrText xml:space="preserve"> SEQ Figure \* ARABIC </w:instrText>
      </w:r>
      <w:r w:rsidR="00A560B1">
        <w:fldChar w:fldCharType="separate"/>
      </w:r>
      <w:r w:rsidR="00A319E4">
        <w:rPr>
          <w:noProof/>
        </w:rPr>
        <w:t>19</w:t>
      </w:r>
      <w:r w:rsidR="00A560B1">
        <w:rPr>
          <w:noProof/>
        </w:rPr>
        <w:fldChar w:fldCharType="end"/>
      </w:r>
      <w:bookmarkEnd w:id="87"/>
      <w:r>
        <w:t xml:space="preserve">. </w:t>
      </w:r>
      <w:r w:rsidR="007D47D0" w:rsidRPr="007D47D0">
        <w:t xml:space="preserve">The monthly number of unhandled items on operations dashboard </w:t>
      </w:r>
      <w:r w:rsidRPr="007D47D0">
        <w:t>(from</w:t>
      </w:r>
      <w:r w:rsidR="007D47D0">
        <w:t xml:space="preserve"> January 2012 to PQ11</w:t>
      </w:r>
      <w:r>
        <w:t>).</w:t>
      </w:r>
      <w:r w:rsidR="0029366B">
        <w:t xml:space="preserve"> Source: Operations Portal.</w:t>
      </w:r>
      <w:bookmarkEnd w:id="88"/>
    </w:p>
    <w:p w:rsidR="006A15CE" w:rsidRDefault="006A15CE" w:rsidP="006A15CE">
      <w:pPr>
        <w:pStyle w:val="Heading2"/>
      </w:pPr>
      <w:bookmarkStart w:id="89" w:name="_Toc355730423"/>
      <w:r>
        <w:t>VO Performance</w:t>
      </w:r>
      <w:bookmarkEnd w:id="89"/>
    </w:p>
    <w:p w:rsidR="007022B8" w:rsidRDefault="003C3EB0" w:rsidP="006A15CE">
      <w:r>
        <w:t xml:space="preserve">A new set of Availability and Reliability reports is being developed to provide VO-oriented Availability and Reliability views that only include the service instances on which a given VO is enabled. </w:t>
      </w:r>
      <w:r w:rsidR="007022B8">
        <w:t>The list of VO-enabled services is extracted from the information discovery service (top-BDII). Only those services for which this information is published are included in the computation. In the current prototype these are: Compute Element, Storage Element, Local File Catalogue, Workload Management System and VO Membership Service.</w:t>
      </w:r>
      <w:r w:rsidR="007022B8" w:rsidRPr="007022B8">
        <w:t xml:space="preserve"> </w:t>
      </w:r>
      <w:r w:rsidR="007022B8">
        <w:t>Results for computation are extracted from monitoring tests run with the OPS VO.</w:t>
      </w:r>
    </w:p>
    <w:p w:rsidR="00B90ED2" w:rsidRDefault="00FC760C" w:rsidP="006A15CE">
      <w:r>
        <w:t xml:space="preserve">The Availability computation algorithm is such that </w:t>
      </w:r>
      <w:r>
        <w:t xml:space="preserve">if the </w:t>
      </w:r>
      <w:r w:rsidR="00B90ED2">
        <w:t>fraction</w:t>
      </w:r>
      <w:r>
        <w:t xml:space="preserve"> of service</w:t>
      </w:r>
      <w:r>
        <w:t xml:space="preserve"> instance</w:t>
      </w:r>
      <w:r>
        <w:t xml:space="preserve">s </w:t>
      </w:r>
      <w:r w:rsidR="00B90ED2">
        <w:t>of a given type scoring</w:t>
      </w:r>
      <w:r>
        <w:t xml:space="preserve"> 100% on a</w:t>
      </w:r>
      <w:r w:rsidR="00B90ED2">
        <w:t>n</w:t>
      </w:r>
      <w:r>
        <w:t xml:space="preserve"> hourly basis</w:t>
      </w:r>
      <w:r w:rsidR="00B90ED2">
        <w:t xml:space="preserve"> exceeds a given threshold </w:t>
      </w:r>
      <w:r w:rsidR="00B90ED2">
        <w:t xml:space="preserve">(80% for the results reported in in </w:t>
      </w:r>
      <w:r w:rsidR="00B90ED2">
        <w:fldChar w:fldCharType="begin"/>
      </w:r>
      <w:r w:rsidR="00B90ED2">
        <w:instrText xml:space="preserve"> REF _Ref355721923 \h </w:instrText>
      </w:r>
      <w:r w:rsidR="00B90ED2">
        <w:fldChar w:fldCharType="separate"/>
      </w:r>
      <w:r w:rsidR="00A319E4">
        <w:t xml:space="preserve">Figure </w:t>
      </w:r>
      <w:r w:rsidR="00A319E4">
        <w:rPr>
          <w:noProof/>
        </w:rPr>
        <w:t>20</w:t>
      </w:r>
      <w:r w:rsidR="00B90ED2">
        <w:fldChar w:fldCharType="end"/>
      </w:r>
      <w:r w:rsidR="00B90ED2">
        <w:t>),</w:t>
      </w:r>
      <w:r w:rsidR="00B90ED2">
        <w:t xml:space="preserve"> then the availability of that service group is set to 1, 0 otherwise. This computation is applied on an hourly basis and the </w:t>
      </w:r>
      <w:r w:rsidR="00B90ED2">
        <w:t xml:space="preserve">aggregation is </w:t>
      </w:r>
      <w:r w:rsidR="00B90ED2">
        <w:t xml:space="preserve">calculated daily and monthly by averaging the hourly availabilities for each service type.  </w:t>
      </w:r>
    </w:p>
    <w:p w:rsidR="003C3EB0" w:rsidRDefault="003C3EB0" w:rsidP="006A15CE">
      <w:r>
        <w:fldChar w:fldCharType="begin"/>
      </w:r>
      <w:r>
        <w:instrText xml:space="preserve"> REF _Ref355721923 \h </w:instrText>
      </w:r>
      <w:r>
        <w:fldChar w:fldCharType="separate"/>
      </w:r>
      <w:r w:rsidR="00A319E4">
        <w:t xml:space="preserve">Figure </w:t>
      </w:r>
      <w:r w:rsidR="00A319E4">
        <w:rPr>
          <w:noProof/>
        </w:rPr>
        <w:t>20</w:t>
      </w:r>
      <w:r>
        <w:fldChar w:fldCharType="end"/>
      </w:r>
      <w:r>
        <w:t xml:space="preserve"> shows the monthly Availability for April 2013 of the 10 most active VOs</w:t>
      </w:r>
      <w:r w:rsidR="007022B8">
        <w:t xml:space="preserve"> (alice, atlas, auger, biomed, cms, compchem, icecube, ilc, lhcb and theophys)</w:t>
      </w:r>
      <w:r>
        <w:t>.</w:t>
      </w:r>
      <w:r w:rsidR="005E7E26">
        <w:t xml:space="preserve"> </w:t>
      </w:r>
      <w:r w:rsidR="007022B8">
        <w:t>The median of the monthly Availability for all VOs is 99.48%, while the average is 97.67%.</w:t>
      </w:r>
    </w:p>
    <w:p w:rsidR="007022B8" w:rsidRDefault="00B90ED2" w:rsidP="006A15CE">
      <w:r>
        <w:t>This</w:t>
      </w:r>
      <w:r w:rsidR="007022B8">
        <w:t xml:space="preserve"> prototype will be validated for all months of PY3 and will be available in production in PQ13</w:t>
      </w:r>
      <w:r w:rsidRPr="00B90ED2">
        <w:t xml:space="preserve"> </w:t>
      </w:r>
      <w:r>
        <w:t xml:space="preserve">after </w:t>
      </w:r>
      <w:r>
        <w:t>a</w:t>
      </w:r>
      <w:r>
        <w:t xml:space="preserve"> testing phase</w:t>
      </w:r>
      <w:r>
        <w:t xml:space="preserve"> as a module of the Operations Portal</w:t>
      </w:r>
      <w:r w:rsidR="007022B8">
        <w:t xml:space="preserve">. </w:t>
      </w:r>
    </w:p>
    <w:p w:rsidR="006A15CE" w:rsidRDefault="006A15CE" w:rsidP="006A15CE">
      <w:pPr>
        <w:jc w:val="center"/>
      </w:pPr>
      <w:r>
        <w:rPr>
          <w:noProof/>
          <w:lang w:eastAsia="en-GB"/>
        </w:rPr>
        <w:lastRenderedPageBreak/>
        <w:drawing>
          <wp:inline distT="0" distB="0" distL="0" distR="0" wp14:anchorId="50C71CBF" wp14:editId="01A6BE42">
            <wp:extent cx="4959706" cy="32459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61064" cy="3246842"/>
                    </a:xfrm>
                    <a:prstGeom prst="rect">
                      <a:avLst/>
                    </a:prstGeom>
                    <a:noFill/>
                  </pic:spPr>
                </pic:pic>
              </a:graphicData>
            </a:graphic>
          </wp:inline>
        </w:drawing>
      </w:r>
    </w:p>
    <w:p w:rsidR="006A15CE" w:rsidRPr="006A15CE" w:rsidRDefault="006A15CE" w:rsidP="006A15CE">
      <w:pPr>
        <w:pStyle w:val="Caption"/>
        <w:jc w:val="center"/>
      </w:pPr>
      <w:bookmarkStart w:id="90" w:name="_Ref355721923"/>
      <w:bookmarkStart w:id="91" w:name="_Toc355730464"/>
      <w:r>
        <w:t xml:space="preserve">Figure </w:t>
      </w:r>
      <w:r>
        <w:fldChar w:fldCharType="begin"/>
      </w:r>
      <w:r>
        <w:instrText xml:space="preserve"> SEQ Figure \* ARABIC </w:instrText>
      </w:r>
      <w:r>
        <w:fldChar w:fldCharType="separate"/>
      </w:r>
      <w:r w:rsidR="00A319E4">
        <w:rPr>
          <w:noProof/>
        </w:rPr>
        <w:t>20</w:t>
      </w:r>
      <w:r>
        <w:fldChar w:fldCharType="end"/>
      </w:r>
      <w:bookmarkEnd w:id="90"/>
      <w:r>
        <w:t>. Availability of the top-10 active VOs (April 2013)</w:t>
      </w:r>
      <w:bookmarkEnd w:id="91"/>
    </w:p>
    <w:p w:rsidR="008633B1" w:rsidRDefault="008633B1" w:rsidP="00526608">
      <w:pPr>
        <w:pStyle w:val="Heading1"/>
      </w:pPr>
      <w:bookmarkStart w:id="92" w:name="_Ref324141045"/>
      <w:bookmarkStart w:id="93" w:name="_Toc355730424"/>
      <w:r>
        <w:lastRenderedPageBreak/>
        <w:t>Grid Services</w:t>
      </w:r>
      <w:bookmarkEnd w:id="92"/>
      <w:bookmarkEnd w:id="93"/>
    </w:p>
    <w:p w:rsidR="00C30619" w:rsidRPr="00F51417" w:rsidRDefault="00FD70C0" w:rsidP="00C30619">
      <w:r w:rsidRPr="00016002">
        <w:t xml:space="preserve">In this section we review the status of deployment of different software platforms across EGI. As indicated in </w:t>
      </w:r>
      <w:r w:rsidRPr="00016002">
        <w:fldChar w:fldCharType="begin"/>
      </w:r>
      <w:r w:rsidRPr="00016002">
        <w:instrText xml:space="preserve"> REF _Ref324117664 \h </w:instrText>
      </w:r>
      <w:r w:rsidR="00B624C2" w:rsidRPr="00016002">
        <w:instrText xml:space="preserve"> \* MERGEFORMAT </w:instrText>
      </w:r>
      <w:r w:rsidRPr="00016002">
        <w:fldChar w:fldCharType="separate"/>
      </w:r>
      <w:r w:rsidR="00A319E4" w:rsidRPr="00E42420">
        <w:t xml:space="preserve">Table </w:t>
      </w:r>
      <w:r w:rsidR="00A319E4">
        <w:rPr>
          <w:noProof/>
        </w:rPr>
        <w:t>14</w:t>
      </w:r>
      <w:r w:rsidRPr="00016002">
        <w:fldChar w:fldCharType="end"/>
      </w:r>
      <w:r w:rsidRPr="00016002">
        <w:t xml:space="preserve">, the set of software platforms that </w:t>
      </w:r>
      <w:r w:rsidR="00170AB1" w:rsidRPr="00016002">
        <w:t xml:space="preserve">are </w:t>
      </w:r>
      <w:r w:rsidRPr="00016002">
        <w:t>successfully integrated</w:t>
      </w:r>
      <w:r w:rsidR="00C30619">
        <w:t>,</w:t>
      </w:r>
      <w:r w:rsidR="00AB00ED" w:rsidRPr="00016002">
        <w:t xml:space="preserve"> </w:t>
      </w:r>
      <w:r w:rsidRPr="00016002">
        <w:t xml:space="preserve">currently encompasses EMI software (ARC, dCache, </w:t>
      </w:r>
      <w:r w:rsidR="008663B2">
        <w:t>ex-</w:t>
      </w:r>
      <w:r w:rsidRPr="00016002">
        <w:t>gLite</w:t>
      </w:r>
      <w:r w:rsidR="008663B2">
        <w:t xml:space="preserve"> products</w:t>
      </w:r>
      <w:r w:rsidRPr="00016002">
        <w:t>, UNICORE), GLOBUS being maintained, released and supported by the IGE project, QoSCosGrid supported by PL-Grid</w:t>
      </w:r>
      <w:r w:rsidR="002E747B" w:rsidRPr="00016002">
        <w:rPr>
          <w:rStyle w:val="FootnoteReference"/>
        </w:rPr>
        <w:footnoteReference w:id="23"/>
      </w:r>
      <w:r w:rsidRPr="00016002">
        <w:t xml:space="preserve">, and Desktop Grid software </w:t>
      </w:r>
      <w:r w:rsidR="00170AB1" w:rsidRPr="00016002">
        <w:t>released and supported by the EDGI project</w:t>
      </w:r>
      <w:r w:rsidR="00170AB1" w:rsidRPr="00016002">
        <w:rPr>
          <w:rStyle w:val="FootnoteReference"/>
        </w:rPr>
        <w:footnoteReference w:id="24"/>
      </w:r>
      <w:r w:rsidR="00170AB1" w:rsidRPr="00016002">
        <w:t>.</w:t>
      </w:r>
      <w:r w:rsidR="00C30619" w:rsidRPr="00C30619">
        <w:t xml:space="preserve"> </w:t>
      </w:r>
      <w:r w:rsidR="00C30619">
        <w:t>In</w:t>
      </w:r>
      <w:r w:rsidR="00C30619" w:rsidRPr="00F51417">
        <w:t xml:space="preserve"> </w:t>
      </w:r>
      <w:r w:rsidR="00C30619">
        <w:t>PY3</w:t>
      </w:r>
      <w:r w:rsidR="00C30619" w:rsidRPr="00F51417">
        <w:t xml:space="preserve"> the integration level of the various stacks was consolidated, even though it cannot be considered totally complete yet</w:t>
      </w:r>
      <w:r w:rsidR="00C30619">
        <w:t xml:space="preserve"> as accounting integration is still in progress for various platforms</w:t>
      </w:r>
      <w:r w:rsidR="00C30619" w:rsidRPr="00F51417">
        <w:t>. Currently the EGI service registry (GOCDB) defines the service types necessary to register services from all the stacks.</w:t>
      </w:r>
    </w:p>
    <w:p w:rsidR="00DE4F1B" w:rsidRPr="00FD70C0" w:rsidRDefault="00DE4F1B" w:rsidP="00FD70C0">
      <w:r w:rsidRPr="00016002">
        <w:t>The list of production end-point services</w:t>
      </w:r>
      <w:r w:rsidR="00C30619">
        <w:t xml:space="preserve"> per platform</w:t>
      </w:r>
      <w:r w:rsidRPr="00016002">
        <w:t xml:space="preserve"> can be obtained programmatically from the GOCDB programmatic interface</w:t>
      </w:r>
      <w:r w:rsidRPr="00016002">
        <w:rPr>
          <w:rStyle w:val="FootnoteReference"/>
        </w:rPr>
        <w:footnoteReference w:id="25"/>
      </w:r>
      <w:r w:rsidRPr="00016002">
        <w:t>.</w:t>
      </w:r>
    </w:p>
    <w:p w:rsidR="00FC2C9B" w:rsidRDefault="00551236" w:rsidP="007401E3">
      <w:pPr>
        <w:pStyle w:val="Heading2"/>
      </w:pPr>
      <w:bookmarkStart w:id="94" w:name="_Toc355730425"/>
      <w:r>
        <w:t xml:space="preserve">Integrated </w:t>
      </w:r>
      <w:r w:rsidR="00FD70C0">
        <w:t>Software</w:t>
      </w:r>
      <w:r w:rsidR="00FC2C9B">
        <w:t xml:space="preserve"> Platforms</w:t>
      </w:r>
      <w:bookmarkEnd w:id="94"/>
    </w:p>
    <w:p w:rsidR="00FD70C0" w:rsidRPr="00E42420" w:rsidRDefault="00FD70C0" w:rsidP="00FD70C0">
      <w:pPr>
        <w:pStyle w:val="Caption"/>
        <w:jc w:val="center"/>
      </w:pPr>
      <w:bookmarkStart w:id="95" w:name="_Ref324117664"/>
      <w:r w:rsidRPr="00E42420">
        <w:t xml:space="preserve">Table </w:t>
      </w:r>
      <w:r w:rsidR="00A560B1">
        <w:fldChar w:fldCharType="begin"/>
      </w:r>
      <w:r w:rsidR="00A560B1">
        <w:instrText xml:space="preserve"> SEQ Table \* ARABIC </w:instrText>
      </w:r>
      <w:r w:rsidR="00A560B1">
        <w:fldChar w:fldCharType="separate"/>
      </w:r>
      <w:r w:rsidR="00A319E4">
        <w:rPr>
          <w:noProof/>
        </w:rPr>
        <w:t>14</w:t>
      </w:r>
      <w:r w:rsidR="00A560B1">
        <w:rPr>
          <w:noProof/>
        </w:rPr>
        <w:fldChar w:fldCharType="end"/>
      </w:r>
      <w:bookmarkEnd w:id="95"/>
      <w:r w:rsidRPr="00E42420">
        <w:t>.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42420" w:rsidTr="003D568C">
        <w:tc>
          <w:tcPr>
            <w:tcW w:w="2126" w:type="dxa"/>
            <w:shd w:val="clear" w:color="auto" w:fill="auto"/>
          </w:tcPr>
          <w:p w:rsidR="0035365B" w:rsidRPr="00E42420" w:rsidRDefault="0035365B" w:rsidP="00FD70C0">
            <w:pPr>
              <w:jc w:val="center"/>
              <w:rPr>
                <w:b/>
              </w:rPr>
            </w:pPr>
            <w:r w:rsidRPr="00E42420">
              <w:rPr>
                <w:b/>
              </w:rPr>
              <w:t>Integrated Grid Platform</w:t>
            </w:r>
          </w:p>
        </w:tc>
        <w:tc>
          <w:tcPr>
            <w:tcW w:w="1559" w:type="dxa"/>
            <w:shd w:val="clear" w:color="auto" w:fill="auto"/>
          </w:tcPr>
          <w:p w:rsidR="0035365B" w:rsidRPr="00E42420" w:rsidRDefault="0035365B" w:rsidP="00FD70C0">
            <w:pPr>
              <w:jc w:val="center"/>
              <w:rPr>
                <w:b/>
              </w:rPr>
            </w:pPr>
            <w:r w:rsidRPr="00E42420">
              <w:rPr>
                <w:b/>
              </w:rPr>
              <w:t>Number of countries</w:t>
            </w:r>
          </w:p>
        </w:tc>
        <w:tc>
          <w:tcPr>
            <w:tcW w:w="5203" w:type="dxa"/>
            <w:shd w:val="clear" w:color="auto" w:fill="auto"/>
          </w:tcPr>
          <w:p w:rsidR="0035365B" w:rsidRPr="00E42420" w:rsidRDefault="0035365B" w:rsidP="00FD70C0">
            <w:pPr>
              <w:jc w:val="center"/>
              <w:rPr>
                <w:b/>
              </w:rPr>
            </w:pPr>
            <w:r w:rsidRPr="00E42420">
              <w:rPr>
                <w:b/>
              </w:rPr>
              <w:t>Countries</w:t>
            </w:r>
          </w:p>
        </w:tc>
      </w:tr>
      <w:tr w:rsidR="0035365B" w:rsidRPr="00B624C2" w:rsidTr="003D568C">
        <w:tc>
          <w:tcPr>
            <w:tcW w:w="2126" w:type="dxa"/>
            <w:shd w:val="clear" w:color="auto" w:fill="auto"/>
          </w:tcPr>
          <w:p w:rsidR="0035365B" w:rsidRPr="00E42420" w:rsidRDefault="0035365B" w:rsidP="00FD70C0">
            <w:pPr>
              <w:jc w:val="center"/>
            </w:pPr>
            <w:r w:rsidRPr="00E42420">
              <w:t>ARC</w:t>
            </w:r>
          </w:p>
        </w:tc>
        <w:tc>
          <w:tcPr>
            <w:tcW w:w="1559" w:type="dxa"/>
            <w:shd w:val="clear" w:color="auto" w:fill="auto"/>
          </w:tcPr>
          <w:p w:rsidR="0035365B" w:rsidRPr="00E42420" w:rsidRDefault="00E42420" w:rsidP="00FD70C0">
            <w:pPr>
              <w:jc w:val="center"/>
            </w:pPr>
            <w:r w:rsidRPr="00E42420">
              <w:t>11</w:t>
            </w:r>
          </w:p>
        </w:tc>
        <w:tc>
          <w:tcPr>
            <w:tcW w:w="5203" w:type="dxa"/>
            <w:shd w:val="clear" w:color="auto" w:fill="auto"/>
          </w:tcPr>
          <w:p w:rsidR="004F541C" w:rsidRPr="00E42420" w:rsidRDefault="00E42420" w:rsidP="00551236">
            <w:r w:rsidRPr="00E42420">
              <w:t xml:space="preserve">Switzerland, Norway, Denmark, Sweden, Finland, Slovenia, Latvia, Germany, Ukraine, Estonia, Lithuania </w:t>
            </w:r>
          </w:p>
        </w:tc>
      </w:tr>
      <w:tr w:rsidR="002A0036" w:rsidRPr="00B624C2" w:rsidTr="003D568C">
        <w:tc>
          <w:tcPr>
            <w:tcW w:w="2126" w:type="dxa"/>
            <w:shd w:val="clear" w:color="auto" w:fill="auto"/>
          </w:tcPr>
          <w:p w:rsidR="002A0036" w:rsidRPr="00D97C23" w:rsidRDefault="002A0036" w:rsidP="00FD70C0">
            <w:pPr>
              <w:jc w:val="center"/>
            </w:pPr>
            <w:r w:rsidRPr="00D97C23">
              <w:t>Desktop Grid</w:t>
            </w:r>
          </w:p>
          <w:p w:rsidR="002E747B" w:rsidRPr="00D97C23" w:rsidRDefault="002E747B" w:rsidP="00FD70C0">
            <w:pPr>
              <w:jc w:val="center"/>
            </w:pPr>
            <w:r w:rsidRPr="00D97C23">
              <w:t>(experimental phase)</w:t>
            </w:r>
          </w:p>
        </w:tc>
        <w:tc>
          <w:tcPr>
            <w:tcW w:w="1559" w:type="dxa"/>
            <w:shd w:val="clear" w:color="auto" w:fill="auto"/>
          </w:tcPr>
          <w:p w:rsidR="002A0036" w:rsidRPr="00D97C23" w:rsidRDefault="002A0036" w:rsidP="00FD70C0">
            <w:pPr>
              <w:jc w:val="center"/>
            </w:pPr>
            <w:r w:rsidRPr="00D97C23">
              <w:t>1</w:t>
            </w:r>
          </w:p>
        </w:tc>
        <w:tc>
          <w:tcPr>
            <w:tcW w:w="5203" w:type="dxa"/>
            <w:shd w:val="clear" w:color="auto" w:fill="auto"/>
          </w:tcPr>
          <w:p w:rsidR="002A0036" w:rsidRPr="00D97C23" w:rsidRDefault="002A0036" w:rsidP="002E747B">
            <w:r w:rsidRPr="00D97C23">
              <w:t xml:space="preserve">Hungary </w:t>
            </w:r>
          </w:p>
        </w:tc>
      </w:tr>
      <w:tr w:rsidR="0035365B" w:rsidRPr="00B624C2" w:rsidTr="003D568C">
        <w:tc>
          <w:tcPr>
            <w:tcW w:w="2126" w:type="dxa"/>
            <w:shd w:val="clear" w:color="auto" w:fill="auto"/>
          </w:tcPr>
          <w:p w:rsidR="0035365B" w:rsidRPr="008C0842" w:rsidRDefault="0035365B" w:rsidP="00FD70C0">
            <w:pPr>
              <w:jc w:val="center"/>
            </w:pPr>
            <w:r w:rsidRPr="008C0842">
              <w:t>GLOBUS</w:t>
            </w:r>
          </w:p>
        </w:tc>
        <w:tc>
          <w:tcPr>
            <w:tcW w:w="1559" w:type="dxa"/>
            <w:shd w:val="clear" w:color="auto" w:fill="auto"/>
          </w:tcPr>
          <w:p w:rsidR="0035365B" w:rsidRPr="008C0842" w:rsidRDefault="00E42420" w:rsidP="00FD70C0">
            <w:pPr>
              <w:jc w:val="center"/>
            </w:pPr>
            <w:r>
              <w:t>5</w:t>
            </w:r>
          </w:p>
        </w:tc>
        <w:tc>
          <w:tcPr>
            <w:tcW w:w="5203" w:type="dxa"/>
            <w:shd w:val="clear" w:color="auto" w:fill="auto"/>
          </w:tcPr>
          <w:p w:rsidR="0035365B" w:rsidRPr="008C0842" w:rsidRDefault="0035365B" w:rsidP="00FC2C9B">
            <w:r w:rsidRPr="008C0842">
              <w:t xml:space="preserve">GridFtp: </w:t>
            </w:r>
            <w:r w:rsidR="008C0842" w:rsidRPr="008C0842">
              <w:t xml:space="preserve">United Kingdom, Croatia, </w:t>
            </w:r>
            <w:r w:rsidR="008C0842">
              <w:t>Finland, Germany</w:t>
            </w:r>
          </w:p>
          <w:p w:rsidR="004F541C" w:rsidRPr="008C0842" w:rsidRDefault="007B5A96" w:rsidP="008C0842">
            <w:r w:rsidRPr="008C0842">
              <w:t>GRAM: Germany</w:t>
            </w:r>
            <w:r w:rsidR="008C0842" w:rsidRPr="008C0842">
              <w:t>,  The Netherlands, Croatia,</w:t>
            </w:r>
            <w:r w:rsidR="008C0842" w:rsidRPr="008C0842">
              <w:rPr>
                <w:rFonts w:ascii="Calibri" w:hAnsi="Calibri"/>
                <w:color w:val="000000"/>
                <w:sz w:val="20"/>
              </w:rPr>
              <w:t xml:space="preserve"> </w:t>
            </w:r>
          </w:p>
        </w:tc>
      </w:tr>
      <w:tr w:rsidR="00FD70C0" w:rsidRPr="00B624C2" w:rsidTr="003D568C">
        <w:tc>
          <w:tcPr>
            <w:tcW w:w="2126" w:type="dxa"/>
            <w:shd w:val="clear" w:color="auto" w:fill="auto"/>
          </w:tcPr>
          <w:p w:rsidR="002E747B" w:rsidRPr="00D97C23" w:rsidRDefault="00FD70C0" w:rsidP="00C418D3">
            <w:pPr>
              <w:jc w:val="center"/>
            </w:pPr>
            <w:r w:rsidRPr="00D97C23">
              <w:t>QosCosGrid</w:t>
            </w:r>
            <w:r w:rsidR="00D97C23" w:rsidRPr="00D97C23">
              <w:t xml:space="preserve"> (QCG)</w:t>
            </w:r>
          </w:p>
        </w:tc>
        <w:tc>
          <w:tcPr>
            <w:tcW w:w="1559" w:type="dxa"/>
            <w:shd w:val="clear" w:color="auto" w:fill="auto"/>
          </w:tcPr>
          <w:p w:rsidR="00FD70C0" w:rsidRPr="00D97C23" w:rsidRDefault="00FD70C0" w:rsidP="00FD70C0">
            <w:pPr>
              <w:jc w:val="center"/>
            </w:pPr>
            <w:r w:rsidRPr="00D97C23">
              <w:t>1</w:t>
            </w:r>
          </w:p>
        </w:tc>
        <w:tc>
          <w:tcPr>
            <w:tcW w:w="5203" w:type="dxa"/>
            <w:shd w:val="clear" w:color="auto" w:fill="auto"/>
          </w:tcPr>
          <w:p w:rsidR="00FD70C0" w:rsidRPr="00D97C23" w:rsidRDefault="00FD70C0" w:rsidP="002E747B">
            <w:r w:rsidRPr="00D97C23">
              <w:t>Poland</w:t>
            </w:r>
          </w:p>
        </w:tc>
      </w:tr>
      <w:tr w:rsidR="0035365B" w:rsidRPr="00B624C2" w:rsidTr="003D568C">
        <w:tc>
          <w:tcPr>
            <w:tcW w:w="2126" w:type="dxa"/>
            <w:shd w:val="clear" w:color="auto" w:fill="auto"/>
          </w:tcPr>
          <w:p w:rsidR="0035365B" w:rsidRPr="008C0842" w:rsidRDefault="0035365B" w:rsidP="00FD70C0">
            <w:pPr>
              <w:jc w:val="center"/>
            </w:pPr>
            <w:r w:rsidRPr="008C0842">
              <w:t>UNICORE</w:t>
            </w:r>
          </w:p>
        </w:tc>
        <w:tc>
          <w:tcPr>
            <w:tcW w:w="1559" w:type="dxa"/>
            <w:shd w:val="clear" w:color="auto" w:fill="auto"/>
          </w:tcPr>
          <w:p w:rsidR="0035365B" w:rsidRPr="008C0842" w:rsidRDefault="0035365B" w:rsidP="00FD70C0">
            <w:pPr>
              <w:jc w:val="center"/>
            </w:pPr>
            <w:r w:rsidRPr="008C0842">
              <w:t>2</w:t>
            </w:r>
          </w:p>
        </w:tc>
        <w:tc>
          <w:tcPr>
            <w:tcW w:w="5203" w:type="dxa"/>
            <w:shd w:val="clear" w:color="auto" w:fill="auto"/>
          </w:tcPr>
          <w:p w:rsidR="0035365B" w:rsidRPr="008C0842" w:rsidRDefault="0035365B" w:rsidP="00FC2C9B">
            <w:r w:rsidRPr="008C0842">
              <w:t>Germany, Poland</w:t>
            </w:r>
          </w:p>
        </w:tc>
      </w:tr>
    </w:tbl>
    <w:p w:rsidR="00613095" w:rsidRDefault="00C11B3B" w:rsidP="00613095">
      <w:r w:rsidRPr="00F51417">
        <w:t>A</w:t>
      </w:r>
      <w:r w:rsidR="00613095" w:rsidRPr="00F51417">
        <w:t xml:space="preserve">ccounting integration is still </w:t>
      </w:r>
      <w:r w:rsidRPr="00F51417">
        <w:t>in progress</w:t>
      </w:r>
      <w:r w:rsidR="00F51417" w:rsidRPr="00F51417">
        <w:t xml:space="preserve"> for UNICORE, </w:t>
      </w:r>
      <w:r w:rsidR="00613095" w:rsidRPr="00F51417">
        <w:t>Globus</w:t>
      </w:r>
      <w:r w:rsidR="00F51417" w:rsidRPr="00F51417">
        <w:t xml:space="preserve"> and QCG</w:t>
      </w:r>
      <w:r w:rsidR="00613095" w:rsidRPr="00F51417">
        <w:t xml:space="preserve">, while computing resources </w:t>
      </w:r>
      <w:r w:rsidR="008663B2">
        <w:t xml:space="preserve">accessible through ARC-CE and CREAM interfaces </w:t>
      </w:r>
      <w:r w:rsidR="00613095" w:rsidRPr="00F51417">
        <w:t>have been accounted</w:t>
      </w:r>
      <w:r w:rsidRPr="00F51417">
        <w:t xml:space="preserve"> for their usage</w:t>
      </w:r>
      <w:r w:rsidR="00613095" w:rsidRPr="00F51417">
        <w:t xml:space="preserve"> from the beginning of EGI-InSPIRE.</w:t>
      </w:r>
      <w:r w:rsidR="007401E3" w:rsidRPr="00F51417">
        <w:t xml:space="preserve"> The Accounting Task Force of the TCB</w:t>
      </w:r>
      <w:r w:rsidR="007401E3" w:rsidRPr="00F51417">
        <w:rPr>
          <w:rStyle w:val="FootnoteReference"/>
        </w:rPr>
        <w:footnoteReference w:id="26"/>
      </w:r>
      <w:r w:rsidR="007401E3" w:rsidRPr="00F51417">
        <w:t xml:space="preserve"> is responsible of leading the extension of the current EGI accounting infrast</w:t>
      </w:r>
      <w:r w:rsidR="007401E3" w:rsidRPr="00631DE4">
        <w:t xml:space="preserve">ructure to encompass peer grids and new integrated infrastructures. </w:t>
      </w:r>
    </w:p>
    <w:p w:rsidR="00741AB8" w:rsidRPr="00631DE4" w:rsidRDefault="00741AB8" w:rsidP="00613095">
      <w:r>
        <w:t xml:space="preserve">Integration of information publishing will be accomplished for ARC and UNICORE in PY4, thanks to the support of GLUE2 information publishing into top-BDII, which is a function that was released for </w:t>
      </w:r>
      <w:r>
        <w:lastRenderedPageBreak/>
        <w:t>deployment by EMI with release v3. Information publishing for the GLOBUS GRAM service was made available by IGE with release v3.2</w:t>
      </w:r>
      <w:r>
        <w:rPr>
          <w:rStyle w:val="FootnoteReference"/>
        </w:rPr>
        <w:footnoteReference w:id="27"/>
      </w:r>
      <w:r>
        <w:t>.</w:t>
      </w:r>
    </w:p>
    <w:p w:rsidR="0042009E" w:rsidRDefault="00C30619" w:rsidP="00613095">
      <w:r>
        <w:t xml:space="preserve">The services </w:t>
      </w:r>
      <w:r w:rsidR="008663B2">
        <w:t xml:space="preserve">originating from </w:t>
      </w:r>
      <w:r>
        <w:t xml:space="preserve">the </w:t>
      </w:r>
      <w:r w:rsidR="00613095" w:rsidRPr="00631DE4">
        <w:t>gLite</w:t>
      </w:r>
      <w:r>
        <w:t xml:space="preserve"> distribution (now unsupported) and </w:t>
      </w:r>
      <w:r w:rsidR="008663B2">
        <w:t>now supported and distributed through</w:t>
      </w:r>
      <w:r>
        <w:t xml:space="preserve"> EMI</w:t>
      </w:r>
      <w:r w:rsidR="008663B2">
        <w:t xml:space="preserve"> releases</w:t>
      </w:r>
      <w:r>
        <w:t>, are deployed by the majority of the production RCs. However,</w:t>
      </w:r>
      <w:r w:rsidR="00613095" w:rsidRPr="00631DE4">
        <w:t xml:space="preserve"> the number of operations centres supporting </w:t>
      </w:r>
      <w:r w:rsidR="008663B2">
        <w:t>other</w:t>
      </w:r>
      <w:r w:rsidR="00613095" w:rsidRPr="00631DE4">
        <w:t xml:space="preserve"> stacks slightly increased during </w:t>
      </w:r>
      <w:r>
        <w:t>PY3: a</w:t>
      </w:r>
      <w:r w:rsidR="00613095" w:rsidRPr="00631DE4">
        <w:t xml:space="preserve">s shown in </w:t>
      </w:r>
      <w:r w:rsidR="00613095" w:rsidRPr="00631DE4">
        <w:fldChar w:fldCharType="begin"/>
      </w:r>
      <w:r w:rsidR="00613095" w:rsidRPr="00631DE4">
        <w:instrText xml:space="preserve"> REF _Ref195178474 \h </w:instrText>
      </w:r>
      <w:r w:rsidR="00B624C2" w:rsidRPr="00631DE4">
        <w:instrText xml:space="preserve"> \* MERGEFORMAT </w:instrText>
      </w:r>
      <w:r w:rsidR="00613095" w:rsidRPr="00631DE4">
        <w:fldChar w:fldCharType="separate"/>
      </w:r>
      <w:r w:rsidR="00A319E4" w:rsidRPr="00D033A8">
        <w:t xml:space="preserve">Figure </w:t>
      </w:r>
      <w:r w:rsidR="00A319E4">
        <w:rPr>
          <w:noProof/>
        </w:rPr>
        <w:t>21</w:t>
      </w:r>
      <w:r w:rsidR="00613095" w:rsidRPr="00631DE4">
        <w:fldChar w:fldCharType="end"/>
      </w:r>
      <w:r w:rsidR="008663B2">
        <w:t>, seven</w:t>
      </w:r>
      <w:r w:rsidR="00613095" w:rsidRPr="00631DE4">
        <w:t xml:space="preserve"> operations centres are deploying ARC middleware, namely: NGI_NDGF (including Denmark, Estonia, part of the Finnish resources, Latvia, Norway, Sweden</w:t>
      </w:r>
      <w:r w:rsidR="00361DBF" w:rsidRPr="00631DE4">
        <w:t>, Lithuania</w:t>
      </w:r>
      <w:r w:rsidR="00613095" w:rsidRPr="00631DE4">
        <w:t xml:space="preserve">), NGI_CH, </w:t>
      </w:r>
      <w:r w:rsidR="0042009E">
        <w:t xml:space="preserve">NGI_DE, </w:t>
      </w:r>
      <w:r w:rsidR="00613095" w:rsidRPr="00631DE4">
        <w:t>NGI_FI, NGI_SI</w:t>
      </w:r>
      <w:r w:rsidR="00361DBF" w:rsidRPr="00631DE4">
        <w:t xml:space="preserve"> </w:t>
      </w:r>
      <w:r w:rsidR="0042009E">
        <w:t xml:space="preserve">and </w:t>
      </w:r>
      <w:r w:rsidR="00361DBF" w:rsidRPr="00631DE4">
        <w:t>NGI_UK</w:t>
      </w:r>
      <w:r w:rsidR="00613095" w:rsidRPr="00631DE4">
        <w:t xml:space="preserve">. </w:t>
      </w:r>
    </w:p>
    <w:p w:rsidR="00613095" w:rsidRDefault="00613095" w:rsidP="00613095">
      <w:r w:rsidRPr="00631DE4">
        <w:t>UNICORE is supported by two operations centres</w:t>
      </w:r>
      <w:r w:rsidR="0042009E">
        <w:t>:</w:t>
      </w:r>
      <w:r w:rsidRPr="00631DE4">
        <w:t xml:space="preserve"> NGI_DE and NGI_PL, </w:t>
      </w:r>
      <w:r w:rsidR="0042009E">
        <w:t>while</w:t>
      </w:r>
      <w:r w:rsidRPr="00631DE4">
        <w:t xml:space="preserve"> Globus middleware is deployed </w:t>
      </w:r>
      <w:r w:rsidR="007401E3" w:rsidRPr="00631DE4">
        <w:t>by</w:t>
      </w:r>
      <w:r w:rsidRPr="00631DE4">
        <w:t xml:space="preserve"> NGI_DE</w:t>
      </w:r>
      <w:r w:rsidR="00361DBF" w:rsidRPr="00631DE4">
        <w:t xml:space="preserve">, </w:t>
      </w:r>
      <w:r w:rsidR="0042009E" w:rsidRPr="00631DE4">
        <w:t>NGI_FI</w:t>
      </w:r>
      <w:r w:rsidR="0042009E">
        <w:t>,</w:t>
      </w:r>
      <w:r w:rsidR="0042009E" w:rsidRPr="00631DE4">
        <w:t xml:space="preserve"> </w:t>
      </w:r>
      <w:r w:rsidR="0042009E">
        <w:t xml:space="preserve">NGI_HR, </w:t>
      </w:r>
      <w:r w:rsidR="0042009E" w:rsidRPr="00631DE4">
        <w:t xml:space="preserve">NGI_NL </w:t>
      </w:r>
      <w:r w:rsidR="0042009E">
        <w:t>and NGI_UK</w:t>
      </w:r>
      <w:r w:rsidRPr="00631DE4">
        <w:t>.</w:t>
      </w:r>
      <w:r w:rsidR="00631DE4" w:rsidRPr="00631DE4">
        <w:t xml:space="preserve"> QosCosGrid middleware is deployed only by NGI_PL.</w:t>
      </w:r>
    </w:p>
    <w:p w:rsidR="00613095" w:rsidRDefault="00361DBF" w:rsidP="00613095">
      <w:pPr>
        <w:keepNext/>
        <w:jc w:val="center"/>
      </w:pPr>
      <w:r>
        <w:rPr>
          <w:noProof/>
          <w:lang w:eastAsia="en-GB"/>
        </w:rPr>
        <w:drawing>
          <wp:inline distT="0" distB="0" distL="0" distR="0" wp14:anchorId="752F737E" wp14:editId="386E93EC">
            <wp:extent cx="5391785" cy="3769995"/>
            <wp:effectExtent l="0" t="0" r="0" b="1905"/>
            <wp:docPr id="6" name="Picture 6" descr="C:\Users\Krakowian\Google Drive\Operations\Documentation working space\D4.8\png\Deployment of the five reference grid middlewar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1785" cy="3769995"/>
                    </a:xfrm>
                    <a:prstGeom prst="rect">
                      <a:avLst/>
                    </a:prstGeom>
                    <a:noFill/>
                    <a:ln>
                      <a:noFill/>
                    </a:ln>
                  </pic:spPr>
                </pic:pic>
              </a:graphicData>
            </a:graphic>
          </wp:inline>
        </w:drawing>
      </w:r>
    </w:p>
    <w:p w:rsidR="00613095" w:rsidRPr="00D033A8" w:rsidRDefault="00613095" w:rsidP="00D033A8">
      <w:pPr>
        <w:pStyle w:val="Caption"/>
        <w:jc w:val="center"/>
      </w:pPr>
      <w:bookmarkStart w:id="96" w:name="_Ref195178474"/>
      <w:bookmarkStart w:id="97" w:name="_Toc355730465"/>
      <w:r w:rsidRPr="00D033A8">
        <w:t xml:space="preserve">Figure </w:t>
      </w:r>
      <w:r w:rsidR="00A560B1">
        <w:fldChar w:fldCharType="begin"/>
      </w:r>
      <w:r w:rsidR="00A560B1">
        <w:instrText xml:space="preserve"> SEQ Figure \* ARABIC </w:instrText>
      </w:r>
      <w:r w:rsidR="00A560B1">
        <w:fldChar w:fldCharType="separate"/>
      </w:r>
      <w:r w:rsidR="00A319E4">
        <w:rPr>
          <w:noProof/>
        </w:rPr>
        <w:t>21</w:t>
      </w:r>
      <w:r w:rsidR="00A560B1">
        <w:rPr>
          <w:noProof/>
        </w:rPr>
        <w:fldChar w:fldCharType="end"/>
      </w:r>
      <w:bookmarkEnd w:id="96"/>
      <w:r w:rsidR="009D5BCA">
        <w:t>.</w:t>
      </w:r>
      <w:r w:rsidRPr="00D033A8">
        <w:t xml:space="preserve"> </w:t>
      </w:r>
      <w:r w:rsidR="00AB00ED" w:rsidRPr="00D033A8">
        <w:t>D</w:t>
      </w:r>
      <w:r w:rsidRPr="00D033A8">
        <w:t xml:space="preserve">eployment of the </w:t>
      </w:r>
      <w:r w:rsidR="00361DBF" w:rsidRPr="00D033A8">
        <w:t>five</w:t>
      </w:r>
      <w:r w:rsidRPr="00D033A8">
        <w:t xml:space="preserve"> reference grid middl</w:t>
      </w:r>
      <w:r w:rsidR="00AB00ED" w:rsidRPr="00D033A8">
        <w:t>e</w:t>
      </w:r>
      <w:r w:rsidRPr="00D033A8">
        <w:t>ware stacks across the EGI-InSPIRE operation</w:t>
      </w:r>
      <w:r w:rsidR="00AB00ED" w:rsidRPr="00D033A8">
        <w:t>s</w:t>
      </w:r>
      <w:r w:rsidRPr="00D033A8">
        <w:t xml:space="preserve"> centres, March 201</w:t>
      </w:r>
      <w:r w:rsidR="00361DBF" w:rsidRPr="00D033A8">
        <w:t>3</w:t>
      </w:r>
      <w:r w:rsidRPr="00D033A8">
        <w:t xml:space="preserve"> (source GOCDB)</w:t>
      </w:r>
      <w:r w:rsidR="0005172D" w:rsidRPr="00D033A8">
        <w:t>.</w:t>
      </w:r>
      <w:bookmarkEnd w:id="97"/>
    </w:p>
    <w:p w:rsidR="00613095" w:rsidRPr="00A54BFB" w:rsidRDefault="00613095" w:rsidP="00613095"/>
    <w:p w:rsidR="00613095" w:rsidRDefault="009D5BCA" w:rsidP="00613095">
      <w:pPr>
        <w:keepNext/>
        <w:jc w:val="center"/>
      </w:pPr>
      <w:r w:rsidRPr="009B32FE">
        <w:rPr>
          <w:noProof/>
          <w:sz w:val="24"/>
          <w:szCs w:val="24"/>
          <w:lang w:eastAsia="en-GB"/>
        </w:rPr>
        <w:lastRenderedPageBreak/>
        <w:drawing>
          <wp:inline distT="0" distB="0" distL="0" distR="0" wp14:anchorId="052D94D6" wp14:editId="40B38FE3">
            <wp:extent cx="4598739" cy="2863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03341" cy="2866836"/>
                    </a:xfrm>
                    <a:prstGeom prst="rect">
                      <a:avLst/>
                    </a:prstGeom>
                    <a:noFill/>
                  </pic:spPr>
                </pic:pic>
              </a:graphicData>
            </a:graphic>
          </wp:inline>
        </w:drawing>
      </w:r>
    </w:p>
    <w:p w:rsidR="00613095" w:rsidRPr="00B744E3" w:rsidRDefault="00613095" w:rsidP="00613095">
      <w:pPr>
        <w:pStyle w:val="Caption"/>
        <w:jc w:val="center"/>
      </w:pPr>
      <w:bookmarkStart w:id="98" w:name="_Ref195180702"/>
      <w:bookmarkStart w:id="99" w:name="_Toc355730466"/>
      <w:r w:rsidRPr="00B744E3">
        <w:t xml:space="preserve">Figure </w:t>
      </w:r>
      <w:r w:rsidR="00A560B1">
        <w:fldChar w:fldCharType="begin"/>
      </w:r>
      <w:r w:rsidR="00A560B1">
        <w:instrText xml:space="preserve"> SEQ Figure \* ARABIC </w:instrText>
      </w:r>
      <w:r w:rsidR="00A560B1">
        <w:fldChar w:fldCharType="separate"/>
      </w:r>
      <w:r w:rsidR="00A319E4">
        <w:rPr>
          <w:noProof/>
        </w:rPr>
        <w:t>22</w:t>
      </w:r>
      <w:r w:rsidR="00A560B1">
        <w:rPr>
          <w:noProof/>
        </w:rPr>
        <w:fldChar w:fldCharType="end"/>
      </w:r>
      <w:bookmarkEnd w:id="98"/>
      <w:r w:rsidR="009D5BCA">
        <w:t>.</w:t>
      </w:r>
      <w:r w:rsidRPr="00B744E3">
        <w:t xml:space="preserve"> Number of instances of the different implementations of the compute capability, across the EGI_InSPIRE partners and the integrated Resource infrastructure Providers, March 201</w:t>
      </w:r>
      <w:r w:rsidR="00B744E3" w:rsidRPr="00B744E3">
        <w:t>3</w:t>
      </w:r>
      <w:r w:rsidRPr="00B744E3">
        <w:t xml:space="preserve"> (source: GOCDB)</w:t>
      </w:r>
      <w:bookmarkEnd w:id="99"/>
    </w:p>
    <w:p w:rsidR="00A54BFB" w:rsidRPr="00892CA1" w:rsidRDefault="009D5BCA" w:rsidP="00613095">
      <w:r w:rsidRPr="009D5BCA">
        <w:t>Various middleware stacks are in production in EGI. An indication of their distribution is given by the various Compute Element deployed by Resource Centres</w:t>
      </w:r>
      <w:r>
        <w:t xml:space="preserve">. </w:t>
      </w:r>
      <w:r w:rsidR="00613095" w:rsidRPr="00892CA1">
        <w:fldChar w:fldCharType="begin"/>
      </w:r>
      <w:r w:rsidR="00613095" w:rsidRPr="00892CA1">
        <w:instrText xml:space="preserve"> REF _Ref195180702 \h </w:instrText>
      </w:r>
      <w:r w:rsidR="00B624C2" w:rsidRPr="00892CA1">
        <w:instrText xml:space="preserve"> \* MERGEFORMAT </w:instrText>
      </w:r>
      <w:r w:rsidR="00613095" w:rsidRPr="00892CA1">
        <w:fldChar w:fldCharType="separate"/>
      </w:r>
      <w:r w:rsidR="00A319E4" w:rsidRPr="00B744E3">
        <w:t xml:space="preserve">Figure </w:t>
      </w:r>
      <w:r w:rsidR="00A319E4">
        <w:rPr>
          <w:noProof/>
        </w:rPr>
        <w:t>22</w:t>
      </w:r>
      <w:r w:rsidR="00613095" w:rsidRPr="00892CA1">
        <w:fldChar w:fldCharType="end"/>
      </w:r>
      <w:r w:rsidR="00613095" w:rsidRPr="00892CA1">
        <w:t xml:space="preserve"> shows </w:t>
      </w:r>
      <w:r>
        <w:t>this</w:t>
      </w:r>
      <w:r w:rsidR="00613095" w:rsidRPr="00892CA1">
        <w:t xml:space="preserve"> distribution</w:t>
      </w:r>
      <w:r>
        <w:t>:</w:t>
      </w:r>
      <w:r w:rsidRPr="009D5BCA">
        <w:t xml:space="preserve"> CREAM-CE is in production in the 89.41% of the infrastructure, ARC-CE</w:t>
      </w:r>
      <w:r w:rsidR="00520CDD">
        <w:t xml:space="preserve"> is second in deployment (9</w:t>
      </w:r>
      <w:r w:rsidRPr="009D5BCA">
        <w:t>.11%) followed by GRAM (1.49%), Unicore6.TargetSystemFactory (1.49%) and QCG.Computing (1.12%).</w:t>
      </w:r>
    </w:p>
    <w:p w:rsidR="00613095" w:rsidRPr="00892CA1" w:rsidRDefault="007C4FD3" w:rsidP="00613095">
      <w:r>
        <w:t>LCG</w:t>
      </w:r>
      <w:r w:rsidR="00A54BFB" w:rsidRPr="00892CA1">
        <w:t xml:space="preserve">-CE reached end of support at the end of April 2012. </w:t>
      </w:r>
      <w:r>
        <w:t>All LCG</w:t>
      </w:r>
      <w:r w:rsidR="00613095" w:rsidRPr="00892CA1">
        <w:t xml:space="preserve">-CE </w:t>
      </w:r>
      <w:r>
        <w:t>instances were successfully upgraded (the majority by the end of 2012) to</w:t>
      </w:r>
      <w:r w:rsidR="00613095" w:rsidRPr="00892CA1">
        <w:t xml:space="preserve"> </w:t>
      </w:r>
      <w:r w:rsidR="00A54BFB" w:rsidRPr="00892CA1">
        <w:t>othe</w:t>
      </w:r>
      <w:r>
        <w:t>r supported CE implementations.</w:t>
      </w:r>
    </w:p>
    <w:p w:rsidR="003329A3" w:rsidRPr="003329A3" w:rsidRDefault="003329A3" w:rsidP="003329A3">
      <w:pPr>
        <w:pStyle w:val="Heading2"/>
      </w:pPr>
      <w:bookmarkStart w:id="100" w:name="_Ref354671028"/>
      <w:bookmarkStart w:id="101" w:name="_Toc355730426"/>
      <w:r w:rsidRPr="003329A3">
        <w:t>Software retirement</w:t>
      </w:r>
      <w:bookmarkEnd w:id="100"/>
      <w:bookmarkEnd w:id="101"/>
      <w:r w:rsidRPr="003329A3">
        <w:t xml:space="preserve"> </w:t>
      </w:r>
    </w:p>
    <w:p w:rsidR="000B27B2" w:rsidRDefault="000B27B2" w:rsidP="000B27B2">
      <w:r>
        <w:t>In PQ10 a new policy for the retirement of unsupported software from the production infrastructure was approved. This policy was incorporated into the main body of EGI security procedures and new procedures were developed to support the timely retirement of software</w:t>
      </w:r>
      <w:r>
        <w:rPr>
          <w:rStyle w:val="FootnoteReference"/>
        </w:rPr>
        <w:footnoteReference w:id="28"/>
      </w:r>
      <w:r>
        <w:t>. The policy says that in compliance to the EGI Service Operations Security Policy [SOSP]</w:t>
      </w:r>
      <w:r>
        <w:rPr>
          <w:rStyle w:val="FootnoteReference"/>
        </w:rPr>
        <w:footnoteReference w:id="29"/>
      </w:r>
      <w:r>
        <w:t>, unsupported software SHOULD be decommissioned before its End of Security Updates and Support, and MUST be retired no later than one month after its End of Security Updates and Support. After this date, if a critical vulnerability were to emerge in the software, EGI CSIRT can request the service to be turned off immediately.</w:t>
      </w:r>
    </w:p>
    <w:p w:rsidR="00520CDD" w:rsidRDefault="00520CDD" w:rsidP="00754C94">
      <w:r>
        <w:t xml:space="preserve">The main </w:t>
      </w:r>
      <w:r w:rsidR="00AD1552">
        <w:t>software distributions being deployed to date in EGI are EMI</w:t>
      </w:r>
      <w:r w:rsidR="00AD1552">
        <w:rPr>
          <w:rStyle w:val="FootnoteReference"/>
        </w:rPr>
        <w:footnoteReference w:id="30"/>
      </w:r>
      <w:r w:rsidR="00AD1552">
        <w:t xml:space="preserve"> and IGE</w:t>
      </w:r>
      <w:r w:rsidR="00AD1552">
        <w:rPr>
          <w:rStyle w:val="FootnoteReference"/>
        </w:rPr>
        <w:footnoteReference w:id="31"/>
      </w:r>
      <w:r w:rsidR="00AD1552">
        <w:t>.</w:t>
      </w:r>
    </w:p>
    <w:p w:rsidR="00754C94" w:rsidRDefault="00613095" w:rsidP="00754C94">
      <w:r w:rsidRPr="003329A3">
        <w:lastRenderedPageBreak/>
        <w:t xml:space="preserve">gLite 3.1 </w:t>
      </w:r>
      <w:r w:rsidR="00754C94">
        <w:t xml:space="preserve">and 3.2 </w:t>
      </w:r>
      <w:r w:rsidR="008663B2">
        <w:t>distributions</w:t>
      </w:r>
      <w:r w:rsidRPr="003329A3">
        <w:t xml:space="preserve"> are no </w:t>
      </w:r>
      <w:r w:rsidR="00754C94">
        <w:t xml:space="preserve">longer </w:t>
      </w:r>
      <w:r w:rsidRPr="003329A3">
        <w:t>supported</w:t>
      </w:r>
      <w:r w:rsidR="00754C94">
        <w:t xml:space="preserve">. The decommissioning campaign of these two </w:t>
      </w:r>
      <w:r w:rsidR="008663B2">
        <w:t>distributions</w:t>
      </w:r>
      <w:r w:rsidR="00754C94">
        <w:t xml:space="preserve"> started in October 2012. This first decommissioning campaign was subsequently followed by an EMI-1 decommissioning campaign which is still in progress to date.</w:t>
      </w:r>
    </w:p>
    <w:p w:rsidR="009C6E08" w:rsidRDefault="00754C94" w:rsidP="00754C94">
      <w:pPr>
        <w:rPr>
          <w:szCs w:val="22"/>
        </w:rPr>
      </w:pPr>
      <w:r>
        <w:t xml:space="preserve">Software decommissioning involved EGI.eu operations, EGI CSIRT, the Security Policy Group (for the definition of a software retirement policy) and the Central Grid Oversight time for the enforcement of retirement policies across the whole infrastructure. In addition, </w:t>
      </w:r>
      <w:r>
        <w:rPr>
          <w:szCs w:val="22"/>
        </w:rPr>
        <w:t>t</w:t>
      </w:r>
      <w:r w:rsidR="009C6E08">
        <w:rPr>
          <w:szCs w:val="22"/>
        </w:rPr>
        <w:t>o streamline software retirement and monitor progress, t</w:t>
      </w:r>
      <w:r w:rsidR="009C6E08" w:rsidRPr="00394193">
        <w:rPr>
          <w:szCs w:val="22"/>
        </w:rPr>
        <w:t xml:space="preserve">he security monitoring </w:t>
      </w:r>
      <w:r w:rsidR="009C6E08">
        <w:rPr>
          <w:szCs w:val="22"/>
        </w:rPr>
        <w:t>team</w:t>
      </w:r>
      <w:r w:rsidR="009C6E08" w:rsidRPr="00394193">
        <w:rPr>
          <w:szCs w:val="22"/>
        </w:rPr>
        <w:t xml:space="preserve"> developed and deployed new custom security probes as required for monitoring for deployed software beyond end of support. A dedicated </w:t>
      </w:r>
      <w:r w:rsidR="009C6E08">
        <w:rPr>
          <w:szCs w:val="22"/>
        </w:rPr>
        <w:t>Nagios service</w:t>
      </w:r>
      <w:r w:rsidR="009C6E08" w:rsidRPr="00394193">
        <w:rPr>
          <w:szCs w:val="22"/>
          <w:vertAlign w:val="superscript"/>
        </w:rPr>
        <w:footnoteReference w:id="32"/>
      </w:r>
      <w:r w:rsidR="009C6E08" w:rsidRPr="00394193">
        <w:rPr>
          <w:szCs w:val="22"/>
        </w:rPr>
        <w:t xml:space="preserve"> was </w:t>
      </w:r>
      <w:r w:rsidR="009C6E08">
        <w:rPr>
          <w:szCs w:val="22"/>
        </w:rPr>
        <w:t>deployed</w:t>
      </w:r>
      <w:r w:rsidR="009C6E08" w:rsidRPr="00394193">
        <w:rPr>
          <w:szCs w:val="22"/>
        </w:rPr>
        <w:t xml:space="preserve"> to monitor middleware components.</w:t>
      </w:r>
    </w:p>
    <w:p w:rsidR="00613095" w:rsidRPr="003329A3" w:rsidRDefault="0057142A" w:rsidP="00613095">
      <w:r w:rsidRPr="003329A3">
        <w:t>gLite 3.2</w:t>
      </w:r>
      <w:r w:rsidR="00301F0A">
        <w:t xml:space="preserve"> was </w:t>
      </w:r>
      <w:r w:rsidR="00613095" w:rsidRPr="003329A3">
        <w:t xml:space="preserve">supported until </w:t>
      </w:r>
      <w:r w:rsidR="005478EF">
        <w:t xml:space="preserve">the </w:t>
      </w:r>
      <w:r w:rsidR="00301F0A">
        <w:t xml:space="preserve">end of April 2012 and </w:t>
      </w:r>
      <w:r w:rsidR="00613095" w:rsidRPr="003329A3">
        <w:t>many sites migrate</w:t>
      </w:r>
      <w:r w:rsidR="003329A3" w:rsidRPr="003329A3">
        <w:t>d</w:t>
      </w:r>
      <w:r w:rsidR="00613095" w:rsidRPr="003329A3">
        <w:t xml:space="preserve"> from gLite3.1 directly to the </w:t>
      </w:r>
      <w:r w:rsidR="008663B2">
        <w:t xml:space="preserve">functionally </w:t>
      </w:r>
      <w:r w:rsidR="00613095" w:rsidRPr="003329A3">
        <w:t xml:space="preserve">equivalent EMI-1 components (supported until April 2013) or to the upcoming EMI-2 </w:t>
      </w:r>
      <w:r w:rsidR="00971A40">
        <w:t xml:space="preserve">release </w:t>
      </w:r>
      <w:r w:rsidR="005478EF">
        <w:t>supporting</w:t>
      </w:r>
      <w:r w:rsidR="008663B2">
        <w:t xml:space="preserve"> both</w:t>
      </w:r>
      <w:r w:rsidR="00613095" w:rsidRPr="003329A3">
        <w:t xml:space="preserve"> SL5 and SL6.</w:t>
      </w:r>
    </w:p>
    <w:p w:rsidR="003329A3" w:rsidRDefault="003329A3" w:rsidP="003329A3">
      <w:pPr>
        <w:keepNext/>
      </w:pPr>
      <w:r w:rsidRPr="003329A3">
        <w:rPr>
          <w:noProof/>
          <w:lang w:eastAsia="en-GB"/>
        </w:rPr>
        <w:drawing>
          <wp:inline distT="0" distB="0" distL="0" distR="0" wp14:anchorId="43A3CF81" wp14:editId="7E5C721C">
            <wp:extent cx="5755640" cy="3432824"/>
            <wp:effectExtent l="0" t="0" r="0" b="0"/>
            <wp:docPr id="5122" name="Picture 4" descr="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4" descr="trend.png"/>
                    <pic:cNvPicPr>
                      <a:picLocks noChangeAspect="1"/>
                    </pic:cNvPicPr>
                  </pic:nvPicPr>
                  <pic:blipFill>
                    <a:blip r:embed="rId44">
                      <a:extLst>
                        <a:ext uri="{28A0092B-C50C-407E-A947-70E740481C1C}">
                          <a14:useLocalDpi xmlns:a14="http://schemas.microsoft.com/office/drawing/2010/main" val="0"/>
                        </a:ext>
                      </a:extLst>
                    </a:blip>
                    <a:srcRect t="2196"/>
                    <a:stretch>
                      <a:fillRect/>
                    </a:stretch>
                  </pic:blipFill>
                  <pic:spPr bwMode="auto">
                    <a:xfrm>
                      <a:off x="0" y="0"/>
                      <a:ext cx="5755640" cy="3432824"/>
                    </a:xfrm>
                    <a:prstGeom prst="rect">
                      <a:avLst/>
                    </a:prstGeom>
                    <a:noFill/>
                    <a:ln>
                      <a:noFill/>
                    </a:ln>
                    <a:extLst/>
                  </pic:spPr>
                </pic:pic>
              </a:graphicData>
            </a:graphic>
          </wp:inline>
        </w:drawing>
      </w:r>
    </w:p>
    <w:p w:rsidR="00613095" w:rsidRDefault="003329A3" w:rsidP="003329A3">
      <w:pPr>
        <w:pStyle w:val="Caption"/>
        <w:jc w:val="center"/>
      </w:pPr>
      <w:bookmarkStart w:id="102" w:name="_Toc355730467"/>
      <w:r>
        <w:t xml:space="preserve">Figure </w:t>
      </w:r>
      <w:r w:rsidR="00317058">
        <w:fldChar w:fldCharType="begin"/>
      </w:r>
      <w:r w:rsidR="00317058">
        <w:instrText xml:space="preserve"> SEQ Figure \* ARABIC </w:instrText>
      </w:r>
      <w:r w:rsidR="00317058">
        <w:fldChar w:fldCharType="separate"/>
      </w:r>
      <w:r w:rsidR="00A319E4">
        <w:rPr>
          <w:noProof/>
        </w:rPr>
        <w:t>23</w:t>
      </w:r>
      <w:r w:rsidR="00317058">
        <w:rPr>
          <w:noProof/>
        </w:rPr>
        <w:fldChar w:fldCharType="end"/>
      </w:r>
      <w:r w:rsidR="00F1288D">
        <w:rPr>
          <w:noProof/>
        </w:rPr>
        <w:t>.</w:t>
      </w:r>
      <w:r>
        <w:t xml:space="preserve"> </w:t>
      </w:r>
      <w:r w:rsidR="00F1288D">
        <w:t>Number of u</w:t>
      </w:r>
      <w:r>
        <w:t xml:space="preserve">nsupported </w:t>
      </w:r>
      <w:r w:rsidR="00F1288D">
        <w:t>gLite software services deployed in production. This diagrams shows the progress of the gLite decommissioning campaign in PQ09, 10 and 11.</w:t>
      </w:r>
      <w:bookmarkEnd w:id="102"/>
    </w:p>
    <w:p w:rsidR="00227AEE" w:rsidRDefault="00227AEE" w:rsidP="00227AEE">
      <w:bookmarkStart w:id="103" w:name="_Toc355730468"/>
      <w:r>
        <w:t xml:space="preserve">Figure </w:t>
      </w:r>
      <w:r w:rsidR="00A560B1">
        <w:fldChar w:fldCharType="begin"/>
      </w:r>
      <w:r w:rsidR="00A560B1">
        <w:instrText xml:space="preserve"> SEQ Figure \* ARABIC </w:instrText>
      </w:r>
      <w:r w:rsidR="00A560B1">
        <w:fldChar w:fldCharType="separate"/>
      </w:r>
      <w:r w:rsidR="00A319E4">
        <w:rPr>
          <w:noProof/>
        </w:rPr>
        <w:t>24</w:t>
      </w:r>
      <w:r w:rsidR="00A560B1">
        <w:rPr>
          <w:noProof/>
        </w:rPr>
        <w:fldChar w:fldCharType="end"/>
      </w:r>
      <w:r>
        <w:t xml:space="preserve"> shows the progress of </w:t>
      </w:r>
      <w:r w:rsidR="005478EF">
        <w:t xml:space="preserve">decommissioning gLite 3.1 and 3.2 </w:t>
      </w:r>
      <w:r>
        <w:t>unsupported middleware</w:t>
      </w:r>
      <w:r w:rsidR="00971A40">
        <w:t>, which was successfully completed in PQ11</w:t>
      </w:r>
      <w:r>
        <w:t xml:space="preserve">. </w:t>
      </w:r>
      <w:r w:rsidR="005478EF">
        <w:t>The increase in the number of service instances to be decommissioning, which is visible in October</w:t>
      </w:r>
      <w:r w:rsidR="00971A40">
        <w:t xml:space="preserve"> 2012</w:t>
      </w:r>
      <w:r w:rsidR="005478EF">
        <w:t>, is due to the</w:t>
      </w:r>
      <w:r>
        <w:t xml:space="preserve"> introduction of new Nagios probes </w:t>
      </w:r>
      <w:r w:rsidR="005478EF">
        <w:t xml:space="preserve">for the automated detection of </w:t>
      </w:r>
      <w:r>
        <w:t>new</w:t>
      </w:r>
      <w:r w:rsidR="005478EF">
        <w:t xml:space="preserve"> unsupported software versions</w:t>
      </w:r>
      <w:r>
        <w:t>.</w:t>
      </w:r>
      <w:bookmarkEnd w:id="103"/>
      <w:r>
        <w:t xml:space="preserve"> </w:t>
      </w:r>
    </w:p>
    <w:p w:rsidR="00F00862" w:rsidRPr="00AA4974" w:rsidRDefault="00F00862" w:rsidP="00F00862">
      <w:pPr>
        <w:pStyle w:val="Heading2"/>
      </w:pPr>
      <w:bookmarkStart w:id="104" w:name="_Toc355730427"/>
      <w:r w:rsidRPr="00AA4974">
        <w:t>Core Middleware Services</w:t>
      </w:r>
      <w:bookmarkEnd w:id="104"/>
    </w:p>
    <w:p w:rsidR="00F00862" w:rsidRPr="00380DFA" w:rsidRDefault="00F00862" w:rsidP="00F00862">
      <w:r w:rsidRPr="00380DFA">
        <w:t xml:space="preserve">Core grid </w:t>
      </w:r>
      <w:r w:rsidR="00130883" w:rsidRPr="00380DFA">
        <w:t xml:space="preserve">middleware </w:t>
      </w:r>
      <w:r w:rsidRPr="00380DFA">
        <w:t xml:space="preserve">services are provided by Resource infrastructure Providers to fulfil the needs of the national and international VOs supported by their resource centres. There are many core services </w:t>
      </w:r>
      <w:r w:rsidRPr="00380DFA">
        <w:lastRenderedPageBreak/>
        <w:t>provided through the different middleware stacks, this paragraph provides a snapshot of the current deployment for the four most deployed</w:t>
      </w:r>
      <w:r w:rsidR="00B50D19">
        <w:t xml:space="preserve"> ones</w:t>
      </w:r>
      <w:r w:rsidRPr="00380DFA">
        <w:t xml:space="preserve">: LFC (file catalogue), WMS (workload management), Top-BDII (information system top-level cache) and VOMS (VO membership, attribute management). </w:t>
      </w:r>
    </w:p>
    <w:p w:rsidR="00F00862" w:rsidRPr="00380DFA" w:rsidRDefault="00F00862" w:rsidP="00F00862">
      <w:r w:rsidRPr="00380DFA">
        <w:fldChar w:fldCharType="begin"/>
      </w:r>
      <w:r w:rsidRPr="00380DFA">
        <w:instrText xml:space="preserve"> REF _Ref195778617 \h </w:instrText>
      </w:r>
      <w:r w:rsidR="00B624C2" w:rsidRPr="00380DFA">
        <w:instrText xml:space="preserve"> \* MERGEFORMAT </w:instrText>
      </w:r>
      <w:r w:rsidRPr="00380DFA">
        <w:fldChar w:fldCharType="separate"/>
      </w:r>
      <w:r w:rsidR="00A319E4">
        <w:t xml:space="preserve">Figure </w:t>
      </w:r>
      <w:r w:rsidR="00A319E4">
        <w:rPr>
          <w:noProof/>
        </w:rPr>
        <w:t>25</w:t>
      </w:r>
      <w:r w:rsidRPr="00380DFA">
        <w:fldChar w:fldCharType="end"/>
      </w:r>
      <w:r w:rsidRPr="00380DFA">
        <w:t xml:space="preserve"> shows the current distribution of production instances among the EGI-InSPIRE partners and integrated resource providers. The instances information was collected by querying the Top-BDII: this information source cont</w:t>
      </w:r>
      <w:r w:rsidR="005D53DD" w:rsidRPr="00380DFA">
        <w:t xml:space="preserve">ains also the software version </w:t>
      </w:r>
      <w:r w:rsidRPr="00380DFA">
        <w:t xml:space="preserve">which </w:t>
      </w:r>
      <w:r w:rsidR="00130883" w:rsidRPr="00380DFA">
        <w:t xml:space="preserve">is </w:t>
      </w:r>
      <w:r w:rsidRPr="00380DFA">
        <w:t>not available in the services registry (GOCDB).</w:t>
      </w:r>
    </w:p>
    <w:p w:rsidR="00D04BBE" w:rsidRPr="00C25F34" w:rsidRDefault="00EB6E94" w:rsidP="00F00862">
      <w:r w:rsidRPr="00C25F34">
        <w:t>As of</w:t>
      </w:r>
      <w:r w:rsidR="00380DFA" w:rsidRPr="00C25F34">
        <w:t xml:space="preserve"> March 2013</w:t>
      </w:r>
      <w:r w:rsidR="00D04BBE" w:rsidRPr="00C25F34">
        <w:t xml:space="preserve"> </w:t>
      </w:r>
      <w:r w:rsidRPr="00C25F34">
        <w:t xml:space="preserve">the </w:t>
      </w:r>
      <w:r w:rsidR="00D04BBE" w:rsidRPr="00C25F34">
        <w:t>EGI integrated infrastructure compr</w:t>
      </w:r>
      <w:r w:rsidR="00130883" w:rsidRPr="00C25F34">
        <w:t>ises</w:t>
      </w:r>
      <w:r w:rsidR="00D04BBE" w:rsidRPr="00C25F34">
        <w:t xml:space="preserve"> </w:t>
      </w:r>
      <w:r w:rsidR="0023748D">
        <w:t>367</w:t>
      </w:r>
      <w:r w:rsidR="00D04BBE" w:rsidRPr="00C25F34">
        <w:t xml:space="preserve"> core services: 6</w:t>
      </w:r>
      <w:r w:rsidR="00380DFA" w:rsidRPr="00C25F34">
        <w:t>6 VOMS instances, 160 WMS, 33 LFC and 108</w:t>
      </w:r>
      <w:r w:rsidR="00D04BBE" w:rsidRPr="00C25F34">
        <w:t xml:space="preserve"> Top-BDII. The number of core services operated by an NGI naturally grows with the number of sites, the number of user communities supported and the size of the supported VOs.</w:t>
      </w:r>
    </w:p>
    <w:p w:rsidR="00F00862" w:rsidRPr="00C25F34" w:rsidRDefault="00F00862" w:rsidP="00F00862">
      <w:r w:rsidRPr="00C25F34">
        <w:t xml:space="preserve">WMS is the service with the highest number of instances, often NGIs deploy multiple instances of WMS to load balance the workload on </w:t>
      </w:r>
      <w:r w:rsidR="00B50D19">
        <w:t>individual</w:t>
      </w:r>
      <w:r w:rsidRPr="00C25F34">
        <w:t xml:space="preserve"> service</w:t>
      </w:r>
      <w:r w:rsidR="00B50D19">
        <w:t xml:space="preserve"> instance</w:t>
      </w:r>
      <w:r w:rsidRPr="00C25F34">
        <w:t xml:space="preserve">s. </w:t>
      </w:r>
    </w:p>
    <w:p w:rsidR="00F00862" w:rsidRDefault="00EB6E94" w:rsidP="00F00862">
      <w:r w:rsidRPr="00C25F34">
        <w:t xml:space="preserve">The </w:t>
      </w:r>
      <w:r w:rsidR="00F00862" w:rsidRPr="00C25F34">
        <w:t xml:space="preserve">Top-BDII is </w:t>
      </w:r>
      <w:r w:rsidR="00EE4222" w:rsidRPr="00C25F34">
        <w:t>offered – either directly or through the provisioning by other partners</w:t>
      </w:r>
      <w:r w:rsidR="00F00862" w:rsidRPr="00C25F34">
        <w:t xml:space="preserve"> </w:t>
      </w:r>
      <w:r w:rsidR="00EE4222" w:rsidRPr="00C25F34">
        <w:t xml:space="preserve">– </w:t>
      </w:r>
      <w:r w:rsidR="00F00862" w:rsidRPr="00C25F34">
        <w:t xml:space="preserve">by all the NGIs who are deploying </w:t>
      </w:r>
      <w:r w:rsidR="00301F0A">
        <w:t>EMI</w:t>
      </w:r>
      <w:r w:rsidR="00F00862" w:rsidRPr="00C25F34">
        <w:t xml:space="preserve"> middleware, since it </w:t>
      </w:r>
      <w:r w:rsidR="00B50D19">
        <w:t xml:space="preserve">offers a </w:t>
      </w:r>
      <w:r w:rsidR="00F00862" w:rsidRPr="00C25F34">
        <w:t xml:space="preserve">critical </w:t>
      </w:r>
      <w:r w:rsidR="00B50D19">
        <w:t>capability</w:t>
      </w:r>
      <w:r w:rsidR="00F00862" w:rsidRPr="00C25F34">
        <w:t xml:space="preserve"> for </w:t>
      </w:r>
      <w:r w:rsidR="00B50D19">
        <w:t>service discovery</w:t>
      </w:r>
      <w:r w:rsidR="00F00862" w:rsidRPr="00C25F34">
        <w:t xml:space="preserve">. </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1"/>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D204EC" w:rsidP="009B1455">
            <w:r>
              <w:rPr>
                <w:noProof/>
                <w:lang w:eastAsia="en-GB"/>
              </w:rPr>
              <w:drawing>
                <wp:inline distT="0" distB="0" distL="0" distR="0" wp14:anchorId="3B928BBE" wp14:editId="0007BD56">
                  <wp:extent cx="5756690" cy="3752491"/>
                  <wp:effectExtent l="0" t="0" r="0" b="635"/>
                  <wp:docPr id="30" name="Picture 30" descr="C:\Users\Krakowian\Google Drive\Operations\Documentation working space\D4.8\png\Overal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1500" cy="3755626"/>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380DFA" w:rsidP="009B1455">
            <w:r>
              <w:rPr>
                <w:noProof/>
                <w:lang w:eastAsia="en-GB"/>
              </w:rPr>
              <w:drawing>
                <wp:inline distT="0" distB="0" distL="0" distR="0" wp14:anchorId="43F74064" wp14:editId="7F6E2659">
                  <wp:extent cx="5745193" cy="3395104"/>
                  <wp:effectExtent l="0" t="0" r="8255" b="0"/>
                  <wp:docPr id="1609" name="Picture 1609" descr="C:\Users\Krakowian\Google Drive\Operations\Documentation working space\D4.8\png\W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0071" cy="3397987"/>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w:t>
            </w:r>
          </w:p>
          <w:p w:rsidR="00F00862" w:rsidRDefault="00F00862" w:rsidP="009B1455">
            <w:pPr>
              <w:jc w:val="center"/>
            </w:pPr>
            <w:r>
              <w:t>VO membership (VOMS)</w:t>
            </w:r>
          </w:p>
          <w:p w:rsidR="00F00862" w:rsidRDefault="00F00862" w:rsidP="009B1455">
            <w:pPr>
              <w:jc w:val="center"/>
            </w:pPr>
          </w:p>
        </w:tc>
        <w:tc>
          <w:tcPr>
            <w:tcW w:w="9273" w:type="dxa"/>
            <w:shd w:val="clear" w:color="auto" w:fill="auto"/>
          </w:tcPr>
          <w:p w:rsidR="00F00862" w:rsidRDefault="00380DFA" w:rsidP="009B1455">
            <w:r>
              <w:rPr>
                <w:noProof/>
                <w:lang w:eastAsia="en-GB"/>
              </w:rPr>
              <w:drawing>
                <wp:inline distT="0" distB="0" distL="0" distR="0" wp14:anchorId="3FC232FF" wp14:editId="182B347C">
                  <wp:extent cx="5684807" cy="2793188"/>
                  <wp:effectExtent l="0" t="0" r="0" b="7620"/>
                  <wp:docPr id="1611" name="Picture 1611" descr="C:\Users\Krakowian\Google Drive\Operations\Documentation working space\D4.8\png\VOMS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96865" cy="2799112"/>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380DFA" w:rsidP="009B1455">
            <w:r>
              <w:rPr>
                <w:noProof/>
                <w:lang w:eastAsia="en-GB"/>
              </w:rPr>
              <w:drawing>
                <wp:inline distT="0" distB="0" distL="0" distR="0" wp14:anchorId="4C893656" wp14:editId="46F67169">
                  <wp:extent cx="5624195" cy="3536950"/>
                  <wp:effectExtent l="0" t="0" r="0" b="6350"/>
                  <wp:docPr id="1612" name="Picture 1612" descr="C:\Users\Krakowian\Google Drive\Operations\Documentation working space\D4.8\png\LFC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4195" cy="3536950"/>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AA4A7F" w:rsidP="009B1455">
            <w:pPr>
              <w:jc w:val="center"/>
            </w:pPr>
            <w:r>
              <w:t>€</w:t>
            </w:r>
            <w:r w:rsidR="00F00862">
              <w:t xml:space="preserve"> Information system (Top-BDII)</w:t>
            </w:r>
          </w:p>
        </w:tc>
        <w:tc>
          <w:tcPr>
            <w:tcW w:w="9273" w:type="dxa"/>
            <w:shd w:val="clear" w:color="auto" w:fill="auto"/>
          </w:tcPr>
          <w:p w:rsidR="00F00862" w:rsidRDefault="00380DFA" w:rsidP="009B1455">
            <w:r>
              <w:rPr>
                <w:noProof/>
                <w:lang w:eastAsia="en-GB"/>
              </w:rPr>
              <w:drawing>
                <wp:inline distT="0" distB="0" distL="0" distR="0" wp14:anchorId="77699FC2" wp14:editId="2A22D4C8">
                  <wp:extent cx="5646423" cy="3252158"/>
                  <wp:effectExtent l="0" t="0" r="0" b="5715"/>
                  <wp:docPr id="1613" name="Picture 1613" descr="C:\Users\Krakowian\Google Drive\Operations\Documentation working space\D4.8\png\TopBDII grid services distribu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49614" cy="3253996"/>
                          </a:xfrm>
                          <a:prstGeom prst="rect">
                            <a:avLst/>
                          </a:prstGeom>
                          <a:noFill/>
                          <a:ln>
                            <a:noFill/>
                          </a:ln>
                        </pic:spPr>
                      </pic:pic>
                    </a:graphicData>
                  </a:graphic>
                </wp:inline>
              </w:drawing>
            </w:r>
          </w:p>
        </w:tc>
      </w:tr>
    </w:tbl>
    <w:p w:rsidR="00F00862" w:rsidRDefault="00F00862" w:rsidP="00AA4A7F">
      <w:pPr>
        <w:pStyle w:val="Caption"/>
        <w:jc w:val="center"/>
      </w:pPr>
      <w:bookmarkStart w:id="105" w:name="_Ref195778617"/>
      <w:bookmarkStart w:id="106" w:name="_Toc355730469"/>
      <w:r>
        <w:t xml:space="preserve">Figure </w:t>
      </w:r>
      <w:r w:rsidR="00A560B1">
        <w:fldChar w:fldCharType="begin"/>
      </w:r>
      <w:r w:rsidR="00A560B1">
        <w:instrText xml:space="preserve"> SEQ Figure \* ARABIC </w:instrText>
      </w:r>
      <w:r w:rsidR="00A560B1">
        <w:fldChar w:fldCharType="separate"/>
      </w:r>
      <w:r w:rsidR="00A319E4">
        <w:rPr>
          <w:noProof/>
        </w:rPr>
        <w:t>25</w:t>
      </w:r>
      <w:r w:rsidR="00A560B1">
        <w:rPr>
          <w:noProof/>
        </w:rPr>
        <w:fldChar w:fldCharType="end"/>
      </w:r>
      <w:bookmarkEnd w:id="105"/>
      <w:r>
        <w:t xml:space="preserve">, Number </w:t>
      </w:r>
      <w:r w:rsidRPr="00B94B47">
        <w:t>of core services instances</w:t>
      </w:r>
      <w:r>
        <w:t xml:space="preserve"> deployed within the EGI-InSP</w:t>
      </w:r>
      <w:r w:rsidR="00B94B47">
        <w:t>IRE integrated infrastructure. S</w:t>
      </w:r>
      <w:r>
        <w:t xml:space="preserve">ource: </w:t>
      </w:r>
      <w:r w:rsidR="00B94B47">
        <w:t>GOC DB</w:t>
      </w:r>
      <w:r>
        <w:t xml:space="preserve"> (March 201</w:t>
      </w:r>
      <w:r w:rsidR="00B94B47">
        <w:t>3</w:t>
      </w:r>
      <w:r>
        <w:t>)</w:t>
      </w:r>
      <w:r w:rsidR="00AA4A7F">
        <w:t>.</w:t>
      </w:r>
      <w:bookmarkEnd w:id="106"/>
    </w:p>
    <w:p w:rsidR="0011003C" w:rsidRDefault="0011003C" w:rsidP="0011003C">
      <w:pPr>
        <w:pStyle w:val="Heading2"/>
      </w:pPr>
      <w:bookmarkStart w:id="107" w:name="_Toc355730428"/>
      <w:r>
        <w:lastRenderedPageBreak/>
        <w:t>UMD in PY4</w:t>
      </w:r>
      <w:bookmarkEnd w:id="107"/>
    </w:p>
    <w:p w:rsidR="0011003C" w:rsidRDefault="0011003C" w:rsidP="0011003C">
      <w:r>
        <w:t>The UMD distribution will continue in PY4 to be the recommended distribution for RCs including products that successfully passed verification and validation according well defined procedures</w:t>
      </w:r>
      <w:r>
        <w:rPr>
          <w:rStyle w:val="FootnoteReference"/>
        </w:rPr>
        <w:footnoteReference w:id="33"/>
      </w:r>
      <w:r>
        <w:t>.</w:t>
      </w:r>
    </w:p>
    <w:p w:rsidR="0011003C" w:rsidRDefault="0011003C" w:rsidP="0011003C">
      <w:r>
        <w:t>With the end of EMI and IGE and their coordination function in May 2013, a number of actions have been undertaken to adapt EGI processes and support structures to the changes introduced.</w:t>
      </w:r>
    </w:p>
    <w:p w:rsidR="0011003C" w:rsidRDefault="0011003C" w:rsidP="0011003C">
      <w:r>
        <w:rPr>
          <w:b/>
        </w:rPr>
        <w:t xml:space="preserve">Support. </w:t>
      </w:r>
      <w:r>
        <w:t>EMI and IGE are the projects that have been providing specialized 3</w:t>
      </w:r>
      <w:r w:rsidRPr="0011003C">
        <w:rPr>
          <w:vertAlign w:val="superscript"/>
        </w:rPr>
        <w:t>rd</w:t>
      </w:r>
      <w:r>
        <w:t xml:space="preserve"> level support to EGI users and operators and internal coordination of 3</w:t>
      </w:r>
      <w:r w:rsidRPr="0011003C">
        <w:rPr>
          <w:vertAlign w:val="superscript"/>
        </w:rPr>
        <w:t>rd</w:t>
      </w:r>
      <w:r>
        <w:t xml:space="preserve"> level support. With the end of EMI and IGE Product Teams will be responsible of supporting their own products according to an own set of software support policies. In PY12 all Product Teams where contacted to discuss future support channels, response time to incident records in GGUS and Support Unit structures. </w:t>
      </w:r>
    </w:p>
    <w:p w:rsidR="0011003C" w:rsidRDefault="0011003C" w:rsidP="0011003C">
      <w:r>
        <w:t>In order to simplify software support, a GGUS workflow was defined and approved to handle unresponsive Support Units, with the objective of making sure that supporters are periodically notified when a response is due</w:t>
      </w:r>
      <w:r>
        <w:rPr>
          <w:rStyle w:val="FootnoteReference"/>
        </w:rPr>
        <w:footnoteReference w:id="34"/>
      </w:r>
      <w:r w:rsidR="004C3CB3">
        <w:t>.</w:t>
      </w:r>
    </w:p>
    <w:p w:rsidR="004C3CB3" w:rsidRDefault="004C3CB3" w:rsidP="0011003C">
      <w:r>
        <w:t>The current technology helpdesk for 3</w:t>
      </w:r>
      <w:r w:rsidRPr="004C3CB3">
        <w:rPr>
          <w:vertAlign w:val="superscript"/>
        </w:rPr>
        <w:t>rd</w:t>
      </w:r>
      <w:r>
        <w:t xml:space="preserve"> level support </w:t>
      </w:r>
      <w:r w:rsidR="002D59EE">
        <w:t>was assessed and a number of changes were agreed to improve accessibility to information in tickets that reach the 3</w:t>
      </w:r>
      <w:r w:rsidR="002D59EE" w:rsidRPr="002D59EE">
        <w:rPr>
          <w:vertAlign w:val="superscript"/>
        </w:rPr>
        <w:t>rd</w:t>
      </w:r>
      <w:r w:rsidR="002D59EE">
        <w:t xml:space="preserve"> level support escalation stage, and to improve traceability of delivery dates of Requests for Changes.</w:t>
      </w:r>
    </w:p>
    <w:p w:rsidR="0011003C" w:rsidRDefault="00BB79A4" w:rsidP="0011003C">
      <w:r>
        <w:t>The new Support Unit structure, the workflow for unresponsive supporters and the workflow for handling 3</w:t>
      </w:r>
      <w:r w:rsidRPr="00BB79A4">
        <w:rPr>
          <w:vertAlign w:val="superscript"/>
        </w:rPr>
        <w:t>rd</w:t>
      </w:r>
      <w:r>
        <w:t xml:space="preserve"> level support tickets will be implemented in PY13</w:t>
      </w:r>
      <w:r w:rsidR="0011003C">
        <w:t>.</w:t>
      </w:r>
      <w:r>
        <w:t xml:space="preserve"> 1</w:t>
      </w:r>
      <w:r w:rsidRPr="00BB79A4">
        <w:rPr>
          <w:vertAlign w:val="superscript"/>
        </w:rPr>
        <w:t>st</w:t>
      </w:r>
      <w:r>
        <w:t xml:space="preserve"> and 2</w:t>
      </w:r>
      <w:r w:rsidRPr="00BB79A4">
        <w:rPr>
          <w:vertAlign w:val="superscript"/>
        </w:rPr>
        <w:t>nd</w:t>
      </w:r>
      <w:r>
        <w:t xml:space="preserve"> level support, which are services internally provided by EGI, are not affected by changes introduced in 3</w:t>
      </w:r>
      <w:r w:rsidRPr="00BB79A4">
        <w:rPr>
          <w:vertAlign w:val="superscript"/>
        </w:rPr>
        <w:t>rd</w:t>
      </w:r>
      <w:r>
        <w:t xml:space="preserve"> level support.</w:t>
      </w:r>
    </w:p>
    <w:p w:rsidR="0064132B" w:rsidRDefault="00BB79A4" w:rsidP="0064132B">
      <w:r>
        <w:rPr>
          <w:b/>
        </w:rPr>
        <w:t xml:space="preserve">Coordination of UMD releases. </w:t>
      </w:r>
      <w:r w:rsidR="0064132B">
        <w:t xml:space="preserve">To compensate for the discontinuation of several coordination functions currently supplied by EGI and IGE as of May 2013, a new </w:t>
      </w:r>
      <w:r w:rsidR="00863A3B">
        <w:t xml:space="preserve">board for coordination of activities for UMD release activities was defined. The board – called UMD Release Team (URT) –will provide lightweight coordination of Product Team release activities. The board will discuss issues found during verification and validation of software, release calendars for fixes to critical issues affecting the infrastructure, </w:t>
      </w:r>
      <w:r w:rsidR="00BA1424">
        <w:t xml:space="preserve">UMD quality criteria, </w:t>
      </w:r>
      <w:r w:rsidR="00863A3B">
        <w:t xml:space="preserve">and will provide information about UMD release calendars and a communication channel between Product Teams. Product Team representatives and the UMD software provisioning team are members of URT. </w:t>
      </w:r>
      <w:r w:rsidR="00CA7687">
        <w:t>The URT was constituted in PQ12 and the Terms of Reference are being defined [URT].</w:t>
      </w:r>
    </w:p>
    <w:p w:rsidR="0064132B" w:rsidRPr="009F6858" w:rsidRDefault="009F6858" w:rsidP="0064132B">
      <w:r>
        <w:rPr>
          <w:b/>
        </w:rPr>
        <w:t xml:space="preserve">Future support of software products. </w:t>
      </w:r>
      <w:r w:rsidR="009D5F5E">
        <w:t>With the end of EMI the continuation of software maintenance and development activities for some products may be compromised. Continuity of support of several products is being discussed with the relevant Product Teams</w:t>
      </w:r>
      <w:r w:rsidR="009D5F5E">
        <w:rPr>
          <w:rStyle w:val="FootnoteReference"/>
        </w:rPr>
        <w:footnoteReference w:id="35"/>
      </w:r>
      <w:r w:rsidR="009D5F5E">
        <w:t>.</w:t>
      </w:r>
    </w:p>
    <w:p w:rsidR="00BB79A4" w:rsidRPr="0011003C" w:rsidRDefault="00BB79A4" w:rsidP="0011003C"/>
    <w:p w:rsidR="004C77BF" w:rsidRDefault="004C77BF" w:rsidP="008633B1">
      <w:pPr>
        <w:pStyle w:val="Heading1"/>
      </w:pPr>
      <w:bookmarkStart w:id="108" w:name="_Ref324141147"/>
      <w:bookmarkStart w:id="109" w:name="_Toc355730429"/>
      <w:r>
        <w:lastRenderedPageBreak/>
        <w:t>Cloud Infrastructure Platform</w:t>
      </w:r>
      <w:bookmarkEnd w:id="109"/>
    </w:p>
    <w:p w:rsidR="007A69CB" w:rsidRDefault="007A69CB" w:rsidP="007A69CB">
      <w:r>
        <w:t xml:space="preserve">To provide generic, consistent and flexible access to EGI resources, EGI initiated a strategic activity to establish a federation of locally deployed IaaS Clouds. The </w:t>
      </w:r>
      <w:r w:rsidRPr="004C77BF">
        <w:t>EGI Cloud Infrastructure Platform</w:t>
      </w:r>
      <w:r>
        <w:rPr>
          <w:b/>
        </w:rPr>
        <w:t xml:space="preserve"> </w:t>
      </w:r>
      <w:r>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rsidR="007A69CB" w:rsidRDefault="007A69CB" w:rsidP="007A69CB">
      <w:r>
        <w:t xml:space="preserve">Consequently, the EGI Cloud Infrastructure Platform is built around the concept of an </w:t>
      </w:r>
      <w:r>
        <w:rPr>
          <w:i/>
        </w:rPr>
        <w:t>abstract</w:t>
      </w:r>
      <w:r>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rsidR="007A69CB" w:rsidRDefault="007A69CB" w:rsidP="007A69CB">
      <w:pPr>
        <w:pStyle w:val="Caption"/>
        <w:jc w:val="center"/>
      </w:pPr>
      <w:bookmarkStart w:id="110" w:name="_Ref228504385"/>
      <w:r>
        <w:t xml:space="preserve">Table </w:t>
      </w:r>
      <w:r>
        <w:fldChar w:fldCharType="begin"/>
      </w:r>
      <w:r>
        <w:instrText xml:space="preserve"> SEQ Table \* ARABIC </w:instrText>
      </w:r>
      <w:r>
        <w:fldChar w:fldCharType="separate"/>
      </w:r>
      <w:r w:rsidR="00A319E4">
        <w:rPr>
          <w:noProof/>
        </w:rPr>
        <w:t>15</w:t>
      </w:r>
      <w:r>
        <w:rPr>
          <w:noProof/>
        </w:rPr>
        <w:fldChar w:fldCharType="end"/>
      </w:r>
      <w:bookmarkEnd w:id="110"/>
      <w:r>
        <w:t>: Resource providers participating to the Federated Clouds test-bed (April 2013)</w:t>
      </w:r>
    </w:p>
    <w:tbl>
      <w:tblPr>
        <w:tblStyle w:val="TableGrid"/>
        <w:tblW w:w="0" w:type="auto"/>
        <w:jc w:val="center"/>
        <w:tblInd w:w="817" w:type="dxa"/>
        <w:tblLook w:val="04A0" w:firstRow="1" w:lastRow="0" w:firstColumn="1" w:lastColumn="0" w:noHBand="0" w:noVBand="1"/>
      </w:tblPr>
      <w:tblGrid>
        <w:gridCol w:w="1503"/>
        <w:gridCol w:w="2320"/>
        <w:gridCol w:w="2320"/>
        <w:gridCol w:w="2320"/>
      </w:tblGrid>
      <w:tr w:rsidR="007A69CB" w:rsidTr="004C3CB3">
        <w:trPr>
          <w:jc w:val="center"/>
        </w:trPr>
        <w:tc>
          <w:tcPr>
            <w:tcW w:w="1503" w:type="dxa"/>
          </w:tcPr>
          <w:p w:rsidR="007A69CB" w:rsidRPr="00AA4A7F" w:rsidRDefault="007A69CB" w:rsidP="004C3CB3">
            <w:pPr>
              <w:jc w:val="center"/>
              <w:rPr>
                <w:b/>
              </w:rPr>
            </w:pPr>
            <w:r w:rsidRPr="00AA4A7F">
              <w:rPr>
                <w:b/>
              </w:rPr>
              <w:t>Resource centre name</w:t>
            </w:r>
          </w:p>
        </w:tc>
        <w:tc>
          <w:tcPr>
            <w:tcW w:w="2320" w:type="dxa"/>
          </w:tcPr>
          <w:p w:rsidR="007A69CB" w:rsidRPr="00AA4A7F" w:rsidRDefault="007A69CB" w:rsidP="004C3CB3">
            <w:pPr>
              <w:jc w:val="center"/>
              <w:rPr>
                <w:b/>
              </w:rPr>
            </w:pPr>
            <w:r w:rsidRPr="00AA4A7F">
              <w:rPr>
                <w:b/>
              </w:rPr>
              <w:t>Number of cores available in the test-bed</w:t>
            </w:r>
          </w:p>
        </w:tc>
        <w:tc>
          <w:tcPr>
            <w:tcW w:w="2320" w:type="dxa"/>
          </w:tcPr>
          <w:p w:rsidR="007A69CB" w:rsidRPr="00AA4A7F" w:rsidRDefault="007A69CB" w:rsidP="004C3CB3">
            <w:pPr>
              <w:jc w:val="center"/>
              <w:rPr>
                <w:b/>
              </w:rPr>
            </w:pPr>
            <w:r w:rsidRPr="00AA4A7F">
              <w:rPr>
                <w:b/>
              </w:rPr>
              <w:t>Amount of disk space available in the test-bed</w:t>
            </w:r>
          </w:p>
        </w:tc>
        <w:tc>
          <w:tcPr>
            <w:tcW w:w="2320" w:type="dxa"/>
          </w:tcPr>
          <w:p w:rsidR="007A69CB" w:rsidRPr="00AA4A7F" w:rsidRDefault="007A69CB" w:rsidP="004C3CB3">
            <w:pPr>
              <w:jc w:val="center"/>
              <w:rPr>
                <w:b/>
              </w:rPr>
            </w:pPr>
            <w:r w:rsidRPr="00AA4A7F">
              <w:rPr>
                <w:b/>
              </w:rPr>
              <w:t>Cloud middleware deployed</w:t>
            </w:r>
          </w:p>
        </w:tc>
      </w:tr>
      <w:tr w:rsidR="007A69CB" w:rsidTr="004C3CB3">
        <w:trPr>
          <w:jc w:val="center"/>
        </w:trPr>
        <w:tc>
          <w:tcPr>
            <w:tcW w:w="1503" w:type="dxa"/>
          </w:tcPr>
          <w:p w:rsidR="007A69CB" w:rsidRDefault="007A69CB" w:rsidP="004C3CB3">
            <w:r>
              <w:t>BSC</w:t>
            </w:r>
          </w:p>
        </w:tc>
        <w:tc>
          <w:tcPr>
            <w:tcW w:w="2320" w:type="dxa"/>
          </w:tcPr>
          <w:p w:rsidR="007A69CB" w:rsidRDefault="007A69CB" w:rsidP="004C3CB3">
            <w:pPr>
              <w:jc w:val="center"/>
            </w:pPr>
            <w:r>
              <w:t>96</w:t>
            </w:r>
          </w:p>
        </w:tc>
        <w:tc>
          <w:tcPr>
            <w:tcW w:w="2320" w:type="dxa"/>
          </w:tcPr>
          <w:p w:rsidR="007A69CB" w:rsidRDefault="007A69CB" w:rsidP="004C3CB3">
            <w:pPr>
              <w:jc w:val="center"/>
            </w:pPr>
            <w:r>
              <w:t>3.6TB</w:t>
            </w:r>
          </w:p>
        </w:tc>
        <w:tc>
          <w:tcPr>
            <w:tcW w:w="2320" w:type="dxa"/>
          </w:tcPr>
          <w:p w:rsidR="007A69CB" w:rsidRDefault="007A69CB" w:rsidP="004C3CB3">
            <w:r>
              <w:t>Open Nebula/Open Stack</w:t>
            </w:r>
          </w:p>
        </w:tc>
      </w:tr>
      <w:tr w:rsidR="007A69CB" w:rsidTr="004C3CB3">
        <w:trPr>
          <w:jc w:val="center"/>
        </w:trPr>
        <w:tc>
          <w:tcPr>
            <w:tcW w:w="1503" w:type="dxa"/>
          </w:tcPr>
          <w:p w:rsidR="007A69CB" w:rsidRDefault="007A69CB" w:rsidP="004C3CB3">
            <w:r>
              <w:t>CESGA</w:t>
            </w:r>
          </w:p>
        </w:tc>
        <w:tc>
          <w:tcPr>
            <w:tcW w:w="2320" w:type="dxa"/>
          </w:tcPr>
          <w:p w:rsidR="007A69CB" w:rsidRDefault="007A69CB" w:rsidP="004C3CB3">
            <w:pPr>
              <w:jc w:val="center"/>
            </w:pPr>
            <w:r>
              <w:t>33</w:t>
            </w:r>
          </w:p>
        </w:tc>
        <w:tc>
          <w:tcPr>
            <w:tcW w:w="2320" w:type="dxa"/>
          </w:tcPr>
          <w:p w:rsidR="007A69CB" w:rsidRDefault="007A69CB" w:rsidP="004C3CB3">
            <w:pPr>
              <w:jc w:val="center"/>
            </w:pPr>
            <w:r>
              <w:t>450GB</w:t>
            </w:r>
          </w:p>
        </w:tc>
        <w:tc>
          <w:tcPr>
            <w:tcW w:w="2320" w:type="dxa"/>
          </w:tcPr>
          <w:p w:rsidR="007A69CB" w:rsidRDefault="007A69CB" w:rsidP="004C3CB3">
            <w:r>
              <w:t>Open Nebula</w:t>
            </w:r>
          </w:p>
        </w:tc>
      </w:tr>
      <w:tr w:rsidR="007A69CB" w:rsidTr="004C3CB3">
        <w:trPr>
          <w:jc w:val="center"/>
        </w:trPr>
        <w:tc>
          <w:tcPr>
            <w:tcW w:w="1503" w:type="dxa"/>
          </w:tcPr>
          <w:p w:rsidR="007A69CB" w:rsidRDefault="007A69CB" w:rsidP="004C3CB3">
            <w:r>
              <w:t>CESNET</w:t>
            </w:r>
          </w:p>
        </w:tc>
        <w:tc>
          <w:tcPr>
            <w:tcW w:w="2320" w:type="dxa"/>
          </w:tcPr>
          <w:p w:rsidR="007A69CB" w:rsidRDefault="007A69CB" w:rsidP="004C3CB3">
            <w:pPr>
              <w:jc w:val="center"/>
            </w:pPr>
            <w:r>
              <w:t>240</w:t>
            </w:r>
          </w:p>
        </w:tc>
        <w:tc>
          <w:tcPr>
            <w:tcW w:w="2320" w:type="dxa"/>
          </w:tcPr>
          <w:p w:rsidR="007A69CB" w:rsidRDefault="007A69CB" w:rsidP="004C3CB3">
            <w:pPr>
              <w:jc w:val="center"/>
            </w:pPr>
            <w:r>
              <w:t>44TB</w:t>
            </w:r>
          </w:p>
        </w:tc>
        <w:tc>
          <w:tcPr>
            <w:tcW w:w="2320" w:type="dxa"/>
          </w:tcPr>
          <w:p w:rsidR="007A69CB" w:rsidRDefault="007A69CB" w:rsidP="004C3CB3">
            <w:r>
              <w:t>Open Nebula</w:t>
            </w:r>
          </w:p>
        </w:tc>
      </w:tr>
      <w:tr w:rsidR="007A69CB" w:rsidTr="004C3CB3">
        <w:trPr>
          <w:jc w:val="center"/>
        </w:trPr>
        <w:tc>
          <w:tcPr>
            <w:tcW w:w="1503" w:type="dxa"/>
          </w:tcPr>
          <w:p w:rsidR="007A69CB" w:rsidRDefault="007A69CB" w:rsidP="004C3CB3">
            <w:r>
              <w:t>Cyfronet</w:t>
            </w:r>
          </w:p>
        </w:tc>
        <w:tc>
          <w:tcPr>
            <w:tcW w:w="2320" w:type="dxa"/>
          </w:tcPr>
          <w:p w:rsidR="007A69CB" w:rsidRDefault="007A69CB" w:rsidP="004C3CB3">
            <w:pPr>
              <w:jc w:val="center"/>
            </w:pPr>
            <w:r>
              <w:t>32</w:t>
            </w:r>
          </w:p>
        </w:tc>
        <w:tc>
          <w:tcPr>
            <w:tcW w:w="2320" w:type="dxa"/>
          </w:tcPr>
          <w:p w:rsidR="007A69CB" w:rsidRDefault="007A69CB" w:rsidP="004C3CB3">
            <w:pPr>
              <w:jc w:val="center"/>
            </w:pPr>
            <w:r>
              <w:t>Local disk</w:t>
            </w:r>
          </w:p>
        </w:tc>
        <w:tc>
          <w:tcPr>
            <w:tcW w:w="2320" w:type="dxa"/>
          </w:tcPr>
          <w:p w:rsidR="007A69CB" w:rsidRDefault="007A69CB" w:rsidP="004C3CB3">
            <w:r>
              <w:t>Open Nebula</w:t>
            </w:r>
          </w:p>
        </w:tc>
      </w:tr>
      <w:tr w:rsidR="007A69CB" w:rsidTr="004C3CB3">
        <w:trPr>
          <w:jc w:val="center"/>
        </w:trPr>
        <w:tc>
          <w:tcPr>
            <w:tcW w:w="1503" w:type="dxa"/>
          </w:tcPr>
          <w:p w:rsidR="007A69CB" w:rsidRDefault="007A69CB" w:rsidP="004C3CB3">
            <w:r>
              <w:t>FZ Jülich</w:t>
            </w:r>
          </w:p>
        </w:tc>
        <w:tc>
          <w:tcPr>
            <w:tcW w:w="2320" w:type="dxa"/>
          </w:tcPr>
          <w:p w:rsidR="007A69CB" w:rsidRDefault="007A69CB" w:rsidP="004C3CB3">
            <w:pPr>
              <w:jc w:val="center"/>
            </w:pPr>
            <w:r>
              <w:t>76</w:t>
            </w:r>
          </w:p>
        </w:tc>
        <w:tc>
          <w:tcPr>
            <w:tcW w:w="2320" w:type="dxa"/>
          </w:tcPr>
          <w:p w:rsidR="007A69CB" w:rsidRDefault="007A69CB" w:rsidP="004C3CB3">
            <w:pPr>
              <w:jc w:val="center"/>
            </w:pPr>
            <w:r>
              <w:t>5TB</w:t>
            </w:r>
          </w:p>
        </w:tc>
        <w:tc>
          <w:tcPr>
            <w:tcW w:w="2320" w:type="dxa"/>
          </w:tcPr>
          <w:p w:rsidR="007A69CB" w:rsidRDefault="007A69CB" w:rsidP="004C3CB3">
            <w:r>
              <w:t>Open Stack</w:t>
            </w:r>
          </w:p>
        </w:tc>
      </w:tr>
      <w:tr w:rsidR="007A69CB" w:rsidTr="004C3CB3">
        <w:trPr>
          <w:jc w:val="center"/>
        </w:trPr>
        <w:tc>
          <w:tcPr>
            <w:tcW w:w="1503" w:type="dxa"/>
          </w:tcPr>
          <w:p w:rsidR="007A69CB" w:rsidRDefault="007A69CB" w:rsidP="004C3CB3">
            <w:r>
              <w:t>GRNET</w:t>
            </w:r>
          </w:p>
        </w:tc>
        <w:tc>
          <w:tcPr>
            <w:tcW w:w="2320" w:type="dxa"/>
          </w:tcPr>
          <w:p w:rsidR="007A69CB" w:rsidRDefault="007A69CB" w:rsidP="004C3CB3">
            <w:pPr>
              <w:jc w:val="center"/>
            </w:pPr>
            <w:r>
              <w:t>200</w:t>
            </w:r>
          </w:p>
        </w:tc>
        <w:tc>
          <w:tcPr>
            <w:tcW w:w="2320" w:type="dxa"/>
          </w:tcPr>
          <w:p w:rsidR="007A69CB" w:rsidRDefault="007A69CB" w:rsidP="004C3CB3">
            <w:pPr>
              <w:jc w:val="center"/>
            </w:pPr>
            <w:r>
              <w:t>22TB</w:t>
            </w:r>
          </w:p>
        </w:tc>
        <w:tc>
          <w:tcPr>
            <w:tcW w:w="2320" w:type="dxa"/>
          </w:tcPr>
          <w:p w:rsidR="007A69CB" w:rsidRDefault="007A69CB" w:rsidP="004C3CB3">
            <w:r>
              <w:t>Okeanos (Open Stack compatible)</w:t>
            </w:r>
          </w:p>
        </w:tc>
      </w:tr>
      <w:tr w:rsidR="007A69CB" w:rsidTr="004C3CB3">
        <w:trPr>
          <w:jc w:val="center"/>
        </w:trPr>
        <w:tc>
          <w:tcPr>
            <w:tcW w:w="1503" w:type="dxa"/>
          </w:tcPr>
          <w:p w:rsidR="007A69CB" w:rsidRDefault="007A69CB" w:rsidP="004C3CB3">
            <w:r>
              <w:t>GWDG</w:t>
            </w:r>
          </w:p>
        </w:tc>
        <w:tc>
          <w:tcPr>
            <w:tcW w:w="2320" w:type="dxa"/>
          </w:tcPr>
          <w:p w:rsidR="007A69CB" w:rsidRDefault="007A69CB" w:rsidP="004C3CB3">
            <w:pPr>
              <w:jc w:val="center"/>
            </w:pPr>
            <w:r>
              <w:t>32</w:t>
            </w:r>
          </w:p>
        </w:tc>
        <w:tc>
          <w:tcPr>
            <w:tcW w:w="2320" w:type="dxa"/>
          </w:tcPr>
          <w:p w:rsidR="007A69CB" w:rsidRDefault="007A69CB" w:rsidP="004C3CB3">
            <w:pPr>
              <w:jc w:val="center"/>
            </w:pPr>
            <w:r>
              <w:t>1TB</w:t>
            </w:r>
          </w:p>
        </w:tc>
        <w:tc>
          <w:tcPr>
            <w:tcW w:w="2320" w:type="dxa"/>
          </w:tcPr>
          <w:p w:rsidR="007A69CB" w:rsidRDefault="007A69CB" w:rsidP="004C3CB3">
            <w:r>
              <w:t>Open Nebula</w:t>
            </w:r>
          </w:p>
        </w:tc>
      </w:tr>
      <w:tr w:rsidR="007A69CB" w:rsidTr="004C3CB3">
        <w:trPr>
          <w:jc w:val="center"/>
        </w:trPr>
        <w:tc>
          <w:tcPr>
            <w:tcW w:w="1503" w:type="dxa"/>
          </w:tcPr>
          <w:p w:rsidR="007A69CB" w:rsidRDefault="007A69CB" w:rsidP="004C3CB3">
            <w:r>
              <w:t>CC-IN2P3</w:t>
            </w:r>
          </w:p>
        </w:tc>
        <w:tc>
          <w:tcPr>
            <w:tcW w:w="2320" w:type="dxa"/>
          </w:tcPr>
          <w:p w:rsidR="007A69CB" w:rsidRDefault="007A69CB" w:rsidP="004C3CB3">
            <w:pPr>
              <w:jc w:val="center"/>
            </w:pPr>
            <w:r>
              <w:t>384</w:t>
            </w:r>
          </w:p>
        </w:tc>
        <w:tc>
          <w:tcPr>
            <w:tcW w:w="2320" w:type="dxa"/>
          </w:tcPr>
          <w:p w:rsidR="007A69CB" w:rsidRDefault="007A69CB" w:rsidP="004C3CB3">
            <w:pPr>
              <w:jc w:val="center"/>
            </w:pPr>
            <w:r>
              <w:t>32</w:t>
            </w:r>
          </w:p>
        </w:tc>
        <w:tc>
          <w:tcPr>
            <w:tcW w:w="2320" w:type="dxa"/>
          </w:tcPr>
          <w:p w:rsidR="007A69CB" w:rsidRDefault="007A69CB" w:rsidP="004C3CB3">
            <w:r>
              <w:t>Open Stack</w:t>
            </w:r>
          </w:p>
        </w:tc>
      </w:tr>
      <w:tr w:rsidR="007A69CB" w:rsidTr="004C3CB3">
        <w:trPr>
          <w:jc w:val="center"/>
        </w:trPr>
        <w:tc>
          <w:tcPr>
            <w:tcW w:w="1503" w:type="dxa"/>
          </w:tcPr>
          <w:p w:rsidR="007A69CB" w:rsidRDefault="007A69CB" w:rsidP="004C3CB3">
            <w:r>
              <w:t>KTH</w:t>
            </w:r>
          </w:p>
        </w:tc>
        <w:tc>
          <w:tcPr>
            <w:tcW w:w="2320" w:type="dxa"/>
          </w:tcPr>
          <w:p w:rsidR="007A69CB" w:rsidRDefault="007A69CB" w:rsidP="004C3CB3">
            <w:pPr>
              <w:jc w:val="center"/>
            </w:pPr>
            <w:r>
              <w:t>4</w:t>
            </w:r>
          </w:p>
        </w:tc>
        <w:tc>
          <w:tcPr>
            <w:tcW w:w="2320" w:type="dxa"/>
          </w:tcPr>
          <w:p w:rsidR="007A69CB" w:rsidRDefault="007A69CB" w:rsidP="004C3CB3">
            <w:pPr>
              <w:jc w:val="center"/>
            </w:pPr>
            <w:r>
              <w:t>1TB</w:t>
            </w:r>
          </w:p>
        </w:tc>
        <w:tc>
          <w:tcPr>
            <w:tcW w:w="2320" w:type="dxa"/>
          </w:tcPr>
          <w:p w:rsidR="007A69CB" w:rsidRDefault="007A69CB" w:rsidP="004C3CB3">
            <w:r>
              <w:t>Open Nebula</w:t>
            </w:r>
          </w:p>
        </w:tc>
      </w:tr>
    </w:tbl>
    <w:p w:rsidR="007A69CB" w:rsidRDefault="007A69CB" w:rsidP="007A69CB"/>
    <w:p w:rsidR="007A69CB" w:rsidRDefault="007A69CB" w:rsidP="007A69CB">
      <w:pPr>
        <w:pStyle w:val="Caption"/>
        <w:keepNext/>
        <w:keepLines/>
        <w:jc w:val="center"/>
      </w:pPr>
      <w:bookmarkStart w:id="111" w:name="_Ref229038089"/>
      <w:r>
        <w:lastRenderedPageBreak/>
        <w:t xml:space="preserve">Table </w:t>
      </w:r>
      <w:r>
        <w:fldChar w:fldCharType="begin"/>
      </w:r>
      <w:r>
        <w:instrText xml:space="preserve"> SEQ Table \* ARABIC </w:instrText>
      </w:r>
      <w:r>
        <w:fldChar w:fldCharType="separate"/>
      </w:r>
      <w:r w:rsidR="00A319E4">
        <w:rPr>
          <w:noProof/>
        </w:rPr>
        <w:t>16</w:t>
      </w:r>
      <w:r>
        <w:fldChar w:fldCharType="end"/>
      </w:r>
      <w:bookmarkEnd w:id="111"/>
      <w:r>
        <w:t>: Resource providers under the process of integration in the Federated Clouds test-bed (April 2013)</w:t>
      </w:r>
    </w:p>
    <w:tbl>
      <w:tblPr>
        <w:tblStyle w:val="TableGrid"/>
        <w:tblW w:w="8264" w:type="dxa"/>
        <w:jc w:val="center"/>
        <w:tblInd w:w="108" w:type="dxa"/>
        <w:tblLook w:val="04A0" w:firstRow="1" w:lastRow="0" w:firstColumn="1" w:lastColumn="0" w:noHBand="0" w:noVBand="1"/>
      </w:tblPr>
      <w:tblGrid>
        <w:gridCol w:w="2066"/>
        <w:gridCol w:w="2066"/>
        <w:gridCol w:w="2066"/>
        <w:gridCol w:w="2066"/>
      </w:tblGrid>
      <w:tr w:rsidR="007A69CB" w:rsidTr="007A69CB">
        <w:trPr>
          <w:cantSplit/>
          <w:trHeight w:val="462"/>
          <w:jc w:val="center"/>
        </w:trPr>
        <w:tc>
          <w:tcPr>
            <w:tcW w:w="2066" w:type="dxa"/>
          </w:tcPr>
          <w:p w:rsidR="007A69CB" w:rsidRPr="00AA4A7F" w:rsidRDefault="00C86F9E" w:rsidP="004C3CB3">
            <w:pPr>
              <w:suppressAutoHyphens w:val="0"/>
              <w:jc w:val="center"/>
              <w:rPr>
                <w:b/>
              </w:rPr>
            </w:pPr>
            <w:r>
              <w:rPr>
                <w:b/>
              </w:rPr>
              <w:t xml:space="preserve"> </w:t>
            </w:r>
          </w:p>
        </w:tc>
        <w:tc>
          <w:tcPr>
            <w:tcW w:w="2066" w:type="dxa"/>
          </w:tcPr>
          <w:p w:rsidR="007A69CB" w:rsidRPr="00AA4A7F" w:rsidRDefault="007A69CB" w:rsidP="004C3CB3">
            <w:pPr>
              <w:suppressAutoHyphens w:val="0"/>
              <w:jc w:val="center"/>
              <w:rPr>
                <w:b/>
              </w:rPr>
            </w:pPr>
            <w:r w:rsidRPr="00AA4A7F">
              <w:rPr>
                <w:b/>
              </w:rPr>
              <w:t xml:space="preserve">Number of cores </w:t>
            </w:r>
            <w:r>
              <w:rPr>
                <w:b/>
              </w:rPr>
              <w:t>potentially contributed to the testbed</w:t>
            </w:r>
          </w:p>
        </w:tc>
        <w:tc>
          <w:tcPr>
            <w:tcW w:w="2066" w:type="dxa"/>
          </w:tcPr>
          <w:p w:rsidR="007A69CB" w:rsidRPr="00AA4A7F" w:rsidRDefault="007A69CB" w:rsidP="004C3CB3">
            <w:pPr>
              <w:suppressAutoHyphens w:val="0"/>
              <w:jc w:val="center"/>
              <w:rPr>
                <w:b/>
              </w:rPr>
            </w:pPr>
            <w:r w:rsidRPr="00AA4A7F">
              <w:rPr>
                <w:b/>
              </w:rPr>
              <w:t xml:space="preserve">Amount of disk space </w:t>
            </w:r>
            <w:r>
              <w:rPr>
                <w:b/>
              </w:rPr>
              <w:t>potentially contributed</w:t>
            </w:r>
            <w:r w:rsidRPr="00AA4A7F">
              <w:rPr>
                <w:b/>
              </w:rPr>
              <w:t xml:space="preserve"> </w:t>
            </w:r>
            <w:r>
              <w:rPr>
                <w:b/>
              </w:rPr>
              <w:t>to</w:t>
            </w:r>
            <w:r w:rsidRPr="00AA4A7F">
              <w:rPr>
                <w:b/>
              </w:rPr>
              <w:t xml:space="preserve"> the test-bed</w:t>
            </w:r>
          </w:p>
        </w:tc>
        <w:tc>
          <w:tcPr>
            <w:tcW w:w="2066" w:type="dxa"/>
          </w:tcPr>
          <w:p w:rsidR="007A69CB" w:rsidRPr="00AA4A7F" w:rsidRDefault="007A69CB" w:rsidP="004C3CB3">
            <w:pPr>
              <w:suppressAutoHyphens w:val="0"/>
              <w:jc w:val="center"/>
              <w:rPr>
                <w:b/>
              </w:rPr>
            </w:pPr>
            <w:r w:rsidRPr="00AA4A7F">
              <w:rPr>
                <w:b/>
              </w:rPr>
              <w:t>Cloud middleware deployed</w:t>
            </w:r>
          </w:p>
        </w:tc>
      </w:tr>
      <w:tr w:rsidR="007A69CB" w:rsidTr="007A69CB">
        <w:trPr>
          <w:cantSplit/>
          <w:trHeight w:val="462"/>
          <w:jc w:val="center"/>
        </w:trPr>
        <w:tc>
          <w:tcPr>
            <w:tcW w:w="2066" w:type="dxa"/>
          </w:tcPr>
          <w:p w:rsidR="007A69CB" w:rsidRDefault="007A69CB" w:rsidP="004C3CB3">
            <w:pPr>
              <w:suppressAutoHyphens w:val="0"/>
            </w:pPr>
            <w:r>
              <w:t>CETA-CIEMAT</w:t>
            </w:r>
          </w:p>
        </w:tc>
        <w:tc>
          <w:tcPr>
            <w:tcW w:w="2066" w:type="dxa"/>
          </w:tcPr>
          <w:p w:rsidR="007A69CB" w:rsidRDefault="007A69CB" w:rsidP="004C3CB3">
            <w:pPr>
              <w:suppressAutoHyphens w:val="0"/>
              <w:jc w:val="center"/>
            </w:pPr>
            <w:r>
              <w:t>104</w:t>
            </w:r>
          </w:p>
        </w:tc>
        <w:tc>
          <w:tcPr>
            <w:tcW w:w="2066" w:type="dxa"/>
          </w:tcPr>
          <w:p w:rsidR="007A69CB" w:rsidRDefault="007A69CB" w:rsidP="004C3CB3">
            <w:pPr>
              <w:suppressAutoHyphens w:val="0"/>
              <w:jc w:val="center"/>
            </w:pPr>
            <w:r>
              <w:t>Local disk</w:t>
            </w:r>
          </w:p>
        </w:tc>
        <w:tc>
          <w:tcPr>
            <w:tcW w:w="2066" w:type="dxa"/>
          </w:tcPr>
          <w:p w:rsidR="007A69CB" w:rsidRDefault="007A69CB" w:rsidP="004C3CB3">
            <w:pPr>
              <w:suppressAutoHyphens w:val="0"/>
            </w:pPr>
            <w:r>
              <w:t>Open Stack</w:t>
            </w:r>
          </w:p>
        </w:tc>
      </w:tr>
      <w:tr w:rsidR="007A69CB" w:rsidTr="007A69CB">
        <w:trPr>
          <w:cantSplit/>
          <w:trHeight w:val="481"/>
          <w:jc w:val="center"/>
        </w:trPr>
        <w:tc>
          <w:tcPr>
            <w:tcW w:w="2066" w:type="dxa"/>
          </w:tcPr>
          <w:p w:rsidR="007A69CB" w:rsidRDefault="007A69CB" w:rsidP="004C3CB3">
            <w:pPr>
              <w:suppressAutoHyphens w:val="0"/>
            </w:pPr>
            <w:r>
              <w:t>INFN</w:t>
            </w:r>
          </w:p>
        </w:tc>
        <w:tc>
          <w:tcPr>
            <w:tcW w:w="2066" w:type="dxa"/>
          </w:tcPr>
          <w:p w:rsidR="007A69CB" w:rsidRDefault="007A69CB" w:rsidP="004C3CB3">
            <w:pPr>
              <w:suppressAutoHyphens w:val="0"/>
              <w:jc w:val="center"/>
            </w:pPr>
            <w:r>
              <w:t>24</w:t>
            </w:r>
          </w:p>
        </w:tc>
        <w:tc>
          <w:tcPr>
            <w:tcW w:w="2066" w:type="dxa"/>
          </w:tcPr>
          <w:p w:rsidR="007A69CB" w:rsidRDefault="007A69CB" w:rsidP="004C3CB3">
            <w:pPr>
              <w:suppressAutoHyphens w:val="0"/>
              <w:jc w:val="center"/>
            </w:pPr>
            <w:r>
              <w:t>2TB</w:t>
            </w:r>
          </w:p>
        </w:tc>
        <w:tc>
          <w:tcPr>
            <w:tcW w:w="2066" w:type="dxa"/>
          </w:tcPr>
          <w:p w:rsidR="007A69CB" w:rsidRDefault="007A69CB" w:rsidP="004C3CB3">
            <w:pPr>
              <w:suppressAutoHyphens w:val="0"/>
            </w:pPr>
            <w:r>
              <w:t>WNoDeS</w:t>
            </w:r>
          </w:p>
        </w:tc>
      </w:tr>
      <w:tr w:rsidR="007A69CB" w:rsidTr="007A69CB">
        <w:trPr>
          <w:cantSplit/>
          <w:trHeight w:val="481"/>
          <w:jc w:val="center"/>
        </w:trPr>
        <w:tc>
          <w:tcPr>
            <w:tcW w:w="2066" w:type="dxa"/>
          </w:tcPr>
          <w:p w:rsidR="007A69CB" w:rsidRDefault="007A69CB" w:rsidP="004C3CB3">
            <w:pPr>
              <w:suppressAutoHyphens w:val="0"/>
            </w:pPr>
            <w:r>
              <w:t>IFCA</w:t>
            </w:r>
          </w:p>
        </w:tc>
        <w:tc>
          <w:tcPr>
            <w:tcW w:w="2066" w:type="dxa"/>
          </w:tcPr>
          <w:p w:rsidR="007A69CB" w:rsidRDefault="007A69CB" w:rsidP="004C3CB3">
            <w:pPr>
              <w:suppressAutoHyphens w:val="0"/>
              <w:jc w:val="center"/>
            </w:pPr>
            <w:r>
              <w:t>256</w:t>
            </w:r>
          </w:p>
        </w:tc>
        <w:tc>
          <w:tcPr>
            <w:tcW w:w="2066" w:type="dxa"/>
          </w:tcPr>
          <w:p w:rsidR="007A69CB" w:rsidRDefault="007A69CB" w:rsidP="004C3CB3">
            <w:pPr>
              <w:suppressAutoHyphens w:val="0"/>
              <w:jc w:val="center"/>
            </w:pPr>
            <w:r>
              <w:t>Local disk</w:t>
            </w:r>
          </w:p>
        </w:tc>
        <w:tc>
          <w:tcPr>
            <w:tcW w:w="2066" w:type="dxa"/>
          </w:tcPr>
          <w:p w:rsidR="007A69CB" w:rsidRDefault="007A69CB" w:rsidP="004C3CB3">
            <w:pPr>
              <w:suppressAutoHyphens w:val="0"/>
            </w:pPr>
            <w:r>
              <w:t>Open Stack</w:t>
            </w:r>
          </w:p>
        </w:tc>
      </w:tr>
    </w:tbl>
    <w:p w:rsidR="007A69CB" w:rsidRDefault="007A69CB" w:rsidP="007A69CB"/>
    <w:p w:rsidR="007A69CB" w:rsidRDefault="007A69CB" w:rsidP="007A69CB">
      <w:r>
        <w:fldChar w:fldCharType="begin"/>
      </w:r>
      <w:r>
        <w:instrText xml:space="preserve"> REF _Ref228504385 \h </w:instrText>
      </w:r>
      <w:r>
        <w:fldChar w:fldCharType="separate"/>
      </w:r>
      <w:r w:rsidR="00A319E4">
        <w:t xml:space="preserve">Table </w:t>
      </w:r>
      <w:r w:rsidR="00A319E4">
        <w:rPr>
          <w:noProof/>
        </w:rPr>
        <w:t>15</w:t>
      </w:r>
      <w:r>
        <w:fldChar w:fldCharType="end"/>
      </w:r>
      <w:r>
        <w:t xml:space="preserve"> contains the resource providers participating to the activities of the Federated Cloud task force. As shown in the list the most common cloud middleware solutions are Open Nebula and Open Stack. In addition, some NGIs are deploying cloud management software developed within their organization such us Okeanos and WNoDeS. Ten Resource Providers are being monitored with a test instance of SAM: the monitoring service is an instance of the SAM production distribution, with in addition a set of cloud-specific probes. All the resource providers monitored are also registered in GOCDB.  </w:t>
      </w:r>
      <w:r>
        <w:fldChar w:fldCharType="begin"/>
      </w:r>
      <w:r>
        <w:instrText xml:space="preserve"> REF _Ref229038089 \h </w:instrText>
      </w:r>
      <w:r>
        <w:fldChar w:fldCharType="separate"/>
      </w:r>
      <w:r w:rsidR="00A319E4">
        <w:t xml:space="preserve">Table </w:t>
      </w:r>
      <w:r w:rsidR="00A319E4">
        <w:rPr>
          <w:noProof/>
        </w:rPr>
        <w:t>16</w:t>
      </w:r>
      <w:r>
        <w:fldChar w:fldCharType="end"/>
      </w:r>
      <w:r>
        <w:t xml:space="preserve"> contains the list of resource providers under the process of integration; the representatives of these resource centres are already participating to the task force activities, and their resources will be part of the test-bed in the coming months. The two tables reports a summary of the resources contributed to the test-bed by the resource centres in terms of number of physical cores and disk space, for some resource providers the disk is only available as local disk in the machines used to run the virtual machine instances.</w:t>
      </w:r>
    </w:p>
    <w:p w:rsidR="00F5379F" w:rsidRDefault="007A69CB" w:rsidP="007A69CB">
      <w:r>
        <w:t>The EGI Federated Cloud testbed will be integrated into the production infrastructure in PY4</w:t>
      </w:r>
      <w:r w:rsidR="00F5379F">
        <w:t>.</w:t>
      </w:r>
    </w:p>
    <w:p w:rsidR="004C77BF" w:rsidRPr="004C77BF" w:rsidRDefault="004C77BF" w:rsidP="004C77BF"/>
    <w:p w:rsidR="008633B1" w:rsidRPr="00D30544" w:rsidRDefault="008633B1" w:rsidP="008633B1">
      <w:pPr>
        <w:pStyle w:val="Heading1"/>
      </w:pPr>
      <w:bookmarkStart w:id="112" w:name="_Toc355730430"/>
      <w:r w:rsidRPr="00D30544">
        <w:lastRenderedPageBreak/>
        <w:t>Staged Rollout Infrastructure</w:t>
      </w:r>
      <w:bookmarkEnd w:id="108"/>
      <w:bookmarkEnd w:id="112"/>
    </w:p>
    <w:p w:rsidR="00C50374" w:rsidRPr="00D30544" w:rsidRDefault="00C50374" w:rsidP="00C50374">
      <w:r w:rsidRPr="00D3054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D30544">
        <w:rPr>
          <w:i/>
        </w:rPr>
        <w:t>Staged Rollout</w:t>
      </w:r>
      <w:r w:rsidRPr="00D30544">
        <w:t xml:space="preserve"> and the Resource Centres performing the function of tester, are named </w:t>
      </w:r>
      <w:r w:rsidRPr="00D30544">
        <w:rPr>
          <w:i/>
        </w:rPr>
        <w:t>Early Adopters</w:t>
      </w:r>
      <w:r w:rsidRPr="00D30544">
        <w:t xml:space="preserve"> (EAs) [SRW]. The Staged Rollout services hosted by the EA Resource Centres constitute together the </w:t>
      </w:r>
      <w:r w:rsidRPr="00D30544">
        <w:rPr>
          <w:i/>
        </w:rPr>
        <w:t>Staged Rollout Infrastructure</w:t>
      </w:r>
      <w:r w:rsidRPr="00D30544">
        <w:t xml:space="preserve">, which is distributed as Staged Rollout </w:t>
      </w:r>
      <w:r w:rsidR="00EB6E94" w:rsidRPr="00D30544">
        <w:t xml:space="preserve">and </w:t>
      </w:r>
      <w:r w:rsidRPr="00D30544">
        <w:t>is a joint effort of the EGI Operations Community.</w:t>
      </w:r>
    </w:p>
    <w:p w:rsidR="00C50374" w:rsidRPr="00D30544" w:rsidRDefault="00C50374" w:rsidP="00C50374">
      <w:r w:rsidRPr="00D30544">
        <w:t>The process aims at collecting information about the performance of a new software release when deplo</w:t>
      </w:r>
      <w:r w:rsidR="00EB6E94" w:rsidRPr="00D30544">
        <w:t>yed in a production environment:</w:t>
      </w:r>
      <w:r w:rsidRPr="00D3054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rsidR="00C50374" w:rsidRPr="00D30544" w:rsidRDefault="00C50374" w:rsidP="00C50374">
      <w:r w:rsidRPr="00D30544">
        <w:t>EAs are not testers responsible of software certification, as software distributed through the Unified Middleware Distribution [UMD] is certified by the Technology Providers. Software under validation is accessible from a specific dedicated software repository.</w:t>
      </w:r>
      <w:r w:rsidR="00282311">
        <w:t xml:space="preserve"> For information about the UMD Software Provisioning Process see [MS512].</w:t>
      </w:r>
    </w:p>
    <w:p w:rsidR="009F5D90" w:rsidRPr="00D30544" w:rsidRDefault="009F5D90" w:rsidP="009F5D90">
      <w:pPr>
        <w:pStyle w:val="Caption"/>
        <w:jc w:val="center"/>
      </w:pPr>
      <w:bookmarkStart w:id="113" w:name="_Ref324121736"/>
      <w:r w:rsidRPr="00D30544">
        <w:t xml:space="preserve">Table </w:t>
      </w:r>
      <w:r w:rsidR="00A560B1">
        <w:fldChar w:fldCharType="begin"/>
      </w:r>
      <w:r w:rsidR="00A560B1">
        <w:instrText xml:space="preserve"> SEQ Table \* ARABIC </w:instrText>
      </w:r>
      <w:r w:rsidR="00A560B1">
        <w:fldChar w:fldCharType="separate"/>
      </w:r>
      <w:r w:rsidR="00A319E4">
        <w:rPr>
          <w:noProof/>
        </w:rPr>
        <w:t>17</w:t>
      </w:r>
      <w:r w:rsidR="00A560B1">
        <w:rPr>
          <w:noProof/>
        </w:rPr>
        <w:fldChar w:fldCharType="end"/>
      </w:r>
      <w:bookmarkEnd w:id="113"/>
      <w:r w:rsidRPr="00D30544">
        <w:t>. Overview of EGI-InSPIRE Staged Rollout metrics.</w:t>
      </w:r>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2C7084" w:rsidTr="0036166B">
        <w:trPr>
          <w:trHeight w:val="463"/>
          <w:jc w:val="center"/>
        </w:trPr>
        <w:tc>
          <w:tcPr>
            <w:tcW w:w="2543" w:type="dxa"/>
            <w:shd w:val="clear" w:color="auto" w:fill="D9D9D9"/>
            <w:vAlign w:val="center"/>
          </w:tcPr>
          <w:p w:rsidR="009F5D90" w:rsidRPr="002C7084" w:rsidRDefault="009F5D90" w:rsidP="009B1455">
            <w:pPr>
              <w:spacing w:before="80"/>
              <w:jc w:val="center"/>
              <w:rPr>
                <w:b/>
                <w:sz w:val="20"/>
                <w:szCs w:val="18"/>
              </w:rPr>
            </w:pPr>
            <w:r w:rsidRPr="002C7084">
              <w:rPr>
                <w:b/>
                <w:sz w:val="20"/>
                <w:szCs w:val="18"/>
              </w:rPr>
              <w:t>Metric</w:t>
            </w:r>
          </w:p>
        </w:tc>
        <w:tc>
          <w:tcPr>
            <w:tcW w:w="842"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8</w:t>
            </w:r>
          </w:p>
        </w:tc>
        <w:tc>
          <w:tcPr>
            <w:tcW w:w="1134"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9</w:t>
            </w:r>
          </w:p>
        </w:tc>
        <w:tc>
          <w:tcPr>
            <w:tcW w:w="1265" w:type="dxa"/>
            <w:shd w:val="clear" w:color="auto" w:fill="D9D9D9"/>
            <w:vAlign w:val="center"/>
            <w:hideMark/>
          </w:tcPr>
          <w:p w:rsidR="00312D12" w:rsidRPr="002C7084" w:rsidRDefault="009F5D90" w:rsidP="00D30544">
            <w:pPr>
              <w:spacing w:before="80"/>
              <w:jc w:val="center"/>
              <w:rPr>
                <w:b/>
                <w:sz w:val="20"/>
                <w:szCs w:val="18"/>
              </w:rPr>
            </w:pPr>
            <w:r w:rsidRPr="002C7084">
              <w:rPr>
                <w:b/>
                <w:sz w:val="20"/>
                <w:szCs w:val="18"/>
              </w:rPr>
              <w:t>PQ</w:t>
            </w:r>
            <w:r w:rsidR="00267ABC" w:rsidRPr="002C7084">
              <w:rPr>
                <w:b/>
                <w:sz w:val="20"/>
                <w:szCs w:val="18"/>
              </w:rPr>
              <w:t>10</w:t>
            </w:r>
          </w:p>
        </w:tc>
        <w:tc>
          <w:tcPr>
            <w:tcW w:w="694" w:type="dxa"/>
            <w:shd w:val="clear" w:color="auto" w:fill="D9D9D9"/>
            <w:vAlign w:val="center"/>
          </w:tcPr>
          <w:p w:rsidR="00F73966" w:rsidRPr="002C7084" w:rsidRDefault="009F5D90" w:rsidP="0036166B">
            <w:pPr>
              <w:spacing w:before="80"/>
              <w:jc w:val="center"/>
              <w:rPr>
                <w:b/>
                <w:sz w:val="20"/>
                <w:szCs w:val="18"/>
              </w:rPr>
            </w:pPr>
            <w:r w:rsidRPr="002C7084">
              <w:rPr>
                <w:b/>
                <w:sz w:val="20"/>
                <w:szCs w:val="18"/>
              </w:rPr>
              <w:t>PQ</w:t>
            </w:r>
            <w:r w:rsidR="0036166B" w:rsidRPr="002C7084">
              <w:rPr>
                <w:b/>
                <w:sz w:val="20"/>
                <w:szCs w:val="18"/>
              </w:rPr>
              <w:t>11</w:t>
            </w:r>
          </w:p>
        </w:tc>
      </w:tr>
      <w:tr w:rsidR="009F5D90" w:rsidRPr="002C7084" w:rsidTr="0036166B">
        <w:trPr>
          <w:trHeight w:hRule="exac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staged rollouts</w:t>
            </w:r>
          </w:p>
        </w:tc>
        <w:tc>
          <w:tcPr>
            <w:tcW w:w="842" w:type="dxa"/>
            <w:vAlign w:val="center"/>
          </w:tcPr>
          <w:p w:rsidR="009F5D90" w:rsidRPr="002C7084" w:rsidRDefault="002C7084" w:rsidP="009B1455">
            <w:pPr>
              <w:spacing w:before="80"/>
              <w:jc w:val="center"/>
              <w:rPr>
                <w:sz w:val="18"/>
                <w:szCs w:val="18"/>
              </w:rPr>
            </w:pPr>
            <w:r>
              <w:rPr>
                <w:sz w:val="18"/>
                <w:szCs w:val="18"/>
              </w:rPr>
              <w:t>12</w:t>
            </w:r>
          </w:p>
        </w:tc>
        <w:tc>
          <w:tcPr>
            <w:tcW w:w="1134" w:type="dxa"/>
            <w:vAlign w:val="center"/>
          </w:tcPr>
          <w:p w:rsidR="009F5D90" w:rsidRPr="002C7084" w:rsidRDefault="002C7084" w:rsidP="009B1455">
            <w:pPr>
              <w:spacing w:before="80"/>
              <w:jc w:val="center"/>
              <w:rPr>
                <w:sz w:val="18"/>
                <w:szCs w:val="18"/>
              </w:rPr>
            </w:pPr>
            <w:r>
              <w:rPr>
                <w:sz w:val="18"/>
                <w:szCs w:val="18"/>
              </w:rPr>
              <w:t>78</w:t>
            </w:r>
          </w:p>
        </w:tc>
        <w:tc>
          <w:tcPr>
            <w:tcW w:w="1265" w:type="dxa"/>
            <w:vAlign w:val="center"/>
          </w:tcPr>
          <w:p w:rsidR="009F5D90" w:rsidRPr="002C7084" w:rsidRDefault="002C7084" w:rsidP="009B1455">
            <w:pPr>
              <w:spacing w:before="80"/>
              <w:jc w:val="center"/>
              <w:rPr>
                <w:sz w:val="18"/>
                <w:szCs w:val="18"/>
              </w:rPr>
            </w:pPr>
            <w:r>
              <w:rPr>
                <w:sz w:val="18"/>
                <w:szCs w:val="18"/>
              </w:rPr>
              <w:t>40</w:t>
            </w:r>
          </w:p>
        </w:tc>
        <w:tc>
          <w:tcPr>
            <w:tcW w:w="694" w:type="dxa"/>
            <w:vAlign w:val="center"/>
          </w:tcPr>
          <w:p w:rsidR="009F5D90" w:rsidRPr="002C7084" w:rsidRDefault="002C7084" w:rsidP="00AF140A">
            <w:pPr>
              <w:spacing w:before="80"/>
              <w:jc w:val="center"/>
              <w:rPr>
                <w:sz w:val="18"/>
                <w:szCs w:val="18"/>
              </w:rPr>
            </w:pPr>
            <w:r>
              <w:rPr>
                <w:sz w:val="18"/>
                <w:szCs w:val="18"/>
              </w:rPr>
              <w:t>4</w:t>
            </w:r>
            <w:r w:rsidR="0036166B" w:rsidRPr="002C7084">
              <w:rPr>
                <w:sz w:val="18"/>
                <w:szCs w:val="18"/>
              </w:rPr>
              <w:t>8</w:t>
            </w:r>
          </w:p>
        </w:tc>
      </w:tr>
      <w:tr w:rsidR="002C7084" w:rsidRPr="002C7084" w:rsidTr="0036166B">
        <w:trPr>
          <w:trHeight w:val="648"/>
          <w:jc w:val="center"/>
        </w:trPr>
        <w:tc>
          <w:tcPr>
            <w:tcW w:w="2543" w:type="dxa"/>
            <w:shd w:val="clear" w:color="auto" w:fill="F2F2F2"/>
            <w:vAlign w:val="center"/>
          </w:tcPr>
          <w:p w:rsidR="002C7084" w:rsidRPr="002C7084" w:rsidRDefault="002C7084" w:rsidP="009B1455">
            <w:pPr>
              <w:spacing w:before="80"/>
              <w:jc w:val="center"/>
              <w:rPr>
                <w:b/>
                <w:sz w:val="18"/>
                <w:szCs w:val="22"/>
              </w:rPr>
            </w:pPr>
            <w:r w:rsidRPr="002C7084">
              <w:rPr>
                <w:rStyle w:val="Strong"/>
                <w:sz w:val="18"/>
                <w:szCs w:val="22"/>
              </w:rPr>
              <w:t>Number of components</w:t>
            </w:r>
          </w:p>
        </w:tc>
        <w:tc>
          <w:tcPr>
            <w:tcW w:w="842" w:type="dxa"/>
            <w:vAlign w:val="center"/>
          </w:tcPr>
          <w:p w:rsidR="002C7084" w:rsidRPr="002C7084" w:rsidRDefault="002C7084" w:rsidP="009B1455">
            <w:pPr>
              <w:spacing w:before="80"/>
              <w:jc w:val="center"/>
              <w:rPr>
                <w:sz w:val="18"/>
                <w:szCs w:val="18"/>
              </w:rPr>
            </w:pPr>
            <w:r>
              <w:rPr>
                <w:sz w:val="18"/>
                <w:szCs w:val="18"/>
              </w:rPr>
              <w:t>8</w:t>
            </w:r>
          </w:p>
        </w:tc>
        <w:tc>
          <w:tcPr>
            <w:tcW w:w="1134" w:type="dxa"/>
            <w:vAlign w:val="center"/>
          </w:tcPr>
          <w:p w:rsidR="002C7084" w:rsidRPr="002C7084" w:rsidRDefault="002C7084" w:rsidP="009B1455">
            <w:pPr>
              <w:spacing w:before="80"/>
              <w:jc w:val="center"/>
              <w:rPr>
                <w:sz w:val="18"/>
                <w:szCs w:val="18"/>
              </w:rPr>
            </w:pPr>
            <w:r>
              <w:rPr>
                <w:sz w:val="18"/>
                <w:szCs w:val="18"/>
              </w:rPr>
              <w:t>54</w:t>
            </w:r>
          </w:p>
        </w:tc>
        <w:tc>
          <w:tcPr>
            <w:tcW w:w="1265" w:type="dxa"/>
            <w:vAlign w:val="center"/>
          </w:tcPr>
          <w:p w:rsidR="002C7084" w:rsidRPr="002C7084" w:rsidRDefault="002C7084" w:rsidP="0036166B">
            <w:pPr>
              <w:spacing w:before="80"/>
              <w:jc w:val="center"/>
              <w:rPr>
                <w:sz w:val="18"/>
                <w:szCs w:val="18"/>
              </w:rPr>
            </w:pPr>
            <w:r>
              <w:rPr>
                <w:sz w:val="18"/>
                <w:szCs w:val="18"/>
              </w:rPr>
              <w:t>29</w:t>
            </w:r>
          </w:p>
        </w:tc>
        <w:tc>
          <w:tcPr>
            <w:tcW w:w="694" w:type="dxa"/>
            <w:vAlign w:val="center"/>
          </w:tcPr>
          <w:p w:rsidR="002C7084" w:rsidRPr="002C7084" w:rsidRDefault="002C7084" w:rsidP="002C7084">
            <w:pPr>
              <w:spacing w:before="80"/>
              <w:jc w:val="center"/>
              <w:rPr>
                <w:sz w:val="18"/>
                <w:szCs w:val="18"/>
              </w:rPr>
            </w:pPr>
            <w:r>
              <w:rPr>
                <w:sz w:val="18"/>
                <w:szCs w:val="18"/>
              </w:rPr>
              <w:t>32</w:t>
            </w:r>
          </w:p>
        </w:tc>
      </w:tr>
      <w:tr w:rsidR="009F5D90" w:rsidRPr="002C7084" w:rsidTr="0036166B">
        <w:trPr>
          <w:trHeight w:val="648"/>
          <w:jc w:val="center"/>
        </w:trPr>
        <w:tc>
          <w:tcPr>
            <w:tcW w:w="2543" w:type="dxa"/>
            <w:shd w:val="clear" w:color="auto" w:fill="F2F2F2"/>
            <w:vAlign w:val="center"/>
            <w:hideMark/>
          </w:tcPr>
          <w:p w:rsidR="009F5D90" w:rsidRPr="002C7084" w:rsidRDefault="002C7084" w:rsidP="009B1455">
            <w:pPr>
              <w:spacing w:before="80"/>
              <w:jc w:val="center"/>
              <w:rPr>
                <w:b/>
                <w:sz w:val="18"/>
                <w:szCs w:val="22"/>
              </w:rPr>
            </w:pPr>
            <w:r w:rsidRPr="002C7084">
              <w:rPr>
                <w:rStyle w:val="Strong"/>
                <w:sz w:val="18"/>
                <w:szCs w:val="22"/>
              </w:rPr>
              <w:t>Number of sites</w:t>
            </w:r>
          </w:p>
        </w:tc>
        <w:tc>
          <w:tcPr>
            <w:tcW w:w="842" w:type="dxa"/>
            <w:vAlign w:val="center"/>
          </w:tcPr>
          <w:p w:rsidR="009F5D90" w:rsidRPr="002C7084" w:rsidRDefault="002C7084" w:rsidP="009B1455">
            <w:pPr>
              <w:spacing w:before="80"/>
              <w:jc w:val="center"/>
              <w:rPr>
                <w:sz w:val="18"/>
                <w:szCs w:val="18"/>
              </w:rPr>
            </w:pPr>
            <w:r>
              <w:rPr>
                <w:sz w:val="18"/>
                <w:szCs w:val="18"/>
              </w:rPr>
              <w:t>9</w:t>
            </w:r>
          </w:p>
        </w:tc>
        <w:tc>
          <w:tcPr>
            <w:tcW w:w="1134" w:type="dxa"/>
            <w:vAlign w:val="center"/>
          </w:tcPr>
          <w:p w:rsidR="009F5D90" w:rsidRPr="002C7084" w:rsidRDefault="002C7084" w:rsidP="009B1455">
            <w:pPr>
              <w:spacing w:before="80"/>
              <w:jc w:val="center"/>
              <w:rPr>
                <w:sz w:val="18"/>
                <w:szCs w:val="18"/>
              </w:rPr>
            </w:pPr>
            <w:r>
              <w:rPr>
                <w:sz w:val="18"/>
                <w:szCs w:val="18"/>
              </w:rPr>
              <w:t>24</w:t>
            </w:r>
          </w:p>
        </w:tc>
        <w:tc>
          <w:tcPr>
            <w:tcW w:w="1265" w:type="dxa"/>
            <w:vAlign w:val="center"/>
          </w:tcPr>
          <w:p w:rsidR="0036166B" w:rsidRPr="002C7084" w:rsidRDefault="002C7084" w:rsidP="0036166B">
            <w:pPr>
              <w:spacing w:before="80"/>
              <w:jc w:val="center"/>
              <w:rPr>
                <w:sz w:val="18"/>
                <w:szCs w:val="18"/>
              </w:rPr>
            </w:pPr>
            <w:r>
              <w:rPr>
                <w:sz w:val="18"/>
                <w:szCs w:val="18"/>
              </w:rPr>
              <w:t>22</w:t>
            </w:r>
          </w:p>
        </w:tc>
        <w:tc>
          <w:tcPr>
            <w:tcW w:w="694" w:type="dxa"/>
            <w:vAlign w:val="center"/>
          </w:tcPr>
          <w:p w:rsidR="009F5D90" w:rsidRPr="002C7084" w:rsidRDefault="002C7084" w:rsidP="002C7084">
            <w:pPr>
              <w:spacing w:before="80"/>
              <w:jc w:val="center"/>
              <w:rPr>
                <w:sz w:val="18"/>
                <w:szCs w:val="18"/>
              </w:rPr>
            </w:pPr>
            <w:r>
              <w:rPr>
                <w:sz w:val="18"/>
                <w:szCs w:val="18"/>
              </w:rPr>
              <w:t>20</w:t>
            </w:r>
          </w:p>
        </w:tc>
      </w:tr>
    </w:tbl>
    <w:p w:rsidR="001601BF" w:rsidRDefault="001601BF" w:rsidP="00C50374">
      <w:r w:rsidRPr="0099355C">
        <w:t xml:space="preserve">As shown in </w:t>
      </w:r>
      <w:r w:rsidRPr="0099355C">
        <w:fldChar w:fldCharType="begin"/>
      </w:r>
      <w:r w:rsidRPr="0099355C">
        <w:instrText xml:space="preserve"> REF _Ref324121736 \h </w:instrText>
      </w:r>
      <w:r w:rsidR="00B624C2" w:rsidRPr="0099355C">
        <w:instrText xml:space="preserve"> \* MERGEFORMAT </w:instrText>
      </w:r>
      <w:r w:rsidRPr="0099355C">
        <w:fldChar w:fldCharType="separate"/>
      </w:r>
      <w:r w:rsidR="00A319E4" w:rsidRPr="00D30544">
        <w:t xml:space="preserve">Table </w:t>
      </w:r>
      <w:r w:rsidR="00A319E4">
        <w:rPr>
          <w:noProof/>
        </w:rPr>
        <w:t>17</w:t>
      </w:r>
      <w:r w:rsidRPr="0099355C">
        <w:fldChar w:fldCharType="end"/>
      </w:r>
      <w:r w:rsidRPr="0099355C">
        <w:t xml:space="preserve"> the largest number of </w:t>
      </w:r>
      <w:r w:rsidR="006425FC" w:rsidRPr="0099355C">
        <w:t>products</w:t>
      </w:r>
      <w:r w:rsidRPr="0099355C">
        <w:t xml:space="preserve"> </w:t>
      </w:r>
      <w:r w:rsidR="004F432E">
        <w:t>were</w:t>
      </w:r>
      <w:r w:rsidRPr="0099355C">
        <w:t xml:space="preserve"> tested in</w:t>
      </w:r>
      <w:r w:rsidR="0099355C" w:rsidRPr="0099355C">
        <w:t xml:space="preserve"> PQ9</w:t>
      </w:r>
      <w:r w:rsidR="007E52D1">
        <w:t xml:space="preserve"> in preparation to the release of the Unified Middleware Distribution 2</w:t>
      </w:r>
      <w:r w:rsidRPr="0099355C">
        <w:t>. This number was gradually reduced in the following quarters</w:t>
      </w:r>
      <w:r w:rsidR="007E52D1">
        <w:t xml:space="preserve"> following the release schedule of EMI and IGE updates</w:t>
      </w:r>
      <w:r w:rsidRPr="0099355C">
        <w:t>. The number of participating E</w:t>
      </w:r>
      <w:r w:rsidR="00135444" w:rsidRPr="0099355C">
        <w:t>As</w:t>
      </w:r>
      <w:r w:rsidRPr="0099355C">
        <w:t xml:space="preserve"> has been progressively increasing to test a growing set of products from EMI</w:t>
      </w:r>
      <w:r w:rsidR="00A24A20" w:rsidRPr="0099355C">
        <w:t>,</w:t>
      </w:r>
      <w:r w:rsidRPr="0099355C">
        <w:t xml:space="preserve"> IGE</w:t>
      </w:r>
      <w:r w:rsidR="00A24A20" w:rsidRPr="0099355C">
        <w:t xml:space="preserve"> and EGI-InSPIRE JRA1 (operational tools)</w:t>
      </w:r>
      <w:r w:rsidR="0099355C" w:rsidRPr="0099355C">
        <w:t>, and it currently amount to 74</w:t>
      </w:r>
      <w:r w:rsidR="006425FC" w:rsidRPr="0099355C">
        <w:t xml:space="preserve"> teams</w:t>
      </w:r>
      <w:r w:rsidRPr="0099355C">
        <w:t>.</w:t>
      </w:r>
    </w:p>
    <w:p w:rsidR="007E52D1" w:rsidRPr="0099355C" w:rsidRDefault="007E52D1" w:rsidP="00C50374">
      <w:r>
        <w:t>The staged rollout of QosCosGrid software is expected in PY4 in preparation to the Unified Middleware Distribution release 3.</w:t>
      </w:r>
    </w:p>
    <w:p w:rsidR="00AE2D5C" w:rsidRDefault="009F5D90" w:rsidP="00C50374">
      <w:r w:rsidRPr="0099355C">
        <w:t>The nu</w:t>
      </w:r>
      <w:r w:rsidR="00D30544" w:rsidRPr="0099355C">
        <w:t>mber of tests performed from PQ8 to PQ11</w:t>
      </w:r>
      <w:r w:rsidRPr="0099355C">
        <w:t xml:space="preserve"> by NGIs and EIROs is plotted in </w:t>
      </w:r>
      <w:r w:rsidRPr="0099355C">
        <w:fldChar w:fldCharType="begin"/>
      </w:r>
      <w:r w:rsidRPr="0099355C">
        <w:instrText xml:space="preserve"> REF _Ref324122641 \h </w:instrText>
      </w:r>
      <w:r w:rsidR="00B624C2" w:rsidRPr="0099355C">
        <w:instrText xml:space="preserve"> \* MERGEFORMAT </w:instrText>
      </w:r>
      <w:r w:rsidRPr="0099355C">
        <w:fldChar w:fldCharType="separate"/>
      </w:r>
      <w:r w:rsidR="00A319E4">
        <w:t xml:space="preserve">Figure </w:t>
      </w:r>
      <w:r w:rsidR="00A319E4">
        <w:rPr>
          <w:noProof/>
        </w:rPr>
        <w:t>26</w:t>
      </w:r>
      <w:r w:rsidRPr="0099355C">
        <w:fldChar w:fldCharType="end"/>
      </w:r>
      <w:r w:rsidR="00AE2D5C" w:rsidRPr="0099355C">
        <w:t>.</w:t>
      </w:r>
    </w:p>
    <w:p w:rsidR="00C50374" w:rsidRDefault="00622583" w:rsidP="009F5D90">
      <w:pPr>
        <w:jc w:val="center"/>
      </w:pPr>
      <w:r>
        <w:rPr>
          <w:noProof/>
          <w:lang w:eastAsia="en-GB"/>
        </w:rPr>
        <w:lastRenderedPageBreak/>
        <w:drawing>
          <wp:inline distT="0" distB="0" distL="0" distR="0" wp14:anchorId="6C7BD201" wp14:editId="65345F55">
            <wp:extent cx="5755640" cy="5145685"/>
            <wp:effectExtent l="0" t="0" r="0" b="0"/>
            <wp:docPr id="1604" name="Picture 1604" descr="C:\Users\Krakowian\Google Drive\Operations\Documentation working space\D4.8\png\Number of tested components 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5640" cy="5145685"/>
                    </a:xfrm>
                    <a:prstGeom prst="rect">
                      <a:avLst/>
                    </a:prstGeom>
                    <a:noFill/>
                    <a:ln>
                      <a:noFill/>
                    </a:ln>
                  </pic:spPr>
                </pic:pic>
              </a:graphicData>
            </a:graphic>
          </wp:inline>
        </w:drawing>
      </w:r>
    </w:p>
    <w:p w:rsidR="009F5D90" w:rsidRPr="00C50374" w:rsidRDefault="009F5D90" w:rsidP="009F5D90">
      <w:pPr>
        <w:pStyle w:val="Caption"/>
        <w:jc w:val="center"/>
      </w:pPr>
      <w:bookmarkStart w:id="114" w:name="_Ref324122641"/>
      <w:bookmarkStart w:id="115" w:name="_Ref324122627"/>
      <w:bookmarkStart w:id="116" w:name="_Toc355730470"/>
      <w:r>
        <w:t xml:space="preserve">Figure </w:t>
      </w:r>
      <w:r w:rsidR="00A560B1">
        <w:fldChar w:fldCharType="begin"/>
      </w:r>
      <w:r w:rsidR="00A560B1">
        <w:instrText xml:space="preserve"> SEQ Figure \* ARABIC </w:instrText>
      </w:r>
      <w:r w:rsidR="00A560B1">
        <w:fldChar w:fldCharType="separate"/>
      </w:r>
      <w:r w:rsidR="00A319E4">
        <w:rPr>
          <w:noProof/>
        </w:rPr>
        <w:t>26</w:t>
      </w:r>
      <w:r w:rsidR="00A560B1">
        <w:rPr>
          <w:noProof/>
        </w:rPr>
        <w:fldChar w:fldCharType="end"/>
      </w:r>
      <w:bookmarkEnd w:id="114"/>
      <w:r>
        <w:t>. Number of Staged Rollout tests performed from PQ</w:t>
      </w:r>
      <w:r w:rsidR="00267ABC">
        <w:t>8 to PQ11</w:t>
      </w:r>
      <w:r>
        <w:t xml:space="preserve"> by NGIs/EIROs.</w:t>
      </w:r>
      <w:bookmarkEnd w:id="115"/>
      <w:r w:rsidR="009B1F6E">
        <w:t xml:space="preserve"> (source: Staged Rollout portal)</w:t>
      </w:r>
      <w:bookmarkEnd w:id="116"/>
    </w:p>
    <w:p w:rsidR="000D6AFC" w:rsidRDefault="004A1683" w:rsidP="008633B1">
      <w:pPr>
        <w:pStyle w:val="Heading1"/>
      </w:pPr>
      <w:bookmarkStart w:id="117" w:name="_Ref324141153"/>
      <w:bookmarkStart w:id="118" w:name="_Toc355730431"/>
      <w:r>
        <w:lastRenderedPageBreak/>
        <w:t>Software support</w:t>
      </w:r>
      <w:bookmarkEnd w:id="118"/>
    </w:p>
    <w:p w:rsidR="00D526D5" w:rsidRPr="00031A85" w:rsidRDefault="004A1683" w:rsidP="00D526D5">
      <w:pPr>
        <w:rPr>
          <w:lang w:val="en-US"/>
        </w:rPr>
      </w:pPr>
      <w:r w:rsidRPr="00031A85">
        <w:rPr>
          <w:lang w:val="en-US"/>
        </w:rPr>
        <w:t xml:space="preserve">Software support in PY3 followed the procedures </w:t>
      </w:r>
      <w:r>
        <w:rPr>
          <w:lang w:val="en-US"/>
        </w:rPr>
        <w:t>of Deployed Mi</w:t>
      </w:r>
      <w:r w:rsidR="00A8202C">
        <w:rPr>
          <w:lang w:val="en-US"/>
        </w:rPr>
        <w:t>ddleware Support Unit (DMSU)</w:t>
      </w:r>
      <w:r w:rsidR="00AA3BFD">
        <w:rPr>
          <w:lang w:val="en-US"/>
        </w:rPr>
        <w:t xml:space="preserve"> established</w:t>
      </w:r>
      <w:r w:rsidR="00A8202C">
        <w:rPr>
          <w:lang w:val="en-US"/>
        </w:rPr>
        <w:t xml:space="preserve"> in</w:t>
      </w:r>
      <w:r>
        <w:rPr>
          <w:lang w:val="en-US"/>
        </w:rPr>
        <w:t xml:space="preserve"> PY2. However, at the end of PY2 changes were proposed to merge the former TPM activity (in TSA1.7) and DMSU (TSA2.5) into a single task in SA1, with the main goals to avoid duplicating work on receiving an</w:t>
      </w:r>
      <w:r w:rsidR="004F432E">
        <w:rPr>
          <w:lang w:val="en-US"/>
        </w:rPr>
        <w:t>d</w:t>
      </w:r>
      <w:r>
        <w:rPr>
          <w:lang w:val="en-US"/>
        </w:rPr>
        <w:t xml:space="preserve"> assessing software tickets, and to optimize the task workflows. The analysis was done in the </w:t>
      </w:r>
      <w:r w:rsidR="004F3A88">
        <w:rPr>
          <w:lang w:val="en-US"/>
        </w:rPr>
        <w:t>“</w:t>
      </w:r>
      <w:r w:rsidR="004F3A88" w:rsidRPr="00031A85">
        <w:t xml:space="preserve">Revision of TPM and </w:t>
      </w:r>
      <w:r w:rsidR="004F3A88" w:rsidRPr="00463864">
        <w:t>DMSU activities</w:t>
      </w:r>
      <w:r w:rsidR="004F3A88">
        <w:rPr>
          <w:lang w:val="en-US"/>
        </w:rPr>
        <w:t>”</w:t>
      </w:r>
      <w:r w:rsidR="004F3A88" w:rsidRPr="004F3A88">
        <w:rPr>
          <w:rStyle w:val="FootnoteReference"/>
        </w:rPr>
        <w:t xml:space="preserve"> </w:t>
      </w:r>
      <w:r w:rsidR="004F3A88" w:rsidRPr="003329A3">
        <w:rPr>
          <w:rStyle w:val="FootnoteReference"/>
        </w:rPr>
        <w:footnoteReference w:id="36"/>
      </w:r>
      <w:r w:rsidR="004F3A88">
        <w:rPr>
          <w:lang w:val="en-US"/>
        </w:rPr>
        <w:t xml:space="preserve"> document,</w:t>
      </w:r>
      <w:r>
        <w:rPr>
          <w:lang w:val="en-US"/>
        </w:rPr>
        <w:t xml:space="preserve"> its outcome – the de</w:t>
      </w:r>
      <w:r w:rsidR="004F3A88">
        <w:rPr>
          <w:lang w:val="en-US"/>
        </w:rPr>
        <w:t>sired state was described in “</w:t>
      </w:r>
      <w:r w:rsidR="004F3A88" w:rsidRPr="008A4683">
        <w:t>MS511 Deployed Middleware Support Unit Operations Procedures</w:t>
      </w:r>
      <w:r w:rsidR="004F3A88">
        <w:rPr>
          <w:lang w:val="en-US"/>
        </w:rPr>
        <w:t>”</w:t>
      </w:r>
      <w:r w:rsidR="004F3A88" w:rsidRPr="004F3A88">
        <w:rPr>
          <w:rStyle w:val="FootnoteReference"/>
        </w:rPr>
        <w:t xml:space="preserve"> </w:t>
      </w:r>
      <w:r w:rsidR="004F3A88" w:rsidRPr="003329A3">
        <w:rPr>
          <w:rStyle w:val="FootnoteReference"/>
        </w:rPr>
        <w:footnoteReference w:id="37"/>
      </w:r>
      <w:r>
        <w:rPr>
          <w:lang w:val="en-US"/>
        </w:rPr>
        <w:t>, and after having been approved by the project review, the changes were implemented in early autumn 2012.</w:t>
      </w:r>
      <w:r w:rsidR="00D526D5" w:rsidRPr="00D526D5">
        <w:rPr>
          <w:lang w:val="en-US"/>
        </w:rPr>
        <w:t xml:space="preserve"> </w:t>
      </w:r>
      <w:r w:rsidR="00D526D5">
        <w:rPr>
          <w:lang w:val="en-US"/>
        </w:rPr>
        <w:t xml:space="preserve">The following </w:t>
      </w:r>
      <w:r w:rsidR="004F432E">
        <w:rPr>
          <w:lang w:val="en-US"/>
        </w:rPr>
        <w:t>main activities</w:t>
      </w:r>
      <w:r w:rsidR="00D526D5">
        <w:rPr>
          <w:lang w:val="en-US"/>
        </w:rPr>
        <w:t xml:space="preserve"> </w:t>
      </w:r>
      <w:r w:rsidR="004F432E">
        <w:rPr>
          <w:lang w:val="en-US"/>
        </w:rPr>
        <w:t>for software support process were</w:t>
      </w:r>
      <w:r w:rsidR="00D526D5">
        <w:rPr>
          <w:lang w:val="en-US"/>
        </w:rPr>
        <w:t xml:space="preserve"> identified:</w:t>
      </w:r>
    </w:p>
    <w:p w:rsidR="00D526D5" w:rsidRPr="008A4683" w:rsidRDefault="00D526D5" w:rsidP="00D526D5">
      <w:pPr>
        <w:rPr>
          <w:lang w:val="en-US"/>
        </w:rPr>
      </w:pPr>
      <w:r w:rsidRPr="008A4683">
        <w:rPr>
          <w:lang w:val="en-US"/>
        </w:rPr>
        <w:t>•</w:t>
      </w:r>
      <w:r w:rsidRPr="008A4683">
        <w:rPr>
          <w:lang w:val="en-US"/>
        </w:rPr>
        <w:tab/>
        <w:t>Ticket triage and assignment for dispatching of tickets to the appropriate SUs within GGUS</w:t>
      </w:r>
    </w:p>
    <w:p w:rsidR="00D526D5" w:rsidRPr="008A4683" w:rsidRDefault="00D526D5" w:rsidP="00D526D5">
      <w:pPr>
        <w:rPr>
          <w:lang w:val="en-US"/>
        </w:rPr>
      </w:pPr>
      <w:r w:rsidRPr="008A4683">
        <w:rPr>
          <w:lang w:val="en-US"/>
        </w:rPr>
        <w:t>•</w:t>
      </w:r>
      <w:r w:rsidRPr="008A4683">
        <w:rPr>
          <w:lang w:val="en-US"/>
        </w:rPr>
        <w:tab/>
        <w:t>2nd level software support, encompassing both grid middleware and operational tools</w:t>
      </w:r>
    </w:p>
    <w:p w:rsidR="00D526D5" w:rsidRDefault="00D526D5" w:rsidP="00D526D5">
      <w:pPr>
        <w:rPr>
          <w:lang w:val="en-US"/>
        </w:rPr>
      </w:pPr>
      <w:r w:rsidRPr="008A4683">
        <w:rPr>
          <w:lang w:val="en-US"/>
        </w:rPr>
        <w:t>•</w:t>
      </w:r>
      <w:r w:rsidRPr="008A4683">
        <w:rPr>
          <w:lang w:val="en-US"/>
        </w:rPr>
        <w:tab/>
        <w:t>Ticket oversight and follow-up</w:t>
      </w:r>
    </w:p>
    <w:p w:rsidR="00D526D5" w:rsidRDefault="00D526D5" w:rsidP="00D526D5">
      <w:pPr>
        <w:rPr>
          <w:lang w:val="en-US"/>
        </w:rPr>
      </w:pPr>
      <w:r>
        <w:rPr>
          <w:lang w:val="en-US"/>
        </w:rPr>
        <w:t>According to this split of responsibilities, the roles were reassigned to the involved partners of the former TPM and DMSU, and the project effort assignment was slightly adjusted. In particular, the coverage was extended to support EGI operational tools and other products. The ticket payload of the 2</w:t>
      </w:r>
      <w:r w:rsidRPr="00815C86">
        <w:rPr>
          <w:vertAlign w:val="superscript"/>
          <w:lang w:val="en-US"/>
        </w:rPr>
        <w:t>nd</w:t>
      </w:r>
      <w:r>
        <w:rPr>
          <w:lang w:val="en-US"/>
        </w:rPr>
        <w:t xml:space="preserve"> level support unit followed the trends of the former DMSU. </w:t>
      </w:r>
    </w:p>
    <w:p w:rsidR="004A1683" w:rsidRDefault="00D526D5" w:rsidP="004A1683">
      <w:pPr>
        <w:rPr>
          <w:lang w:val="en-US"/>
        </w:rPr>
      </w:pPr>
      <w:r>
        <w:rPr>
          <w:lang w:val="en-US"/>
        </w:rPr>
        <w:t>The following table shows the number of software support tickets handled in PY3. The number of these (619 tickets in total) is lower with respects to the same period of PY2 (730). This can be explained by the rather high number of tickets related to the pre-release testing of UMD 1.0.0.</w:t>
      </w:r>
    </w:p>
    <w:p w:rsidR="00D526D5" w:rsidRDefault="00D526D5" w:rsidP="00D526D5">
      <w:pPr>
        <w:pStyle w:val="Caption"/>
        <w:jc w:val="center"/>
        <w:rPr>
          <w:lang w:val="en-US"/>
        </w:rPr>
      </w:pPr>
      <w:r>
        <w:t xml:space="preserve">Table </w:t>
      </w:r>
      <w:r w:rsidR="00A560B1">
        <w:fldChar w:fldCharType="begin"/>
      </w:r>
      <w:r w:rsidR="00A560B1">
        <w:instrText xml:space="preserve"> SEQ Table \* ARABIC </w:instrText>
      </w:r>
      <w:r w:rsidR="00A560B1">
        <w:fldChar w:fldCharType="separate"/>
      </w:r>
      <w:r w:rsidR="00A319E4">
        <w:rPr>
          <w:noProof/>
        </w:rPr>
        <w:t>18</w:t>
      </w:r>
      <w:r w:rsidR="00A560B1">
        <w:rPr>
          <w:noProof/>
        </w:rPr>
        <w:fldChar w:fldCharType="end"/>
      </w:r>
      <w:r>
        <w:t>. Number of software support tickets handled in GGUS (</w:t>
      </w:r>
      <w:r w:rsidR="004F432E">
        <w:t>1</w:t>
      </w:r>
      <w:r w:rsidR="004F432E" w:rsidRPr="004F432E">
        <w:rPr>
          <w:vertAlign w:val="superscript"/>
        </w:rPr>
        <w:t>st</w:t>
      </w:r>
      <w:r w:rsidR="004F432E">
        <w:rPr>
          <w:vertAlign w:val="superscript"/>
        </w:rPr>
        <w:t>,</w:t>
      </w:r>
      <w:r w:rsidR="004F432E">
        <w:t xml:space="preserve"> </w:t>
      </w:r>
      <w:r>
        <w:t>2</w:t>
      </w:r>
      <w:r w:rsidRPr="00D526D5">
        <w:rPr>
          <w:vertAlign w:val="superscript"/>
        </w:rPr>
        <w:t>nd</w:t>
      </w:r>
      <w:r>
        <w:t xml:space="preserve"> </w:t>
      </w:r>
      <w:r w:rsidR="004F432E">
        <w:t>and 3</w:t>
      </w:r>
      <w:r w:rsidR="004F432E" w:rsidRPr="004F432E">
        <w:rPr>
          <w:vertAlign w:val="superscript"/>
        </w:rPr>
        <w:t>rd</w:t>
      </w:r>
      <w:r w:rsidR="004F432E">
        <w:t xml:space="preserve"> </w:t>
      </w:r>
      <w:r>
        <w:t>level support)</w:t>
      </w:r>
    </w:p>
    <w:p w:rsidR="00D526D5" w:rsidRDefault="00D526D5" w:rsidP="004A1683">
      <w:pPr>
        <w:rPr>
          <w:lang w:val="en-US"/>
        </w:rPr>
      </w:pPr>
      <w:r>
        <w:rPr>
          <w:noProof/>
          <w:lang w:eastAsia="en-GB"/>
        </w:rPr>
        <w:drawing>
          <wp:inline distT="0" distB="0" distL="0" distR="0" wp14:anchorId="5AF6EE2E" wp14:editId="4E1C3200">
            <wp:extent cx="5753735" cy="1492250"/>
            <wp:effectExtent l="0" t="0" r="0" b="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735" cy="1492250"/>
                    </a:xfrm>
                    <a:prstGeom prst="rect">
                      <a:avLst/>
                    </a:prstGeom>
                    <a:noFill/>
                    <a:ln>
                      <a:noFill/>
                    </a:ln>
                  </pic:spPr>
                </pic:pic>
              </a:graphicData>
            </a:graphic>
          </wp:inline>
        </w:drawing>
      </w:r>
    </w:p>
    <w:p w:rsidR="00D526D5" w:rsidRDefault="004A1683" w:rsidP="004A1683">
      <w:pPr>
        <w:rPr>
          <w:lang w:val="en-US"/>
        </w:rPr>
      </w:pPr>
      <w:r>
        <w:rPr>
          <w:lang w:val="en-US"/>
        </w:rPr>
        <w:t xml:space="preserve">The overall ratio of tickets solved by the support unit is 27%, which is a clear improvement </w:t>
      </w:r>
      <w:r w:rsidR="00D526D5">
        <w:rPr>
          <w:lang w:val="en-US"/>
        </w:rPr>
        <w:t xml:space="preserve">compared </w:t>
      </w:r>
      <w:r>
        <w:rPr>
          <w:lang w:val="en-US"/>
        </w:rPr>
        <w:t xml:space="preserve">to </w:t>
      </w:r>
      <w:r w:rsidR="00D526D5">
        <w:rPr>
          <w:lang w:val="en-US"/>
        </w:rPr>
        <w:t>the rate accomplished in PY2 (</w:t>
      </w:r>
      <w:r>
        <w:rPr>
          <w:lang w:val="en-US"/>
        </w:rPr>
        <w:t>21%</w:t>
      </w:r>
      <w:r w:rsidR="00D526D5">
        <w:rPr>
          <w:lang w:val="en-US"/>
        </w:rPr>
        <w:t>). T</w:t>
      </w:r>
      <w:r>
        <w:rPr>
          <w:lang w:val="en-US"/>
        </w:rPr>
        <w:t>he process of analyzing tickets before reassigning them to 3</w:t>
      </w:r>
      <w:r w:rsidRPr="005F7879">
        <w:rPr>
          <w:vertAlign w:val="superscript"/>
          <w:lang w:val="en-US"/>
        </w:rPr>
        <w:t>rd</w:t>
      </w:r>
      <w:r>
        <w:rPr>
          <w:lang w:val="en-US"/>
        </w:rPr>
        <w:t xml:space="preserve"> line support</w:t>
      </w:r>
      <w:r w:rsidR="00D526D5">
        <w:rPr>
          <w:lang w:val="en-US"/>
        </w:rPr>
        <w:t xml:space="preserve"> units (</w:t>
      </w:r>
      <w:r>
        <w:rPr>
          <w:lang w:val="en-US"/>
        </w:rPr>
        <w:t>deployed in PY2 and followed through</w:t>
      </w:r>
      <w:r w:rsidR="00D526D5">
        <w:rPr>
          <w:lang w:val="en-US"/>
        </w:rPr>
        <w:t>out</w:t>
      </w:r>
      <w:r>
        <w:rPr>
          <w:lang w:val="en-US"/>
        </w:rPr>
        <w:t xml:space="preserve"> PY3</w:t>
      </w:r>
      <w:r w:rsidR="00D526D5">
        <w:rPr>
          <w:lang w:val="en-US"/>
        </w:rPr>
        <w:t>)</w:t>
      </w:r>
      <w:r>
        <w:rPr>
          <w:lang w:val="en-US"/>
        </w:rPr>
        <w:t xml:space="preserve">, </w:t>
      </w:r>
      <w:r w:rsidR="00D526D5">
        <w:rPr>
          <w:lang w:val="en-US"/>
        </w:rPr>
        <w:t xml:space="preserve">contributed to this improvement. </w:t>
      </w:r>
    </w:p>
    <w:p w:rsidR="004A1683" w:rsidRPr="00A53EBD" w:rsidRDefault="004A1683" w:rsidP="004A1683">
      <w:pPr>
        <w:rPr>
          <w:lang w:val="en-US"/>
        </w:rPr>
      </w:pPr>
      <w:r>
        <w:rPr>
          <w:lang w:val="en-US"/>
        </w:rPr>
        <w:t xml:space="preserve">The following graph shows </w:t>
      </w:r>
      <w:r w:rsidR="00D526D5">
        <w:rPr>
          <w:lang w:val="en-US"/>
        </w:rPr>
        <w:t xml:space="preserve">the </w:t>
      </w:r>
      <w:r>
        <w:rPr>
          <w:lang w:val="en-US"/>
        </w:rPr>
        <w:t xml:space="preserve">weekly distribution of tickets. </w:t>
      </w:r>
      <w:r w:rsidR="00D526D5">
        <w:rPr>
          <w:lang w:val="en-US"/>
        </w:rPr>
        <w:t>O</w:t>
      </w:r>
      <w:r>
        <w:rPr>
          <w:lang w:val="en-US"/>
        </w:rPr>
        <w:t xml:space="preserve">scillations </w:t>
      </w:r>
      <w:r w:rsidR="00D526D5">
        <w:rPr>
          <w:lang w:val="en-US"/>
        </w:rPr>
        <w:t xml:space="preserve">in load </w:t>
      </w:r>
      <w:r>
        <w:rPr>
          <w:lang w:val="en-US"/>
        </w:rPr>
        <w:t xml:space="preserve">are </w:t>
      </w:r>
      <w:r w:rsidR="00D526D5">
        <w:rPr>
          <w:lang w:val="en-US"/>
        </w:rPr>
        <w:t xml:space="preserve">considered to be </w:t>
      </w:r>
      <w:r>
        <w:rPr>
          <w:lang w:val="en-US"/>
        </w:rPr>
        <w:t xml:space="preserve">normal. </w:t>
      </w:r>
      <w:r w:rsidR="00D526D5">
        <w:rPr>
          <w:lang w:val="en-US"/>
        </w:rPr>
        <w:t>The workload reduces – as expected –</w:t>
      </w:r>
      <w:r>
        <w:rPr>
          <w:lang w:val="en-US"/>
        </w:rPr>
        <w:t xml:space="preserve"> </w:t>
      </w:r>
      <w:r w:rsidR="00D526D5">
        <w:rPr>
          <w:lang w:val="en-US"/>
        </w:rPr>
        <w:t>in</w:t>
      </w:r>
      <w:r>
        <w:rPr>
          <w:lang w:val="en-US"/>
        </w:rPr>
        <w:t xml:space="preserve"> the summer and Christmas </w:t>
      </w:r>
      <w:r w:rsidR="00D526D5">
        <w:rPr>
          <w:lang w:val="en-US"/>
        </w:rPr>
        <w:t>period</w:t>
      </w:r>
      <w:r>
        <w:rPr>
          <w:lang w:val="en-US"/>
        </w:rPr>
        <w:t>.</w:t>
      </w:r>
    </w:p>
    <w:p w:rsidR="004A1683" w:rsidRDefault="004A1683" w:rsidP="004A1683"/>
    <w:p w:rsidR="004A1683" w:rsidRPr="00031A85" w:rsidRDefault="004A1683" w:rsidP="004A1683"/>
    <w:p w:rsidR="004A1683" w:rsidRDefault="004A1683" w:rsidP="004A1683"/>
    <w:p w:rsidR="004A1683" w:rsidRDefault="004A1683" w:rsidP="004A1683">
      <w:pPr>
        <w:keepNext/>
      </w:pPr>
      <w:r w:rsidRPr="00052CBA">
        <w:rPr>
          <w:noProof/>
          <w:lang w:eastAsia="en-GB"/>
        </w:rPr>
        <w:lastRenderedPageBreak/>
        <w:drawing>
          <wp:inline distT="0" distB="0" distL="0" distR="0" wp14:anchorId="2AB71B4B" wp14:editId="4D9ED84C">
            <wp:extent cx="5760720" cy="2364063"/>
            <wp:effectExtent l="0" t="0" r="11430" b="17780"/>
            <wp:docPr id="161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A1683" w:rsidRDefault="004A1683" w:rsidP="004A1683">
      <w:pPr>
        <w:pStyle w:val="Caption"/>
        <w:jc w:val="center"/>
      </w:pPr>
      <w:bookmarkStart w:id="119" w:name="_Toc355730471"/>
      <w:r>
        <w:t xml:space="preserve">Figure </w:t>
      </w:r>
      <w:r w:rsidR="00A560B1">
        <w:fldChar w:fldCharType="begin"/>
      </w:r>
      <w:r w:rsidR="00A560B1">
        <w:instrText xml:space="preserve"> SEQ Figure \* ARABIC </w:instrText>
      </w:r>
      <w:r w:rsidR="00A560B1">
        <w:fldChar w:fldCharType="separate"/>
      </w:r>
      <w:r w:rsidR="00A319E4">
        <w:rPr>
          <w:noProof/>
        </w:rPr>
        <w:t>27</w:t>
      </w:r>
      <w:r w:rsidR="00A560B1">
        <w:rPr>
          <w:noProof/>
        </w:rPr>
        <w:fldChar w:fldCharType="end"/>
      </w:r>
      <w:r w:rsidR="00D526D5">
        <w:rPr>
          <w:noProof/>
        </w:rPr>
        <w:t>.</w:t>
      </w:r>
      <w:r>
        <w:t xml:space="preserve"> W</w:t>
      </w:r>
      <w:r w:rsidRPr="0051060F">
        <w:t xml:space="preserve">eekly distribution of the </w:t>
      </w:r>
      <w:r w:rsidR="00D526D5">
        <w:t xml:space="preserve">software </w:t>
      </w:r>
      <w:r w:rsidRPr="0051060F">
        <w:t>tickets</w:t>
      </w:r>
      <w:r w:rsidR="00D526D5">
        <w:t xml:space="preserve"> handled by the 2</w:t>
      </w:r>
      <w:r w:rsidR="00D526D5" w:rsidRPr="00D526D5">
        <w:rPr>
          <w:vertAlign w:val="superscript"/>
        </w:rPr>
        <w:t>nd</w:t>
      </w:r>
      <w:r w:rsidR="00D526D5">
        <w:t xml:space="preserve"> level Support Unit.</w:t>
      </w:r>
      <w:bookmarkEnd w:id="119"/>
    </w:p>
    <w:p w:rsidR="004A1683" w:rsidRDefault="004A1683" w:rsidP="004A1683"/>
    <w:p w:rsidR="004A1683" w:rsidRDefault="004A1683" w:rsidP="004A1683">
      <w:pPr>
        <w:rPr>
          <w:lang w:val="en-US"/>
        </w:rPr>
      </w:pPr>
      <w:r w:rsidRPr="001F66DE">
        <w:rPr>
          <w:lang w:val="en-US"/>
        </w:rPr>
        <w:t>Out of those</w:t>
      </w:r>
      <w:r>
        <w:rPr>
          <w:lang w:val="en-US"/>
        </w:rPr>
        <w:t xml:space="preserve"> </w:t>
      </w:r>
      <w:r w:rsidR="00D526D5">
        <w:rPr>
          <w:lang w:val="en-US"/>
        </w:rPr>
        <w:t>total number of tickets</w:t>
      </w:r>
      <w:r>
        <w:rPr>
          <w:lang w:val="en-US"/>
        </w:rPr>
        <w:t xml:space="preserve">, only 2 were </w:t>
      </w:r>
      <w:r>
        <w:rPr>
          <w:i/>
          <w:lang w:val="en-US"/>
        </w:rPr>
        <w:t xml:space="preserve">top-priority, </w:t>
      </w:r>
      <w:r w:rsidR="00D526D5">
        <w:rPr>
          <w:lang w:val="en-US"/>
        </w:rPr>
        <w:t>while</w:t>
      </w:r>
      <w:r>
        <w:rPr>
          <w:lang w:val="en-US"/>
        </w:rPr>
        <w:t xml:space="preserve"> 25 were</w:t>
      </w:r>
      <w:r w:rsidR="00D526D5">
        <w:rPr>
          <w:lang w:val="en-US"/>
        </w:rPr>
        <w:t xml:space="preserve"> assessed to be</w:t>
      </w:r>
      <w:r>
        <w:rPr>
          <w:lang w:val="en-US"/>
        </w:rPr>
        <w:t xml:space="preserve"> </w:t>
      </w:r>
      <w:r>
        <w:rPr>
          <w:i/>
          <w:lang w:val="en-US"/>
        </w:rPr>
        <w:t>very urgent</w:t>
      </w:r>
      <w:r>
        <w:rPr>
          <w:lang w:val="en-US"/>
        </w:rPr>
        <w:t xml:space="preserve"> (</w:t>
      </w:r>
      <w:r w:rsidR="00D526D5">
        <w:rPr>
          <w:lang w:val="en-US"/>
        </w:rPr>
        <w:t xml:space="preserve">the </w:t>
      </w:r>
      <w:r>
        <w:rPr>
          <w:lang w:val="en-US"/>
        </w:rPr>
        <w:t xml:space="preserve">two highest priority levels according to the GGUS classification). </w:t>
      </w:r>
      <w:r w:rsidR="00676EFD">
        <w:rPr>
          <w:lang w:val="en-US"/>
        </w:rPr>
        <w:t>These</w:t>
      </w:r>
      <w:r>
        <w:rPr>
          <w:lang w:val="en-US"/>
        </w:rPr>
        <w:t xml:space="preserve"> are reasonable numbers in which the special treatment of the tickets – </w:t>
      </w:r>
      <w:r w:rsidR="00676EFD">
        <w:rPr>
          <w:lang w:val="en-US"/>
        </w:rPr>
        <w:t>requiring negotiation</w:t>
      </w:r>
      <w:r>
        <w:rPr>
          <w:lang w:val="en-US"/>
        </w:rPr>
        <w:t xml:space="preserve"> with the 3</w:t>
      </w:r>
      <w:r w:rsidRPr="000872F8">
        <w:rPr>
          <w:vertAlign w:val="superscript"/>
          <w:lang w:val="en-US"/>
        </w:rPr>
        <w:t>rd</w:t>
      </w:r>
      <w:r>
        <w:rPr>
          <w:lang w:val="en-US"/>
        </w:rPr>
        <w:t xml:space="preserve"> line support </w:t>
      </w:r>
      <w:r w:rsidR="00676EFD">
        <w:rPr>
          <w:lang w:val="en-US"/>
        </w:rPr>
        <w:t>team to ensure that</w:t>
      </w:r>
      <w:r>
        <w:rPr>
          <w:lang w:val="en-US"/>
        </w:rPr>
        <w:t xml:space="preserve"> </w:t>
      </w:r>
      <w:r w:rsidR="00676EFD">
        <w:rPr>
          <w:lang w:val="en-US"/>
        </w:rPr>
        <w:t>those tickets are handled</w:t>
      </w:r>
      <w:r>
        <w:rPr>
          <w:lang w:val="en-US"/>
        </w:rPr>
        <w:t xml:space="preserve"> in </w:t>
      </w:r>
      <w:r w:rsidR="00676EFD">
        <w:rPr>
          <w:lang w:val="en-US"/>
        </w:rPr>
        <w:t xml:space="preserve">a </w:t>
      </w:r>
      <w:r>
        <w:rPr>
          <w:lang w:val="en-US"/>
        </w:rPr>
        <w:t>time</w:t>
      </w:r>
      <w:r w:rsidR="00676EFD">
        <w:rPr>
          <w:lang w:val="en-US"/>
        </w:rPr>
        <w:t>ly manner</w:t>
      </w:r>
      <w:r>
        <w:rPr>
          <w:lang w:val="en-US"/>
        </w:rPr>
        <w:t xml:space="preserve"> – </w:t>
      </w:r>
      <w:r w:rsidR="00676EFD">
        <w:rPr>
          <w:lang w:val="en-US"/>
        </w:rPr>
        <w:t>can be considered to be</w:t>
      </w:r>
      <w:r>
        <w:rPr>
          <w:lang w:val="en-US"/>
        </w:rPr>
        <w:t xml:space="preserve"> feasible.</w:t>
      </w:r>
    </w:p>
    <w:p w:rsidR="004A1683" w:rsidRPr="000872F8" w:rsidRDefault="004A1683" w:rsidP="004A1683">
      <w:pPr>
        <w:rPr>
          <w:lang w:val="en-US"/>
        </w:rPr>
      </w:pPr>
      <w:r>
        <w:rPr>
          <w:lang w:val="en-US"/>
        </w:rPr>
        <w:t xml:space="preserve">The software support unit interacts with the EGI Operations on </w:t>
      </w:r>
      <w:r w:rsidR="00676EFD">
        <w:rPr>
          <w:lang w:val="en-US"/>
        </w:rPr>
        <w:t xml:space="preserve">a </w:t>
      </w:r>
      <w:r>
        <w:rPr>
          <w:lang w:val="en-US"/>
        </w:rPr>
        <w:t xml:space="preserve">regular basis. Issues that are identified to have </w:t>
      </w:r>
      <w:r w:rsidR="00676EFD">
        <w:rPr>
          <w:lang w:val="en-US"/>
        </w:rPr>
        <w:t xml:space="preserve">a potential </w:t>
      </w:r>
      <w:r>
        <w:rPr>
          <w:lang w:val="en-US"/>
        </w:rPr>
        <w:t xml:space="preserve">broader impact </w:t>
      </w:r>
      <w:r w:rsidR="00676EFD">
        <w:rPr>
          <w:lang w:val="en-US"/>
        </w:rPr>
        <w:t>on the infrastructure,</w:t>
      </w:r>
      <w:r>
        <w:rPr>
          <w:lang w:val="en-US"/>
        </w:rPr>
        <w:t xml:space="preserve"> are describ</w:t>
      </w:r>
      <w:r w:rsidR="004F3A88">
        <w:rPr>
          <w:lang w:val="en-US"/>
        </w:rPr>
        <w:t>ed in a dedicated wiki page</w:t>
      </w:r>
      <w:r w:rsidR="004F3A88" w:rsidRPr="003329A3">
        <w:rPr>
          <w:rStyle w:val="FootnoteReference"/>
        </w:rPr>
        <w:footnoteReference w:id="38"/>
      </w:r>
      <w:r>
        <w:rPr>
          <w:lang w:val="en-US"/>
        </w:rPr>
        <w:t>. The unit representative also attends the regular bi-monthly operations meetings where those issues are discussed, and eventually further issues are fed back to the software support unit. The unit leader also attends the TCB meetings.</w:t>
      </w:r>
    </w:p>
    <w:p w:rsidR="004A1683" w:rsidRDefault="00676EFD" w:rsidP="004A1683">
      <w:pPr>
        <w:rPr>
          <w:lang w:val="en-US"/>
        </w:rPr>
      </w:pPr>
      <w:r>
        <w:t>Starting in</w:t>
      </w:r>
      <w:r>
        <w:rPr>
          <w:lang w:val="en-US"/>
        </w:rPr>
        <w:t xml:space="preserve"> 2013 further adjustments </w:t>
      </w:r>
      <w:r w:rsidR="004A1683">
        <w:rPr>
          <w:lang w:val="en-US"/>
        </w:rPr>
        <w:t xml:space="preserve">to the ticket follow-up process </w:t>
      </w:r>
      <w:r>
        <w:rPr>
          <w:lang w:val="en-US"/>
        </w:rPr>
        <w:t>are being</w:t>
      </w:r>
      <w:r w:rsidR="004A1683">
        <w:rPr>
          <w:lang w:val="en-US"/>
        </w:rPr>
        <w:t xml:space="preserve"> discussed</w:t>
      </w:r>
      <w:r w:rsidR="00A875E9">
        <w:rPr>
          <w:lang w:val="en-US"/>
        </w:rPr>
        <w:t xml:space="preserve"> and will be implemented in PQ13</w:t>
      </w:r>
      <w:r w:rsidR="004A1683">
        <w:rPr>
          <w:lang w:val="en-US"/>
        </w:rPr>
        <w:t>. The</w:t>
      </w:r>
      <w:r w:rsidR="00A875E9">
        <w:rPr>
          <w:lang w:val="en-US"/>
        </w:rPr>
        <w:t>se</w:t>
      </w:r>
      <w:r w:rsidR="004A1683">
        <w:rPr>
          <w:lang w:val="en-US"/>
        </w:rPr>
        <w:t xml:space="preserve"> </w:t>
      </w:r>
      <w:r>
        <w:rPr>
          <w:lang w:val="en-US"/>
        </w:rPr>
        <w:t>are needed to adapt to the discontinuation of the software support coordination function currently provided by the EMI and IGE EC project.</w:t>
      </w:r>
    </w:p>
    <w:p w:rsidR="000D6AFC" w:rsidRPr="000D6AFC" w:rsidRDefault="000D6AFC" w:rsidP="000D6AFC"/>
    <w:p w:rsidR="008633B1" w:rsidRPr="00AB14DC" w:rsidRDefault="008633B1" w:rsidP="008633B1">
      <w:pPr>
        <w:pStyle w:val="Heading1"/>
      </w:pPr>
      <w:bookmarkStart w:id="120" w:name="_Toc355730432"/>
      <w:r w:rsidRPr="00AB14DC">
        <w:lastRenderedPageBreak/>
        <w:t>Conclusions</w:t>
      </w:r>
      <w:bookmarkEnd w:id="117"/>
      <w:bookmarkEnd w:id="120"/>
    </w:p>
    <w:p w:rsidR="004C2302" w:rsidRPr="00B16FF2" w:rsidRDefault="004C2302" w:rsidP="004C2302">
      <w:pPr>
        <w:rPr>
          <w:rFonts w:eastAsia="Cambria"/>
          <w:highlight w:val="yellow"/>
          <w:lang w:eastAsia="en-GB"/>
        </w:rPr>
      </w:pPr>
      <w:r w:rsidRPr="00AB14DC">
        <w:rPr>
          <w:rFonts w:eastAsia="Cambria"/>
          <w:lang w:eastAsia="en-GB"/>
        </w:rPr>
        <w:t xml:space="preserve">The </w:t>
      </w:r>
      <w:r w:rsidR="00130883" w:rsidRPr="00AB14DC">
        <w:rPr>
          <w:rFonts w:eastAsia="Cambria"/>
          <w:lang w:eastAsia="en-GB"/>
        </w:rPr>
        <w:t xml:space="preserve">production </w:t>
      </w:r>
      <w:r w:rsidRPr="00AB14DC">
        <w:rPr>
          <w:rFonts w:eastAsia="Cambria"/>
          <w:lang w:eastAsia="en-GB"/>
        </w:rPr>
        <w:t xml:space="preserve">Infrastructure satisfactorily met the </w:t>
      </w:r>
      <w:r w:rsidR="00AB14DC" w:rsidRPr="00AB14DC">
        <w:rPr>
          <w:rFonts w:eastAsia="Cambria"/>
          <w:lang w:eastAsia="en-GB"/>
        </w:rPr>
        <w:t>PY3</w:t>
      </w:r>
      <w:r w:rsidR="00157F48" w:rsidRPr="00AB14DC">
        <w:rPr>
          <w:rFonts w:eastAsia="Cambria"/>
          <w:lang w:eastAsia="en-GB"/>
        </w:rPr>
        <w:t xml:space="preserve"> targets of the SA1 </w:t>
      </w:r>
      <w:r w:rsidR="00130883" w:rsidRPr="00AB14DC">
        <w:rPr>
          <w:rFonts w:eastAsia="Cambria"/>
          <w:lang w:eastAsia="en-GB"/>
        </w:rPr>
        <w:t>project metrics</w:t>
      </w:r>
      <w:r w:rsidR="00157F48" w:rsidRPr="00AB14DC">
        <w:rPr>
          <w:rFonts w:eastAsia="Cambria"/>
          <w:lang w:eastAsia="en-GB"/>
        </w:rPr>
        <w:t>: the</w:t>
      </w:r>
      <w:r w:rsidR="00130883" w:rsidRPr="00AB14DC">
        <w:rPr>
          <w:rFonts w:eastAsia="Cambria"/>
          <w:lang w:eastAsia="en-GB"/>
        </w:rPr>
        <w:t xml:space="preserve"> </w:t>
      </w:r>
      <w:r w:rsidRPr="00AB14DC">
        <w:rPr>
          <w:rFonts w:eastAsia="Cambria"/>
          <w:lang w:eastAsia="en-GB"/>
        </w:rPr>
        <w:t xml:space="preserve">number of RCs integrated, number of job slots offered, </w:t>
      </w:r>
      <w:r w:rsidR="004F432E">
        <w:rPr>
          <w:rFonts w:eastAsia="Cambria"/>
          <w:lang w:eastAsia="en-GB"/>
        </w:rPr>
        <w:t xml:space="preserve">and the </w:t>
      </w:r>
      <w:r w:rsidR="00AB14DC" w:rsidRPr="00AB14DC">
        <w:rPr>
          <w:rFonts w:eastAsia="Cambria"/>
          <w:lang w:eastAsia="en-GB"/>
        </w:rPr>
        <w:t>usage</w:t>
      </w:r>
      <w:r w:rsidR="00F934AC" w:rsidRPr="00AB14DC">
        <w:rPr>
          <w:rFonts w:eastAsia="Cambria"/>
          <w:lang w:eastAsia="en-GB"/>
        </w:rPr>
        <w:t>.</w:t>
      </w:r>
      <w:r w:rsidRPr="00AB14DC">
        <w:rPr>
          <w:rFonts w:eastAsia="Cambria"/>
          <w:lang w:eastAsia="en-GB"/>
        </w:rPr>
        <w:t xml:space="preserve"> </w:t>
      </w:r>
      <w:r w:rsidR="00F934AC" w:rsidRPr="00AB14DC">
        <w:rPr>
          <w:rFonts w:eastAsia="Cambria"/>
          <w:lang w:eastAsia="en-GB"/>
        </w:rPr>
        <w:t>T</w:t>
      </w:r>
      <w:r w:rsidRPr="00AB14DC">
        <w:rPr>
          <w:rFonts w:eastAsia="Cambria"/>
          <w:lang w:eastAsia="en-GB"/>
        </w:rPr>
        <w:t>he Desktop Grid integrat</w:t>
      </w:r>
      <w:r w:rsidR="00AB14DC" w:rsidRPr="00AB14DC">
        <w:rPr>
          <w:rFonts w:eastAsia="Cambria"/>
          <w:lang w:eastAsia="en-GB"/>
        </w:rPr>
        <w:t>ion is being piloted in Hungary.</w:t>
      </w:r>
      <w:r w:rsidR="00741AB8">
        <w:rPr>
          <w:rFonts w:eastAsia="Cambria"/>
          <w:lang w:eastAsia="en-GB"/>
        </w:rPr>
        <w:t xml:space="preserve"> The contribution of EGI-InSPIRE SA1 to the accomplishment of the applicable project objectives is described</w:t>
      </w:r>
      <w:r w:rsidR="00741AB8">
        <w:rPr>
          <w:rStyle w:val="FootnoteReference"/>
          <w:rFonts w:eastAsia="Cambria"/>
          <w:lang w:eastAsia="en-GB"/>
        </w:rPr>
        <w:footnoteReference w:id="39"/>
      </w:r>
      <w:r w:rsidR="00741AB8">
        <w:rPr>
          <w:rFonts w:eastAsia="Cambria"/>
          <w:lang w:eastAsia="en-GB"/>
        </w:rPr>
        <w:t xml:space="preserve">. </w:t>
      </w:r>
    </w:p>
    <w:p w:rsidR="004C2302" w:rsidRPr="006639B9" w:rsidRDefault="004C2302" w:rsidP="004C2302">
      <w:pPr>
        <w:numPr>
          <w:ilvl w:val="0"/>
          <w:numId w:val="58"/>
        </w:numPr>
        <w:rPr>
          <w:rFonts w:eastAsia="Cambria"/>
          <w:lang w:eastAsia="en-GB"/>
        </w:rPr>
      </w:pPr>
      <w:r w:rsidRPr="006639B9">
        <w:rPr>
          <w:rFonts w:eastAsia="Cambria"/>
          <w:lang w:eastAsia="en-GB"/>
        </w:rPr>
        <w:t xml:space="preserve">Objective 1 (O1): </w:t>
      </w:r>
      <w:r w:rsidRPr="006639B9">
        <w:rPr>
          <w:rFonts w:eastAsia="Cambria"/>
          <w:i/>
          <w:lang w:eastAsia="en-GB"/>
        </w:rPr>
        <w:t>The continued operation and expansion of today’s production Infrastructure</w:t>
      </w:r>
      <w:r w:rsidRPr="006639B9">
        <w:rPr>
          <w:rFonts w:eastAsia="Cambria"/>
          <w:lang w:eastAsia="en-GB"/>
        </w:rPr>
        <w:t xml:space="preserve">. </w:t>
      </w:r>
    </w:p>
    <w:p w:rsidR="004C2302" w:rsidRPr="00D872CE" w:rsidRDefault="004C2302" w:rsidP="00D872CE">
      <w:pPr>
        <w:ind w:left="720"/>
      </w:pPr>
      <w:r w:rsidRPr="006639B9">
        <w:rPr>
          <w:rFonts w:eastAsia="Cambria"/>
        </w:rPr>
        <w:t>This objective was successfully met</w:t>
      </w:r>
      <w:r w:rsidR="00063388" w:rsidRPr="006639B9">
        <w:rPr>
          <w:rFonts w:eastAsia="Cambria"/>
        </w:rPr>
        <w:t xml:space="preserve"> by completing the </w:t>
      </w:r>
      <w:r w:rsidR="00D872CE">
        <w:rPr>
          <w:rFonts w:eastAsia="Cambria"/>
        </w:rPr>
        <w:t>integration of</w:t>
      </w:r>
      <w:r w:rsidR="001C71C9" w:rsidRPr="006639B9">
        <w:t xml:space="preserve"> the Ukrainian National Grid</w:t>
      </w:r>
      <w:r w:rsidR="00AF140A" w:rsidRPr="006639B9">
        <w:rPr>
          <w:rStyle w:val="FootnoteReference"/>
        </w:rPr>
        <w:footnoteReference w:id="40"/>
      </w:r>
      <w:r w:rsidR="00D872CE">
        <w:t xml:space="preserve"> comprising 12 production RCs. A MoU with the </w:t>
      </w:r>
      <w:r w:rsidR="00D872CE" w:rsidRPr="00B023DE">
        <w:rPr>
          <w:i/>
        </w:rPr>
        <w:t>Asia Pacific Grid Initiative</w:t>
      </w:r>
      <w:r w:rsidR="00D872CE">
        <w:rPr>
          <w:i/>
        </w:rPr>
        <w:t xml:space="preserve"> </w:t>
      </w:r>
      <w:r w:rsidR="00D872CE">
        <w:t xml:space="preserve">(APGI) was signed in PQ12 and a MoU is being finalized with Open Science Grid in USA. Unfortunately two Operations Centres were decommissioned because of sustainability issues: NGI Ireland and </w:t>
      </w:r>
      <w:r w:rsidR="00D872CE" w:rsidRPr="002C789C">
        <w:t xml:space="preserve">Iniciativa de </w:t>
      </w:r>
      <w:r w:rsidR="00D872CE">
        <w:t>Grid de America Latina – Caribe. Fortunately this was compensated by a substantial increase in the offered capacity: compute resources increased by +33.6% in PY3, while disk capacity increase to 177 PB (+25.36%). At the end of PQ11 t</w:t>
      </w:r>
      <w:r w:rsidR="00D872CE" w:rsidRPr="00260B86">
        <w:t>he total amount of CPU cores contributed by EGI-InSPIRE partners and RPs council members amounts to 347,307</w:t>
      </w:r>
      <w:r w:rsidR="00D872CE">
        <w:t>, which provide</w:t>
      </w:r>
      <w:r w:rsidR="00D872CE" w:rsidRPr="00260B86">
        <w:t xml:space="preserve"> 3</w:t>
      </w:r>
      <w:r w:rsidR="00D872CE">
        <w:t>.</w:t>
      </w:r>
      <w:r w:rsidR="00D872CE" w:rsidRPr="00260B86">
        <w:t>32 Million HEP-SPEC 06</w:t>
      </w:r>
      <w:r w:rsidR="00D872CE">
        <w:t xml:space="preserve">. The performance of NGI services has been excellently improving since January 2012 when the NGI Availability/Reliability statistics were introduced for the first time, and the EGI Core Infrastructure Platform is delivering very good and stable performance. </w:t>
      </w:r>
    </w:p>
    <w:p w:rsidR="00C963ED" w:rsidRPr="006639B9" w:rsidRDefault="00C963ED" w:rsidP="00C963ED">
      <w:pPr>
        <w:numPr>
          <w:ilvl w:val="0"/>
          <w:numId w:val="58"/>
        </w:numPr>
        <w:rPr>
          <w:rFonts w:eastAsia="Cambria"/>
          <w:i/>
          <w:lang w:eastAsia="en-GB"/>
        </w:rPr>
      </w:pPr>
      <w:r w:rsidRPr="006639B9">
        <w:rPr>
          <w:rFonts w:eastAsia="Cambria"/>
          <w:i/>
          <w:lang w:eastAsia="en-GB"/>
        </w:rPr>
        <w:t>Objective 2 (O2): The continued support of researchers within Europe and their international collaborators that are using the current production infrastructure.</w:t>
      </w:r>
    </w:p>
    <w:p w:rsidR="00FB1A3C" w:rsidRPr="006639B9" w:rsidRDefault="004372D0" w:rsidP="0056603B">
      <w:pPr>
        <w:ind w:left="720"/>
        <w:rPr>
          <w:rFonts w:eastAsia="Cambria"/>
          <w:lang w:eastAsia="en-GB"/>
        </w:rPr>
      </w:pPr>
      <w:r w:rsidRPr="006639B9">
        <w:rPr>
          <w:rFonts w:eastAsia="Cambria"/>
          <w:lang w:eastAsia="en-GB"/>
        </w:rPr>
        <w:t>In</w:t>
      </w:r>
      <w:r w:rsidR="0056603B" w:rsidRPr="006639B9">
        <w:rPr>
          <w:rFonts w:eastAsia="Cambria"/>
          <w:lang w:eastAsia="en-GB"/>
        </w:rPr>
        <w:t xml:space="preserve"> PY2 the responsibility of providing VO services was migrated to the EGI.eu oper</w:t>
      </w:r>
      <w:r w:rsidR="001C71C9" w:rsidRPr="006639B9">
        <w:rPr>
          <w:rFonts w:eastAsia="Cambria"/>
          <w:lang w:eastAsia="en-GB"/>
        </w:rPr>
        <w:t>ations team and the NGIs. VO support includes</w:t>
      </w:r>
      <w:r w:rsidR="0056603B" w:rsidRPr="006639B9">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sidRPr="006639B9">
        <w:rPr>
          <w:rFonts w:eastAsia="Cambria"/>
          <w:lang w:eastAsia="en-GB"/>
        </w:rPr>
        <w:t xml:space="preserve">id services etc.), and the operation of tools to assist VO administration and monitoring. </w:t>
      </w:r>
      <w:r w:rsidR="00F20415">
        <w:rPr>
          <w:rFonts w:eastAsia="Cambria"/>
          <w:lang w:eastAsia="en-GB"/>
        </w:rPr>
        <w:t>The collaboration between the active User Communities and the Resource Provide</w:t>
      </w:r>
      <w:r w:rsidR="004F432E">
        <w:rPr>
          <w:rFonts w:eastAsia="Cambria"/>
          <w:lang w:eastAsia="en-GB"/>
        </w:rPr>
        <w:t>rs of EGI has been strengthened</w:t>
      </w:r>
      <w:r w:rsidR="00F20415">
        <w:rPr>
          <w:rFonts w:eastAsia="Cambria"/>
          <w:lang w:eastAsia="en-GB"/>
        </w:rPr>
        <w:t xml:space="preserve"> in PY3. </w:t>
      </w:r>
    </w:p>
    <w:p w:rsidR="00F934AC" w:rsidRDefault="00F20415" w:rsidP="00FB1A3C">
      <w:pPr>
        <w:ind w:left="720"/>
        <w:rPr>
          <w:rFonts w:eastAsia="Cambria"/>
          <w:lang w:eastAsia="en-GB"/>
        </w:rPr>
      </w:pPr>
      <w:r w:rsidRPr="00D0036D">
        <w:rPr>
          <w:rFonts w:eastAsia="Cambria"/>
          <w:lang w:eastAsia="en-GB"/>
        </w:rPr>
        <w:t>The overall quantity of computing resources used in PY</w:t>
      </w:r>
      <w:r>
        <w:rPr>
          <w:rFonts w:eastAsia="Cambria"/>
          <w:lang w:eastAsia="en-GB"/>
        </w:rPr>
        <w:t>3 amounts to 12.01</w:t>
      </w:r>
      <w:r w:rsidRPr="00D0036D">
        <w:rPr>
          <w:rFonts w:eastAsia="Cambria"/>
          <w:lang w:eastAsia="en-GB"/>
        </w:rPr>
        <w:t xml:space="preserve"> Billion HEP-SPEC 06 Hours (the corresponding amount of consumed resources consumed during PY2 amounted to 10.5 Billion HEP-SPEC 06 Hours) as shown in </w:t>
      </w:r>
      <w:r w:rsidRPr="00D0036D">
        <w:rPr>
          <w:rFonts w:eastAsia="Cambria"/>
          <w:lang w:eastAsia="en-GB"/>
        </w:rPr>
        <w:fldChar w:fldCharType="begin"/>
      </w:r>
      <w:r w:rsidRPr="00D0036D">
        <w:rPr>
          <w:rFonts w:eastAsia="Cambria"/>
          <w:lang w:eastAsia="en-GB"/>
        </w:rPr>
        <w:instrText xml:space="preserve"> REF _Ref323829758 \h  \* MERGEFORMAT </w:instrText>
      </w:r>
      <w:r w:rsidRPr="00D0036D">
        <w:rPr>
          <w:rFonts w:eastAsia="Cambria"/>
          <w:lang w:eastAsia="en-GB"/>
        </w:rPr>
      </w:r>
      <w:r w:rsidRPr="00D0036D">
        <w:rPr>
          <w:rFonts w:eastAsia="Cambria"/>
          <w:lang w:eastAsia="en-GB"/>
        </w:rPr>
        <w:fldChar w:fldCharType="separate"/>
      </w:r>
      <w:r w:rsidR="00A319E4">
        <w:t xml:space="preserve">Table </w:t>
      </w:r>
      <w:r w:rsidR="00A319E4">
        <w:rPr>
          <w:noProof/>
        </w:rPr>
        <w:t>9</w:t>
      </w:r>
      <w:r w:rsidRPr="00D0036D">
        <w:rPr>
          <w:rFonts w:eastAsia="Cambria"/>
          <w:lang w:eastAsia="en-GB"/>
        </w:rPr>
        <w:fldChar w:fldCharType="end"/>
      </w:r>
      <w:r w:rsidRPr="00D0036D">
        <w:rPr>
          <w:rFonts w:eastAsia="Cambria"/>
          <w:lang w:eastAsia="en-GB"/>
        </w:rPr>
        <w:t xml:space="preserve">. The </w:t>
      </w:r>
      <w:r>
        <w:rPr>
          <w:rFonts w:eastAsia="Cambria"/>
          <w:lang w:eastAsia="en-GB"/>
        </w:rPr>
        <w:t>PY3 workload was generated by 507.2</w:t>
      </w:r>
      <w:r w:rsidRPr="00D0036D">
        <w:rPr>
          <w:rFonts w:eastAsia="Cambria"/>
          <w:lang w:eastAsia="en-GB"/>
        </w:rPr>
        <w:t xml:space="preserve"> Million jobs, whi</w:t>
      </w:r>
      <w:r>
        <w:rPr>
          <w:rFonts w:eastAsia="Cambria"/>
          <w:lang w:eastAsia="en-GB"/>
        </w:rPr>
        <w:t>ch amounts to an average of 1.43 Million j</w:t>
      </w:r>
      <w:r w:rsidRPr="00D0036D">
        <w:rPr>
          <w:rFonts w:eastAsia="Cambria"/>
          <w:lang w:eastAsia="en-GB"/>
        </w:rPr>
        <w:t>ob/day.</w:t>
      </w:r>
    </w:p>
    <w:p w:rsidR="00F20415" w:rsidRDefault="00F20415" w:rsidP="00F20415">
      <w:pPr>
        <w:ind w:left="720"/>
        <w:rPr>
          <w:noProof/>
          <w:lang w:eastAsia="en-GB"/>
        </w:rPr>
      </w:pPr>
      <w:r>
        <w:rPr>
          <w:noProof/>
          <w:lang w:eastAsia="en-GB"/>
        </w:rPr>
        <w:t>The o</w:t>
      </w:r>
      <w:r w:rsidRPr="004F65C2">
        <w:rPr>
          <w:noProof/>
          <w:lang w:eastAsia="en-GB"/>
        </w:rPr>
        <w:t xml:space="preserve">verall </w:t>
      </w:r>
      <w:r>
        <w:rPr>
          <w:noProof/>
          <w:lang w:eastAsia="en-GB"/>
        </w:rPr>
        <w:t xml:space="preserve">compute </w:t>
      </w:r>
      <w:r w:rsidRPr="004F65C2">
        <w:rPr>
          <w:noProof/>
          <w:lang w:eastAsia="en-GB"/>
        </w:rPr>
        <w:t xml:space="preserve">resource utilization during PY3 has been </w:t>
      </w:r>
      <w:r>
        <w:rPr>
          <w:noProof/>
          <w:lang w:eastAsia="en-GB"/>
        </w:rPr>
        <w:t>significantly</w:t>
      </w:r>
      <w:r w:rsidRPr="004F65C2">
        <w:rPr>
          <w:noProof/>
          <w:lang w:eastAsia="en-GB"/>
        </w:rPr>
        <w:t xml:space="preserve"> increasing</w:t>
      </w:r>
      <w:r>
        <w:rPr>
          <w:noProof/>
          <w:lang w:eastAsia="en-GB"/>
        </w:rPr>
        <w:t xml:space="preserve"> both in terms of the cumulative number of jobs successfully done and the normalized CPU wall time consumed by all disciplines. In the refenrece period April 2012-March 2013 the rate of jobs succssfully executed incr</w:t>
      </w:r>
      <w:r w:rsidR="005571E7">
        <w:rPr>
          <w:noProof/>
          <w:lang w:eastAsia="en-GB"/>
        </w:rPr>
        <w:t>e</w:t>
      </w:r>
      <w:r>
        <w:rPr>
          <w:noProof/>
          <w:lang w:eastAsia="en-GB"/>
        </w:rPr>
        <w:t>ased by +8.0%, while the total normalized CPU wall time (HEP-SEPC06) incrased by +45.8%.</w:t>
      </w:r>
    </w:p>
    <w:p w:rsidR="00F20415" w:rsidRPr="00F20415" w:rsidRDefault="00F20415" w:rsidP="00F20415">
      <w:pPr>
        <w:ind w:left="720"/>
        <w:rPr>
          <w:szCs w:val="22"/>
        </w:rPr>
      </w:pPr>
      <w:r>
        <w:t xml:space="preserve">While the HEP utilization is dominating in absolute terms (93.78% of the total EGI consumption), a number of other communities significantly increased their CPU wall time </w:t>
      </w:r>
      <w:r>
        <w:lastRenderedPageBreak/>
        <w:t xml:space="preserve">utilization: Earth Sciences (+123.45% yearly increase), Computational Chemistry (+78.31%), Astronomy Astro-particle and Astrophysics (+76.64%), Life Science (+65.12) and other sciences (+199.45%). </w:t>
      </w:r>
      <w:r w:rsidRPr="00BE134C">
        <w:t>Astronomy Astrophysics and Astro-particle Physics</w:t>
      </w:r>
      <w:r w:rsidRPr="00A55283">
        <w:t xml:space="preserve"> are the second community in terms of used normalized CPU wall clock time, which now amounts to </w:t>
      </w:r>
      <w:r>
        <w:t>2.82</w:t>
      </w:r>
      <w:r w:rsidRPr="00A55283">
        <w:t>% of the overall EGI used CPU wall clock time</w:t>
      </w:r>
      <w:r w:rsidRPr="00BE134C">
        <w:t>.</w:t>
      </w:r>
      <w:r>
        <w:t xml:space="preserve"> Life Sciences </w:t>
      </w:r>
      <w:r w:rsidRPr="00BE134C">
        <w:t>are the third community for</w:t>
      </w:r>
      <w:r>
        <w:t xml:space="preserve"> usage (1.52</w:t>
      </w:r>
      <w:r w:rsidRPr="00BE134C">
        <w:t>% of the overall EGI used normalized CPU time)</w:t>
      </w:r>
      <w:r>
        <w:rPr>
          <w:szCs w:val="22"/>
        </w:rPr>
        <w:t>.</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4 (O4): </w:t>
      </w:r>
      <w:r w:rsidRPr="006639B9">
        <w:rPr>
          <w:rFonts w:eastAsia="Cambria"/>
          <w:i/>
          <w:lang w:eastAsia="en-GB"/>
        </w:rPr>
        <w:t>Interfaces that expand access to new user communities including new potential heavy users of the infrastructure from the ESFRI projects</w:t>
      </w:r>
      <w:r w:rsidRPr="006639B9">
        <w:rPr>
          <w:rFonts w:eastAsia="Cambria"/>
          <w:lang w:eastAsia="en-GB"/>
        </w:rPr>
        <w:t>.</w:t>
      </w:r>
    </w:p>
    <w:p w:rsidR="00F20415" w:rsidRDefault="00757BA6" w:rsidP="00F018FE">
      <w:pPr>
        <w:ind w:left="720"/>
      </w:pPr>
      <w:r w:rsidRPr="006639B9">
        <w:t>EGI is actively collaborating with various ESFRI cluster project</w:t>
      </w:r>
      <w:r w:rsidR="00F934AC" w:rsidRPr="006639B9">
        <w:t>s</w:t>
      </w:r>
      <w:r w:rsidRPr="006639B9">
        <w:t xml:space="preserve"> to </w:t>
      </w:r>
      <w:r w:rsidR="00F934AC" w:rsidRPr="006639B9">
        <w:t xml:space="preserve">investigate and </w:t>
      </w:r>
      <w:r w:rsidRPr="006639B9">
        <w:t xml:space="preserve">demonstrate the reuse of EGI core operational and infrastructural services to meet common ESFRI requirements. </w:t>
      </w:r>
      <w:r w:rsidR="00F20415">
        <w:t>A collaboration was established with the EUDAT and PRACE infrastructures and user communities started in November 2012</w:t>
      </w:r>
      <w:r w:rsidR="00F20415">
        <w:rPr>
          <w:rStyle w:val="FootnoteReference"/>
        </w:rPr>
        <w:footnoteReference w:id="41"/>
      </w:r>
      <w:r w:rsidR="00F20415">
        <w:t xml:space="preserve"> aiming for the integration of data access and processing across the three infrastructures. Use cases are being collected for data access, transfer, replication and processing in various disciplines: (seismology, earth science, human physiology and hydrometeorology). Common data access and transfer tools and protocols that can be provided by all three e-infrastructures will be identified.</w:t>
      </w:r>
    </w:p>
    <w:p w:rsidR="004C2302" w:rsidRPr="006639B9" w:rsidRDefault="004C2302" w:rsidP="004C2302">
      <w:pPr>
        <w:numPr>
          <w:ilvl w:val="0"/>
          <w:numId w:val="58"/>
        </w:numPr>
        <w:rPr>
          <w:rFonts w:eastAsia="Cambria"/>
          <w:i/>
          <w:lang w:eastAsia="en-GB"/>
        </w:rPr>
      </w:pPr>
      <w:r w:rsidRPr="006639B9">
        <w:rPr>
          <w:rFonts w:eastAsia="Cambria"/>
          <w:lang w:eastAsia="en-GB"/>
        </w:rPr>
        <w:t xml:space="preserve">Objective 5 (O5): </w:t>
      </w:r>
      <w:r w:rsidRPr="006639B9">
        <w:rPr>
          <w:rFonts w:eastAsia="Cambria"/>
          <w:i/>
          <w:lang w:eastAsia="en-GB"/>
        </w:rPr>
        <w:t>Mechanisms to integrate existing infrastructure providers in Europe and around the world into the production infrastructure so as to provide transparent access to all authorised users</w:t>
      </w:r>
      <w:r w:rsidRPr="006639B9">
        <w:rPr>
          <w:rFonts w:eastAsia="Cambria"/>
          <w:lang w:eastAsia="en-GB"/>
        </w:rPr>
        <w:t>.</w:t>
      </w:r>
    </w:p>
    <w:p w:rsidR="004C2302" w:rsidRDefault="00757BA6" w:rsidP="004C2302">
      <w:pPr>
        <w:ind w:left="720"/>
        <w:rPr>
          <w:rFonts w:eastAsia="Cambria"/>
          <w:lang w:eastAsia="en-GB"/>
        </w:rPr>
      </w:pPr>
      <w:r w:rsidRPr="006639B9">
        <w:rPr>
          <w:rFonts w:eastAsia="Cambria"/>
          <w:lang w:eastAsia="en-GB"/>
        </w:rPr>
        <w:t>The</w:t>
      </w:r>
      <w:r w:rsidR="005670E2">
        <w:rPr>
          <w:rFonts w:eastAsia="Cambria"/>
          <w:lang w:eastAsia="en-GB"/>
        </w:rPr>
        <w:t xml:space="preserve"> “Resource i</w:t>
      </w:r>
      <w:r w:rsidR="004C2302" w:rsidRPr="006639B9">
        <w:rPr>
          <w:rFonts w:eastAsia="Cambria"/>
          <w:lang w:eastAsia="en-GB"/>
        </w:rPr>
        <w:t xml:space="preserve">nfrastructure Provider </w:t>
      </w:r>
      <w:r w:rsidR="000E009D" w:rsidRPr="006639B9">
        <w:rPr>
          <w:rFonts w:eastAsia="Cambria"/>
          <w:lang w:eastAsia="en-GB"/>
        </w:rPr>
        <w:t>Operational Service Agreement</w:t>
      </w:r>
      <w:r w:rsidR="004C2302" w:rsidRPr="006639B9">
        <w:rPr>
          <w:rFonts w:eastAsia="Cambria"/>
          <w:lang w:eastAsia="en-GB"/>
        </w:rPr>
        <w:t>”</w:t>
      </w:r>
      <w:r w:rsidR="000E009D" w:rsidRPr="006639B9">
        <w:rPr>
          <w:rFonts w:eastAsia="Cambria"/>
          <w:lang w:eastAsia="en-GB"/>
        </w:rPr>
        <w:t xml:space="preserve"> [RPO]</w:t>
      </w:r>
      <w:r w:rsidR="004C2302" w:rsidRPr="006639B9">
        <w:rPr>
          <w:rFonts w:eastAsia="Cambria"/>
          <w:lang w:eastAsia="en-GB"/>
        </w:rPr>
        <w:t xml:space="preserve"> </w:t>
      </w:r>
      <w:r w:rsidRPr="006639B9">
        <w:rPr>
          <w:rFonts w:eastAsia="Cambria"/>
          <w:lang w:eastAsia="en-GB"/>
        </w:rPr>
        <w:t xml:space="preserve">was </w:t>
      </w:r>
      <w:r w:rsidR="00CB1EEA" w:rsidRPr="006639B9">
        <w:rPr>
          <w:rFonts w:eastAsia="Cambria"/>
          <w:lang w:eastAsia="en-GB"/>
        </w:rPr>
        <w:t xml:space="preserve">introduced </w:t>
      </w:r>
      <w:r w:rsidRPr="006639B9">
        <w:rPr>
          <w:rFonts w:eastAsia="Cambria"/>
          <w:lang w:eastAsia="en-GB"/>
        </w:rPr>
        <w:t xml:space="preserve">in October 2011 </w:t>
      </w:r>
      <w:r w:rsidR="004C2302" w:rsidRPr="006639B9">
        <w:rPr>
          <w:rFonts w:eastAsia="Cambria"/>
          <w:lang w:eastAsia="en-GB"/>
        </w:rPr>
        <w:t xml:space="preserve">to facilitate the exchange of operational services and the integration between the EGI-InSPIRE infrastructure and those operated by </w:t>
      </w:r>
      <w:r w:rsidR="00F934AC" w:rsidRPr="006639B9">
        <w:rPr>
          <w:rFonts w:eastAsia="Cambria"/>
          <w:lang w:eastAsia="en-GB"/>
        </w:rPr>
        <w:t xml:space="preserve">internal and </w:t>
      </w:r>
      <w:r w:rsidR="004C2302" w:rsidRPr="006639B9">
        <w:rPr>
          <w:rFonts w:eastAsia="Cambria"/>
          <w:lang w:eastAsia="en-GB"/>
        </w:rPr>
        <w:t xml:space="preserve">external partners. </w:t>
      </w:r>
    </w:p>
    <w:p w:rsidR="007515B5" w:rsidRDefault="007515B5" w:rsidP="007515B5">
      <w:pPr>
        <w:ind w:left="720"/>
      </w:pPr>
      <w:r>
        <w:rPr>
          <w:rFonts w:eastAsia="Cambria"/>
          <w:lang w:eastAsia="en-GB"/>
        </w:rPr>
        <w:t>The EGI Core Infrastructure Platform service levels were defined in the EGI.eu Operational Level Agreement [EGIO], which was approved for the first time in January 2013. This agreement is the foundation for the provisioning of operations tools as a service to other resource infrastructures.</w:t>
      </w:r>
      <w:r w:rsidRPr="007515B5">
        <w:t xml:space="preserve"> </w:t>
      </w:r>
    </w:p>
    <w:p w:rsidR="007515B5" w:rsidRDefault="007515B5" w:rsidP="007515B5">
      <w:pPr>
        <w:ind w:left="720"/>
      </w:pPr>
      <w:r>
        <w:t xml:space="preserve">The EGI service registry (GOCDB) was adopted </w:t>
      </w:r>
      <w:r w:rsidR="004F432E">
        <w:t xml:space="preserve">by EUDAT </w:t>
      </w:r>
      <w:r>
        <w:t>to support operations, and EGI-InSPIRE supported the implementation of EUDAT requirements through JRA1 development activities. EGI is currently responsible of the technical installation of the service. PRACE expressed interest in GOCDB. The version to be released in PQ13 will be tested and verified.</w:t>
      </w:r>
    </w:p>
    <w:p w:rsidR="007515B5" w:rsidRDefault="007515B5" w:rsidP="007515B5">
      <w:pPr>
        <w:ind w:left="720"/>
      </w:pPr>
      <w:r>
        <w:t>A collaboration with EUDAT will be established on the evaluation of the EGI Service Availability Monitoring and its suitability to EUDAT deployment needs.</w:t>
      </w:r>
    </w:p>
    <w:p w:rsidR="00B16582" w:rsidRDefault="00B16582" w:rsidP="00B16582">
      <w:pPr>
        <w:ind w:left="720"/>
      </w:pPr>
      <w:r>
        <w:t xml:space="preserve">A collaboration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w:t>
      </w:r>
    </w:p>
    <w:p w:rsidR="004C2302" w:rsidRPr="00AB14DC" w:rsidRDefault="004C2302" w:rsidP="004C2302">
      <w:pPr>
        <w:numPr>
          <w:ilvl w:val="0"/>
          <w:numId w:val="58"/>
        </w:numPr>
        <w:rPr>
          <w:rFonts w:eastAsia="Cambria"/>
          <w:i/>
          <w:lang w:eastAsia="en-GB"/>
        </w:rPr>
      </w:pPr>
      <w:r w:rsidRPr="00AB14DC">
        <w:rPr>
          <w:rFonts w:eastAsia="Cambria"/>
          <w:lang w:eastAsia="en-GB"/>
        </w:rPr>
        <w:t xml:space="preserve">Objective 6 (O6): </w:t>
      </w:r>
      <w:r w:rsidRPr="00AB14DC">
        <w:rPr>
          <w:rFonts w:eastAsia="Cambria"/>
          <w:i/>
          <w:lang w:eastAsia="en-GB"/>
        </w:rPr>
        <w:t xml:space="preserve">Establish processes and procedures to allow the integration of new DCI technologies (e.g. clouds, volunteer desktop grids, etc.) and heterogeneous resources(e.g. </w:t>
      </w:r>
      <w:r w:rsidRPr="00AB14DC">
        <w:rPr>
          <w:rFonts w:eastAsia="Cambria"/>
          <w:i/>
          <w:lang w:eastAsia="en-GB"/>
        </w:rPr>
        <w:lastRenderedPageBreak/>
        <w:t>HTC and HPC) into a seamless production infrastructure as they mature and demonstrate value to the EGI community</w:t>
      </w:r>
      <w:r w:rsidRPr="00AB14DC">
        <w:rPr>
          <w:rFonts w:eastAsia="Cambria"/>
          <w:lang w:eastAsia="en-GB"/>
        </w:rPr>
        <w:t>.</w:t>
      </w:r>
    </w:p>
    <w:p w:rsidR="004C2302" w:rsidRDefault="007515B5" w:rsidP="00313621">
      <w:pPr>
        <w:ind w:left="720"/>
      </w:pPr>
      <w:r>
        <w:t xml:space="preserve">The integration scenarios and processes of the EGI Core Infrastructure Platform supporting integrated operations of e-Infrastructure </w:t>
      </w:r>
      <w:r w:rsidR="004F432E">
        <w:t>were</w:t>
      </w:r>
      <w:r>
        <w:t xml:space="preserve"> completed and </w:t>
      </w:r>
      <w:r w:rsidR="004F432E">
        <w:t>are</w:t>
      </w:r>
      <w:r>
        <w:t xml:space="preserve"> documented in Deliverable D4.6 [D4.6]. </w:t>
      </w:r>
    </w:p>
    <w:p w:rsidR="007515B5" w:rsidRDefault="004F432E" w:rsidP="00313621">
      <w:pPr>
        <w:ind w:left="720"/>
      </w:pPr>
      <w:r>
        <w:t xml:space="preserve">Integration of </w:t>
      </w:r>
      <w:r w:rsidR="007515B5">
        <w:t>ARC-CE, UNICORE, GLOBUS, Desktop Grid and QosCosGrid software is now complete</w:t>
      </w:r>
      <w:r w:rsidR="00DC1B3B">
        <w:t xml:space="preserve">, with the only exception of accounting </w:t>
      </w:r>
      <w:r w:rsidR="0068524C">
        <w:t>whose</w:t>
      </w:r>
      <w:r w:rsidR="00DC1B3B">
        <w:t xml:space="preserve"> progress was put on hold waiting for the publishing of a new </w:t>
      </w:r>
      <w:r w:rsidR="0068524C">
        <w:t>accounting publisher (APEL) based on a new publishing protocol (Stomp Secure Messaging v2). This publisher was released by EMI in PQ12 and is currently under verification by EGI. All these software stacks are already deployed in production by various NGIs.</w:t>
      </w:r>
    </w:p>
    <w:p w:rsidR="005571E7" w:rsidRPr="004C2302" w:rsidRDefault="005571E7" w:rsidP="005571E7">
      <w:r>
        <w:t xml:space="preserve">Information about the SA1 future work plan is provided </w:t>
      </w:r>
      <w:r w:rsidR="004413A2">
        <w:t>by</w:t>
      </w:r>
      <w:r>
        <w:t xml:space="preserve"> the EGI Technical Roadmap for PY4 [</w:t>
      </w:r>
      <w:r w:rsidR="00291789">
        <w:t>D2.33</w:t>
      </w:r>
      <w:r>
        <w:t>].</w:t>
      </w:r>
    </w:p>
    <w:p w:rsidR="00207D16" w:rsidRPr="00371B32" w:rsidRDefault="00207D16" w:rsidP="001D5C64">
      <w:pPr>
        <w:pStyle w:val="Heading1"/>
      </w:pPr>
      <w:bookmarkStart w:id="121" w:name="_Toc355730433"/>
      <w:r w:rsidRPr="00371B32">
        <w:lastRenderedPageBreak/>
        <w:t>References</w:t>
      </w:r>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3" w:history="1">
              <w:r w:rsidRPr="005063CE">
                <w:rPr>
                  <w:rStyle w:val="Hyperlink"/>
                </w:rPr>
                <w:t>https://www.egi.eu/infrastructure/Figures_and_utilisation/Availability_reliability.html</w:t>
              </w:r>
            </w:hyperlink>
            <w:r>
              <w:t>)</w:t>
            </w:r>
          </w:p>
        </w:tc>
      </w:tr>
      <w:tr w:rsidR="00A21835" w:rsidRPr="00371B32" w:rsidTr="00452522">
        <w:tc>
          <w:tcPr>
            <w:tcW w:w="1101" w:type="dxa"/>
          </w:tcPr>
          <w:p w:rsidR="00A21835" w:rsidRDefault="00A21835" w:rsidP="00207D16">
            <w:pPr>
              <w:pStyle w:val="Caption"/>
            </w:pPr>
            <w:r>
              <w:t>D4.6</w:t>
            </w:r>
          </w:p>
        </w:tc>
        <w:tc>
          <w:tcPr>
            <w:tcW w:w="8179" w:type="dxa"/>
            <w:vAlign w:val="center"/>
          </w:tcPr>
          <w:p w:rsidR="00A21835" w:rsidRPr="006D6F41" w:rsidRDefault="00A21835" w:rsidP="00207D16">
            <w:pPr>
              <w:jc w:val="left"/>
            </w:pPr>
            <w:r>
              <w:t xml:space="preserve">EGI Operations Architecture: </w:t>
            </w:r>
            <w:r w:rsidRPr="00A21835">
              <w:t>Infrastructure Platform and Collaboration Platform Integration</w:t>
            </w:r>
            <w:r>
              <w:t>, EGI-InSPIRE Deliverable D4.6, Nov 2012 (</w:t>
            </w:r>
            <w:hyperlink r:id="rId54" w:history="1">
              <w:r w:rsidRPr="00A21835">
                <w:rPr>
                  <w:rStyle w:val="Hyperlink"/>
                  <w:szCs w:val="15"/>
                </w:rPr>
                <w:t>https://documents.egi.eu/document/1309</w:t>
              </w:r>
            </w:hyperlink>
            <w:r>
              <w:t>)</w:t>
            </w:r>
          </w:p>
        </w:tc>
      </w:tr>
      <w:tr w:rsidR="00291789" w:rsidRPr="00371B32" w:rsidTr="00452522">
        <w:tc>
          <w:tcPr>
            <w:tcW w:w="1101" w:type="dxa"/>
          </w:tcPr>
          <w:p w:rsidR="00291789" w:rsidRDefault="00291789" w:rsidP="00207D16">
            <w:pPr>
              <w:pStyle w:val="Caption"/>
            </w:pPr>
            <w:r>
              <w:t>D2.33</w:t>
            </w:r>
          </w:p>
        </w:tc>
        <w:tc>
          <w:tcPr>
            <w:tcW w:w="8179" w:type="dxa"/>
            <w:vAlign w:val="center"/>
          </w:tcPr>
          <w:p w:rsidR="00291789" w:rsidRDefault="00291789" w:rsidP="00207D16">
            <w:pPr>
              <w:jc w:val="left"/>
            </w:pPr>
            <w:r>
              <w:t>EGI Technical Roadmap, EGI-InSPIRE Deliverable D2.33 (</w:t>
            </w:r>
            <w:hyperlink r:id="rId55" w:history="1">
              <w:r w:rsidRPr="00B0344D">
                <w:rPr>
                  <w:rStyle w:val="Hyperlink"/>
                </w:rPr>
                <w:t>https://documents.egi.eu/document/1706</w:t>
              </w:r>
            </w:hyperlink>
            <w:r>
              <w:t>)</w:t>
            </w:r>
          </w:p>
        </w:tc>
      </w:tr>
      <w:tr w:rsidR="00022F10" w:rsidRPr="00371B32" w:rsidTr="00452522">
        <w:tc>
          <w:tcPr>
            <w:tcW w:w="1101" w:type="dxa"/>
          </w:tcPr>
          <w:p w:rsidR="00022F10" w:rsidRDefault="00022F10" w:rsidP="00207D16">
            <w:pPr>
              <w:pStyle w:val="Caption"/>
            </w:pPr>
            <w:r w:rsidRPr="00022F10">
              <w:t>EGIO</w:t>
            </w:r>
          </w:p>
        </w:tc>
        <w:tc>
          <w:tcPr>
            <w:tcW w:w="8179" w:type="dxa"/>
            <w:vAlign w:val="center"/>
          </w:tcPr>
          <w:p w:rsidR="00022F10" w:rsidRPr="00022F10" w:rsidRDefault="00022F10" w:rsidP="00022F10">
            <w:r w:rsidRPr="00022F10">
              <w:t>EGI.eu Operational Level Agreement</w:t>
            </w:r>
            <w:r w:rsidR="007515B5">
              <w:t xml:space="preserve">, January 2013 </w:t>
            </w:r>
          </w:p>
          <w:p w:rsidR="007515B5" w:rsidRDefault="00022F10" w:rsidP="00022F10">
            <w:pPr>
              <w:jc w:val="left"/>
            </w:pPr>
            <w:r>
              <w:t>(</w:t>
            </w:r>
            <w:hyperlink r:id="rId56" w:history="1">
              <w:r w:rsidR="007515B5" w:rsidRPr="00AE4CAC">
                <w:rPr>
                  <w:rStyle w:val="Hyperlink"/>
                </w:rPr>
                <w:t>https://documents.egi.eu/document/1093</w:t>
              </w:r>
            </w:hyperlink>
            <w:r>
              <w:t>)</w:t>
            </w:r>
          </w:p>
        </w:tc>
      </w:tr>
      <w:tr w:rsidR="00870D46" w:rsidRPr="00C1578A" w:rsidTr="00452522">
        <w:tc>
          <w:tcPr>
            <w:tcW w:w="1101" w:type="dxa"/>
          </w:tcPr>
          <w:p w:rsidR="00870D46" w:rsidRDefault="00870D46" w:rsidP="00207D16">
            <w:pPr>
              <w:pStyle w:val="Caption"/>
            </w:pPr>
            <w:r>
              <w:t>GLO</w:t>
            </w:r>
          </w:p>
        </w:tc>
        <w:tc>
          <w:tcPr>
            <w:tcW w:w="8179" w:type="dxa"/>
            <w:vAlign w:val="center"/>
          </w:tcPr>
          <w:p w:rsidR="00870D46" w:rsidRPr="00315549" w:rsidRDefault="00870D46" w:rsidP="00207D16">
            <w:pPr>
              <w:jc w:val="left"/>
              <w:rPr>
                <w:lang w:val="it-IT"/>
              </w:rPr>
            </w:pPr>
            <w:r w:rsidRPr="00315549">
              <w:rPr>
                <w:lang w:val="it-IT"/>
              </w:rPr>
              <w:t>EGI Glossary (</w:t>
            </w:r>
            <w:hyperlink r:id="rId57" w:history="1">
              <w:r w:rsidRPr="00315549">
                <w:rPr>
                  <w:rStyle w:val="Hyperlink"/>
                  <w:lang w:val="it-IT"/>
                </w:rPr>
                <w:t>https://wiki.egi.eu/wiki/Glossary</w:t>
              </w:r>
            </w:hyperlink>
            <w:r w:rsidRPr="00315549">
              <w:rPr>
                <w:lang w:val="it-IT"/>
              </w:rP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C36EB2" w:rsidP="00207D16">
            <w:pPr>
              <w:jc w:val="left"/>
            </w:pPr>
            <w:hyperlink r:id="rId58" w:history="1">
              <w:r w:rsidR="007C79AE" w:rsidRPr="002801AD">
                <w:rPr>
                  <w:rStyle w:val="Hyperlink"/>
                </w:rPr>
                <w:t>https://wiki.egi.eu/wiki/HEP_SPEC06</w:t>
              </w:r>
            </w:hyperlink>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59" w:history="1">
              <w:r w:rsidRPr="00ED10B3">
                <w:rPr>
                  <w:rStyle w:val="Hyperlink"/>
                </w:rPr>
                <w:t>https://wiki.egi.eu/wiki/MAN05</w:t>
              </w:r>
            </w:hyperlink>
            <w:r>
              <w:t>)</w:t>
            </w:r>
          </w:p>
        </w:tc>
      </w:tr>
      <w:tr w:rsidR="00282311" w:rsidRPr="00371B32" w:rsidTr="00452522">
        <w:tc>
          <w:tcPr>
            <w:tcW w:w="1101" w:type="dxa"/>
          </w:tcPr>
          <w:p w:rsidR="00282311" w:rsidRDefault="00282311" w:rsidP="00207D16">
            <w:pPr>
              <w:pStyle w:val="Caption"/>
            </w:pPr>
            <w:r>
              <w:t>MS512</w:t>
            </w:r>
          </w:p>
        </w:tc>
        <w:tc>
          <w:tcPr>
            <w:tcW w:w="8179" w:type="dxa"/>
            <w:vAlign w:val="center"/>
          </w:tcPr>
          <w:p w:rsidR="00282311" w:rsidRDefault="00282311" w:rsidP="00207D16">
            <w:pPr>
              <w:jc w:val="left"/>
            </w:pPr>
            <w:r>
              <w:t>Software Provisioning Process, EGI-InSPIRE Milestone MS512, July 2012 (</w:t>
            </w:r>
            <w:hyperlink r:id="rId60" w:history="1">
              <w:r w:rsidRPr="00B0344D">
                <w:rPr>
                  <w:rStyle w:val="Hyperlink"/>
                </w:rPr>
                <w:t>https://documents.egi.eu/document/1135</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61"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62"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r w:rsidRPr="00883601">
              <w:t>SAGrid</w:t>
            </w:r>
            <w:r>
              <w:t xml:space="preserve"> (</w:t>
            </w:r>
            <w:hyperlink r:id="rId63"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22" w:name="_Ref205358859"/>
            <w:r>
              <w:t>SAM</w:t>
            </w:r>
            <w:bookmarkEnd w:id="122"/>
          </w:p>
        </w:tc>
        <w:tc>
          <w:tcPr>
            <w:tcW w:w="8179" w:type="dxa"/>
            <w:vAlign w:val="center"/>
          </w:tcPr>
          <w:p w:rsidR="00207D16" w:rsidRPr="00371B32" w:rsidRDefault="00E10C0A" w:rsidP="005F50F4">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64" w:history="1">
              <w:r w:rsidRPr="00062FF2">
                <w:rPr>
                  <w:rStyle w:val="Hyperlink"/>
                </w:rPr>
                <w:t>https://wiki.egi.eu/wiki/Services_and_Tools_Portfolio</w:t>
              </w:r>
            </w:hyperlink>
            <w:r>
              <w:t>)</w:t>
            </w:r>
          </w:p>
        </w:tc>
      </w:tr>
      <w:tr w:rsidR="000B27B2" w:rsidRPr="00371B32" w:rsidTr="00452522">
        <w:tc>
          <w:tcPr>
            <w:tcW w:w="1101" w:type="dxa"/>
          </w:tcPr>
          <w:p w:rsidR="000B27B2" w:rsidRDefault="000B27B2" w:rsidP="00E10C0A">
            <w:pPr>
              <w:pStyle w:val="Caption"/>
            </w:pPr>
            <w:r>
              <w:t>SOSP</w:t>
            </w:r>
          </w:p>
        </w:tc>
        <w:tc>
          <w:tcPr>
            <w:tcW w:w="8179" w:type="dxa"/>
            <w:vAlign w:val="center"/>
          </w:tcPr>
          <w:p w:rsidR="000B27B2" w:rsidRDefault="000B27B2" w:rsidP="00E10C0A">
            <w:r>
              <w:t>Service Operations Security Policy (</w:t>
            </w:r>
            <w:hyperlink r:id="rId65" w:history="1">
              <w:r w:rsidRPr="00B0344D">
                <w:rPr>
                  <w:rStyle w:val="Hyperlink"/>
                </w:rPr>
                <w:t>https://documents.egi.eu/document/669</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66" w:history="1">
              <w:r w:rsidRPr="002801AD">
                <w:rPr>
                  <w:rStyle w:val="Hyperlink"/>
                </w:rPr>
                <w:t>https://wiki.egi.eu/wiki/Staged-Rollout</w:t>
              </w:r>
            </w:hyperlink>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67" w:history="1">
              <w:r w:rsidRPr="002801AD">
                <w:rPr>
                  <w:rStyle w:val="Hyperlink"/>
                </w:rPr>
                <w:t>http://repository.egi.eu/category/umd_releases/distribution/umd_1/</w:t>
              </w:r>
            </w:hyperlink>
            <w:r>
              <w:t>)</w:t>
            </w:r>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r>
              <w:t>MoU between EGI.eu and BCC – Ukraine (</w:t>
            </w:r>
            <w:hyperlink r:id="rId68" w:history="1">
              <w:r w:rsidRPr="008E0315">
                <w:rPr>
                  <w:rStyle w:val="Hyperlink"/>
                </w:rPr>
                <w:t>https://documents.egi.eu/document/8560</w:t>
              </w:r>
            </w:hyperlink>
            <w:r>
              <w:t>)</w:t>
            </w:r>
          </w:p>
        </w:tc>
      </w:tr>
      <w:tr w:rsidR="00CA7687" w:rsidRPr="00371B32" w:rsidTr="00452522">
        <w:tc>
          <w:tcPr>
            <w:tcW w:w="1101" w:type="dxa"/>
          </w:tcPr>
          <w:p w:rsidR="00CA7687" w:rsidRDefault="00CA7687" w:rsidP="00883601">
            <w:pPr>
              <w:pStyle w:val="Caption"/>
            </w:pPr>
            <w:r>
              <w:t>URT</w:t>
            </w:r>
          </w:p>
        </w:tc>
        <w:tc>
          <w:tcPr>
            <w:tcW w:w="8179" w:type="dxa"/>
            <w:vAlign w:val="center"/>
          </w:tcPr>
          <w:p w:rsidR="00CA7687" w:rsidRDefault="00CA7687" w:rsidP="00207D16">
            <w:pPr>
              <w:jc w:val="left"/>
            </w:pPr>
            <w:r>
              <w:t>UMD Release Team Terms of Reference (</w:t>
            </w:r>
            <w:hyperlink r:id="rId69" w:history="1">
              <w:r w:rsidRPr="00061A3E">
                <w:rPr>
                  <w:rStyle w:val="Hyperlink"/>
                </w:rPr>
                <w:t>https://documents.egi.eu/document/1618</w:t>
              </w:r>
            </w:hyperlink>
            <w:r>
              <w:t>)</w:t>
            </w:r>
          </w:p>
        </w:tc>
      </w:tr>
    </w:tbl>
    <w:p w:rsidR="00207D16" w:rsidRPr="00371B32" w:rsidRDefault="00207D16" w:rsidP="00207D16"/>
    <w:p w:rsidR="00207D16" w:rsidRPr="00315549" w:rsidRDefault="001D5C64" w:rsidP="001D5C64">
      <w:pPr>
        <w:pStyle w:val="Heading1"/>
        <w:rPr>
          <w:rFonts w:eastAsia="Cambria"/>
          <w:lang w:val="it-IT" w:eastAsia="en-US"/>
        </w:rPr>
      </w:pPr>
      <w:bookmarkStart w:id="123" w:name="_Toc323636696"/>
      <w:bookmarkStart w:id="124" w:name="_Toc323657021"/>
      <w:bookmarkStart w:id="125" w:name="_Toc324119067"/>
      <w:bookmarkStart w:id="126" w:name="_Toc324120469"/>
      <w:bookmarkStart w:id="127" w:name="_Toc324144999"/>
      <w:bookmarkStart w:id="128" w:name="_Toc324152341"/>
      <w:bookmarkStart w:id="129" w:name="_Toc324170632"/>
      <w:bookmarkStart w:id="130" w:name="_Toc324171375"/>
      <w:bookmarkStart w:id="131" w:name="_Toc355730434"/>
      <w:bookmarkEnd w:id="123"/>
      <w:bookmarkEnd w:id="124"/>
      <w:bookmarkEnd w:id="125"/>
      <w:bookmarkEnd w:id="126"/>
      <w:bookmarkEnd w:id="127"/>
      <w:bookmarkEnd w:id="128"/>
      <w:bookmarkEnd w:id="129"/>
      <w:bookmarkEnd w:id="130"/>
      <w:r w:rsidRPr="00315549">
        <w:rPr>
          <w:rFonts w:eastAsia="Cambria"/>
          <w:lang w:val="it-IT" w:eastAsia="en-US"/>
        </w:rPr>
        <w:lastRenderedPageBreak/>
        <w:t>Annex I. VO Distribution per discipline</w:t>
      </w:r>
      <w:bookmarkEnd w:id="131"/>
    </w:p>
    <w:p w:rsidR="007630B9" w:rsidRDefault="007630B9" w:rsidP="007630B9">
      <w:pPr>
        <w:pStyle w:val="Heading2"/>
        <w:rPr>
          <w:rFonts w:eastAsia="Cambria"/>
          <w:lang w:val="en-US" w:eastAsia="en-US"/>
        </w:rPr>
      </w:pPr>
      <w:bookmarkStart w:id="132" w:name="_Toc355730435"/>
      <w:r>
        <w:rPr>
          <w:rFonts w:eastAsia="Cambria"/>
          <w:lang w:val="en-US" w:eastAsia="en-US"/>
        </w:rPr>
        <w:t>Astronomy Astrophysics and Astro-particle Physics</w:t>
      </w:r>
      <w:bookmarkEnd w:id="132"/>
    </w:p>
    <w:p w:rsidR="006F0D89" w:rsidRPr="006F0D89" w:rsidRDefault="00105FC1" w:rsidP="006F0D89">
      <w:pPr>
        <w:rPr>
          <w:rFonts w:eastAsia="Cambria"/>
          <w:lang w:val="en-US" w:eastAsia="en-US"/>
        </w:rPr>
      </w:pPr>
      <w:r>
        <w:rPr>
          <w:rFonts w:eastAsia="Cambria"/>
          <w:noProof/>
          <w:lang w:eastAsia="en-GB"/>
        </w:rPr>
        <w:drawing>
          <wp:inline distT="0" distB="0" distL="0" distR="0" wp14:anchorId="636AB44D" wp14:editId="0F93DC7F">
            <wp:extent cx="5716905" cy="2537460"/>
            <wp:effectExtent l="0" t="0" r="0" b="0"/>
            <wp:docPr id="9" name="Picture 9" descr="C:\Users\Krakowian\Desktop\D4.5\png\Astronomy, Astrophysics and Astro-Particle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3" w:name="_Toc355730436"/>
      <w:r>
        <w:rPr>
          <w:rFonts w:eastAsia="Cambria"/>
          <w:lang w:val="en-US" w:eastAsia="en-US"/>
        </w:rPr>
        <w:t>Computer Science and Mathematics</w:t>
      </w:r>
      <w:bookmarkEnd w:id="133"/>
    </w:p>
    <w:p w:rsidR="006F0D89" w:rsidRPr="006F0D89" w:rsidRDefault="00105FC1" w:rsidP="006F0D89">
      <w:pPr>
        <w:rPr>
          <w:rFonts w:eastAsia="Cambria"/>
          <w:lang w:val="en-US" w:eastAsia="en-US"/>
        </w:rPr>
      </w:pPr>
      <w:r>
        <w:rPr>
          <w:rFonts w:eastAsia="Cambria"/>
          <w:noProof/>
          <w:lang w:eastAsia="en-GB"/>
        </w:rPr>
        <w:drawing>
          <wp:inline distT="0" distB="0" distL="0" distR="0" wp14:anchorId="367EA48B" wp14:editId="337B2903">
            <wp:extent cx="5716905" cy="2537460"/>
            <wp:effectExtent l="0" t="0" r="0" b="0"/>
            <wp:docPr id="10" name="Picture 10" descr="C:\Users\Krakowian\Desktop\D4.5\png\Computer Science and Mathemat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D93DAD" w:rsidRDefault="00D93DAD" w:rsidP="00D93DAD">
      <w:pPr>
        <w:pStyle w:val="Heading2"/>
      </w:pPr>
      <w:bookmarkStart w:id="134" w:name="_Toc355730437"/>
      <w:r w:rsidRPr="007853EE">
        <w:lastRenderedPageBreak/>
        <w:t>Comput</w:t>
      </w:r>
      <w:r>
        <w:t>ational</w:t>
      </w:r>
      <w:r w:rsidRPr="007853EE">
        <w:t xml:space="preserve"> Chemistry</w:t>
      </w:r>
      <w:bookmarkEnd w:id="134"/>
    </w:p>
    <w:p w:rsidR="00D93DAD" w:rsidRPr="00D93DAD" w:rsidRDefault="00D93DAD" w:rsidP="00D93DAD">
      <w:pPr>
        <w:rPr>
          <w:rFonts w:eastAsia="Cambria"/>
        </w:rPr>
      </w:pPr>
      <w:r>
        <w:rPr>
          <w:rFonts w:eastAsia="Cambria"/>
          <w:noProof/>
          <w:lang w:eastAsia="en-GB"/>
        </w:rPr>
        <w:drawing>
          <wp:inline distT="0" distB="0" distL="0" distR="0" wp14:anchorId="16E11AA1" wp14:editId="54C7515A">
            <wp:extent cx="5719445" cy="2536190"/>
            <wp:effectExtent l="0" t="0" r="0" b="0"/>
            <wp:docPr id="16" name="Picture 16" descr="C:\Users\Krakowian\Google Drive\Operations\Documentation working space\D4.8\png\Computational Chemis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9445" cy="253619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5" w:name="_Toc355730438"/>
      <w:r>
        <w:rPr>
          <w:rFonts w:eastAsia="Cambria"/>
          <w:lang w:val="en-US" w:eastAsia="en-US"/>
        </w:rPr>
        <w:t>Earth Sciences</w:t>
      </w:r>
      <w:bookmarkEnd w:id="135"/>
    </w:p>
    <w:p w:rsidR="000A436A" w:rsidRPr="000A436A" w:rsidRDefault="00105FC1" w:rsidP="000A436A">
      <w:pPr>
        <w:rPr>
          <w:rFonts w:eastAsia="Cambria"/>
          <w:lang w:val="en-US" w:eastAsia="en-US"/>
        </w:rPr>
      </w:pPr>
      <w:r>
        <w:rPr>
          <w:rFonts w:eastAsia="Cambria"/>
          <w:noProof/>
          <w:lang w:eastAsia="en-GB"/>
        </w:rPr>
        <w:drawing>
          <wp:inline distT="0" distB="0" distL="0" distR="0" wp14:anchorId="7D88D2BE" wp14:editId="0509B631">
            <wp:extent cx="5716905" cy="2537460"/>
            <wp:effectExtent l="0" t="0" r="0" b="0"/>
            <wp:docPr id="11" name="Picture 11" descr="C:\Users\Krakowian\Desktop\D4.5\png\Earth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6" w:name="_Toc355730439"/>
      <w:r>
        <w:rPr>
          <w:rFonts w:eastAsia="Cambria"/>
          <w:lang w:val="en-US" w:eastAsia="en-US"/>
        </w:rPr>
        <w:lastRenderedPageBreak/>
        <w:t>Fusion</w:t>
      </w:r>
      <w:bookmarkEnd w:id="136"/>
    </w:p>
    <w:p w:rsidR="006F0D89" w:rsidRPr="006F0D89" w:rsidRDefault="00105FC1" w:rsidP="006F0D89">
      <w:pPr>
        <w:rPr>
          <w:rFonts w:eastAsia="Cambria"/>
          <w:lang w:val="en-US" w:eastAsia="en-US"/>
        </w:rPr>
      </w:pPr>
      <w:r>
        <w:rPr>
          <w:rFonts w:eastAsia="Cambria"/>
          <w:noProof/>
          <w:lang w:eastAsia="en-GB"/>
        </w:rPr>
        <w:drawing>
          <wp:inline distT="0" distB="0" distL="0" distR="0" wp14:anchorId="609F3051" wp14:editId="560D8E4F">
            <wp:extent cx="5716905" cy="2537460"/>
            <wp:effectExtent l="0" t="0" r="0" b="0"/>
            <wp:docPr id="12" name="Picture 12" descr="C:\Users\Krakowian\Desktop\D4.5\png\F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37" w:name="_Toc355730440"/>
      <w:r>
        <w:rPr>
          <w:rFonts w:eastAsia="Cambria"/>
          <w:lang w:val="en-US" w:eastAsia="en-US"/>
        </w:rPr>
        <w:t>High Energy Physics</w:t>
      </w:r>
      <w:bookmarkEnd w:id="137"/>
    </w:p>
    <w:p w:rsidR="007630B9" w:rsidRDefault="00105FC1" w:rsidP="00870D46">
      <w:pPr>
        <w:rPr>
          <w:rFonts w:eastAsia="Cambria"/>
          <w:lang w:val="en-US" w:eastAsia="en-US"/>
        </w:rPr>
      </w:pPr>
      <w:r>
        <w:rPr>
          <w:rFonts w:eastAsia="Cambria"/>
          <w:noProof/>
          <w:lang w:eastAsia="en-GB"/>
        </w:rPr>
        <w:drawing>
          <wp:inline distT="0" distB="0" distL="0" distR="0" wp14:anchorId="61194257" wp14:editId="2112F50D">
            <wp:extent cx="5716905" cy="2537460"/>
            <wp:effectExtent l="0" t="0" r="0" b="0"/>
            <wp:docPr id="14" name="Picture 14" descr="C:\Users\Krakowian\Desktop\D4.5\png\High-Energy Phys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8" w:name="_Toc355730441"/>
      <w:r>
        <w:rPr>
          <w:rFonts w:eastAsia="Cambria"/>
          <w:lang w:val="en-US" w:eastAsia="en-US"/>
        </w:rPr>
        <w:lastRenderedPageBreak/>
        <w:t>Infrastructure</w:t>
      </w:r>
      <w:bookmarkEnd w:id="138"/>
    </w:p>
    <w:p w:rsidR="006F0D89" w:rsidRPr="006F0D89" w:rsidRDefault="00105FC1" w:rsidP="006F0D89">
      <w:pPr>
        <w:rPr>
          <w:rFonts w:eastAsia="Cambria"/>
          <w:lang w:val="en-US" w:eastAsia="en-US"/>
        </w:rPr>
      </w:pPr>
      <w:r>
        <w:rPr>
          <w:rFonts w:eastAsia="Cambria"/>
          <w:noProof/>
          <w:lang w:eastAsia="en-GB"/>
        </w:rPr>
        <w:drawing>
          <wp:inline distT="0" distB="0" distL="0" distR="0" wp14:anchorId="6F4FA758" wp14:editId="5DD3E0F0">
            <wp:extent cx="5716905" cy="2537460"/>
            <wp:effectExtent l="0" t="0" r="0" b="0"/>
            <wp:docPr id="15" name="Picture 15" descr="C:\Users\Krakowian\Desktop\D4.5\png\Infrastru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39" w:name="_Toc355730442"/>
      <w:r>
        <w:rPr>
          <w:rFonts w:eastAsia="Cambria"/>
          <w:lang w:val="en-US" w:eastAsia="en-US"/>
        </w:rPr>
        <w:t>Life Sciences</w:t>
      </w:r>
      <w:bookmarkEnd w:id="139"/>
    </w:p>
    <w:p w:rsidR="006F0D89" w:rsidRPr="006F0D89" w:rsidRDefault="00105FC1" w:rsidP="006F0D89">
      <w:pPr>
        <w:rPr>
          <w:rFonts w:eastAsia="Cambria"/>
          <w:lang w:val="en-US" w:eastAsia="en-US"/>
        </w:rPr>
      </w:pPr>
      <w:r>
        <w:rPr>
          <w:rFonts w:eastAsia="Cambria"/>
          <w:noProof/>
          <w:lang w:eastAsia="en-GB"/>
        </w:rPr>
        <w:drawing>
          <wp:inline distT="0" distB="0" distL="0" distR="0" wp14:anchorId="24694EB3" wp14:editId="76FCF800">
            <wp:extent cx="5716905" cy="2537460"/>
            <wp:effectExtent l="0" t="0" r="0" b="0"/>
            <wp:docPr id="19" name="Picture 19" descr="C:\Users\Krakowian\Desktop\D4.5\png\Life Scie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40" w:name="_Toc355730443"/>
      <w:r>
        <w:rPr>
          <w:rFonts w:eastAsia="Cambria"/>
          <w:lang w:val="en-US" w:eastAsia="en-US"/>
        </w:rPr>
        <w:lastRenderedPageBreak/>
        <w:t>Multidisciplinary VOs</w:t>
      </w:r>
      <w:bookmarkEnd w:id="140"/>
    </w:p>
    <w:p w:rsidR="006F0D89" w:rsidRPr="006F0D89" w:rsidRDefault="00105FC1" w:rsidP="00105FC1">
      <w:pPr>
        <w:rPr>
          <w:rFonts w:eastAsia="Cambria"/>
          <w:lang w:val="en-US" w:eastAsia="en-US"/>
        </w:rPr>
      </w:pPr>
      <w:r>
        <w:rPr>
          <w:rFonts w:eastAsia="Cambria"/>
          <w:noProof/>
          <w:lang w:eastAsia="en-GB"/>
        </w:rPr>
        <w:drawing>
          <wp:inline distT="0" distB="0" distL="0" distR="0" wp14:anchorId="61C30312" wp14:editId="1159B91C">
            <wp:extent cx="5716905" cy="2537460"/>
            <wp:effectExtent l="0" t="0" r="0" b="0"/>
            <wp:docPr id="20" name="Picture 20" descr="C:\Users\Krakowian\Desktop\D4.5\png\Multidisciplinary V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41" w:name="_Toc355730444"/>
      <w:r>
        <w:rPr>
          <w:rFonts w:eastAsia="Cambria"/>
          <w:lang w:val="en-US" w:eastAsia="en-US"/>
        </w:rPr>
        <w:t>Other Disciplines</w:t>
      </w:r>
      <w:bookmarkEnd w:id="141"/>
    </w:p>
    <w:p w:rsidR="007630B9" w:rsidRPr="007630B9" w:rsidRDefault="00105FC1" w:rsidP="00543716">
      <w:pPr>
        <w:rPr>
          <w:rFonts w:eastAsia="Cambria"/>
          <w:lang w:val="en-US" w:eastAsia="en-US"/>
        </w:rPr>
      </w:pPr>
      <w:r>
        <w:rPr>
          <w:rFonts w:eastAsia="Cambria"/>
          <w:noProof/>
          <w:lang w:eastAsia="en-GB"/>
        </w:rPr>
        <w:drawing>
          <wp:inline distT="0" distB="0" distL="0" distR="0" wp14:anchorId="3A1F2C68" wp14:editId="58F76553">
            <wp:extent cx="5716905" cy="2537460"/>
            <wp:effectExtent l="0" t="0" r="0" b="0"/>
            <wp:docPr id="21" name="Picture 21" descr="C:\Users\Krakowian\Desktop\D4.5\png\Oth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6905" cy="2537460"/>
                    </a:xfrm>
                    <a:prstGeom prst="rect">
                      <a:avLst/>
                    </a:prstGeom>
                    <a:noFill/>
                    <a:ln>
                      <a:noFill/>
                    </a:ln>
                  </pic:spPr>
                </pic:pic>
              </a:graphicData>
            </a:graphic>
          </wp:inline>
        </w:drawing>
      </w: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F8D" w:rsidRDefault="00736F8D">
      <w:pPr>
        <w:spacing w:before="0" w:after="0"/>
      </w:pPr>
      <w:r>
        <w:separator/>
      </w:r>
    </w:p>
  </w:endnote>
  <w:endnote w:type="continuationSeparator" w:id="0">
    <w:p w:rsidR="00736F8D" w:rsidRDefault="00736F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1E7" w:rsidRDefault="005571E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571E7">
      <w:tc>
        <w:tcPr>
          <w:tcW w:w="2764" w:type="dxa"/>
          <w:tcBorders>
            <w:top w:val="single" w:sz="8" w:space="0" w:color="000080"/>
          </w:tcBorders>
        </w:tcPr>
        <w:p w:rsidR="005571E7" w:rsidRPr="0078770C" w:rsidRDefault="005571E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5571E7" w:rsidRPr="0078770C" w:rsidRDefault="005571E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5571E7" w:rsidRDefault="005571E7">
          <w:pPr>
            <w:pStyle w:val="Footer"/>
            <w:jc w:val="center"/>
            <w:rPr>
              <w:caps/>
            </w:rPr>
          </w:pPr>
          <w:r>
            <w:rPr>
              <w:caps/>
              <w:shd w:val="clear" w:color="auto" w:fill="FFFF00"/>
            </w:rPr>
            <w:t>PUBLIC</w:t>
          </w:r>
          <w:r>
            <w:t xml:space="preserve"> </w:t>
          </w:r>
        </w:p>
      </w:tc>
      <w:tc>
        <w:tcPr>
          <w:tcW w:w="992" w:type="dxa"/>
          <w:tcBorders>
            <w:top w:val="single" w:sz="8" w:space="0" w:color="000080"/>
          </w:tcBorders>
        </w:tcPr>
        <w:p w:rsidR="005571E7" w:rsidRDefault="005571E7">
          <w:pPr>
            <w:pStyle w:val="Footer"/>
            <w:jc w:val="right"/>
          </w:pPr>
          <w:r>
            <w:fldChar w:fldCharType="begin"/>
          </w:r>
          <w:r>
            <w:instrText xml:space="preserve"> PAGE  \* MERGEFORMAT </w:instrText>
          </w:r>
          <w:r>
            <w:fldChar w:fldCharType="separate"/>
          </w:r>
          <w:r w:rsidR="00A319E4">
            <w:rPr>
              <w:noProof/>
            </w:rPr>
            <w:t>63</w:t>
          </w:r>
          <w:r>
            <w:fldChar w:fldCharType="end"/>
          </w:r>
          <w:r>
            <w:t xml:space="preserve"> / </w:t>
          </w:r>
          <w:fldSimple w:instr=" NUMPAGES  \* MERGEFORMAT ">
            <w:r w:rsidR="00A319E4">
              <w:rPr>
                <w:noProof/>
              </w:rPr>
              <w:t>63</w:t>
            </w:r>
          </w:fldSimple>
        </w:p>
      </w:tc>
    </w:tr>
  </w:tbl>
  <w:p w:rsidR="005571E7" w:rsidRDefault="00557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F8D" w:rsidRDefault="00736F8D">
      <w:pPr>
        <w:spacing w:before="0" w:after="0"/>
      </w:pPr>
      <w:r>
        <w:separator/>
      </w:r>
    </w:p>
  </w:footnote>
  <w:footnote w:type="continuationSeparator" w:id="0">
    <w:p w:rsidR="00736F8D" w:rsidRDefault="00736F8D">
      <w:pPr>
        <w:spacing w:before="0" w:after="0"/>
      </w:pPr>
      <w:r>
        <w:continuationSeparator/>
      </w:r>
    </w:p>
  </w:footnote>
  <w:footnote w:id="1">
    <w:p w:rsidR="005571E7" w:rsidRDefault="005571E7" w:rsidP="00DF52F5">
      <w:pPr>
        <w:pStyle w:val="FootnoteText"/>
      </w:pPr>
      <w:r>
        <w:rPr>
          <w:rStyle w:val="FootnoteReference"/>
        </w:rPr>
        <w:footnoteRef/>
      </w:r>
      <w:r>
        <w:t xml:space="preserve"> </w:t>
      </w:r>
      <w:hyperlink r:id="rId1" w:history="1">
        <w:r w:rsidRPr="002801AD">
          <w:rPr>
            <w:rStyle w:val="Hyperlink"/>
          </w:rPr>
          <w:t>http://operations-portal.egi.eu/vo</w:t>
        </w:r>
      </w:hyperlink>
    </w:p>
  </w:footnote>
  <w:footnote w:id="2">
    <w:p w:rsidR="005571E7" w:rsidRDefault="005571E7">
      <w:pPr>
        <w:pStyle w:val="FootnoteText"/>
      </w:pPr>
      <w:r>
        <w:rPr>
          <w:rStyle w:val="FootnoteReference"/>
        </w:rPr>
        <w:footnoteRef/>
      </w:r>
      <w:r>
        <w:t xml:space="preserve"> </w:t>
      </w:r>
      <w:hyperlink r:id="rId2" w:history="1">
        <w:r w:rsidRPr="00061A3E">
          <w:rPr>
            <w:rStyle w:val="Hyperlink"/>
          </w:rPr>
          <w:t>http://www.eu-emi.eu/</w:t>
        </w:r>
      </w:hyperlink>
    </w:p>
  </w:footnote>
  <w:footnote w:id="3">
    <w:p w:rsidR="005571E7" w:rsidRDefault="005571E7">
      <w:pPr>
        <w:pStyle w:val="FootnoteText"/>
      </w:pPr>
      <w:r>
        <w:rPr>
          <w:rStyle w:val="FootnoteReference"/>
        </w:rPr>
        <w:footnoteRef/>
      </w:r>
      <w:r>
        <w:t xml:space="preserve"> </w:t>
      </w:r>
      <w:hyperlink r:id="rId3" w:history="1">
        <w:r w:rsidRPr="0049184A">
          <w:rPr>
            <w:rStyle w:val="Hyperlink"/>
          </w:rPr>
          <w:t>https://wiki.egi.eu/wiki/Software_Retirement_Calendar</w:t>
        </w:r>
      </w:hyperlink>
    </w:p>
  </w:footnote>
  <w:footnote w:id="4">
    <w:p w:rsidR="005571E7" w:rsidRDefault="005571E7">
      <w:pPr>
        <w:pStyle w:val="FootnoteText"/>
      </w:pPr>
      <w:r>
        <w:rPr>
          <w:rStyle w:val="FootnoteReference"/>
        </w:rPr>
        <w:footnoteRef/>
      </w:r>
      <w:r>
        <w:t xml:space="preserve"> https://goc.egi.eu</w:t>
      </w:r>
    </w:p>
  </w:footnote>
  <w:footnote w:id="5">
    <w:p w:rsidR="005571E7" w:rsidRDefault="005571E7"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rsidR="005571E7" w:rsidRDefault="005571E7"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rsidR="005571E7" w:rsidRDefault="005571E7">
      <w:pPr>
        <w:pStyle w:val="FootnoteText"/>
      </w:pPr>
      <w:r>
        <w:rPr>
          <w:rStyle w:val="FootnoteReference"/>
        </w:rPr>
        <w:footnoteRef/>
      </w:r>
      <w:r>
        <w:t xml:space="preserve"> MPI Virtual Team: </w:t>
      </w:r>
      <w:r w:rsidRPr="00656728">
        <w:t>https://wiki.egi.eu/wiki/VT_MPI_within_EGI</w:t>
      </w:r>
    </w:p>
  </w:footnote>
  <w:footnote w:id="8">
    <w:p w:rsidR="005571E7" w:rsidRDefault="005571E7">
      <w:pPr>
        <w:pStyle w:val="FootnoteText"/>
      </w:pPr>
      <w:r>
        <w:rPr>
          <w:rStyle w:val="FootnoteReference"/>
        </w:rPr>
        <w:footnoteRef/>
      </w:r>
      <w:r>
        <w:t xml:space="preserve"> </w:t>
      </w:r>
      <w:hyperlink r:id="rId6" w:history="1">
        <w:r w:rsidRPr="00062FF2">
          <w:rPr>
            <w:rStyle w:val="Hyperlink"/>
          </w:rPr>
          <w:t>www.mapper-project.eu/</w:t>
        </w:r>
      </w:hyperlink>
    </w:p>
  </w:footnote>
  <w:footnote w:id="9">
    <w:p w:rsidR="005571E7" w:rsidRDefault="005571E7">
      <w:pPr>
        <w:pStyle w:val="FootnoteText"/>
      </w:pPr>
      <w:r>
        <w:rPr>
          <w:rStyle w:val="FootnoteReference"/>
        </w:rPr>
        <w:footnoteRef/>
      </w:r>
      <w:r>
        <w:t xml:space="preserve"> </w:t>
      </w:r>
      <w:hyperlink r:id="rId7" w:history="1">
        <w:r w:rsidRPr="00C16C11">
          <w:rPr>
            <w:rStyle w:val="Hyperlink"/>
          </w:rPr>
          <w:t>http://www.eudat.eu/</w:t>
        </w:r>
      </w:hyperlink>
    </w:p>
  </w:footnote>
  <w:footnote w:id="10">
    <w:p w:rsidR="005571E7" w:rsidRDefault="005571E7">
      <w:pPr>
        <w:pStyle w:val="FootnoteText"/>
      </w:pPr>
      <w:r>
        <w:rPr>
          <w:rStyle w:val="FootnoteReference"/>
        </w:rPr>
        <w:footnoteRef/>
      </w:r>
      <w:r>
        <w:t>EGI, EUDAT and PRACE workshop on data management:</w:t>
      </w:r>
    </w:p>
    <w:p w:rsidR="005571E7" w:rsidRDefault="005571E7">
      <w:pPr>
        <w:pStyle w:val="FootnoteText"/>
      </w:pPr>
      <w:r>
        <w:t xml:space="preserve"> </w:t>
      </w:r>
      <w:r w:rsidRPr="007572CC">
        <w:t>https://indico.egi.eu/indico/conferenceTimeTable.py?confId=1228#20121126</w:t>
      </w:r>
    </w:p>
  </w:footnote>
  <w:footnote w:id="11">
    <w:p w:rsidR="005571E7" w:rsidRDefault="005571E7">
      <w:pPr>
        <w:pStyle w:val="FootnoteText"/>
      </w:pPr>
      <w:r>
        <w:rPr>
          <w:rStyle w:val="FootnoteReference"/>
        </w:rPr>
        <w:footnoteRef/>
      </w:r>
      <w:r>
        <w:t xml:space="preserve"> </w:t>
      </w:r>
      <w:hyperlink r:id="rId8" w:history="1">
        <w:r w:rsidRPr="0049184A">
          <w:rPr>
            <w:rStyle w:val="Hyperlink"/>
          </w:rPr>
          <w:t>https://confluence.csc.fi/pages/viewpage.action?pageId=28837071</w:t>
        </w:r>
      </w:hyperlink>
    </w:p>
  </w:footnote>
  <w:footnote w:id="12">
    <w:p w:rsidR="005571E7" w:rsidRDefault="005571E7">
      <w:pPr>
        <w:pStyle w:val="FootnoteText"/>
      </w:pPr>
      <w:r>
        <w:rPr>
          <w:rStyle w:val="FootnoteReference"/>
        </w:rPr>
        <w:footnoteRef/>
      </w:r>
      <w:r>
        <w:t xml:space="preserve"> “</w:t>
      </w:r>
      <w:r>
        <w:rPr>
          <w:szCs w:val="22"/>
        </w:rPr>
        <w:t>Others” is a category of user communities that do not belong to the other disciplines that are part of the current classification. The scientific discipline classification of EGI is being reviewed.</w:t>
      </w:r>
    </w:p>
  </w:footnote>
  <w:footnote w:id="13">
    <w:p w:rsidR="005571E7" w:rsidRDefault="005571E7" w:rsidP="002D0A14">
      <w:pPr>
        <w:pStyle w:val="FootnoteText"/>
      </w:pPr>
      <w:r>
        <w:rPr>
          <w:rStyle w:val="FootnoteReference"/>
        </w:rPr>
        <w:footnoteRef/>
      </w:r>
      <w:r>
        <w:t xml:space="preserve"> </w:t>
      </w:r>
      <w:hyperlink r:id="rId9" w:history="1">
        <w:r w:rsidRPr="002801AD">
          <w:rPr>
            <w:rStyle w:val="Hyperlink"/>
          </w:rPr>
          <w:t>http://operations-portal.egi.eu/vo</w:t>
        </w:r>
      </w:hyperlink>
    </w:p>
  </w:footnote>
  <w:footnote w:id="14">
    <w:p w:rsidR="005571E7" w:rsidRDefault="005571E7" w:rsidP="00EE0599">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5">
    <w:p w:rsidR="005571E7" w:rsidRDefault="005571E7" w:rsidP="008F18AA">
      <w:pPr>
        <w:pStyle w:val="FootnoteText"/>
      </w:pPr>
      <w:r>
        <w:rPr>
          <w:rStyle w:val="FootnoteReference"/>
        </w:rPr>
        <w:footnoteRef/>
      </w:r>
      <w:r>
        <w:t xml:space="preserve"> </w:t>
      </w:r>
      <w:hyperlink r:id="rId11" w:history="1">
        <w:r w:rsidRPr="00D81428">
          <w:rPr>
            <w:rStyle w:val="Hyperlink"/>
          </w:rPr>
          <w:t>https://wiki.egi.eu/wiki/SLM_RC_Service_Levels</w:t>
        </w:r>
      </w:hyperlink>
    </w:p>
  </w:footnote>
  <w:footnote w:id="16">
    <w:p w:rsidR="005571E7" w:rsidRDefault="005571E7" w:rsidP="008F18AA">
      <w:pPr>
        <w:pStyle w:val="FootnoteText"/>
      </w:pPr>
      <w:r>
        <w:rPr>
          <w:rStyle w:val="FootnoteReference"/>
        </w:rPr>
        <w:footnoteRef/>
      </w:r>
      <w:r>
        <w:t xml:space="preserve"> </w:t>
      </w:r>
      <w:hyperlink r:id="rId12" w:history="1">
        <w:r w:rsidRPr="00D81428">
          <w:rPr>
            <w:rStyle w:val="Hyperlink"/>
          </w:rPr>
          <w:t>https://wiki.egi.eu/wiki/SLM_RP_Service_Levels</w:t>
        </w:r>
      </w:hyperlink>
    </w:p>
  </w:footnote>
  <w:footnote w:id="17">
    <w:p w:rsidR="005571E7" w:rsidRDefault="005571E7" w:rsidP="006E0EA7">
      <w:pPr>
        <w:pStyle w:val="FootnoteText"/>
      </w:pPr>
      <w:r>
        <w:rPr>
          <w:rStyle w:val="FootnoteReference"/>
        </w:rPr>
        <w:footnoteRef/>
      </w:r>
      <w:r>
        <w:t xml:space="preserve"> </w:t>
      </w:r>
      <w:hyperlink r:id="rId13" w:history="1">
        <w:r w:rsidRPr="00D81428">
          <w:rPr>
            <w:rStyle w:val="Hyperlink"/>
          </w:rPr>
          <w:t>https://wiki.egi.eu/wiki/SLM_EGI.eu_Service_Levels</w:t>
        </w:r>
      </w:hyperlink>
      <w:r>
        <w:t xml:space="preserve"> </w:t>
      </w:r>
    </w:p>
  </w:footnote>
  <w:footnote w:id="18">
    <w:p w:rsidR="005571E7" w:rsidRDefault="005571E7" w:rsidP="00A2453C">
      <w:pPr>
        <w:pStyle w:val="FootnoteText"/>
        <w:jc w:val="left"/>
      </w:pPr>
      <w:r>
        <w:rPr>
          <w:rStyle w:val="FootnoteReference"/>
        </w:rPr>
        <w:footnoteRef/>
      </w:r>
      <w:r>
        <w:t>h</w:t>
      </w:r>
      <w:r w:rsidRPr="00A2453C">
        <w:t>ttps://wiki.egi.eu/wiki/PROC04_Quality_verification_of_monthly_availability_and_reliability_statistics#Process_of_handling_RC_Availability_and_Reliability</w:t>
      </w:r>
    </w:p>
  </w:footnote>
  <w:footnote w:id="19">
    <w:p w:rsidR="005571E7" w:rsidRDefault="005571E7">
      <w:pPr>
        <w:pStyle w:val="FootnoteText"/>
      </w:pPr>
      <w:r>
        <w:rPr>
          <w:rStyle w:val="FootnoteReference"/>
        </w:rPr>
        <w:footnoteRef/>
      </w:r>
      <w:r>
        <w:t xml:space="preserve"> </w:t>
      </w:r>
      <w:hyperlink r:id="rId14" w:history="1">
        <w:r w:rsidRPr="00AE4CAC">
          <w:rPr>
            <w:rStyle w:val="Hyperlink"/>
          </w:rPr>
          <w:t>https://wiki.egi.eu/wiki/NGI_services_in_GOCDB</w:t>
        </w:r>
      </w:hyperlink>
    </w:p>
  </w:footnote>
  <w:footnote w:id="20">
    <w:p w:rsidR="005571E7" w:rsidRDefault="005571E7" w:rsidP="00C91E79">
      <w:pPr>
        <w:pStyle w:val="FootnoteText"/>
        <w:jc w:val="left"/>
      </w:pPr>
      <w:r>
        <w:rPr>
          <w:rStyle w:val="FootnoteReference"/>
        </w:rPr>
        <w:footnoteRef/>
      </w:r>
      <w:r>
        <w:t xml:space="preserve"> </w:t>
      </w:r>
      <w:hyperlink r:id="rId15" w:history="1">
        <w:r w:rsidRPr="007E2A32">
          <w:rPr>
            <w:rStyle w:val="Hyperlink"/>
          </w:rPr>
          <w:t>https://wiki.egi.eu/wiki/Catch_All_Grid_Core_Services</w:t>
        </w:r>
      </w:hyperlink>
      <w:r>
        <w:t xml:space="preserve"> </w:t>
      </w:r>
    </w:p>
  </w:footnote>
  <w:footnote w:id="21">
    <w:p w:rsidR="005571E7" w:rsidRDefault="005571E7">
      <w:pPr>
        <w:pStyle w:val="FootnoteText"/>
      </w:pPr>
      <w:r>
        <w:rPr>
          <w:rStyle w:val="FootnoteReference"/>
        </w:rPr>
        <w:footnoteRef/>
      </w:r>
      <w:r>
        <w:t xml:space="preserve"> </w:t>
      </w:r>
      <w:hyperlink r:id="rId16" w:history="1">
        <w:r w:rsidRPr="00AE4CAC">
          <w:rPr>
            <w:rStyle w:val="Hyperlink"/>
          </w:rPr>
          <w:t>https://grid-monitoring.egi.eu/myegi</w:t>
        </w:r>
      </w:hyperlink>
    </w:p>
  </w:footnote>
  <w:footnote w:id="22">
    <w:p w:rsidR="005571E7" w:rsidRDefault="005571E7" w:rsidP="008F18AA">
      <w:pPr>
        <w:pStyle w:val="FootnoteText"/>
      </w:pPr>
      <w:r>
        <w:rPr>
          <w:rStyle w:val="FootnoteReference"/>
        </w:rPr>
        <w:footnoteRef/>
      </w:r>
      <w:r>
        <w:t xml:space="preserve"> </w:t>
      </w:r>
      <w:hyperlink r:id="rId17" w:anchor="Definition" w:history="1">
        <w:r w:rsidRPr="009C113D">
          <w:rPr>
            <w:rStyle w:val="Hyperlink"/>
          </w:rPr>
          <w:t>https://wiki.egi.eu/wiki/ROD_performance_index#Definition</w:t>
        </w:r>
      </w:hyperlink>
      <w:r>
        <w:t xml:space="preserve"> </w:t>
      </w:r>
    </w:p>
  </w:footnote>
  <w:footnote w:id="23">
    <w:p w:rsidR="005571E7" w:rsidRDefault="005571E7" w:rsidP="002E747B">
      <w:pPr>
        <w:pStyle w:val="FootnoteText"/>
      </w:pPr>
      <w:r>
        <w:rPr>
          <w:rStyle w:val="FootnoteReference"/>
        </w:rPr>
        <w:footnoteRef/>
      </w:r>
      <w:r>
        <w:t xml:space="preserve"> </w:t>
      </w:r>
      <w:hyperlink r:id="rId18" w:history="1">
        <w:r w:rsidRPr="002801AD">
          <w:rPr>
            <w:rStyle w:val="Hyperlink"/>
          </w:rPr>
          <w:t>http://www.egi.eu/community/collaborations/MAPPER.html</w:t>
        </w:r>
      </w:hyperlink>
    </w:p>
  </w:footnote>
  <w:footnote w:id="24">
    <w:p w:rsidR="005571E7" w:rsidRDefault="005571E7">
      <w:pPr>
        <w:pStyle w:val="FootnoteText"/>
      </w:pPr>
      <w:r>
        <w:rPr>
          <w:rStyle w:val="FootnoteReference"/>
        </w:rPr>
        <w:footnoteRef/>
      </w:r>
      <w:r>
        <w:t xml:space="preserve"> </w:t>
      </w:r>
      <w:hyperlink r:id="rId19" w:history="1">
        <w:r w:rsidRPr="002801AD">
          <w:rPr>
            <w:rStyle w:val="Hyperlink"/>
          </w:rPr>
          <w:t>http://www.egi.eu/community/collaborations/EDGI.html</w:t>
        </w:r>
      </w:hyperlink>
    </w:p>
  </w:footnote>
  <w:footnote w:id="25">
    <w:p w:rsidR="005571E7" w:rsidRDefault="005571E7">
      <w:pPr>
        <w:pStyle w:val="FootnoteText"/>
      </w:pPr>
      <w:r>
        <w:rPr>
          <w:rStyle w:val="FootnoteReference"/>
        </w:rPr>
        <w:footnoteRef/>
      </w:r>
      <w:r>
        <w:t xml:space="preserve"> </w:t>
      </w:r>
      <w:hyperlink r:id="rId20" w:history="1">
        <w:r w:rsidRPr="002801AD">
          <w:rPr>
            <w:rStyle w:val="Hyperlink"/>
          </w:rPr>
          <w:t>https://wiki.egi.eu/wiki/GOCDB/services</w:t>
        </w:r>
      </w:hyperlink>
    </w:p>
  </w:footnote>
  <w:footnote w:id="26">
    <w:p w:rsidR="005571E7" w:rsidRDefault="005571E7">
      <w:pPr>
        <w:pStyle w:val="FootnoteText"/>
      </w:pPr>
      <w:r>
        <w:rPr>
          <w:rStyle w:val="FootnoteReference"/>
        </w:rPr>
        <w:footnoteRef/>
      </w:r>
      <w:r>
        <w:t xml:space="preserve"> </w:t>
      </w:r>
      <w:hyperlink r:id="rId21" w:history="1">
        <w:r w:rsidRPr="002801AD">
          <w:rPr>
            <w:rStyle w:val="Hyperlink"/>
          </w:rPr>
          <w:t>https://wiki.egi.eu/wiki/TCB:Accounting_Task_Force</w:t>
        </w:r>
      </w:hyperlink>
    </w:p>
  </w:footnote>
  <w:footnote w:id="27">
    <w:p w:rsidR="005571E7" w:rsidRDefault="005571E7">
      <w:pPr>
        <w:pStyle w:val="FootnoteText"/>
      </w:pPr>
      <w:r>
        <w:rPr>
          <w:rStyle w:val="FootnoteReference"/>
        </w:rPr>
        <w:footnoteRef/>
      </w:r>
      <w:r>
        <w:t xml:space="preserve"> </w:t>
      </w:r>
      <w:hyperlink r:id="rId22" w:history="1">
        <w:r w:rsidRPr="00B0344D">
          <w:rPr>
            <w:rStyle w:val="Hyperlink"/>
          </w:rPr>
          <w:t>https://sites.google.com/a/ige-project.eu/public/downloads/software/releases/320</w:t>
        </w:r>
      </w:hyperlink>
    </w:p>
  </w:footnote>
  <w:footnote w:id="28">
    <w:p w:rsidR="005571E7" w:rsidRDefault="005571E7" w:rsidP="000B27B2">
      <w:pPr>
        <w:pStyle w:val="FootnoteText"/>
      </w:pPr>
      <w:r>
        <w:rPr>
          <w:rStyle w:val="FootnoteReference"/>
        </w:rPr>
        <w:footnoteRef/>
      </w:r>
      <w:r>
        <w:t xml:space="preserve"> </w:t>
      </w:r>
      <w:hyperlink r:id="rId23" w:history="1">
        <w:r w:rsidRPr="00AE4CAC">
          <w:rPr>
            <w:rStyle w:val="Hyperlink"/>
          </w:rPr>
          <w:t>https://wiki.egi.eu/wiki/PROC16</w:t>
        </w:r>
      </w:hyperlink>
      <w:r>
        <w:t xml:space="preserve"> and </w:t>
      </w:r>
      <w:hyperlink r:id="rId24" w:history="1">
        <w:r w:rsidRPr="00AE4CAC">
          <w:rPr>
            <w:rStyle w:val="Hyperlink"/>
          </w:rPr>
          <w:t>https://wiki.egi.eu/wiki/PROC01</w:t>
        </w:r>
      </w:hyperlink>
      <w:r>
        <w:t>.</w:t>
      </w:r>
    </w:p>
  </w:footnote>
  <w:footnote w:id="29">
    <w:p w:rsidR="005571E7" w:rsidRDefault="005571E7">
      <w:pPr>
        <w:pStyle w:val="FootnoteText"/>
      </w:pPr>
      <w:r>
        <w:rPr>
          <w:rStyle w:val="FootnoteReference"/>
        </w:rPr>
        <w:footnoteRef/>
      </w:r>
      <w:r>
        <w:t xml:space="preserve"> A Resource Centre Administrator SHOULD follow IT security best practices that include pro-actively applying software patches, updates or configuration changes related to security.</w:t>
      </w:r>
    </w:p>
  </w:footnote>
  <w:footnote w:id="30">
    <w:p w:rsidR="005571E7" w:rsidRDefault="005571E7">
      <w:pPr>
        <w:pStyle w:val="FootnoteText"/>
      </w:pPr>
      <w:r>
        <w:rPr>
          <w:rStyle w:val="FootnoteReference"/>
        </w:rPr>
        <w:footnoteRef/>
      </w:r>
      <w:r>
        <w:t xml:space="preserve"> </w:t>
      </w:r>
      <w:hyperlink r:id="rId25" w:history="1">
        <w:r w:rsidRPr="00B0344D">
          <w:rPr>
            <w:rStyle w:val="Hyperlink"/>
          </w:rPr>
          <w:t>http://www.eu-emi.eu/releases</w:t>
        </w:r>
      </w:hyperlink>
    </w:p>
  </w:footnote>
  <w:footnote w:id="31">
    <w:p w:rsidR="005571E7" w:rsidRDefault="005571E7">
      <w:pPr>
        <w:pStyle w:val="FootnoteText"/>
      </w:pPr>
      <w:r>
        <w:rPr>
          <w:rStyle w:val="FootnoteReference"/>
        </w:rPr>
        <w:footnoteRef/>
      </w:r>
      <w:r>
        <w:t xml:space="preserve"> </w:t>
      </w:r>
      <w:hyperlink r:id="rId26" w:history="1">
        <w:r w:rsidRPr="00B0344D">
          <w:rPr>
            <w:rStyle w:val="Hyperlink"/>
          </w:rPr>
          <w:t>https://sites.google.com/a/ige-project.eu/public/downloads/software/releases</w:t>
        </w:r>
      </w:hyperlink>
    </w:p>
  </w:footnote>
  <w:footnote w:id="32">
    <w:p w:rsidR="005571E7" w:rsidRDefault="005571E7" w:rsidP="009C6E08">
      <w:pPr>
        <w:pStyle w:val="FootnoteText"/>
      </w:pPr>
      <w:r>
        <w:rPr>
          <w:rStyle w:val="FootnoteReference"/>
        </w:rPr>
        <w:footnoteRef/>
      </w:r>
      <w:r>
        <w:t xml:space="preserve"> </w:t>
      </w:r>
      <w:hyperlink r:id="rId27" w:history="1">
        <w:r w:rsidRPr="000560F9">
          <w:rPr>
            <w:rStyle w:val="Hyperlink"/>
          </w:rPr>
          <w:t>https://midmon.egi.eu/nagios/</w:t>
        </w:r>
      </w:hyperlink>
    </w:p>
  </w:footnote>
  <w:footnote w:id="33">
    <w:p w:rsidR="005571E7" w:rsidRDefault="005571E7">
      <w:pPr>
        <w:pStyle w:val="FootnoteText"/>
      </w:pPr>
      <w:r>
        <w:rPr>
          <w:rStyle w:val="FootnoteReference"/>
        </w:rPr>
        <w:footnoteRef/>
      </w:r>
      <w:r>
        <w:t xml:space="preserve"> </w:t>
      </w:r>
      <w:hyperlink r:id="rId28" w:history="1">
        <w:r w:rsidRPr="00061A3E">
          <w:rPr>
            <w:rStyle w:val="Hyperlink"/>
          </w:rPr>
          <w:t>https://wiki.egi.eu/wiki/EGI_Software_Provisioning</w:t>
        </w:r>
      </w:hyperlink>
    </w:p>
  </w:footnote>
  <w:footnote w:id="34">
    <w:p w:rsidR="005571E7" w:rsidRDefault="005571E7">
      <w:pPr>
        <w:pStyle w:val="FootnoteText"/>
      </w:pPr>
      <w:r>
        <w:rPr>
          <w:rStyle w:val="FootnoteReference"/>
        </w:rPr>
        <w:footnoteRef/>
      </w:r>
      <w:r>
        <w:t xml:space="preserve"> </w:t>
      </w:r>
      <w:hyperlink r:id="rId29" w:history="1">
        <w:r w:rsidRPr="00061A3E">
          <w:rPr>
            <w:rStyle w:val="Hyperlink"/>
          </w:rPr>
          <w:t>https://wiki.egi.eu/wiki/FAQ_GGUS-Waiting-For-PT-Process</w:t>
        </w:r>
      </w:hyperlink>
    </w:p>
  </w:footnote>
  <w:footnote w:id="35">
    <w:p w:rsidR="005571E7" w:rsidRDefault="005571E7">
      <w:pPr>
        <w:pStyle w:val="FootnoteText"/>
      </w:pPr>
      <w:r>
        <w:rPr>
          <w:rStyle w:val="FootnoteReference"/>
        </w:rPr>
        <w:footnoteRef/>
      </w:r>
      <w:r>
        <w:t xml:space="preserve"> </w:t>
      </w:r>
      <w:hyperlink r:id="rId30" w:history="1">
        <w:r w:rsidRPr="00061A3E">
          <w:rPr>
            <w:rStyle w:val="Hyperlink"/>
          </w:rPr>
          <w:t>https://twiki.cern.ch/twiki/bin/view/EMI/EmiProductTeams</w:t>
        </w:r>
      </w:hyperlink>
    </w:p>
  </w:footnote>
  <w:footnote w:id="36">
    <w:p w:rsidR="005571E7" w:rsidRPr="00E249BB" w:rsidRDefault="005571E7" w:rsidP="004F3A88">
      <w:pPr>
        <w:pStyle w:val="FootnoteText"/>
        <w:rPr>
          <w:lang w:val="en-US"/>
        </w:rPr>
      </w:pPr>
      <w:r>
        <w:rPr>
          <w:rStyle w:val="FootnoteReference"/>
        </w:rPr>
        <w:footnoteRef/>
      </w:r>
      <w:r>
        <w:t xml:space="preserve"> </w:t>
      </w:r>
      <w:r w:rsidRPr="00031A85">
        <w:t>Revision of TPM and DMSU activities</w:t>
      </w:r>
      <w:r>
        <w:t xml:space="preserve">, </w:t>
      </w:r>
      <w:hyperlink r:id="rId31" w:history="1">
        <w:r w:rsidRPr="009B3A70">
          <w:rPr>
            <w:rStyle w:val="Hyperlink"/>
          </w:rPr>
          <w:t>https://documents.egi.eu/document/1104</w:t>
        </w:r>
      </w:hyperlink>
    </w:p>
  </w:footnote>
  <w:footnote w:id="37">
    <w:p w:rsidR="005571E7" w:rsidRPr="00E249BB" w:rsidRDefault="005571E7" w:rsidP="004F3A88">
      <w:pPr>
        <w:pStyle w:val="FootnoteText"/>
        <w:rPr>
          <w:lang w:val="en-US"/>
        </w:rPr>
      </w:pPr>
      <w:r>
        <w:rPr>
          <w:rStyle w:val="FootnoteReference"/>
        </w:rPr>
        <w:footnoteRef/>
      </w:r>
      <w:r>
        <w:t xml:space="preserve"> </w:t>
      </w:r>
      <w:r w:rsidRPr="008A4683">
        <w:t>MS511 Deployed Middleware Support Unit Operations Procedures</w:t>
      </w:r>
      <w:r>
        <w:t xml:space="preserve">, </w:t>
      </w:r>
      <w:hyperlink r:id="rId32" w:history="1">
        <w:r w:rsidRPr="009B3A70">
          <w:rPr>
            <w:rStyle w:val="Hyperlink"/>
          </w:rPr>
          <w:t>https://documents.egi.eu/document/1134</w:t>
        </w:r>
      </w:hyperlink>
    </w:p>
  </w:footnote>
  <w:footnote w:id="38">
    <w:p w:rsidR="005571E7" w:rsidRPr="00E249BB" w:rsidRDefault="005571E7" w:rsidP="004F3A88">
      <w:pPr>
        <w:pStyle w:val="FootnoteText"/>
        <w:rPr>
          <w:lang w:val="en-US"/>
        </w:rPr>
      </w:pPr>
      <w:r>
        <w:rPr>
          <w:rStyle w:val="FootnoteReference"/>
        </w:rPr>
        <w:footnoteRef/>
      </w:r>
      <w:r>
        <w:t xml:space="preserve"> </w:t>
      </w:r>
      <w:hyperlink r:id="rId33" w:history="1">
        <w:r w:rsidRPr="009B3A70">
          <w:rPr>
            <w:rStyle w:val="Hyperlink"/>
          </w:rPr>
          <w:t>https://wiki.egi.eu/wiki/DMSU_topics_gridops_meeting</w:t>
        </w:r>
      </w:hyperlink>
    </w:p>
  </w:footnote>
  <w:footnote w:id="39">
    <w:p w:rsidR="005571E7" w:rsidRDefault="005571E7">
      <w:pPr>
        <w:pStyle w:val="FootnoteText"/>
      </w:pPr>
      <w:r>
        <w:rPr>
          <w:rStyle w:val="FootnoteReference"/>
        </w:rPr>
        <w:footnoteRef/>
      </w:r>
      <w:r>
        <w:t xml:space="preserve"> Contributions from other project activities to the accomplishment of the project objjectives are documented in the annual review deliverables specific to each activity.</w:t>
      </w:r>
    </w:p>
  </w:footnote>
  <w:footnote w:id="40">
    <w:p w:rsidR="005571E7" w:rsidRDefault="005571E7">
      <w:pPr>
        <w:pStyle w:val="FootnoteText"/>
      </w:pPr>
      <w:r>
        <w:rPr>
          <w:rStyle w:val="FootnoteReference"/>
        </w:rPr>
        <w:footnoteRef/>
      </w:r>
      <w:r>
        <w:t xml:space="preserve"> </w:t>
      </w:r>
      <w:hyperlink r:id="rId34" w:history="1">
        <w:r w:rsidRPr="00D204B6">
          <w:rPr>
            <w:rStyle w:val="Hyperlink"/>
          </w:rPr>
          <w:t>http://www.egi.eu/community/resource-providers/index.html</w:t>
        </w:r>
      </w:hyperlink>
    </w:p>
  </w:footnote>
  <w:footnote w:id="41">
    <w:p w:rsidR="005571E7" w:rsidRDefault="005571E7" w:rsidP="00F20415">
      <w:pPr>
        <w:pStyle w:val="FootnoteText"/>
      </w:pPr>
      <w:r>
        <w:rPr>
          <w:rStyle w:val="FootnoteReference"/>
        </w:rPr>
        <w:footnoteRef/>
      </w:r>
      <w:r>
        <w:t>EGI, EUDAT and PRACE workshop on data management:</w:t>
      </w:r>
    </w:p>
    <w:p w:rsidR="005571E7" w:rsidRDefault="005571E7" w:rsidP="00F20415">
      <w:pPr>
        <w:pStyle w:val="FootnoteText"/>
      </w:pPr>
      <w:r>
        <w:t xml:space="preserve"> </w:t>
      </w:r>
      <w:r w:rsidRPr="007572CC">
        <w:t>https://indico.egi.eu/indico/conferenceTimeTable.py?confId=1228#20121126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5571E7">
      <w:trPr>
        <w:trHeight w:val="1131"/>
      </w:trPr>
      <w:tc>
        <w:tcPr>
          <w:tcW w:w="2559" w:type="dxa"/>
        </w:tcPr>
        <w:p w:rsidR="005571E7" w:rsidRDefault="005571E7" w:rsidP="00207D16">
          <w:pPr>
            <w:pStyle w:val="Header"/>
            <w:tabs>
              <w:tab w:val="right" w:pos="9072"/>
            </w:tabs>
            <w:jc w:val="left"/>
          </w:pPr>
          <w:r>
            <w:rPr>
              <w:noProof/>
              <w:lang w:eastAsia="en-GB"/>
            </w:rPr>
            <w:drawing>
              <wp:inline distT="0" distB="0" distL="0" distR="0" wp14:anchorId="269CEE0F" wp14:editId="6D6587A5">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5571E7" w:rsidRDefault="005571E7" w:rsidP="00207D16">
          <w:pPr>
            <w:pStyle w:val="Header"/>
            <w:tabs>
              <w:tab w:val="right" w:pos="9072"/>
            </w:tabs>
            <w:jc w:val="center"/>
          </w:pPr>
          <w:r>
            <w:rPr>
              <w:noProof/>
              <w:lang w:eastAsia="en-GB"/>
            </w:rPr>
            <w:drawing>
              <wp:inline distT="0" distB="0" distL="0" distR="0" wp14:anchorId="6B11A8BE" wp14:editId="1F837F21">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5571E7" w:rsidRDefault="005571E7" w:rsidP="00207D16">
          <w:pPr>
            <w:pStyle w:val="Header"/>
            <w:tabs>
              <w:tab w:val="right" w:pos="9072"/>
            </w:tabs>
            <w:jc w:val="right"/>
          </w:pPr>
          <w:r>
            <w:rPr>
              <w:noProof/>
              <w:lang w:eastAsia="en-GB"/>
            </w:rPr>
            <w:drawing>
              <wp:inline distT="0" distB="0" distL="0" distR="0" wp14:anchorId="12B0E371" wp14:editId="27122059">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5571E7" w:rsidRDefault="005571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bullet"/>
      <w:lvlText w:val=""/>
      <w:lvlJc w:val="left"/>
      <w:pPr>
        <w:tabs>
          <w:tab w:val="num" w:pos="796"/>
        </w:tabs>
        <w:ind w:left="796" w:hanging="360"/>
      </w:pPr>
      <w:rPr>
        <w:rFonts w:ascii="Wingdings 2" w:hAnsi="Wingdings 2" w:cs="OpenSymbol"/>
      </w:rPr>
    </w:lvl>
    <w:lvl w:ilvl="1">
      <w:start w:val="1"/>
      <w:numFmt w:val="bullet"/>
      <w:lvlText w:val="◦"/>
      <w:lvlJc w:val="left"/>
      <w:pPr>
        <w:tabs>
          <w:tab w:val="num" w:pos="1156"/>
        </w:tabs>
        <w:ind w:left="1156" w:hanging="360"/>
      </w:pPr>
      <w:rPr>
        <w:rFonts w:ascii="OpenSymbol" w:hAnsi="OpenSymbol" w:cs="OpenSymbol"/>
      </w:rPr>
    </w:lvl>
    <w:lvl w:ilvl="2">
      <w:start w:val="1"/>
      <w:numFmt w:val="bullet"/>
      <w:lvlText w:val="▪"/>
      <w:lvlJc w:val="left"/>
      <w:pPr>
        <w:tabs>
          <w:tab w:val="num" w:pos="1516"/>
        </w:tabs>
        <w:ind w:left="1516" w:hanging="360"/>
      </w:pPr>
      <w:rPr>
        <w:rFonts w:ascii="OpenSymbol" w:hAnsi="OpenSymbol" w:cs="OpenSymbol"/>
      </w:rPr>
    </w:lvl>
    <w:lvl w:ilvl="3">
      <w:start w:val="1"/>
      <w:numFmt w:val="bullet"/>
      <w:lvlText w:val=""/>
      <w:lvlJc w:val="left"/>
      <w:pPr>
        <w:tabs>
          <w:tab w:val="num" w:pos="1876"/>
        </w:tabs>
        <w:ind w:left="1876" w:hanging="360"/>
      </w:pPr>
      <w:rPr>
        <w:rFonts w:ascii="Wingdings 2" w:hAnsi="Wingdings 2" w:cs="OpenSymbol"/>
      </w:rPr>
    </w:lvl>
    <w:lvl w:ilvl="4">
      <w:start w:val="1"/>
      <w:numFmt w:val="bullet"/>
      <w:lvlText w:val="◦"/>
      <w:lvlJc w:val="left"/>
      <w:pPr>
        <w:tabs>
          <w:tab w:val="num" w:pos="2236"/>
        </w:tabs>
        <w:ind w:left="2236" w:hanging="360"/>
      </w:pPr>
      <w:rPr>
        <w:rFonts w:ascii="OpenSymbol" w:hAnsi="OpenSymbol" w:cs="OpenSymbol"/>
      </w:rPr>
    </w:lvl>
    <w:lvl w:ilvl="5">
      <w:start w:val="1"/>
      <w:numFmt w:val="bullet"/>
      <w:lvlText w:val="▪"/>
      <w:lvlJc w:val="left"/>
      <w:pPr>
        <w:tabs>
          <w:tab w:val="num" w:pos="2596"/>
        </w:tabs>
        <w:ind w:left="2596" w:hanging="360"/>
      </w:pPr>
      <w:rPr>
        <w:rFonts w:ascii="OpenSymbol" w:hAnsi="OpenSymbol" w:cs="OpenSymbol"/>
      </w:rPr>
    </w:lvl>
    <w:lvl w:ilvl="6">
      <w:start w:val="1"/>
      <w:numFmt w:val="bullet"/>
      <w:lvlText w:val=""/>
      <w:lvlJc w:val="left"/>
      <w:pPr>
        <w:tabs>
          <w:tab w:val="num" w:pos="2956"/>
        </w:tabs>
        <w:ind w:left="2956" w:hanging="360"/>
      </w:pPr>
      <w:rPr>
        <w:rFonts w:ascii="Wingdings 2" w:hAnsi="Wingdings 2" w:cs="OpenSymbol"/>
      </w:rPr>
    </w:lvl>
    <w:lvl w:ilvl="7">
      <w:start w:val="1"/>
      <w:numFmt w:val="bullet"/>
      <w:lvlText w:val="◦"/>
      <w:lvlJc w:val="left"/>
      <w:pPr>
        <w:tabs>
          <w:tab w:val="num" w:pos="3316"/>
        </w:tabs>
        <w:ind w:left="3316" w:hanging="360"/>
      </w:pPr>
      <w:rPr>
        <w:rFonts w:ascii="OpenSymbol" w:hAnsi="OpenSymbol" w:cs="OpenSymbol"/>
      </w:rPr>
    </w:lvl>
    <w:lvl w:ilvl="8">
      <w:start w:val="1"/>
      <w:numFmt w:val="bullet"/>
      <w:lvlText w:val="▪"/>
      <w:lvlJc w:val="left"/>
      <w:pPr>
        <w:tabs>
          <w:tab w:val="num" w:pos="3676"/>
        </w:tabs>
        <w:ind w:left="3676" w:hanging="360"/>
      </w:pPr>
      <w:rPr>
        <w:rFonts w:ascii="OpenSymbol" w:hAnsi="OpenSymbol" w:cs="OpenSymbol"/>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074997"/>
    <w:multiLevelType w:val="hybridMultilevel"/>
    <w:tmpl w:val="CA4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09E3CB0"/>
    <w:multiLevelType w:val="multilevel"/>
    <w:tmpl w:val="EC0A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8">
    <w:nsid w:val="49674259"/>
    <w:multiLevelType w:val="hybridMultilevel"/>
    <w:tmpl w:val="1150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4E7807CC"/>
    <w:multiLevelType w:val="hybridMultilevel"/>
    <w:tmpl w:val="DC1841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BDC4619"/>
    <w:multiLevelType w:val="hybridMultilevel"/>
    <w:tmpl w:val="F4E6C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5152EA"/>
    <w:multiLevelType w:val="hybridMultilevel"/>
    <w:tmpl w:val="61DA4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6149787D"/>
    <w:multiLevelType w:val="hybridMultilevel"/>
    <w:tmpl w:val="63AA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1CD474E"/>
    <w:multiLevelType w:val="hybridMultilevel"/>
    <w:tmpl w:val="D42C5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nsid w:val="7AB82F08"/>
    <w:multiLevelType w:val="hybridMultilevel"/>
    <w:tmpl w:val="F506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7"/>
  </w:num>
  <w:num w:numId="2">
    <w:abstractNumId w:val="48"/>
  </w:num>
  <w:num w:numId="3">
    <w:abstractNumId w:val="15"/>
  </w:num>
  <w:num w:numId="4">
    <w:abstractNumId w:val="18"/>
  </w:num>
  <w:num w:numId="5">
    <w:abstractNumId w:val="53"/>
  </w:num>
  <w:num w:numId="6">
    <w:abstractNumId w:val="33"/>
  </w:num>
  <w:num w:numId="7">
    <w:abstractNumId w:val="14"/>
  </w:num>
  <w:num w:numId="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4"/>
  </w:num>
  <w:num w:numId="11">
    <w:abstractNumId w:val="49"/>
  </w:num>
  <w:num w:numId="12">
    <w:abstractNumId w:val="26"/>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7"/>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6"/>
  </w:num>
  <w:num w:numId="22">
    <w:abstractNumId w:val="51"/>
  </w:num>
  <w:num w:numId="23">
    <w:abstractNumId w:val="5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11"/>
  </w:num>
  <w:num w:numId="27">
    <w:abstractNumId w:val="9"/>
  </w:num>
  <w:num w:numId="28">
    <w:abstractNumId w:val="7"/>
  </w:num>
  <w:num w:numId="29">
    <w:abstractNumId w:val="47"/>
  </w:num>
  <w:num w:numId="30">
    <w:abstractNumId w:val="59"/>
  </w:num>
  <w:num w:numId="31">
    <w:abstractNumId w:val="13"/>
  </w:num>
  <w:num w:numId="32">
    <w:abstractNumId w:val="3"/>
  </w:num>
  <w:num w:numId="33">
    <w:abstractNumId w:val="36"/>
  </w:num>
  <w:num w:numId="34">
    <w:abstractNumId w:val="20"/>
  </w:num>
  <w:num w:numId="35">
    <w:abstractNumId w:val="54"/>
  </w:num>
  <w:num w:numId="36">
    <w:abstractNumId w:val="23"/>
  </w:num>
  <w:num w:numId="37">
    <w:abstractNumId w:val="37"/>
  </w:num>
  <w:num w:numId="38">
    <w:abstractNumId w:val="42"/>
  </w:num>
  <w:num w:numId="39">
    <w:abstractNumId w:val="16"/>
  </w:num>
  <w:num w:numId="40">
    <w:abstractNumId w:val="39"/>
  </w:num>
  <w:num w:numId="41">
    <w:abstractNumId w:val="58"/>
  </w:num>
  <w:num w:numId="42">
    <w:abstractNumId w:val="44"/>
  </w:num>
  <w:num w:numId="43">
    <w:abstractNumId w:val="40"/>
  </w:num>
  <w:num w:numId="44">
    <w:abstractNumId w:val="8"/>
  </w:num>
  <w:num w:numId="45">
    <w:abstractNumId w:val="29"/>
  </w:num>
  <w:num w:numId="46">
    <w:abstractNumId w:val="34"/>
  </w:num>
  <w:num w:numId="47">
    <w:abstractNumId w:val="27"/>
  </w:num>
  <w:num w:numId="48">
    <w:abstractNumId w:val="45"/>
  </w:num>
  <w:num w:numId="49">
    <w:abstractNumId w:val="25"/>
  </w:num>
  <w:num w:numId="50">
    <w:abstractNumId w:val="4"/>
  </w:num>
  <w:num w:numId="51">
    <w:abstractNumId w:val="0"/>
  </w:num>
  <w:num w:numId="52">
    <w:abstractNumId w:val="1"/>
  </w:num>
  <w:num w:numId="53">
    <w:abstractNumId w:val="2"/>
  </w:num>
  <w:num w:numId="54">
    <w:abstractNumId w:val="12"/>
  </w:num>
  <w:num w:numId="55">
    <w:abstractNumId w:val="10"/>
  </w:num>
  <w:num w:numId="56">
    <w:abstractNumId w:val="46"/>
  </w:num>
  <w:num w:numId="57">
    <w:abstractNumId w:val="19"/>
  </w:num>
  <w:num w:numId="58">
    <w:abstractNumId w:val="56"/>
  </w:num>
  <w:num w:numId="59">
    <w:abstractNumId w:val="31"/>
  </w:num>
  <w:num w:numId="60">
    <w:abstractNumId w:val="28"/>
  </w:num>
  <w:num w:numId="61">
    <w:abstractNumId w:val="55"/>
  </w:num>
  <w:num w:numId="62">
    <w:abstractNumId w:val="43"/>
  </w:num>
  <w:num w:numId="63">
    <w:abstractNumId w:val="21"/>
  </w:num>
  <w:num w:numId="64">
    <w:abstractNumId w:val="22"/>
  </w:num>
  <w:num w:numId="65">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57A0"/>
    <w:rsid w:val="000076B7"/>
    <w:rsid w:val="000129E8"/>
    <w:rsid w:val="0001329B"/>
    <w:rsid w:val="00016002"/>
    <w:rsid w:val="00016394"/>
    <w:rsid w:val="00020965"/>
    <w:rsid w:val="00022F10"/>
    <w:rsid w:val="00023F70"/>
    <w:rsid w:val="0002426D"/>
    <w:rsid w:val="000314DA"/>
    <w:rsid w:val="000328C9"/>
    <w:rsid w:val="00034EAA"/>
    <w:rsid w:val="0003595C"/>
    <w:rsid w:val="00037C85"/>
    <w:rsid w:val="00041CD4"/>
    <w:rsid w:val="00043028"/>
    <w:rsid w:val="000433A8"/>
    <w:rsid w:val="00047FE9"/>
    <w:rsid w:val="000516FA"/>
    <w:rsid w:val="0005172D"/>
    <w:rsid w:val="00053FA4"/>
    <w:rsid w:val="000542F5"/>
    <w:rsid w:val="0005596D"/>
    <w:rsid w:val="00056FFF"/>
    <w:rsid w:val="000617B1"/>
    <w:rsid w:val="00063388"/>
    <w:rsid w:val="0006339D"/>
    <w:rsid w:val="00063AA4"/>
    <w:rsid w:val="000662CB"/>
    <w:rsid w:val="00067221"/>
    <w:rsid w:val="0006761A"/>
    <w:rsid w:val="00072A53"/>
    <w:rsid w:val="00073266"/>
    <w:rsid w:val="0007340A"/>
    <w:rsid w:val="0007592D"/>
    <w:rsid w:val="00080074"/>
    <w:rsid w:val="000868DC"/>
    <w:rsid w:val="000902B4"/>
    <w:rsid w:val="000953BD"/>
    <w:rsid w:val="0009600D"/>
    <w:rsid w:val="000A2B1B"/>
    <w:rsid w:val="000A436A"/>
    <w:rsid w:val="000B27B2"/>
    <w:rsid w:val="000B4252"/>
    <w:rsid w:val="000B78DD"/>
    <w:rsid w:val="000B7A03"/>
    <w:rsid w:val="000C28DB"/>
    <w:rsid w:val="000C2C3A"/>
    <w:rsid w:val="000D1BC4"/>
    <w:rsid w:val="000D4888"/>
    <w:rsid w:val="000D6AFC"/>
    <w:rsid w:val="000E009D"/>
    <w:rsid w:val="000E5551"/>
    <w:rsid w:val="000F0FE0"/>
    <w:rsid w:val="001058E2"/>
    <w:rsid w:val="00105FC1"/>
    <w:rsid w:val="0010612E"/>
    <w:rsid w:val="0011003C"/>
    <w:rsid w:val="001107FD"/>
    <w:rsid w:val="001109FE"/>
    <w:rsid w:val="00112EAE"/>
    <w:rsid w:val="00124E76"/>
    <w:rsid w:val="00126EB2"/>
    <w:rsid w:val="001306EE"/>
    <w:rsid w:val="00130883"/>
    <w:rsid w:val="0013347A"/>
    <w:rsid w:val="00134CE8"/>
    <w:rsid w:val="00135444"/>
    <w:rsid w:val="00136EE9"/>
    <w:rsid w:val="00140311"/>
    <w:rsid w:val="0014359E"/>
    <w:rsid w:val="00144CBF"/>
    <w:rsid w:val="00147323"/>
    <w:rsid w:val="001534B9"/>
    <w:rsid w:val="00157F48"/>
    <w:rsid w:val="001601BF"/>
    <w:rsid w:val="001608A8"/>
    <w:rsid w:val="00160925"/>
    <w:rsid w:val="00160FB9"/>
    <w:rsid w:val="00162C97"/>
    <w:rsid w:val="00170AB1"/>
    <w:rsid w:val="00173DE5"/>
    <w:rsid w:val="001742C3"/>
    <w:rsid w:val="001806B7"/>
    <w:rsid w:val="00180B50"/>
    <w:rsid w:val="00183CAF"/>
    <w:rsid w:val="00190731"/>
    <w:rsid w:val="00190830"/>
    <w:rsid w:val="0019110C"/>
    <w:rsid w:val="001919B9"/>
    <w:rsid w:val="00195593"/>
    <w:rsid w:val="00195FA1"/>
    <w:rsid w:val="001A41E8"/>
    <w:rsid w:val="001A7AAB"/>
    <w:rsid w:val="001A7C62"/>
    <w:rsid w:val="001B7777"/>
    <w:rsid w:val="001C2ED3"/>
    <w:rsid w:val="001C71C9"/>
    <w:rsid w:val="001D158D"/>
    <w:rsid w:val="001D185E"/>
    <w:rsid w:val="001D5C64"/>
    <w:rsid w:val="001D74E0"/>
    <w:rsid w:val="001D7B2E"/>
    <w:rsid w:val="001E048D"/>
    <w:rsid w:val="001E1E7E"/>
    <w:rsid w:val="001E2C1C"/>
    <w:rsid w:val="001E359F"/>
    <w:rsid w:val="001E50CB"/>
    <w:rsid w:val="00204BB0"/>
    <w:rsid w:val="00207D16"/>
    <w:rsid w:val="00214FC8"/>
    <w:rsid w:val="002172EB"/>
    <w:rsid w:val="002173BD"/>
    <w:rsid w:val="00224E68"/>
    <w:rsid w:val="00225CBC"/>
    <w:rsid w:val="0022677E"/>
    <w:rsid w:val="00227AEE"/>
    <w:rsid w:val="002306CE"/>
    <w:rsid w:val="00234366"/>
    <w:rsid w:val="00236E72"/>
    <w:rsid w:val="0023748D"/>
    <w:rsid w:val="00243475"/>
    <w:rsid w:val="00244E68"/>
    <w:rsid w:val="00255F83"/>
    <w:rsid w:val="00260B86"/>
    <w:rsid w:val="00260DAF"/>
    <w:rsid w:val="00266283"/>
    <w:rsid w:val="00266CD9"/>
    <w:rsid w:val="00267ABC"/>
    <w:rsid w:val="00271752"/>
    <w:rsid w:val="00271811"/>
    <w:rsid w:val="00274252"/>
    <w:rsid w:val="00282311"/>
    <w:rsid w:val="00283347"/>
    <w:rsid w:val="002878C1"/>
    <w:rsid w:val="00290FDA"/>
    <w:rsid w:val="00291789"/>
    <w:rsid w:val="0029366B"/>
    <w:rsid w:val="002951E3"/>
    <w:rsid w:val="0029525C"/>
    <w:rsid w:val="00295718"/>
    <w:rsid w:val="002958DE"/>
    <w:rsid w:val="002A0036"/>
    <w:rsid w:val="002A03B2"/>
    <w:rsid w:val="002B0788"/>
    <w:rsid w:val="002B1814"/>
    <w:rsid w:val="002B1FBD"/>
    <w:rsid w:val="002B2266"/>
    <w:rsid w:val="002B30AD"/>
    <w:rsid w:val="002B74FE"/>
    <w:rsid w:val="002C077D"/>
    <w:rsid w:val="002C4E7A"/>
    <w:rsid w:val="002C6644"/>
    <w:rsid w:val="002C7084"/>
    <w:rsid w:val="002C789C"/>
    <w:rsid w:val="002D0A14"/>
    <w:rsid w:val="002D1051"/>
    <w:rsid w:val="002D3596"/>
    <w:rsid w:val="002D59EE"/>
    <w:rsid w:val="002E63AA"/>
    <w:rsid w:val="002E747B"/>
    <w:rsid w:val="002F040D"/>
    <w:rsid w:val="002F63F4"/>
    <w:rsid w:val="002F75A9"/>
    <w:rsid w:val="00301EA1"/>
    <w:rsid w:val="00301F0A"/>
    <w:rsid w:val="003023EA"/>
    <w:rsid w:val="00302AFD"/>
    <w:rsid w:val="00303309"/>
    <w:rsid w:val="00304DF7"/>
    <w:rsid w:val="00307520"/>
    <w:rsid w:val="00310CB2"/>
    <w:rsid w:val="0031100E"/>
    <w:rsid w:val="00312231"/>
    <w:rsid w:val="00312D12"/>
    <w:rsid w:val="003132EE"/>
    <w:rsid w:val="00313621"/>
    <w:rsid w:val="00314BE8"/>
    <w:rsid w:val="00315549"/>
    <w:rsid w:val="00317058"/>
    <w:rsid w:val="003203AE"/>
    <w:rsid w:val="0032582F"/>
    <w:rsid w:val="00326559"/>
    <w:rsid w:val="003274BD"/>
    <w:rsid w:val="003276F2"/>
    <w:rsid w:val="00327BCA"/>
    <w:rsid w:val="003329A3"/>
    <w:rsid w:val="00333210"/>
    <w:rsid w:val="0034137B"/>
    <w:rsid w:val="00343976"/>
    <w:rsid w:val="003453B5"/>
    <w:rsid w:val="00346E8D"/>
    <w:rsid w:val="0035365B"/>
    <w:rsid w:val="003538CC"/>
    <w:rsid w:val="00361543"/>
    <w:rsid w:val="0036166B"/>
    <w:rsid w:val="00361DBF"/>
    <w:rsid w:val="00363536"/>
    <w:rsid w:val="0036423E"/>
    <w:rsid w:val="0036545E"/>
    <w:rsid w:val="00367442"/>
    <w:rsid w:val="00371B32"/>
    <w:rsid w:val="003729FA"/>
    <w:rsid w:val="00373D2C"/>
    <w:rsid w:val="003752AB"/>
    <w:rsid w:val="00375BCA"/>
    <w:rsid w:val="00380DFA"/>
    <w:rsid w:val="0039095D"/>
    <w:rsid w:val="003929F6"/>
    <w:rsid w:val="003960FB"/>
    <w:rsid w:val="003964F9"/>
    <w:rsid w:val="003974F1"/>
    <w:rsid w:val="00397511"/>
    <w:rsid w:val="003A1611"/>
    <w:rsid w:val="003A38FF"/>
    <w:rsid w:val="003B0D8E"/>
    <w:rsid w:val="003B30D0"/>
    <w:rsid w:val="003B4828"/>
    <w:rsid w:val="003B4AA5"/>
    <w:rsid w:val="003B6C3D"/>
    <w:rsid w:val="003C0741"/>
    <w:rsid w:val="003C2BC5"/>
    <w:rsid w:val="003C3536"/>
    <w:rsid w:val="003C391F"/>
    <w:rsid w:val="003C3B9D"/>
    <w:rsid w:val="003C3EB0"/>
    <w:rsid w:val="003C5FA8"/>
    <w:rsid w:val="003D0B1B"/>
    <w:rsid w:val="003D35D3"/>
    <w:rsid w:val="003D568C"/>
    <w:rsid w:val="003D6E91"/>
    <w:rsid w:val="003D7529"/>
    <w:rsid w:val="003D7FCD"/>
    <w:rsid w:val="003E0927"/>
    <w:rsid w:val="003E1F5E"/>
    <w:rsid w:val="003E38E1"/>
    <w:rsid w:val="003E4A7D"/>
    <w:rsid w:val="003F41E1"/>
    <w:rsid w:val="0040069C"/>
    <w:rsid w:val="00400D42"/>
    <w:rsid w:val="00404159"/>
    <w:rsid w:val="0042009E"/>
    <w:rsid w:val="00421685"/>
    <w:rsid w:val="00421A84"/>
    <w:rsid w:val="00421ADD"/>
    <w:rsid w:val="00424B53"/>
    <w:rsid w:val="004266E2"/>
    <w:rsid w:val="004274C3"/>
    <w:rsid w:val="00427928"/>
    <w:rsid w:val="00433700"/>
    <w:rsid w:val="004372D0"/>
    <w:rsid w:val="00440E55"/>
    <w:rsid w:val="004413A2"/>
    <w:rsid w:val="0044255F"/>
    <w:rsid w:val="0044280E"/>
    <w:rsid w:val="004448A7"/>
    <w:rsid w:val="00444D20"/>
    <w:rsid w:val="004472CB"/>
    <w:rsid w:val="00452522"/>
    <w:rsid w:val="00455602"/>
    <w:rsid w:val="00462CD0"/>
    <w:rsid w:val="00463864"/>
    <w:rsid w:val="00466642"/>
    <w:rsid w:val="00467B40"/>
    <w:rsid w:val="004702F6"/>
    <w:rsid w:val="004714BE"/>
    <w:rsid w:val="00472801"/>
    <w:rsid w:val="00477985"/>
    <w:rsid w:val="0048493E"/>
    <w:rsid w:val="0048514C"/>
    <w:rsid w:val="00492372"/>
    <w:rsid w:val="00492BFD"/>
    <w:rsid w:val="00493DA3"/>
    <w:rsid w:val="00494E64"/>
    <w:rsid w:val="00495259"/>
    <w:rsid w:val="0049731A"/>
    <w:rsid w:val="004A1683"/>
    <w:rsid w:val="004A316F"/>
    <w:rsid w:val="004B181C"/>
    <w:rsid w:val="004B3C47"/>
    <w:rsid w:val="004B4225"/>
    <w:rsid w:val="004B4A6A"/>
    <w:rsid w:val="004B58B8"/>
    <w:rsid w:val="004B6C4D"/>
    <w:rsid w:val="004B6DDF"/>
    <w:rsid w:val="004C2302"/>
    <w:rsid w:val="004C3CB3"/>
    <w:rsid w:val="004C4D2F"/>
    <w:rsid w:val="004C7434"/>
    <w:rsid w:val="004C77BF"/>
    <w:rsid w:val="004D7296"/>
    <w:rsid w:val="004E2605"/>
    <w:rsid w:val="004E4EB0"/>
    <w:rsid w:val="004F0D4F"/>
    <w:rsid w:val="004F2CF1"/>
    <w:rsid w:val="004F3A88"/>
    <w:rsid w:val="004F432E"/>
    <w:rsid w:val="004F541C"/>
    <w:rsid w:val="004F659B"/>
    <w:rsid w:val="004F65C2"/>
    <w:rsid w:val="00500757"/>
    <w:rsid w:val="00504A70"/>
    <w:rsid w:val="00505A21"/>
    <w:rsid w:val="0051584B"/>
    <w:rsid w:val="00520CDD"/>
    <w:rsid w:val="00522571"/>
    <w:rsid w:val="005225DE"/>
    <w:rsid w:val="00525251"/>
    <w:rsid w:val="00526608"/>
    <w:rsid w:val="0053031F"/>
    <w:rsid w:val="005357E9"/>
    <w:rsid w:val="00535A88"/>
    <w:rsid w:val="00535F82"/>
    <w:rsid w:val="00540ED6"/>
    <w:rsid w:val="00543716"/>
    <w:rsid w:val="0054473B"/>
    <w:rsid w:val="005447BD"/>
    <w:rsid w:val="0054674C"/>
    <w:rsid w:val="005478EF"/>
    <w:rsid w:val="00551236"/>
    <w:rsid w:val="005571E7"/>
    <w:rsid w:val="0056138A"/>
    <w:rsid w:val="0056603B"/>
    <w:rsid w:val="005670E2"/>
    <w:rsid w:val="00570DBC"/>
    <w:rsid w:val="0057142A"/>
    <w:rsid w:val="005771B5"/>
    <w:rsid w:val="00577F11"/>
    <w:rsid w:val="00581408"/>
    <w:rsid w:val="005817FE"/>
    <w:rsid w:val="005835DF"/>
    <w:rsid w:val="00583DD4"/>
    <w:rsid w:val="00594DD0"/>
    <w:rsid w:val="005A13AB"/>
    <w:rsid w:val="005A5D9D"/>
    <w:rsid w:val="005A6941"/>
    <w:rsid w:val="005A6D06"/>
    <w:rsid w:val="005A7ADD"/>
    <w:rsid w:val="005A7D93"/>
    <w:rsid w:val="005B11AA"/>
    <w:rsid w:val="005B1EBE"/>
    <w:rsid w:val="005B3C6D"/>
    <w:rsid w:val="005B4F08"/>
    <w:rsid w:val="005B7AAB"/>
    <w:rsid w:val="005C3321"/>
    <w:rsid w:val="005C6F89"/>
    <w:rsid w:val="005C73D3"/>
    <w:rsid w:val="005D0FF8"/>
    <w:rsid w:val="005D53DD"/>
    <w:rsid w:val="005E0C5C"/>
    <w:rsid w:val="005E7E26"/>
    <w:rsid w:val="005F199A"/>
    <w:rsid w:val="005F50F4"/>
    <w:rsid w:val="0060102F"/>
    <w:rsid w:val="00607382"/>
    <w:rsid w:val="00613095"/>
    <w:rsid w:val="00615869"/>
    <w:rsid w:val="00616BB5"/>
    <w:rsid w:val="00617DA7"/>
    <w:rsid w:val="00620FB6"/>
    <w:rsid w:val="00621C69"/>
    <w:rsid w:val="00622583"/>
    <w:rsid w:val="00623ED2"/>
    <w:rsid w:val="00624DDD"/>
    <w:rsid w:val="00625337"/>
    <w:rsid w:val="00631DE4"/>
    <w:rsid w:val="006329E2"/>
    <w:rsid w:val="006368C4"/>
    <w:rsid w:val="006375E7"/>
    <w:rsid w:val="0064098D"/>
    <w:rsid w:val="0064132B"/>
    <w:rsid w:val="006425FC"/>
    <w:rsid w:val="00642B45"/>
    <w:rsid w:val="006433EF"/>
    <w:rsid w:val="006438EE"/>
    <w:rsid w:val="00643C9B"/>
    <w:rsid w:val="00645690"/>
    <w:rsid w:val="00646CCE"/>
    <w:rsid w:val="00646FF7"/>
    <w:rsid w:val="00647456"/>
    <w:rsid w:val="006537BB"/>
    <w:rsid w:val="00656728"/>
    <w:rsid w:val="006578D7"/>
    <w:rsid w:val="0066001F"/>
    <w:rsid w:val="006639B9"/>
    <w:rsid w:val="0066745C"/>
    <w:rsid w:val="00670EBE"/>
    <w:rsid w:val="006711A4"/>
    <w:rsid w:val="00671F8B"/>
    <w:rsid w:val="00676EFD"/>
    <w:rsid w:val="00681486"/>
    <w:rsid w:val="006849FF"/>
    <w:rsid w:val="0068524C"/>
    <w:rsid w:val="00686FA7"/>
    <w:rsid w:val="00687C18"/>
    <w:rsid w:val="00693ABE"/>
    <w:rsid w:val="00696684"/>
    <w:rsid w:val="00696969"/>
    <w:rsid w:val="006A15CE"/>
    <w:rsid w:val="006A32F5"/>
    <w:rsid w:val="006B33F8"/>
    <w:rsid w:val="006C1841"/>
    <w:rsid w:val="006C264A"/>
    <w:rsid w:val="006C51C3"/>
    <w:rsid w:val="006D6F41"/>
    <w:rsid w:val="006D7465"/>
    <w:rsid w:val="006E0EA7"/>
    <w:rsid w:val="006E5E5D"/>
    <w:rsid w:val="006E6355"/>
    <w:rsid w:val="006E6B71"/>
    <w:rsid w:val="006F0D89"/>
    <w:rsid w:val="006F19C2"/>
    <w:rsid w:val="006F2BE8"/>
    <w:rsid w:val="006F654A"/>
    <w:rsid w:val="006F7826"/>
    <w:rsid w:val="006F7DA7"/>
    <w:rsid w:val="00701E57"/>
    <w:rsid w:val="007022B8"/>
    <w:rsid w:val="00704B3A"/>
    <w:rsid w:val="00721DB6"/>
    <w:rsid w:val="007220E9"/>
    <w:rsid w:val="00722A4E"/>
    <w:rsid w:val="007313CE"/>
    <w:rsid w:val="00736F8D"/>
    <w:rsid w:val="007401E3"/>
    <w:rsid w:val="0074145F"/>
    <w:rsid w:val="00741AB8"/>
    <w:rsid w:val="00741BF3"/>
    <w:rsid w:val="007451F2"/>
    <w:rsid w:val="007515B5"/>
    <w:rsid w:val="00754C94"/>
    <w:rsid w:val="00755364"/>
    <w:rsid w:val="00756E6A"/>
    <w:rsid w:val="007572CC"/>
    <w:rsid w:val="00757BA6"/>
    <w:rsid w:val="00762205"/>
    <w:rsid w:val="007630B9"/>
    <w:rsid w:val="0076571F"/>
    <w:rsid w:val="00771B5E"/>
    <w:rsid w:val="00772FAB"/>
    <w:rsid w:val="00773B70"/>
    <w:rsid w:val="007761F3"/>
    <w:rsid w:val="00777FA7"/>
    <w:rsid w:val="007826C5"/>
    <w:rsid w:val="00783E10"/>
    <w:rsid w:val="0078439B"/>
    <w:rsid w:val="007853EE"/>
    <w:rsid w:val="00796C86"/>
    <w:rsid w:val="007A4CFE"/>
    <w:rsid w:val="007A69CB"/>
    <w:rsid w:val="007B0566"/>
    <w:rsid w:val="007B0BD3"/>
    <w:rsid w:val="007B1C48"/>
    <w:rsid w:val="007B274E"/>
    <w:rsid w:val="007B285A"/>
    <w:rsid w:val="007B5A96"/>
    <w:rsid w:val="007B6C18"/>
    <w:rsid w:val="007C35C8"/>
    <w:rsid w:val="007C3BF3"/>
    <w:rsid w:val="007C3DB9"/>
    <w:rsid w:val="007C4FD3"/>
    <w:rsid w:val="007C5189"/>
    <w:rsid w:val="007C79AE"/>
    <w:rsid w:val="007D16E3"/>
    <w:rsid w:val="007D33CD"/>
    <w:rsid w:val="007D47D0"/>
    <w:rsid w:val="007D683E"/>
    <w:rsid w:val="007D76B0"/>
    <w:rsid w:val="007E52D1"/>
    <w:rsid w:val="007E5CE7"/>
    <w:rsid w:val="007E7455"/>
    <w:rsid w:val="007F29DB"/>
    <w:rsid w:val="007F3EEF"/>
    <w:rsid w:val="00805BB2"/>
    <w:rsid w:val="00807C6E"/>
    <w:rsid w:val="00815BBE"/>
    <w:rsid w:val="00815C86"/>
    <w:rsid w:val="008178F8"/>
    <w:rsid w:val="00822908"/>
    <w:rsid w:val="008229CB"/>
    <w:rsid w:val="00822FD7"/>
    <w:rsid w:val="00823F3B"/>
    <w:rsid w:val="0082421F"/>
    <w:rsid w:val="008276BB"/>
    <w:rsid w:val="00831900"/>
    <w:rsid w:val="0083463B"/>
    <w:rsid w:val="00835709"/>
    <w:rsid w:val="00835ADE"/>
    <w:rsid w:val="008364E1"/>
    <w:rsid w:val="00840C43"/>
    <w:rsid w:val="008430C9"/>
    <w:rsid w:val="008442DB"/>
    <w:rsid w:val="00845B69"/>
    <w:rsid w:val="008554B0"/>
    <w:rsid w:val="00861FEF"/>
    <w:rsid w:val="008633B1"/>
    <w:rsid w:val="00863A3B"/>
    <w:rsid w:val="00865D76"/>
    <w:rsid w:val="008663B2"/>
    <w:rsid w:val="00866735"/>
    <w:rsid w:val="00866FE8"/>
    <w:rsid w:val="00870D46"/>
    <w:rsid w:val="0087245E"/>
    <w:rsid w:val="00873482"/>
    <w:rsid w:val="00873B50"/>
    <w:rsid w:val="0087635D"/>
    <w:rsid w:val="0088001E"/>
    <w:rsid w:val="00883601"/>
    <w:rsid w:val="008838F7"/>
    <w:rsid w:val="00883F05"/>
    <w:rsid w:val="008911FB"/>
    <w:rsid w:val="00892948"/>
    <w:rsid w:val="00892CA1"/>
    <w:rsid w:val="00893122"/>
    <w:rsid w:val="00894C0B"/>
    <w:rsid w:val="00894E68"/>
    <w:rsid w:val="00896897"/>
    <w:rsid w:val="00897038"/>
    <w:rsid w:val="008A0B47"/>
    <w:rsid w:val="008A629C"/>
    <w:rsid w:val="008A7EA5"/>
    <w:rsid w:val="008B07CA"/>
    <w:rsid w:val="008B1A2E"/>
    <w:rsid w:val="008B1CE6"/>
    <w:rsid w:val="008C0842"/>
    <w:rsid w:val="008C0FE8"/>
    <w:rsid w:val="008C38F8"/>
    <w:rsid w:val="008C4D99"/>
    <w:rsid w:val="008D0693"/>
    <w:rsid w:val="008D3D61"/>
    <w:rsid w:val="008D4624"/>
    <w:rsid w:val="008D5CA5"/>
    <w:rsid w:val="008D62EB"/>
    <w:rsid w:val="008D64ED"/>
    <w:rsid w:val="008E2D04"/>
    <w:rsid w:val="008E3807"/>
    <w:rsid w:val="008E470E"/>
    <w:rsid w:val="008E5FBF"/>
    <w:rsid w:val="008F18AA"/>
    <w:rsid w:val="008F1D78"/>
    <w:rsid w:val="008F49F1"/>
    <w:rsid w:val="008F5FF1"/>
    <w:rsid w:val="008F63E5"/>
    <w:rsid w:val="00901236"/>
    <w:rsid w:val="009114AD"/>
    <w:rsid w:val="0091753A"/>
    <w:rsid w:val="00917A16"/>
    <w:rsid w:val="00923233"/>
    <w:rsid w:val="00931A6B"/>
    <w:rsid w:val="009408CA"/>
    <w:rsid w:val="009429AD"/>
    <w:rsid w:val="00943C7E"/>
    <w:rsid w:val="00946F50"/>
    <w:rsid w:val="009477C8"/>
    <w:rsid w:val="00960188"/>
    <w:rsid w:val="0096200D"/>
    <w:rsid w:val="00962658"/>
    <w:rsid w:val="0096377B"/>
    <w:rsid w:val="00964B9E"/>
    <w:rsid w:val="009654B8"/>
    <w:rsid w:val="00971A40"/>
    <w:rsid w:val="0098073F"/>
    <w:rsid w:val="009811AA"/>
    <w:rsid w:val="009818E6"/>
    <w:rsid w:val="00982991"/>
    <w:rsid w:val="009835BF"/>
    <w:rsid w:val="00985A93"/>
    <w:rsid w:val="00986DBE"/>
    <w:rsid w:val="0099355C"/>
    <w:rsid w:val="00994CB7"/>
    <w:rsid w:val="009A1165"/>
    <w:rsid w:val="009A208E"/>
    <w:rsid w:val="009B1455"/>
    <w:rsid w:val="009B1F6E"/>
    <w:rsid w:val="009B3643"/>
    <w:rsid w:val="009B6EBB"/>
    <w:rsid w:val="009B7125"/>
    <w:rsid w:val="009B72C6"/>
    <w:rsid w:val="009B7955"/>
    <w:rsid w:val="009C1C5A"/>
    <w:rsid w:val="009C2E5B"/>
    <w:rsid w:val="009C6E08"/>
    <w:rsid w:val="009D28B3"/>
    <w:rsid w:val="009D35F1"/>
    <w:rsid w:val="009D3D26"/>
    <w:rsid w:val="009D409A"/>
    <w:rsid w:val="009D5BCA"/>
    <w:rsid w:val="009D5F5E"/>
    <w:rsid w:val="009D6D90"/>
    <w:rsid w:val="009F132B"/>
    <w:rsid w:val="009F5D90"/>
    <w:rsid w:val="009F6858"/>
    <w:rsid w:val="00A1092F"/>
    <w:rsid w:val="00A129CA"/>
    <w:rsid w:val="00A13D36"/>
    <w:rsid w:val="00A156C9"/>
    <w:rsid w:val="00A16291"/>
    <w:rsid w:val="00A21835"/>
    <w:rsid w:val="00A218C1"/>
    <w:rsid w:val="00A21F55"/>
    <w:rsid w:val="00A242A2"/>
    <w:rsid w:val="00A2453C"/>
    <w:rsid w:val="00A246B6"/>
    <w:rsid w:val="00A24A20"/>
    <w:rsid w:val="00A2567D"/>
    <w:rsid w:val="00A2734D"/>
    <w:rsid w:val="00A319E4"/>
    <w:rsid w:val="00A320BE"/>
    <w:rsid w:val="00A40637"/>
    <w:rsid w:val="00A47E4A"/>
    <w:rsid w:val="00A51557"/>
    <w:rsid w:val="00A53EA8"/>
    <w:rsid w:val="00A54BFB"/>
    <w:rsid w:val="00A55283"/>
    <w:rsid w:val="00A560B1"/>
    <w:rsid w:val="00A66C66"/>
    <w:rsid w:val="00A71BDD"/>
    <w:rsid w:val="00A7408B"/>
    <w:rsid w:val="00A813E7"/>
    <w:rsid w:val="00A817A8"/>
    <w:rsid w:val="00A8202C"/>
    <w:rsid w:val="00A83A78"/>
    <w:rsid w:val="00A843A9"/>
    <w:rsid w:val="00A875E9"/>
    <w:rsid w:val="00A9017F"/>
    <w:rsid w:val="00A91144"/>
    <w:rsid w:val="00A936A5"/>
    <w:rsid w:val="00AA1846"/>
    <w:rsid w:val="00AA3BFD"/>
    <w:rsid w:val="00AA4974"/>
    <w:rsid w:val="00AA4A7F"/>
    <w:rsid w:val="00AA62F8"/>
    <w:rsid w:val="00AA6BA0"/>
    <w:rsid w:val="00AA763F"/>
    <w:rsid w:val="00AB00ED"/>
    <w:rsid w:val="00AB14DC"/>
    <w:rsid w:val="00AB772F"/>
    <w:rsid w:val="00AC140B"/>
    <w:rsid w:val="00AC3922"/>
    <w:rsid w:val="00AC3FB7"/>
    <w:rsid w:val="00AC5DA4"/>
    <w:rsid w:val="00AD1552"/>
    <w:rsid w:val="00AD48D5"/>
    <w:rsid w:val="00AD5937"/>
    <w:rsid w:val="00AD5AB4"/>
    <w:rsid w:val="00AE2D5C"/>
    <w:rsid w:val="00AF140A"/>
    <w:rsid w:val="00AF3947"/>
    <w:rsid w:val="00AF4CB9"/>
    <w:rsid w:val="00AF69ED"/>
    <w:rsid w:val="00AF7706"/>
    <w:rsid w:val="00B02D03"/>
    <w:rsid w:val="00B07BCE"/>
    <w:rsid w:val="00B12B85"/>
    <w:rsid w:val="00B14AB4"/>
    <w:rsid w:val="00B16582"/>
    <w:rsid w:val="00B16FA1"/>
    <w:rsid w:val="00B16FF2"/>
    <w:rsid w:val="00B20926"/>
    <w:rsid w:val="00B21CC3"/>
    <w:rsid w:val="00B245B9"/>
    <w:rsid w:val="00B24804"/>
    <w:rsid w:val="00B251C7"/>
    <w:rsid w:val="00B30664"/>
    <w:rsid w:val="00B35227"/>
    <w:rsid w:val="00B43922"/>
    <w:rsid w:val="00B4432F"/>
    <w:rsid w:val="00B46BBF"/>
    <w:rsid w:val="00B46CA6"/>
    <w:rsid w:val="00B50D19"/>
    <w:rsid w:val="00B541F2"/>
    <w:rsid w:val="00B54C79"/>
    <w:rsid w:val="00B624C2"/>
    <w:rsid w:val="00B62501"/>
    <w:rsid w:val="00B6440B"/>
    <w:rsid w:val="00B65469"/>
    <w:rsid w:val="00B744E3"/>
    <w:rsid w:val="00B76EA8"/>
    <w:rsid w:val="00B85F11"/>
    <w:rsid w:val="00B86A2B"/>
    <w:rsid w:val="00B87F6A"/>
    <w:rsid w:val="00B90ED2"/>
    <w:rsid w:val="00B91BE1"/>
    <w:rsid w:val="00B91C61"/>
    <w:rsid w:val="00B93F00"/>
    <w:rsid w:val="00B93F3B"/>
    <w:rsid w:val="00B94B47"/>
    <w:rsid w:val="00B952DC"/>
    <w:rsid w:val="00B97199"/>
    <w:rsid w:val="00BA0043"/>
    <w:rsid w:val="00BA00AF"/>
    <w:rsid w:val="00BA04D8"/>
    <w:rsid w:val="00BA1424"/>
    <w:rsid w:val="00BA1C32"/>
    <w:rsid w:val="00BA2FB8"/>
    <w:rsid w:val="00BA7422"/>
    <w:rsid w:val="00BB23C2"/>
    <w:rsid w:val="00BB442D"/>
    <w:rsid w:val="00BB5380"/>
    <w:rsid w:val="00BB68D3"/>
    <w:rsid w:val="00BB79A4"/>
    <w:rsid w:val="00BC0E18"/>
    <w:rsid w:val="00BC4451"/>
    <w:rsid w:val="00BC4BB5"/>
    <w:rsid w:val="00BC655B"/>
    <w:rsid w:val="00BD08EE"/>
    <w:rsid w:val="00BD1BAD"/>
    <w:rsid w:val="00BD66C6"/>
    <w:rsid w:val="00BD7D7B"/>
    <w:rsid w:val="00BE031F"/>
    <w:rsid w:val="00BE0BD3"/>
    <w:rsid w:val="00BE1230"/>
    <w:rsid w:val="00BE133A"/>
    <w:rsid w:val="00BE134C"/>
    <w:rsid w:val="00BE6B1D"/>
    <w:rsid w:val="00BE7242"/>
    <w:rsid w:val="00BE73AB"/>
    <w:rsid w:val="00C01D37"/>
    <w:rsid w:val="00C031AE"/>
    <w:rsid w:val="00C07005"/>
    <w:rsid w:val="00C11B3B"/>
    <w:rsid w:val="00C144D5"/>
    <w:rsid w:val="00C1578A"/>
    <w:rsid w:val="00C21E4B"/>
    <w:rsid w:val="00C25F34"/>
    <w:rsid w:val="00C3017F"/>
    <w:rsid w:val="00C30619"/>
    <w:rsid w:val="00C314BD"/>
    <w:rsid w:val="00C347AB"/>
    <w:rsid w:val="00C36EB2"/>
    <w:rsid w:val="00C376E8"/>
    <w:rsid w:val="00C418D3"/>
    <w:rsid w:val="00C424F5"/>
    <w:rsid w:val="00C439BB"/>
    <w:rsid w:val="00C47E20"/>
    <w:rsid w:val="00C50374"/>
    <w:rsid w:val="00C50C55"/>
    <w:rsid w:val="00C51E51"/>
    <w:rsid w:val="00C53C57"/>
    <w:rsid w:val="00C57BD3"/>
    <w:rsid w:val="00C60359"/>
    <w:rsid w:val="00C616AC"/>
    <w:rsid w:val="00C66314"/>
    <w:rsid w:val="00C70468"/>
    <w:rsid w:val="00C70ABF"/>
    <w:rsid w:val="00C72615"/>
    <w:rsid w:val="00C73288"/>
    <w:rsid w:val="00C7511D"/>
    <w:rsid w:val="00C8090C"/>
    <w:rsid w:val="00C80A84"/>
    <w:rsid w:val="00C80E57"/>
    <w:rsid w:val="00C81DBD"/>
    <w:rsid w:val="00C83453"/>
    <w:rsid w:val="00C84F8E"/>
    <w:rsid w:val="00C85E92"/>
    <w:rsid w:val="00C86F9E"/>
    <w:rsid w:val="00C902B6"/>
    <w:rsid w:val="00C91CD4"/>
    <w:rsid w:val="00C91E79"/>
    <w:rsid w:val="00C93062"/>
    <w:rsid w:val="00C9521E"/>
    <w:rsid w:val="00C95A7B"/>
    <w:rsid w:val="00C95D87"/>
    <w:rsid w:val="00C963ED"/>
    <w:rsid w:val="00CA0DC6"/>
    <w:rsid w:val="00CA7687"/>
    <w:rsid w:val="00CB18C9"/>
    <w:rsid w:val="00CB1EEA"/>
    <w:rsid w:val="00CB509B"/>
    <w:rsid w:val="00CC427E"/>
    <w:rsid w:val="00CC4AE4"/>
    <w:rsid w:val="00CC5100"/>
    <w:rsid w:val="00CD3E13"/>
    <w:rsid w:val="00CD6128"/>
    <w:rsid w:val="00CD6279"/>
    <w:rsid w:val="00CE234A"/>
    <w:rsid w:val="00CE555D"/>
    <w:rsid w:val="00CF1A1A"/>
    <w:rsid w:val="00CF5098"/>
    <w:rsid w:val="00CF5F92"/>
    <w:rsid w:val="00CF6B49"/>
    <w:rsid w:val="00CF7B51"/>
    <w:rsid w:val="00D0036D"/>
    <w:rsid w:val="00D0238B"/>
    <w:rsid w:val="00D02952"/>
    <w:rsid w:val="00D030DF"/>
    <w:rsid w:val="00D033A8"/>
    <w:rsid w:val="00D04BBE"/>
    <w:rsid w:val="00D204EC"/>
    <w:rsid w:val="00D21E55"/>
    <w:rsid w:val="00D22FAA"/>
    <w:rsid w:val="00D238C9"/>
    <w:rsid w:val="00D25D9E"/>
    <w:rsid w:val="00D275D0"/>
    <w:rsid w:val="00D30516"/>
    <w:rsid w:val="00D30544"/>
    <w:rsid w:val="00D33EE7"/>
    <w:rsid w:val="00D35740"/>
    <w:rsid w:val="00D4087E"/>
    <w:rsid w:val="00D4099D"/>
    <w:rsid w:val="00D40EFB"/>
    <w:rsid w:val="00D41313"/>
    <w:rsid w:val="00D4676D"/>
    <w:rsid w:val="00D505F4"/>
    <w:rsid w:val="00D516E5"/>
    <w:rsid w:val="00D526D5"/>
    <w:rsid w:val="00D54C10"/>
    <w:rsid w:val="00D60112"/>
    <w:rsid w:val="00D60405"/>
    <w:rsid w:val="00D60AED"/>
    <w:rsid w:val="00D65126"/>
    <w:rsid w:val="00D6685B"/>
    <w:rsid w:val="00D67379"/>
    <w:rsid w:val="00D73E56"/>
    <w:rsid w:val="00D74AAE"/>
    <w:rsid w:val="00D823C9"/>
    <w:rsid w:val="00D872CE"/>
    <w:rsid w:val="00D90F39"/>
    <w:rsid w:val="00D93DAD"/>
    <w:rsid w:val="00D97C23"/>
    <w:rsid w:val="00DA16FD"/>
    <w:rsid w:val="00DA3398"/>
    <w:rsid w:val="00DB67B3"/>
    <w:rsid w:val="00DC0146"/>
    <w:rsid w:val="00DC1B3B"/>
    <w:rsid w:val="00DC23D8"/>
    <w:rsid w:val="00DC4452"/>
    <w:rsid w:val="00DC4589"/>
    <w:rsid w:val="00DC6B16"/>
    <w:rsid w:val="00DD29D9"/>
    <w:rsid w:val="00DD2D96"/>
    <w:rsid w:val="00DD4AE8"/>
    <w:rsid w:val="00DE4F1B"/>
    <w:rsid w:val="00DE6338"/>
    <w:rsid w:val="00DF0F98"/>
    <w:rsid w:val="00DF2FC1"/>
    <w:rsid w:val="00DF5215"/>
    <w:rsid w:val="00DF52F5"/>
    <w:rsid w:val="00DF56B1"/>
    <w:rsid w:val="00DF6AD9"/>
    <w:rsid w:val="00E00DF6"/>
    <w:rsid w:val="00E01E5E"/>
    <w:rsid w:val="00E07A67"/>
    <w:rsid w:val="00E10576"/>
    <w:rsid w:val="00E10C0A"/>
    <w:rsid w:val="00E11188"/>
    <w:rsid w:val="00E14A00"/>
    <w:rsid w:val="00E21FEB"/>
    <w:rsid w:val="00E26F29"/>
    <w:rsid w:val="00E3349F"/>
    <w:rsid w:val="00E33CDE"/>
    <w:rsid w:val="00E40C5A"/>
    <w:rsid w:val="00E416DC"/>
    <w:rsid w:val="00E41C6F"/>
    <w:rsid w:val="00E420BB"/>
    <w:rsid w:val="00E42420"/>
    <w:rsid w:val="00E45ED8"/>
    <w:rsid w:val="00E5776A"/>
    <w:rsid w:val="00E57F35"/>
    <w:rsid w:val="00E6223F"/>
    <w:rsid w:val="00E740EC"/>
    <w:rsid w:val="00E757E3"/>
    <w:rsid w:val="00E82085"/>
    <w:rsid w:val="00E82382"/>
    <w:rsid w:val="00E9029F"/>
    <w:rsid w:val="00E9052E"/>
    <w:rsid w:val="00E916DB"/>
    <w:rsid w:val="00E94CE0"/>
    <w:rsid w:val="00E97166"/>
    <w:rsid w:val="00EA0176"/>
    <w:rsid w:val="00EA19D0"/>
    <w:rsid w:val="00EA66F7"/>
    <w:rsid w:val="00EA788D"/>
    <w:rsid w:val="00EA7954"/>
    <w:rsid w:val="00EA7F94"/>
    <w:rsid w:val="00EB6E94"/>
    <w:rsid w:val="00EC2767"/>
    <w:rsid w:val="00EC6DF4"/>
    <w:rsid w:val="00ED23FB"/>
    <w:rsid w:val="00ED3890"/>
    <w:rsid w:val="00ED6562"/>
    <w:rsid w:val="00EE01EF"/>
    <w:rsid w:val="00EE0599"/>
    <w:rsid w:val="00EE1FC0"/>
    <w:rsid w:val="00EE2884"/>
    <w:rsid w:val="00EE4222"/>
    <w:rsid w:val="00EF0811"/>
    <w:rsid w:val="00EF085F"/>
    <w:rsid w:val="00EF38B4"/>
    <w:rsid w:val="00EF47E1"/>
    <w:rsid w:val="00F00862"/>
    <w:rsid w:val="00F00DFF"/>
    <w:rsid w:val="00F0125C"/>
    <w:rsid w:val="00F018FE"/>
    <w:rsid w:val="00F053FF"/>
    <w:rsid w:val="00F05EEB"/>
    <w:rsid w:val="00F077C4"/>
    <w:rsid w:val="00F1231A"/>
    <w:rsid w:val="00F1288D"/>
    <w:rsid w:val="00F12A75"/>
    <w:rsid w:val="00F13EB2"/>
    <w:rsid w:val="00F1725C"/>
    <w:rsid w:val="00F20415"/>
    <w:rsid w:val="00F22481"/>
    <w:rsid w:val="00F263AC"/>
    <w:rsid w:val="00F27E40"/>
    <w:rsid w:val="00F30203"/>
    <w:rsid w:val="00F3065A"/>
    <w:rsid w:val="00F30E43"/>
    <w:rsid w:val="00F33FDA"/>
    <w:rsid w:val="00F36D93"/>
    <w:rsid w:val="00F51417"/>
    <w:rsid w:val="00F51902"/>
    <w:rsid w:val="00F51B1D"/>
    <w:rsid w:val="00F52AF4"/>
    <w:rsid w:val="00F5379F"/>
    <w:rsid w:val="00F57908"/>
    <w:rsid w:val="00F60C33"/>
    <w:rsid w:val="00F73966"/>
    <w:rsid w:val="00F81720"/>
    <w:rsid w:val="00F82514"/>
    <w:rsid w:val="00F826D8"/>
    <w:rsid w:val="00F85A8A"/>
    <w:rsid w:val="00F8629B"/>
    <w:rsid w:val="00F91CC5"/>
    <w:rsid w:val="00F934AC"/>
    <w:rsid w:val="00FA71FA"/>
    <w:rsid w:val="00FB11F7"/>
    <w:rsid w:val="00FB1369"/>
    <w:rsid w:val="00FB1A3C"/>
    <w:rsid w:val="00FB1A93"/>
    <w:rsid w:val="00FB478C"/>
    <w:rsid w:val="00FB77A7"/>
    <w:rsid w:val="00FC061A"/>
    <w:rsid w:val="00FC2C48"/>
    <w:rsid w:val="00FC2C9B"/>
    <w:rsid w:val="00FC5028"/>
    <w:rsid w:val="00FC6EF5"/>
    <w:rsid w:val="00FC760C"/>
    <w:rsid w:val="00FC79AE"/>
    <w:rsid w:val="00FD3EF3"/>
    <w:rsid w:val="00FD70C0"/>
    <w:rsid w:val="00FD7A33"/>
    <w:rsid w:val="00FE0490"/>
    <w:rsid w:val="00FE2C65"/>
    <w:rsid w:val="00FE34C3"/>
    <w:rsid w:val="00FF63E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093742959">
      <w:bodyDiv w:val="1"/>
      <w:marLeft w:val="0"/>
      <w:marRight w:val="0"/>
      <w:marTop w:val="0"/>
      <w:marBottom w:val="0"/>
      <w:divBdr>
        <w:top w:val="none" w:sz="0" w:space="0" w:color="auto"/>
        <w:left w:val="none" w:sz="0" w:space="0" w:color="auto"/>
        <w:bottom w:val="none" w:sz="0" w:space="0" w:color="auto"/>
        <w:right w:val="none" w:sz="0" w:space="0" w:color="auto"/>
      </w:divBdr>
    </w:div>
    <w:div w:id="1106845454">
      <w:bodyDiv w:val="1"/>
      <w:marLeft w:val="0"/>
      <w:marRight w:val="0"/>
      <w:marTop w:val="0"/>
      <w:marBottom w:val="0"/>
      <w:divBdr>
        <w:top w:val="none" w:sz="0" w:space="0" w:color="auto"/>
        <w:left w:val="none" w:sz="0" w:space="0" w:color="auto"/>
        <w:bottom w:val="none" w:sz="0" w:space="0" w:color="auto"/>
        <w:right w:val="none" w:sz="0" w:space="0" w:color="auto"/>
      </w:divBdr>
      <w:divsChild>
        <w:div w:id="1887444917">
          <w:marLeft w:val="0"/>
          <w:marRight w:val="0"/>
          <w:marTop w:val="0"/>
          <w:marBottom w:val="0"/>
          <w:divBdr>
            <w:top w:val="none" w:sz="0" w:space="0" w:color="auto"/>
            <w:left w:val="none" w:sz="0" w:space="0" w:color="auto"/>
            <w:bottom w:val="none" w:sz="0" w:space="0" w:color="auto"/>
            <w:right w:val="none" w:sz="0" w:space="0" w:color="auto"/>
          </w:divBdr>
        </w:div>
        <w:div w:id="39137064">
          <w:marLeft w:val="0"/>
          <w:marRight w:val="0"/>
          <w:marTop w:val="0"/>
          <w:marBottom w:val="0"/>
          <w:divBdr>
            <w:top w:val="none" w:sz="0" w:space="0" w:color="auto"/>
            <w:left w:val="none" w:sz="0" w:space="0" w:color="auto"/>
            <w:bottom w:val="none" w:sz="0" w:space="0" w:color="auto"/>
            <w:right w:val="none" w:sz="0" w:space="0" w:color="auto"/>
          </w:divBdr>
        </w:div>
        <w:div w:id="663895249">
          <w:marLeft w:val="0"/>
          <w:marRight w:val="0"/>
          <w:marTop w:val="0"/>
          <w:marBottom w:val="0"/>
          <w:divBdr>
            <w:top w:val="none" w:sz="0" w:space="0" w:color="auto"/>
            <w:left w:val="none" w:sz="0" w:space="0" w:color="auto"/>
            <w:bottom w:val="none" w:sz="0" w:space="0" w:color="auto"/>
            <w:right w:val="none" w:sz="0" w:space="0" w:color="auto"/>
          </w:divBdr>
        </w:div>
        <w:div w:id="909074686">
          <w:marLeft w:val="0"/>
          <w:marRight w:val="0"/>
          <w:marTop w:val="0"/>
          <w:marBottom w:val="0"/>
          <w:divBdr>
            <w:top w:val="none" w:sz="0" w:space="0" w:color="auto"/>
            <w:left w:val="none" w:sz="0" w:space="0" w:color="auto"/>
            <w:bottom w:val="none" w:sz="0" w:space="0" w:color="auto"/>
            <w:right w:val="none" w:sz="0" w:space="0" w:color="auto"/>
          </w:divBdr>
        </w:div>
        <w:div w:id="206601288">
          <w:marLeft w:val="0"/>
          <w:marRight w:val="0"/>
          <w:marTop w:val="0"/>
          <w:marBottom w:val="0"/>
          <w:divBdr>
            <w:top w:val="none" w:sz="0" w:space="0" w:color="auto"/>
            <w:left w:val="none" w:sz="0" w:space="0" w:color="auto"/>
            <w:bottom w:val="none" w:sz="0" w:space="0" w:color="auto"/>
            <w:right w:val="none" w:sz="0" w:space="0" w:color="auto"/>
          </w:divBdr>
        </w:div>
        <w:div w:id="359011722">
          <w:marLeft w:val="0"/>
          <w:marRight w:val="0"/>
          <w:marTop w:val="0"/>
          <w:marBottom w:val="0"/>
          <w:divBdr>
            <w:top w:val="none" w:sz="0" w:space="0" w:color="auto"/>
            <w:left w:val="none" w:sz="0" w:space="0" w:color="auto"/>
            <w:bottom w:val="none" w:sz="0" w:space="0" w:color="auto"/>
            <w:right w:val="none" w:sz="0" w:space="0" w:color="auto"/>
          </w:divBdr>
        </w:div>
        <w:div w:id="1557428774">
          <w:marLeft w:val="0"/>
          <w:marRight w:val="0"/>
          <w:marTop w:val="0"/>
          <w:marBottom w:val="0"/>
          <w:divBdr>
            <w:top w:val="none" w:sz="0" w:space="0" w:color="auto"/>
            <w:left w:val="none" w:sz="0" w:space="0" w:color="auto"/>
            <w:bottom w:val="none" w:sz="0" w:space="0" w:color="auto"/>
            <w:right w:val="none" w:sz="0" w:space="0" w:color="auto"/>
          </w:divBdr>
        </w:div>
        <w:div w:id="898979697">
          <w:marLeft w:val="0"/>
          <w:marRight w:val="0"/>
          <w:marTop w:val="0"/>
          <w:marBottom w:val="0"/>
          <w:divBdr>
            <w:top w:val="none" w:sz="0" w:space="0" w:color="auto"/>
            <w:left w:val="none" w:sz="0" w:space="0" w:color="auto"/>
            <w:bottom w:val="none" w:sz="0" w:space="0" w:color="auto"/>
            <w:right w:val="none" w:sz="0" w:space="0" w:color="auto"/>
          </w:divBdr>
        </w:div>
        <w:div w:id="1028263075">
          <w:marLeft w:val="0"/>
          <w:marRight w:val="0"/>
          <w:marTop w:val="0"/>
          <w:marBottom w:val="0"/>
          <w:divBdr>
            <w:top w:val="none" w:sz="0" w:space="0" w:color="auto"/>
            <w:left w:val="none" w:sz="0" w:space="0" w:color="auto"/>
            <w:bottom w:val="none" w:sz="0" w:space="0" w:color="auto"/>
            <w:right w:val="none" w:sz="0" w:space="0" w:color="auto"/>
          </w:divBdr>
        </w:div>
        <w:div w:id="1288773664">
          <w:marLeft w:val="0"/>
          <w:marRight w:val="0"/>
          <w:marTop w:val="0"/>
          <w:marBottom w:val="0"/>
          <w:divBdr>
            <w:top w:val="none" w:sz="0" w:space="0" w:color="auto"/>
            <w:left w:val="none" w:sz="0" w:space="0" w:color="auto"/>
            <w:bottom w:val="none" w:sz="0" w:space="0" w:color="auto"/>
            <w:right w:val="none" w:sz="0" w:space="0" w:color="auto"/>
          </w:divBdr>
        </w:div>
        <w:div w:id="13045530">
          <w:marLeft w:val="0"/>
          <w:marRight w:val="0"/>
          <w:marTop w:val="0"/>
          <w:marBottom w:val="0"/>
          <w:divBdr>
            <w:top w:val="none" w:sz="0" w:space="0" w:color="auto"/>
            <w:left w:val="none" w:sz="0" w:space="0" w:color="auto"/>
            <w:bottom w:val="none" w:sz="0" w:space="0" w:color="auto"/>
            <w:right w:val="none" w:sz="0" w:space="0" w:color="auto"/>
          </w:divBdr>
        </w:div>
        <w:div w:id="1437017446">
          <w:marLeft w:val="0"/>
          <w:marRight w:val="0"/>
          <w:marTop w:val="0"/>
          <w:marBottom w:val="0"/>
          <w:divBdr>
            <w:top w:val="none" w:sz="0" w:space="0" w:color="auto"/>
            <w:left w:val="none" w:sz="0" w:space="0" w:color="auto"/>
            <w:bottom w:val="none" w:sz="0" w:space="0" w:color="auto"/>
            <w:right w:val="none" w:sz="0" w:space="0" w:color="auto"/>
          </w:divBdr>
        </w:div>
        <w:div w:id="994534785">
          <w:marLeft w:val="0"/>
          <w:marRight w:val="0"/>
          <w:marTop w:val="0"/>
          <w:marBottom w:val="0"/>
          <w:divBdr>
            <w:top w:val="none" w:sz="0" w:space="0" w:color="auto"/>
            <w:left w:val="none" w:sz="0" w:space="0" w:color="auto"/>
            <w:bottom w:val="none" w:sz="0" w:space="0" w:color="auto"/>
            <w:right w:val="none" w:sz="0" w:space="0" w:color="auto"/>
          </w:divBdr>
        </w:div>
        <w:div w:id="722556785">
          <w:marLeft w:val="0"/>
          <w:marRight w:val="0"/>
          <w:marTop w:val="0"/>
          <w:marBottom w:val="0"/>
          <w:divBdr>
            <w:top w:val="none" w:sz="0" w:space="0" w:color="auto"/>
            <w:left w:val="none" w:sz="0" w:space="0" w:color="auto"/>
            <w:bottom w:val="none" w:sz="0" w:space="0" w:color="auto"/>
            <w:right w:val="none" w:sz="0" w:space="0" w:color="auto"/>
          </w:divBdr>
        </w:div>
        <w:div w:id="1009524777">
          <w:marLeft w:val="0"/>
          <w:marRight w:val="0"/>
          <w:marTop w:val="0"/>
          <w:marBottom w:val="0"/>
          <w:divBdr>
            <w:top w:val="none" w:sz="0" w:space="0" w:color="auto"/>
            <w:left w:val="none" w:sz="0" w:space="0" w:color="auto"/>
            <w:bottom w:val="none" w:sz="0" w:space="0" w:color="auto"/>
            <w:right w:val="none" w:sz="0" w:space="0" w:color="auto"/>
          </w:divBdr>
        </w:div>
        <w:div w:id="1461145981">
          <w:marLeft w:val="0"/>
          <w:marRight w:val="0"/>
          <w:marTop w:val="0"/>
          <w:marBottom w:val="0"/>
          <w:divBdr>
            <w:top w:val="none" w:sz="0" w:space="0" w:color="auto"/>
            <w:left w:val="none" w:sz="0" w:space="0" w:color="auto"/>
            <w:bottom w:val="none" w:sz="0" w:space="0" w:color="auto"/>
            <w:right w:val="none" w:sz="0" w:space="0" w:color="auto"/>
          </w:divBdr>
        </w:div>
        <w:div w:id="952174467">
          <w:marLeft w:val="0"/>
          <w:marRight w:val="0"/>
          <w:marTop w:val="0"/>
          <w:marBottom w:val="0"/>
          <w:divBdr>
            <w:top w:val="none" w:sz="0" w:space="0" w:color="auto"/>
            <w:left w:val="none" w:sz="0" w:space="0" w:color="auto"/>
            <w:bottom w:val="none" w:sz="0" w:space="0" w:color="auto"/>
            <w:right w:val="none" w:sz="0" w:space="0" w:color="auto"/>
          </w:divBdr>
        </w:div>
        <w:div w:id="961106419">
          <w:marLeft w:val="0"/>
          <w:marRight w:val="0"/>
          <w:marTop w:val="0"/>
          <w:marBottom w:val="0"/>
          <w:divBdr>
            <w:top w:val="none" w:sz="0" w:space="0" w:color="auto"/>
            <w:left w:val="none" w:sz="0" w:space="0" w:color="auto"/>
            <w:bottom w:val="none" w:sz="0" w:space="0" w:color="auto"/>
            <w:right w:val="none" w:sz="0" w:space="0" w:color="auto"/>
          </w:divBdr>
        </w:div>
        <w:div w:id="85154477">
          <w:marLeft w:val="0"/>
          <w:marRight w:val="0"/>
          <w:marTop w:val="0"/>
          <w:marBottom w:val="0"/>
          <w:divBdr>
            <w:top w:val="none" w:sz="0" w:space="0" w:color="auto"/>
            <w:left w:val="none" w:sz="0" w:space="0" w:color="auto"/>
            <w:bottom w:val="none" w:sz="0" w:space="0" w:color="auto"/>
            <w:right w:val="none" w:sz="0" w:space="0" w:color="auto"/>
          </w:divBdr>
        </w:div>
        <w:div w:id="944965283">
          <w:marLeft w:val="0"/>
          <w:marRight w:val="0"/>
          <w:marTop w:val="0"/>
          <w:marBottom w:val="0"/>
          <w:divBdr>
            <w:top w:val="none" w:sz="0" w:space="0" w:color="auto"/>
            <w:left w:val="none" w:sz="0" w:space="0" w:color="auto"/>
            <w:bottom w:val="none" w:sz="0" w:space="0" w:color="auto"/>
            <w:right w:val="none" w:sz="0" w:space="0" w:color="auto"/>
          </w:divBdr>
        </w:div>
        <w:div w:id="730079831">
          <w:marLeft w:val="0"/>
          <w:marRight w:val="0"/>
          <w:marTop w:val="0"/>
          <w:marBottom w:val="0"/>
          <w:divBdr>
            <w:top w:val="none" w:sz="0" w:space="0" w:color="auto"/>
            <w:left w:val="none" w:sz="0" w:space="0" w:color="auto"/>
            <w:bottom w:val="none" w:sz="0" w:space="0" w:color="auto"/>
            <w:right w:val="none" w:sz="0" w:space="0" w:color="auto"/>
          </w:divBdr>
        </w:div>
        <w:div w:id="2106925052">
          <w:marLeft w:val="0"/>
          <w:marRight w:val="0"/>
          <w:marTop w:val="0"/>
          <w:marBottom w:val="0"/>
          <w:divBdr>
            <w:top w:val="none" w:sz="0" w:space="0" w:color="auto"/>
            <w:left w:val="none" w:sz="0" w:space="0" w:color="auto"/>
            <w:bottom w:val="none" w:sz="0" w:space="0" w:color="auto"/>
            <w:right w:val="none" w:sz="0" w:space="0" w:color="auto"/>
          </w:divBdr>
        </w:div>
        <w:div w:id="342321597">
          <w:marLeft w:val="0"/>
          <w:marRight w:val="0"/>
          <w:marTop w:val="0"/>
          <w:marBottom w:val="0"/>
          <w:divBdr>
            <w:top w:val="none" w:sz="0" w:space="0" w:color="auto"/>
            <w:left w:val="none" w:sz="0" w:space="0" w:color="auto"/>
            <w:bottom w:val="none" w:sz="0" w:space="0" w:color="auto"/>
            <w:right w:val="none" w:sz="0" w:space="0" w:color="auto"/>
          </w:divBdr>
        </w:div>
        <w:div w:id="344937953">
          <w:marLeft w:val="0"/>
          <w:marRight w:val="0"/>
          <w:marTop w:val="0"/>
          <w:marBottom w:val="0"/>
          <w:divBdr>
            <w:top w:val="none" w:sz="0" w:space="0" w:color="auto"/>
            <w:left w:val="none" w:sz="0" w:space="0" w:color="auto"/>
            <w:bottom w:val="none" w:sz="0" w:space="0" w:color="auto"/>
            <w:right w:val="none" w:sz="0" w:space="0" w:color="auto"/>
          </w:divBdr>
        </w:div>
        <w:div w:id="751505615">
          <w:marLeft w:val="0"/>
          <w:marRight w:val="0"/>
          <w:marTop w:val="0"/>
          <w:marBottom w:val="0"/>
          <w:divBdr>
            <w:top w:val="none" w:sz="0" w:space="0" w:color="auto"/>
            <w:left w:val="none" w:sz="0" w:space="0" w:color="auto"/>
            <w:bottom w:val="none" w:sz="0" w:space="0" w:color="auto"/>
            <w:right w:val="none" w:sz="0" w:space="0" w:color="auto"/>
          </w:divBdr>
        </w:div>
        <w:div w:id="1876775855">
          <w:marLeft w:val="0"/>
          <w:marRight w:val="0"/>
          <w:marTop w:val="0"/>
          <w:marBottom w:val="0"/>
          <w:divBdr>
            <w:top w:val="none" w:sz="0" w:space="0" w:color="auto"/>
            <w:left w:val="none" w:sz="0" w:space="0" w:color="auto"/>
            <w:bottom w:val="none" w:sz="0" w:space="0" w:color="auto"/>
            <w:right w:val="none" w:sz="0" w:space="0" w:color="auto"/>
          </w:divBdr>
        </w:div>
        <w:div w:id="1930120663">
          <w:marLeft w:val="0"/>
          <w:marRight w:val="0"/>
          <w:marTop w:val="0"/>
          <w:marBottom w:val="0"/>
          <w:divBdr>
            <w:top w:val="none" w:sz="0" w:space="0" w:color="auto"/>
            <w:left w:val="none" w:sz="0" w:space="0" w:color="auto"/>
            <w:bottom w:val="none" w:sz="0" w:space="0" w:color="auto"/>
            <w:right w:val="none" w:sz="0" w:space="0" w:color="auto"/>
          </w:divBdr>
        </w:div>
      </w:divsChild>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s://documents.egi.eu/document/1706" TargetMode="External"/><Relationship Id="rId63" Type="http://schemas.openxmlformats.org/officeDocument/2006/relationships/hyperlink" Target="https://documents.egi.eu/document/495" TargetMode="External"/><Relationship Id="rId68" Type="http://schemas.openxmlformats.org/officeDocument/2006/relationships/hyperlink" Target="https://documents.egi.eu/document/8560" TargetMode="External"/><Relationship Id="rId76" Type="http://schemas.openxmlformats.org/officeDocument/2006/relationships/image" Target="media/image44.png"/><Relationship Id="rId7" Type="http://schemas.openxmlformats.org/officeDocument/2006/relationships/footnotes" Target="footnotes.xml"/><Relationship Id="rId71"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www.egi.eu/infrastructure/Figures_and_utilisation/Availability_reliability.html" TargetMode="External"/><Relationship Id="rId58" Type="http://schemas.openxmlformats.org/officeDocument/2006/relationships/hyperlink" Target="https://wiki.egi.eu/wiki/HEP_SPEC06" TargetMode="External"/><Relationship Id="rId66" Type="http://schemas.openxmlformats.org/officeDocument/2006/relationships/hyperlink" Target="https://wiki.egi.eu/wiki/Staged-Rollout" TargetMode="External"/><Relationship Id="rId74" Type="http://schemas.openxmlformats.org/officeDocument/2006/relationships/image" Target="media/image42.png"/><Relationship Id="rId79" Type="http://schemas.openxmlformats.org/officeDocument/2006/relationships/image" Target="media/image47.png"/><Relationship Id="rId5" Type="http://schemas.openxmlformats.org/officeDocument/2006/relationships/settings" Target="settings.xml"/><Relationship Id="rId61" Type="http://schemas.openxmlformats.org/officeDocument/2006/relationships/hyperlink" Target="https://documents.egi.eu/document/31"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chart" Target="charts/chart1.xml"/><Relationship Id="rId60" Type="http://schemas.openxmlformats.org/officeDocument/2006/relationships/hyperlink" Target="https://documents.egi.eu/document/1135" TargetMode="External"/><Relationship Id="rId65" Type="http://schemas.openxmlformats.org/officeDocument/2006/relationships/hyperlink" Target="https://documents.egi.eu/document/669" TargetMode="External"/><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documents.egi.eu/document/1093" TargetMode="External"/><Relationship Id="rId64" Type="http://schemas.openxmlformats.org/officeDocument/2006/relationships/hyperlink" Target="https://wiki.egi.eu/wiki/Services_and_Tools_Portfolio" TargetMode="External"/><Relationship Id="rId69" Type="http://schemas.openxmlformats.org/officeDocument/2006/relationships/hyperlink" Target="https://documents.egi.eu/document/1618" TargetMode="External"/><Relationship Id="rId77"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40.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iki.egi.eu/wiki/MAN05" TargetMode="External"/><Relationship Id="rId67" Type="http://schemas.openxmlformats.org/officeDocument/2006/relationships/hyperlink" Target="http://repository.egi.eu/category/umd_releases/distribution/umd_1/" TargetMode="External"/><Relationship Id="rId20" Type="http://schemas.openxmlformats.org/officeDocument/2006/relationships/image" Target="media/image8.png"/><Relationship Id="rId41" Type="http://schemas.openxmlformats.org/officeDocument/2006/relationships/image" Target="media/image27.png"/><Relationship Id="rId54" Type="http://schemas.openxmlformats.org/officeDocument/2006/relationships/hyperlink" Target="https://documents.egi.eu/document/1309" TargetMode="External"/><Relationship Id="rId62" Type="http://schemas.openxmlformats.org/officeDocument/2006/relationships/hyperlink" Target="https://documents.egi.eu/document/463" TargetMode="External"/><Relationship Id="rId70" Type="http://schemas.openxmlformats.org/officeDocument/2006/relationships/image" Target="media/image38.png"/><Relationship Id="rId75"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iki.egi.eu/wiki/Availability_and_reliability_monthly_statistics" TargetMode="External"/><Relationship Id="rId49" Type="http://schemas.openxmlformats.org/officeDocument/2006/relationships/image" Target="media/image35.png"/><Relationship Id="rId57" Type="http://schemas.openxmlformats.org/officeDocument/2006/relationships/hyperlink" Target="https://wiki.egi.eu/wiki/Glossar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onfluence.csc.fi/pages/viewpage.action?pageId=28837071" TargetMode="External"/><Relationship Id="rId13" Type="http://schemas.openxmlformats.org/officeDocument/2006/relationships/hyperlink" Target="https://wiki.egi.eu/wiki/SLM_EGI.eu_Service_Levels" TargetMode="External"/><Relationship Id="rId18" Type="http://schemas.openxmlformats.org/officeDocument/2006/relationships/hyperlink" Target="http://www.egi.eu/community/collaborations/MAPPER.html" TargetMode="External"/><Relationship Id="rId26" Type="http://schemas.openxmlformats.org/officeDocument/2006/relationships/hyperlink" Target="https://sites.google.com/a/ige-project.eu/public/downloads/software/releases" TargetMode="External"/><Relationship Id="rId3" Type="http://schemas.openxmlformats.org/officeDocument/2006/relationships/hyperlink" Target="https://wiki.egi.eu/wiki/Software_Retirement_Calendar" TargetMode="External"/><Relationship Id="rId21" Type="http://schemas.openxmlformats.org/officeDocument/2006/relationships/hyperlink" Target="https://wiki.egi.eu/wiki/TCB:Accounting_Task_Force" TargetMode="External"/><Relationship Id="rId34" Type="http://schemas.openxmlformats.org/officeDocument/2006/relationships/hyperlink" Target="http://www.egi.eu/community/resource-providers/index.html" TargetMode="External"/><Relationship Id="rId7" Type="http://schemas.openxmlformats.org/officeDocument/2006/relationships/hyperlink" Target="http://www.eudat.eu/" TargetMode="External"/><Relationship Id="rId12" Type="http://schemas.openxmlformats.org/officeDocument/2006/relationships/hyperlink" Target="https://wiki.egi.eu/wiki/SLM_RP_Service_Levels" TargetMode="External"/><Relationship Id="rId17" Type="http://schemas.openxmlformats.org/officeDocument/2006/relationships/hyperlink" Target="https://wiki.egi.eu/wiki/ROD_performance_index" TargetMode="External"/><Relationship Id="rId25" Type="http://schemas.openxmlformats.org/officeDocument/2006/relationships/hyperlink" Target="http://www.eu-emi.eu/releases" TargetMode="External"/><Relationship Id="rId33" Type="http://schemas.openxmlformats.org/officeDocument/2006/relationships/hyperlink" Target="https://wiki.egi.eu/wiki/DMSU_topics_gridops_meeting" TargetMode="External"/><Relationship Id="rId2" Type="http://schemas.openxmlformats.org/officeDocument/2006/relationships/hyperlink" Target="http://www.eu-emi.eu/" TargetMode="External"/><Relationship Id="rId16" Type="http://schemas.openxmlformats.org/officeDocument/2006/relationships/hyperlink" Target="https://grid-monitoring.egi.eu/myegi" TargetMode="External"/><Relationship Id="rId20" Type="http://schemas.openxmlformats.org/officeDocument/2006/relationships/hyperlink" Target="https://wiki.egi.eu/wiki/GOCDB/services" TargetMode="External"/><Relationship Id="rId29" Type="http://schemas.openxmlformats.org/officeDocument/2006/relationships/hyperlink" Target="https://wiki.egi.eu/wiki/FAQ_GGUS-Waiting-For-PT-Process" TargetMode="External"/><Relationship Id="rId1" Type="http://schemas.openxmlformats.org/officeDocument/2006/relationships/hyperlink" Target="http://operations-portal.egi.eu/vo"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_RC_Service_Levels" TargetMode="External"/><Relationship Id="rId24" Type="http://schemas.openxmlformats.org/officeDocument/2006/relationships/hyperlink" Target="https://wiki.egi.eu/wiki/PROC01" TargetMode="External"/><Relationship Id="rId32" Type="http://schemas.openxmlformats.org/officeDocument/2006/relationships/hyperlink" Target="https://documents.egi.eu/document/1134" TargetMode="External"/><Relationship Id="rId5" Type="http://schemas.openxmlformats.org/officeDocument/2006/relationships/hyperlink" Target="http://www.infinibandta.org/" TargetMode="External"/><Relationship Id="rId15" Type="http://schemas.openxmlformats.org/officeDocument/2006/relationships/hyperlink" Target="https://wiki.egi.eu/wiki/Catch_All_Grid_Core_Services" TargetMode="External"/><Relationship Id="rId23" Type="http://schemas.openxmlformats.org/officeDocument/2006/relationships/hyperlink" Target="https://wiki.egi.eu/wiki/PROC16" TargetMode="External"/><Relationship Id="rId28" Type="http://schemas.openxmlformats.org/officeDocument/2006/relationships/hyperlink" Target="https://wiki.egi.eu/wiki/EGI_Software_Provisioning"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www.egi.eu/community/collaborations/EDGI.html" TargetMode="External"/><Relationship Id="rId31" Type="http://schemas.openxmlformats.org/officeDocument/2006/relationships/hyperlink" Target="https://documents.egi.eu/document/1104" TargetMode="External"/><Relationship Id="rId4" Type="http://schemas.openxmlformats.org/officeDocument/2006/relationships/hyperlink" Target="http://www.myri.com/myrinet/overview/" TargetMode="External"/><Relationship Id="rId9" Type="http://schemas.openxmlformats.org/officeDocument/2006/relationships/hyperlink" Target="http://operations-portal.egi.eu/vo" TargetMode="External"/><Relationship Id="rId14" Type="http://schemas.openxmlformats.org/officeDocument/2006/relationships/hyperlink" Target="https://wiki.egi.eu/wiki/NGI_services_in_GOCDB" TargetMode="External"/><Relationship Id="rId22" Type="http://schemas.openxmlformats.org/officeDocument/2006/relationships/hyperlink" Target="https://sites.google.com/a/ige-project.eu/public/downloads/software/releases/320" TargetMode="External"/><Relationship Id="rId27" Type="http://schemas.openxmlformats.org/officeDocument/2006/relationships/hyperlink" Target="https://midmon.egi.eu/nagios/" TargetMode="External"/><Relationship Id="rId30" Type="http://schemas.openxmlformats.org/officeDocument/2006/relationships/hyperlink" Target="https://twiki.cern.ch/twiki/bin/view/EMI/EmiProductTeam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afs\EGI\2013\DMSU\week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Sheet1!$A$2</c:f>
              <c:strCache>
                <c:ptCount val="1"/>
                <c:pt idx="0">
                  <c:v>assigned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Sheet1!$B$2:$AX$2</c:f>
              <c:numCache>
                <c:formatCode>General</c:formatCode>
                <c:ptCount val="49"/>
                <c:pt idx="0">
                  <c:v>4</c:v>
                </c:pt>
                <c:pt idx="1">
                  <c:v>10</c:v>
                </c:pt>
                <c:pt idx="2">
                  <c:v>21</c:v>
                </c:pt>
                <c:pt idx="3">
                  <c:v>17</c:v>
                </c:pt>
                <c:pt idx="4">
                  <c:v>16</c:v>
                </c:pt>
                <c:pt idx="5">
                  <c:v>14</c:v>
                </c:pt>
                <c:pt idx="6">
                  <c:v>25</c:v>
                </c:pt>
                <c:pt idx="7">
                  <c:v>16</c:v>
                </c:pt>
                <c:pt idx="8">
                  <c:v>17</c:v>
                </c:pt>
                <c:pt idx="9">
                  <c:v>6</c:v>
                </c:pt>
                <c:pt idx="10">
                  <c:v>10</c:v>
                </c:pt>
                <c:pt idx="11">
                  <c:v>7</c:v>
                </c:pt>
                <c:pt idx="12">
                  <c:v>15</c:v>
                </c:pt>
                <c:pt idx="13">
                  <c:v>5</c:v>
                </c:pt>
                <c:pt idx="14">
                  <c:v>8</c:v>
                </c:pt>
                <c:pt idx="15">
                  <c:v>12</c:v>
                </c:pt>
                <c:pt idx="16">
                  <c:v>8</c:v>
                </c:pt>
                <c:pt idx="17">
                  <c:v>15</c:v>
                </c:pt>
                <c:pt idx="18">
                  <c:v>6</c:v>
                </c:pt>
                <c:pt idx="19">
                  <c:v>12</c:v>
                </c:pt>
                <c:pt idx="20">
                  <c:v>8</c:v>
                </c:pt>
                <c:pt idx="21">
                  <c:v>14</c:v>
                </c:pt>
                <c:pt idx="22">
                  <c:v>9</c:v>
                </c:pt>
                <c:pt idx="23">
                  <c:v>17</c:v>
                </c:pt>
                <c:pt idx="24">
                  <c:v>15</c:v>
                </c:pt>
                <c:pt idx="25">
                  <c:v>20</c:v>
                </c:pt>
                <c:pt idx="26">
                  <c:v>13</c:v>
                </c:pt>
                <c:pt idx="27">
                  <c:v>21</c:v>
                </c:pt>
                <c:pt idx="28">
                  <c:v>17</c:v>
                </c:pt>
                <c:pt idx="29">
                  <c:v>26</c:v>
                </c:pt>
                <c:pt idx="30">
                  <c:v>16</c:v>
                </c:pt>
                <c:pt idx="31">
                  <c:v>10</c:v>
                </c:pt>
                <c:pt idx="32">
                  <c:v>6</c:v>
                </c:pt>
                <c:pt idx="33">
                  <c:v>6</c:v>
                </c:pt>
                <c:pt idx="34">
                  <c:v>2</c:v>
                </c:pt>
                <c:pt idx="35">
                  <c:v>0</c:v>
                </c:pt>
                <c:pt idx="36">
                  <c:v>9</c:v>
                </c:pt>
                <c:pt idx="37">
                  <c:v>8</c:v>
                </c:pt>
                <c:pt idx="38">
                  <c:v>15</c:v>
                </c:pt>
                <c:pt idx="39">
                  <c:v>17</c:v>
                </c:pt>
                <c:pt idx="40">
                  <c:v>16</c:v>
                </c:pt>
                <c:pt idx="41">
                  <c:v>11</c:v>
                </c:pt>
                <c:pt idx="42">
                  <c:v>18</c:v>
                </c:pt>
                <c:pt idx="43">
                  <c:v>11</c:v>
                </c:pt>
                <c:pt idx="44">
                  <c:v>6</c:v>
                </c:pt>
                <c:pt idx="45">
                  <c:v>16</c:v>
                </c:pt>
                <c:pt idx="46">
                  <c:v>19</c:v>
                </c:pt>
                <c:pt idx="47">
                  <c:v>21</c:v>
                </c:pt>
                <c:pt idx="48">
                  <c:v>8</c:v>
                </c:pt>
              </c:numCache>
            </c:numRef>
          </c:val>
          <c:smooth val="0"/>
        </c:ser>
        <c:ser>
          <c:idx val="1"/>
          <c:order val="1"/>
          <c:tx>
            <c:strRef>
              <c:f>Sheet1!$A$3</c:f>
              <c:strCache>
                <c:ptCount val="1"/>
                <c:pt idx="0">
                  <c:v>tpm</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Sheet1!$B$3:$AX$3</c:f>
              <c:numCache>
                <c:formatCode>General</c:formatCode>
                <c:ptCount val="49"/>
                <c:pt idx="0">
                  <c:v>0</c:v>
                </c:pt>
                <c:pt idx="1">
                  <c:v>3</c:v>
                </c:pt>
                <c:pt idx="2">
                  <c:v>0</c:v>
                </c:pt>
                <c:pt idx="3">
                  <c:v>2</c:v>
                </c:pt>
                <c:pt idx="4">
                  <c:v>2</c:v>
                </c:pt>
                <c:pt idx="5">
                  <c:v>2</c:v>
                </c:pt>
                <c:pt idx="6">
                  <c:v>5</c:v>
                </c:pt>
                <c:pt idx="7">
                  <c:v>2</c:v>
                </c:pt>
                <c:pt idx="8">
                  <c:v>1</c:v>
                </c:pt>
                <c:pt idx="9">
                  <c:v>1</c:v>
                </c:pt>
                <c:pt idx="10">
                  <c:v>2</c:v>
                </c:pt>
                <c:pt idx="11">
                  <c:v>1</c:v>
                </c:pt>
                <c:pt idx="12">
                  <c:v>1</c:v>
                </c:pt>
                <c:pt idx="13">
                  <c:v>1</c:v>
                </c:pt>
                <c:pt idx="14">
                  <c:v>0</c:v>
                </c:pt>
                <c:pt idx="15">
                  <c:v>0</c:v>
                </c:pt>
                <c:pt idx="16">
                  <c:v>1</c:v>
                </c:pt>
                <c:pt idx="17">
                  <c:v>2</c:v>
                </c:pt>
                <c:pt idx="18">
                  <c:v>1</c:v>
                </c:pt>
                <c:pt idx="19">
                  <c:v>2</c:v>
                </c:pt>
                <c:pt idx="20">
                  <c:v>0</c:v>
                </c:pt>
                <c:pt idx="21">
                  <c:v>0</c:v>
                </c:pt>
                <c:pt idx="22">
                  <c:v>0</c:v>
                </c:pt>
                <c:pt idx="23">
                  <c:v>1</c:v>
                </c:pt>
                <c:pt idx="24">
                  <c:v>0</c:v>
                </c:pt>
                <c:pt idx="25">
                  <c:v>0</c:v>
                </c:pt>
                <c:pt idx="26">
                  <c:v>0</c:v>
                </c:pt>
                <c:pt idx="27">
                  <c:v>1</c:v>
                </c:pt>
                <c:pt idx="28">
                  <c:v>0</c:v>
                </c:pt>
                <c:pt idx="29">
                  <c:v>0</c:v>
                </c:pt>
                <c:pt idx="30">
                  <c:v>0</c:v>
                </c:pt>
                <c:pt idx="31">
                  <c:v>0</c:v>
                </c:pt>
                <c:pt idx="32">
                  <c:v>0</c:v>
                </c:pt>
                <c:pt idx="33">
                  <c:v>1</c:v>
                </c:pt>
                <c:pt idx="34">
                  <c:v>0</c:v>
                </c:pt>
                <c:pt idx="35">
                  <c:v>1</c:v>
                </c:pt>
                <c:pt idx="36">
                  <c:v>0</c:v>
                </c:pt>
                <c:pt idx="37">
                  <c:v>0</c:v>
                </c:pt>
                <c:pt idx="38">
                  <c:v>1</c:v>
                </c:pt>
                <c:pt idx="39">
                  <c:v>2</c:v>
                </c:pt>
                <c:pt idx="40">
                  <c:v>0</c:v>
                </c:pt>
                <c:pt idx="41">
                  <c:v>0</c:v>
                </c:pt>
                <c:pt idx="42">
                  <c:v>1</c:v>
                </c:pt>
                <c:pt idx="43">
                  <c:v>1</c:v>
                </c:pt>
                <c:pt idx="44">
                  <c:v>0</c:v>
                </c:pt>
                <c:pt idx="45">
                  <c:v>0</c:v>
                </c:pt>
                <c:pt idx="46">
                  <c:v>0</c:v>
                </c:pt>
                <c:pt idx="47">
                  <c:v>0</c:v>
                </c:pt>
                <c:pt idx="48">
                  <c:v>0</c:v>
                </c:pt>
              </c:numCache>
            </c:numRef>
          </c:val>
          <c:smooth val="0"/>
        </c:ser>
        <c:ser>
          <c:idx val="2"/>
          <c:order val="2"/>
          <c:tx>
            <c:strRef>
              <c:f>Sheet1!$A$4</c:f>
              <c:strCache>
                <c:ptCount val="1"/>
                <c:pt idx="0">
                  <c:v>3rd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Sheet1!$B$4:$AX$4</c:f>
              <c:numCache>
                <c:formatCode>General</c:formatCode>
                <c:ptCount val="49"/>
                <c:pt idx="0">
                  <c:v>2</c:v>
                </c:pt>
                <c:pt idx="1">
                  <c:v>7</c:v>
                </c:pt>
                <c:pt idx="2">
                  <c:v>16</c:v>
                </c:pt>
                <c:pt idx="3">
                  <c:v>8</c:v>
                </c:pt>
                <c:pt idx="4">
                  <c:v>8</c:v>
                </c:pt>
                <c:pt idx="5">
                  <c:v>14</c:v>
                </c:pt>
                <c:pt idx="6">
                  <c:v>15</c:v>
                </c:pt>
                <c:pt idx="7">
                  <c:v>13</c:v>
                </c:pt>
                <c:pt idx="8">
                  <c:v>13</c:v>
                </c:pt>
                <c:pt idx="9">
                  <c:v>1</c:v>
                </c:pt>
                <c:pt idx="10">
                  <c:v>7</c:v>
                </c:pt>
                <c:pt idx="11">
                  <c:v>4</c:v>
                </c:pt>
                <c:pt idx="12">
                  <c:v>8</c:v>
                </c:pt>
                <c:pt idx="13">
                  <c:v>1</c:v>
                </c:pt>
                <c:pt idx="14">
                  <c:v>4</c:v>
                </c:pt>
                <c:pt idx="15">
                  <c:v>4</c:v>
                </c:pt>
                <c:pt idx="16">
                  <c:v>4</c:v>
                </c:pt>
                <c:pt idx="17">
                  <c:v>9</c:v>
                </c:pt>
                <c:pt idx="18">
                  <c:v>5</c:v>
                </c:pt>
                <c:pt idx="19">
                  <c:v>6</c:v>
                </c:pt>
                <c:pt idx="20">
                  <c:v>5</c:v>
                </c:pt>
                <c:pt idx="21">
                  <c:v>14</c:v>
                </c:pt>
                <c:pt idx="22">
                  <c:v>8</c:v>
                </c:pt>
                <c:pt idx="23">
                  <c:v>12</c:v>
                </c:pt>
                <c:pt idx="24">
                  <c:v>12</c:v>
                </c:pt>
                <c:pt idx="25">
                  <c:v>18</c:v>
                </c:pt>
                <c:pt idx="26">
                  <c:v>6</c:v>
                </c:pt>
                <c:pt idx="27">
                  <c:v>17</c:v>
                </c:pt>
                <c:pt idx="28">
                  <c:v>11</c:v>
                </c:pt>
                <c:pt idx="29">
                  <c:v>23</c:v>
                </c:pt>
                <c:pt idx="30">
                  <c:v>9</c:v>
                </c:pt>
                <c:pt idx="31">
                  <c:v>8</c:v>
                </c:pt>
                <c:pt idx="32">
                  <c:v>6</c:v>
                </c:pt>
                <c:pt idx="33">
                  <c:v>4</c:v>
                </c:pt>
                <c:pt idx="34">
                  <c:v>1</c:v>
                </c:pt>
                <c:pt idx="35">
                  <c:v>0</c:v>
                </c:pt>
                <c:pt idx="36">
                  <c:v>8</c:v>
                </c:pt>
                <c:pt idx="37">
                  <c:v>7</c:v>
                </c:pt>
                <c:pt idx="38">
                  <c:v>6</c:v>
                </c:pt>
                <c:pt idx="39">
                  <c:v>9</c:v>
                </c:pt>
                <c:pt idx="40">
                  <c:v>19</c:v>
                </c:pt>
                <c:pt idx="41">
                  <c:v>5</c:v>
                </c:pt>
                <c:pt idx="42">
                  <c:v>7</c:v>
                </c:pt>
                <c:pt idx="43">
                  <c:v>9</c:v>
                </c:pt>
                <c:pt idx="44">
                  <c:v>2</c:v>
                </c:pt>
                <c:pt idx="45">
                  <c:v>14</c:v>
                </c:pt>
                <c:pt idx="46">
                  <c:v>16</c:v>
                </c:pt>
                <c:pt idx="47">
                  <c:v>16</c:v>
                </c:pt>
                <c:pt idx="48">
                  <c:v>6</c:v>
                </c:pt>
              </c:numCache>
            </c:numRef>
          </c:val>
          <c:smooth val="0"/>
        </c:ser>
        <c:ser>
          <c:idx val="3"/>
          <c:order val="3"/>
          <c:tx>
            <c:strRef>
              <c:f>Sheet1!$A$5</c:f>
              <c:strCache>
                <c:ptCount val="1"/>
                <c:pt idx="0">
                  <c:v>solved</c:v>
                </c:pt>
              </c:strCache>
            </c:strRef>
          </c:tx>
          <c:marker>
            <c:symbol val="none"/>
          </c:marker>
          <c:cat>
            <c:strRef>
              <c:f>Sheet1!$B$1:$AX$1</c:f>
              <c:strCache>
                <c:ptCount val="49"/>
                <c:pt idx="0">
                  <c:v>2012-18</c:v>
                </c:pt>
                <c:pt idx="1">
                  <c:v>2012-19</c:v>
                </c:pt>
                <c:pt idx="2">
                  <c:v>2012-20</c:v>
                </c:pt>
                <c:pt idx="3">
                  <c:v>2012-21</c:v>
                </c:pt>
                <c:pt idx="4">
                  <c:v>2012-22</c:v>
                </c:pt>
                <c:pt idx="5">
                  <c:v>2012-23</c:v>
                </c:pt>
                <c:pt idx="6">
                  <c:v>2012-24</c:v>
                </c:pt>
                <c:pt idx="7">
                  <c:v>2012-25</c:v>
                </c:pt>
                <c:pt idx="8">
                  <c:v>2012-26</c:v>
                </c:pt>
                <c:pt idx="9">
                  <c:v>2012-27</c:v>
                </c:pt>
                <c:pt idx="10">
                  <c:v>2012-28</c:v>
                </c:pt>
                <c:pt idx="11">
                  <c:v>2012-29</c:v>
                </c:pt>
                <c:pt idx="12">
                  <c:v>2012-30</c:v>
                </c:pt>
                <c:pt idx="13">
                  <c:v>2012-31</c:v>
                </c:pt>
                <c:pt idx="14">
                  <c:v>2012-32</c:v>
                </c:pt>
                <c:pt idx="15">
                  <c:v>2012-33</c:v>
                </c:pt>
                <c:pt idx="16">
                  <c:v>2012-34</c:v>
                </c:pt>
                <c:pt idx="17">
                  <c:v>2012-35</c:v>
                </c:pt>
                <c:pt idx="18">
                  <c:v>2012-36</c:v>
                </c:pt>
                <c:pt idx="19">
                  <c:v>2012-37</c:v>
                </c:pt>
                <c:pt idx="20">
                  <c:v>2012-38</c:v>
                </c:pt>
                <c:pt idx="21">
                  <c:v>2012-39</c:v>
                </c:pt>
                <c:pt idx="22">
                  <c:v>2012-40</c:v>
                </c:pt>
                <c:pt idx="23">
                  <c:v>2012-41</c:v>
                </c:pt>
                <c:pt idx="24">
                  <c:v>2012-42</c:v>
                </c:pt>
                <c:pt idx="25">
                  <c:v>2012-43</c:v>
                </c:pt>
                <c:pt idx="26">
                  <c:v>2012-44</c:v>
                </c:pt>
                <c:pt idx="27">
                  <c:v>2012-45</c:v>
                </c:pt>
                <c:pt idx="28">
                  <c:v>2012-46</c:v>
                </c:pt>
                <c:pt idx="29">
                  <c:v>2012-47</c:v>
                </c:pt>
                <c:pt idx="30">
                  <c:v>2012-48</c:v>
                </c:pt>
                <c:pt idx="31">
                  <c:v>2012-49</c:v>
                </c:pt>
                <c:pt idx="32">
                  <c:v>2012-50</c:v>
                </c:pt>
                <c:pt idx="33">
                  <c:v>2012-51</c:v>
                </c:pt>
                <c:pt idx="34">
                  <c:v>2012-52</c:v>
                </c:pt>
                <c:pt idx="35">
                  <c:v>2012-53</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2013-13</c:v>
                </c:pt>
              </c:strCache>
            </c:strRef>
          </c:cat>
          <c:val>
            <c:numRef>
              <c:f>Sheet1!$B$5:$AX$5</c:f>
              <c:numCache>
                <c:formatCode>General</c:formatCode>
                <c:ptCount val="49"/>
                <c:pt idx="0">
                  <c:v>1</c:v>
                </c:pt>
                <c:pt idx="1">
                  <c:v>2</c:v>
                </c:pt>
                <c:pt idx="2">
                  <c:v>3</c:v>
                </c:pt>
                <c:pt idx="3">
                  <c:v>2</c:v>
                </c:pt>
                <c:pt idx="4">
                  <c:v>2</c:v>
                </c:pt>
                <c:pt idx="5">
                  <c:v>7</c:v>
                </c:pt>
                <c:pt idx="6">
                  <c:v>5</c:v>
                </c:pt>
                <c:pt idx="7">
                  <c:v>3</c:v>
                </c:pt>
                <c:pt idx="8">
                  <c:v>2</c:v>
                </c:pt>
                <c:pt idx="9">
                  <c:v>0</c:v>
                </c:pt>
                <c:pt idx="10">
                  <c:v>3</c:v>
                </c:pt>
                <c:pt idx="11">
                  <c:v>6</c:v>
                </c:pt>
                <c:pt idx="12">
                  <c:v>3</c:v>
                </c:pt>
                <c:pt idx="13">
                  <c:v>2</c:v>
                </c:pt>
                <c:pt idx="14">
                  <c:v>4</c:v>
                </c:pt>
                <c:pt idx="15">
                  <c:v>0</c:v>
                </c:pt>
                <c:pt idx="16">
                  <c:v>1</c:v>
                </c:pt>
                <c:pt idx="17">
                  <c:v>4</c:v>
                </c:pt>
                <c:pt idx="18">
                  <c:v>5</c:v>
                </c:pt>
                <c:pt idx="19">
                  <c:v>4</c:v>
                </c:pt>
                <c:pt idx="20">
                  <c:v>0</c:v>
                </c:pt>
                <c:pt idx="21">
                  <c:v>12</c:v>
                </c:pt>
                <c:pt idx="22">
                  <c:v>4</c:v>
                </c:pt>
                <c:pt idx="23">
                  <c:v>5</c:v>
                </c:pt>
                <c:pt idx="24">
                  <c:v>3</c:v>
                </c:pt>
                <c:pt idx="25">
                  <c:v>1</c:v>
                </c:pt>
                <c:pt idx="26">
                  <c:v>5</c:v>
                </c:pt>
                <c:pt idx="27">
                  <c:v>3</c:v>
                </c:pt>
                <c:pt idx="28">
                  <c:v>3</c:v>
                </c:pt>
                <c:pt idx="29">
                  <c:v>9</c:v>
                </c:pt>
                <c:pt idx="30">
                  <c:v>10</c:v>
                </c:pt>
                <c:pt idx="31">
                  <c:v>1</c:v>
                </c:pt>
                <c:pt idx="32">
                  <c:v>3</c:v>
                </c:pt>
                <c:pt idx="33">
                  <c:v>2</c:v>
                </c:pt>
                <c:pt idx="34">
                  <c:v>0</c:v>
                </c:pt>
                <c:pt idx="35">
                  <c:v>0</c:v>
                </c:pt>
                <c:pt idx="36">
                  <c:v>0</c:v>
                </c:pt>
                <c:pt idx="37">
                  <c:v>6</c:v>
                </c:pt>
                <c:pt idx="38">
                  <c:v>7</c:v>
                </c:pt>
                <c:pt idx="39">
                  <c:v>1</c:v>
                </c:pt>
                <c:pt idx="40">
                  <c:v>7</c:v>
                </c:pt>
                <c:pt idx="41">
                  <c:v>5</c:v>
                </c:pt>
                <c:pt idx="42">
                  <c:v>9</c:v>
                </c:pt>
                <c:pt idx="43">
                  <c:v>3</c:v>
                </c:pt>
                <c:pt idx="44">
                  <c:v>2</c:v>
                </c:pt>
                <c:pt idx="45">
                  <c:v>2</c:v>
                </c:pt>
                <c:pt idx="46">
                  <c:v>4</c:v>
                </c:pt>
                <c:pt idx="47">
                  <c:v>5</c:v>
                </c:pt>
                <c:pt idx="48">
                  <c:v>1</c:v>
                </c:pt>
              </c:numCache>
            </c:numRef>
          </c:val>
          <c:smooth val="0"/>
        </c:ser>
        <c:dLbls>
          <c:showLegendKey val="0"/>
          <c:showVal val="0"/>
          <c:showCatName val="0"/>
          <c:showSerName val="0"/>
          <c:showPercent val="0"/>
          <c:showBubbleSize val="0"/>
        </c:dLbls>
        <c:marker val="1"/>
        <c:smooth val="0"/>
        <c:axId val="123364864"/>
        <c:axId val="123366400"/>
      </c:lineChart>
      <c:catAx>
        <c:axId val="123364864"/>
        <c:scaling>
          <c:orientation val="minMax"/>
        </c:scaling>
        <c:delete val="0"/>
        <c:axPos val="b"/>
        <c:majorTickMark val="out"/>
        <c:minorTickMark val="none"/>
        <c:tickLblPos val="nextTo"/>
        <c:crossAx val="123366400"/>
        <c:crosses val="autoZero"/>
        <c:auto val="1"/>
        <c:lblAlgn val="ctr"/>
        <c:lblOffset val="100"/>
        <c:noMultiLvlLbl val="0"/>
      </c:catAx>
      <c:valAx>
        <c:axId val="123366400"/>
        <c:scaling>
          <c:orientation val="minMax"/>
        </c:scaling>
        <c:delete val="0"/>
        <c:axPos val="l"/>
        <c:majorGridlines/>
        <c:numFmt formatCode="General" sourceLinked="1"/>
        <c:majorTickMark val="out"/>
        <c:minorTickMark val="none"/>
        <c:tickLblPos val="nextTo"/>
        <c:crossAx val="12336486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0A6AB-6C75-4CFC-815E-78A7FA3E4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63</Pages>
  <Words>14238</Words>
  <Characters>81158</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95206</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39</cp:revision>
  <cp:lastPrinted>2013-04-25T12:53:00Z</cp:lastPrinted>
  <dcterms:created xsi:type="dcterms:W3CDTF">2013-05-07T10:48:00Z</dcterms:created>
  <dcterms:modified xsi:type="dcterms:W3CDTF">2013-05-07T20:52:00Z</dcterms:modified>
</cp:coreProperties>
</file>