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5929C" w14:textId="77777777" w:rsidR="00207D16" w:rsidRPr="002B1814" w:rsidRDefault="00207D16">
      <w:pPr>
        <w:rPr>
          <w:rFonts w:ascii="Calibri" w:hAnsi="Calibri" w:cs="Calibri"/>
        </w:rPr>
      </w:pPr>
    </w:p>
    <w:p w14:paraId="15264856" w14:textId="77777777" w:rsidR="00207D16" w:rsidRPr="002B1814" w:rsidRDefault="00207D16" w:rsidP="00207D16">
      <w:pPr>
        <w:rPr>
          <w:rFonts w:ascii="Calibri" w:hAnsi="Calibri" w:cs="Calibri"/>
        </w:rPr>
      </w:pPr>
    </w:p>
    <w:p w14:paraId="78B1D7AA" w14:textId="77777777" w:rsidR="00207D16" w:rsidRPr="002B1814" w:rsidRDefault="00207D16" w:rsidP="00207D16">
      <w:pPr>
        <w:rPr>
          <w:rFonts w:ascii="Calibri" w:hAnsi="Calibri" w:cs="Calibri"/>
        </w:rPr>
      </w:pPr>
    </w:p>
    <w:p w14:paraId="59AB9F73" w14:textId="77777777" w:rsidR="00207D16" w:rsidRPr="002B1814" w:rsidRDefault="00207D16" w:rsidP="00141B22">
      <w:pPr>
        <w:tabs>
          <w:tab w:val="left" w:pos="431"/>
          <w:tab w:val="left" w:pos="573"/>
        </w:tabs>
        <w:spacing w:line="240" w:lineRule="atLeast"/>
        <w:jc w:val="center"/>
        <w:outlineLvl w:val="0"/>
        <w:rPr>
          <w:rFonts w:ascii="Calibri" w:hAnsi="Calibri" w:cs="Calibri"/>
          <w:b/>
          <w:color w:val="000080"/>
          <w:spacing w:val="80"/>
          <w:sz w:val="60"/>
        </w:rPr>
      </w:pPr>
      <w:r w:rsidRPr="002B1814">
        <w:rPr>
          <w:rFonts w:ascii="Calibri" w:hAnsi="Calibri" w:cs="Calibri"/>
          <w:b/>
          <w:color w:val="000080"/>
          <w:spacing w:val="80"/>
          <w:sz w:val="60"/>
        </w:rPr>
        <w:t>EGI-InSPIRE</w:t>
      </w:r>
    </w:p>
    <w:p w14:paraId="2810E103" w14:textId="77777777" w:rsidR="00207D16" w:rsidRPr="002B1814" w:rsidRDefault="00207D16" w:rsidP="00207D16">
      <w:pPr>
        <w:rPr>
          <w:rFonts w:ascii="Calibri" w:hAnsi="Calibri" w:cs="Calibri"/>
        </w:rPr>
      </w:pPr>
    </w:p>
    <w:p w14:paraId="2A94E896" w14:textId="77777777" w:rsidR="00207D16" w:rsidRPr="002B1814" w:rsidRDefault="00207D16" w:rsidP="00207D16">
      <w:pPr>
        <w:rPr>
          <w:rFonts w:ascii="Calibri" w:hAnsi="Calibri" w:cs="Calibri"/>
        </w:rPr>
      </w:pPr>
    </w:p>
    <w:p w14:paraId="2DAB9AAF" w14:textId="77777777" w:rsidR="00207D16" w:rsidRPr="002B1814" w:rsidRDefault="001E683E" w:rsidP="00141B22">
      <w:pPr>
        <w:pStyle w:val="DocTitle"/>
        <w:tabs>
          <w:tab w:val="center" w:pos="4536"/>
          <w:tab w:val="left" w:pos="7845"/>
        </w:tabs>
        <w:outlineLvl w:val="0"/>
        <w:rPr>
          <w:rFonts w:ascii="Calibri" w:hAnsi="Calibri" w:cs="Calibri"/>
          <w:color w:val="000000"/>
        </w:rPr>
      </w:pPr>
      <w:r>
        <w:rPr>
          <w:rFonts w:ascii="Calibri" w:hAnsi="Calibri" w:cs="Calibri"/>
          <w:color w:val="000000"/>
        </w:rPr>
        <w:t>Annual Report on quality status</w:t>
      </w:r>
    </w:p>
    <w:p w14:paraId="2B59FD66" w14:textId="77777777" w:rsidR="00207D16" w:rsidRPr="002B1814" w:rsidRDefault="00207D16" w:rsidP="00207D16">
      <w:pPr>
        <w:rPr>
          <w:rFonts w:ascii="Calibri" w:hAnsi="Calibri" w:cs="Calibri"/>
        </w:rPr>
      </w:pPr>
    </w:p>
    <w:p w14:paraId="365AF305" w14:textId="77777777" w:rsidR="00207D16" w:rsidRPr="002B1814" w:rsidRDefault="00207D16" w:rsidP="00207D16">
      <w:pPr>
        <w:rPr>
          <w:rFonts w:ascii="Calibri" w:hAnsi="Calibri" w:cs="Calibri"/>
        </w:rPr>
      </w:pPr>
    </w:p>
    <w:p w14:paraId="5A29CCCC" w14:textId="7D1F8AE7" w:rsidR="00207D16" w:rsidRPr="002B1814" w:rsidRDefault="00207D16" w:rsidP="00141B22">
      <w:pPr>
        <w:tabs>
          <w:tab w:val="left" w:pos="431"/>
          <w:tab w:val="left" w:pos="573"/>
        </w:tabs>
        <w:spacing w:line="240" w:lineRule="atLeast"/>
        <w:jc w:val="center"/>
        <w:outlineLvl w:val="0"/>
        <w:rPr>
          <w:rFonts w:ascii="Calibri" w:hAnsi="Calibri" w:cs="Calibri"/>
        </w:rPr>
      </w:pPr>
      <w:r w:rsidRPr="002B1814">
        <w:rPr>
          <w:rFonts w:ascii="Calibri" w:hAnsi="Calibri" w:cs="Calibri"/>
          <w:b/>
          <w:bCs/>
          <w:sz w:val="32"/>
        </w:rPr>
        <w:t xml:space="preserve">EU DELIVERABLE: </w:t>
      </w:r>
      <w:r w:rsidR="001E683E">
        <w:rPr>
          <w:rFonts w:ascii="Calibri" w:hAnsi="Calibri" w:cs="Calibri"/>
          <w:b/>
          <w:bCs/>
          <w:sz w:val="32"/>
        </w:rPr>
        <w:t>D1.</w:t>
      </w:r>
      <w:r w:rsidR="007408FE">
        <w:rPr>
          <w:rFonts w:ascii="Calibri" w:hAnsi="Calibri" w:cs="Calibri"/>
          <w:b/>
          <w:bCs/>
          <w:sz w:val="32"/>
        </w:rPr>
        <w:t>1</w:t>
      </w:r>
      <w:r w:rsidR="00616451">
        <w:rPr>
          <w:rFonts w:ascii="Calibri" w:hAnsi="Calibri" w:cs="Calibri"/>
          <w:b/>
          <w:bCs/>
          <w:sz w:val="32"/>
        </w:rPr>
        <w:t>5</w:t>
      </w:r>
    </w:p>
    <w:p w14:paraId="10A2A0FA" w14:textId="77777777" w:rsidR="00207D16" w:rsidRPr="002B1814" w:rsidRDefault="00207D16" w:rsidP="00207D16">
      <w:pPr>
        <w:rPr>
          <w:rFonts w:ascii="Calibri" w:hAnsi="Calibri" w:cs="Calibri"/>
          <w:i/>
        </w:rPr>
      </w:pPr>
    </w:p>
    <w:p w14:paraId="4A065BC1" w14:textId="77777777"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14:paraId="7F710E7A" w14:textId="77777777">
        <w:trPr>
          <w:cantSplit/>
          <w:jc w:val="center"/>
        </w:trPr>
        <w:tc>
          <w:tcPr>
            <w:tcW w:w="2551" w:type="dxa"/>
            <w:tcBorders>
              <w:top w:val="single" w:sz="24" w:space="0" w:color="000080"/>
            </w:tcBorders>
            <w:vAlign w:val="center"/>
          </w:tcPr>
          <w:p w14:paraId="70FAD925"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62695F12" w14:textId="77777777" w:rsidR="00207D16" w:rsidRPr="002B1814" w:rsidRDefault="00660750">
            <w:pPr>
              <w:spacing w:before="120" w:after="120"/>
              <w:jc w:val="left"/>
              <w:rPr>
                <w:rStyle w:val="DocId"/>
                <w:rFonts w:ascii="Calibri" w:hAnsi="Calibri" w:cs="Calibri"/>
              </w:rPr>
            </w:pPr>
            <w:r>
              <w:fldChar w:fldCharType="begin"/>
            </w:r>
            <w:r>
              <w:instrText xml:space="preserve"> FILENAME  \* MERGEFORMAT </w:instrText>
            </w:r>
            <w:r>
              <w:fldChar w:fldCharType="separate"/>
            </w:r>
            <w:r w:rsidR="00896804" w:rsidRPr="00896804">
              <w:rPr>
                <w:rStyle w:val="DocId"/>
                <w:rFonts w:cs="Calibri"/>
                <w:noProof/>
              </w:rPr>
              <w:t>EGI-InSPIRE-D1.15-final.docx</w:t>
            </w:r>
            <w:r>
              <w:rPr>
                <w:rStyle w:val="DocId"/>
                <w:rFonts w:cs="Calibri"/>
                <w:noProof/>
              </w:rPr>
              <w:fldChar w:fldCharType="end"/>
            </w:r>
          </w:p>
        </w:tc>
      </w:tr>
      <w:tr w:rsidR="00207D16" w:rsidRPr="002B1814" w14:paraId="38CB4DCE" w14:textId="77777777">
        <w:trPr>
          <w:cantSplit/>
          <w:jc w:val="center"/>
        </w:trPr>
        <w:tc>
          <w:tcPr>
            <w:tcW w:w="2551" w:type="dxa"/>
            <w:vAlign w:val="center"/>
          </w:tcPr>
          <w:p w14:paraId="2F454F77"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11064680" w14:textId="1CB8348B" w:rsidR="00207D16" w:rsidRPr="002B1814" w:rsidRDefault="000858A8">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896804">
              <w:rPr>
                <w:rFonts w:ascii="Calibri" w:hAnsi="Calibri" w:cs="Calibri"/>
              </w:rPr>
              <w:t>19/06/2014</w:t>
            </w:r>
            <w:r w:rsidRPr="002B1814">
              <w:rPr>
                <w:rFonts w:ascii="Calibri" w:hAnsi="Calibri" w:cs="Calibri"/>
              </w:rPr>
              <w:fldChar w:fldCharType="end"/>
            </w:r>
          </w:p>
        </w:tc>
      </w:tr>
      <w:tr w:rsidR="00207D16" w:rsidRPr="002B1814" w14:paraId="0C0A059B" w14:textId="77777777">
        <w:trPr>
          <w:cantSplit/>
          <w:jc w:val="center"/>
        </w:trPr>
        <w:tc>
          <w:tcPr>
            <w:tcW w:w="2551" w:type="dxa"/>
            <w:vAlign w:val="center"/>
          </w:tcPr>
          <w:p w14:paraId="6A749F3E"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14:paraId="170DEB56" w14:textId="77777777" w:rsidR="00207D16" w:rsidRPr="002B1814" w:rsidRDefault="00BA41AE" w:rsidP="00207D16">
            <w:pPr>
              <w:spacing w:before="120" w:after="120"/>
              <w:jc w:val="left"/>
              <w:rPr>
                <w:rFonts w:ascii="Calibri" w:hAnsi="Calibri" w:cs="Calibri"/>
                <w:b/>
                <w:highlight w:val="yellow"/>
              </w:rPr>
            </w:pPr>
            <w:r w:rsidRPr="00BA41AE">
              <w:rPr>
                <w:rFonts w:ascii="Calibri" w:hAnsi="Calibri" w:cs="Calibri"/>
                <w:b/>
              </w:rPr>
              <w:t>NA1</w:t>
            </w:r>
          </w:p>
        </w:tc>
      </w:tr>
      <w:tr w:rsidR="00207D16" w:rsidRPr="002B1814" w14:paraId="3C313341" w14:textId="77777777">
        <w:trPr>
          <w:cantSplit/>
          <w:jc w:val="center"/>
        </w:trPr>
        <w:tc>
          <w:tcPr>
            <w:tcW w:w="2551" w:type="dxa"/>
            <w:vAlign w:val="center"/>
          </w:tcPr>
          <w:p w14:paraId="7785CA18"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62A70329" w14:textId="77777777" w:rsidR="00207D16" w:rsidRPr="001E683E" w:rsidRDefault="00207D16">
            <w:pPr>
              <w:spacing w:before="120" w:after="120"/>
              <w:jc w:val="left"/>
              <w:rPr>
                <w:rFonts w:ascii="Calibri" w:hAnsi="Calibri" w:cs="Calibri"/>
                <w:b/>
              </w:rPr>
            </w:pPr>
            <w:r w:rsidRPr="001E683E">
              <w:rPr>
                <w:rFonts w:ascii="Calibri" w:hAnsi="Calibri" w:cs="Calibri"/>
                <w:b/>
              </w:rPr>
              <w:t>EGI.eu</w:t>
            </w:r>
          </w:p>
        </w:tc>
      </w:tr>
      <w:tr w:rsidR="00207D16" w:rsidRPr="002B1814" w14:paraId="2984F82A" w14:textId="77777777">
        <w:trPr>
          <w:cantSplit/>
          <w:jc w:val="center"/>
        </w:trPr>
        <w:tc>
          <w:tcPr>
            <w:tcW w:w="2551" w:type="dxa"/>
            <w:vAlign w:val="center"/>
          </w:tcPr>
          <w:p w14:paraId="46882C04"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710D6267" w14:textId="007DB31A" w:rsidR="00207D16" w:rsidRPr="001E683E" w:rsidRDefault="00616451">
            <w:pPr>
              <w:spacing w:before="120" w:after="120"/>
              <w:jc w:val="left"/>
              <w:rPr>
                <w:rFonts w:ascii="Calibri" w:hAnsi="Calibri" w:cs="Calibri"/>
                <w:b/>
              </w:rPr>
            </w:pPr>
            <w:r>
              <w:rPr>
                <w:rFonts w:ascii="Calibri" w:hAnsi="Calibri" w:cs="Calibri"/>
                <w:b/>
              </w:rPr>
              <w:t>FINAL</w:t>
            </w:r>
          </w:p>
        </w:tc>
      </w:tr>
      <w:tr w:rsidR="00207D16" w:rsidRPr="002B1814" w14:paraId="536F7864" w14:textId="77777777">
        <w:trPr>
          <w:cantSplit/>
          <w:jc w:val="center"/>
        </w:trPr>
        <w:tc>
          <w:tcPr>
            <w:tcW w:w="2551" w:type="dxa"/>
            <w:vAlign w:val="center"/>
          </w:tcPr>
          <w:p w14:paraId="6D3128B7"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11F3DCEF" w14:textId="77777777" w:rsidR="00207D16" w:rsidRPr="001E683E" w:rsidRDefault="00207D16">
            <w:pPr>
              <w:spacing w:before="120" w:after="120"/>
              <w:jc w:val="left"/>
              <w:rPr>
                <w:rFonts w:ascii="Calibri" w:hAnsi="Calibri" w:cs="Calibri"/>
                <w:b/>
              </w:rPr>
            </w:pPr>
            <w:r w:rsidRPr="001E683E">
              <w:rPr>
                <w:rFonts w:ascii="Calibri" w:hAnsi="Calibri" w:cs="Calibri"/>
                <w:b/>
              </w:rPr>
              <w:t>PUBLIC</w:t>
            </w:r>
          </w:p>
        </w:tc>
      </w:tr>
      <w:tr w:rsidR="00207D16" w:rsidRPr="002B1814" w14:paraId="16BF6B15" w14:textId="77777777">
        <w:trPr>
          <w:cantSplit/>
          <w:jc w:val="center"/>
        </w:trPr>
        <w:tc>
          <w:tcPr>
            <w:tcW w:w="2551" w:type="dxa"/>
            <w:tcBorders>
              <w:bottom w:val="single" w:sz="24" w:space="0" w:color="000080"/>
            </w:tcBorders>
            <w:vAlign w:val="center"/>
          </w:tcPr>
          <w:p w14:paraId="766A7DAD"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6E643E85" w14:textId="4B7262E0" w:rsidR="00207D16" w:rsidRPr="001E683E" w:rsidRDefault="00207D16">
            <w:pPr>
              <w:spacing w:before="120" w:after="120"/>
              <w:jc w:val="left"/>
              <w:rPr>
                <w:rFonts w:ascii="Calibri" w:hAnsi="Calibri" w:cs="Calibri"/>
                <w:sz w:val="20"/>
              </w:rPr>
            </w:pPr>
            <w:r w:rsidRPr="001E683E">
              <w:rPr>
                <w:rFonts w:ascii="Calibri" w:hAnsi="Calibri" w:cs="Calibri"/>
                <w:sz w:val="20"/>
              </w:rPr>
              <w:t>https://documents.egi.eu/document/</w:t>
            </w:r>
            <w:r w:rsidR="00616451">
              <w:rPr>
                <w:rFonts w:ascii="Calibri" w:hAnsi="Calibri" w:cs="Calibri"/>
                <w:sz w:val="20"/>
              </w:rPr>
              <w:t>xxx</w:t>
            </w:r>
          </w:p>
        </w:tc>
      </w:tr>
    </w:tbl>
    <w:p w14:paraId="487BB45C"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45C641FD" w14:textId="77777777">
        <w:trPr>
          <w:cantSplit/>
        </w:trPr>
        <w:tc>
          <w:tcPr>
            <w:tcW w:w="9072" w:type="dxa"/>
          </w:tcPr>
          <w:p w14:paraId="4CC2FBF2"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6F485A8A" w14:textId="0926BAA2" w:rsidR="00207D16" w:rsidRPr="002B1814" w:rsidRDefault="001E683E" w:rsidP="00616451">
            <w:pPr>
              <w:rPr>
                <w:rFonts w:ascii="Calibri" w:hAnsi="Calibri" w:cs="Calibri"/>
              </w:rPr>
            </w:pPr>
            <w:r w:rsidRPr="001E683E">
              <w:rPr>
                <w:rFonts w:ascii="Calibri" w:hAnsi="Calibri" w:cs="Calibri"/>
              </w:rPr>
              <w:t xml:space="preserve">This document reports on the implementation of the EGI-InSPIRE quality assurance plan during the </w:t>
            </w:r>
            <w:r w:rsidR="00616451">
              <w:rPr>
                <w:rFonts w:ascii="Calibri" w:hAnsi="Calibri" w:cs="Calibri"/>
              </w:rPr>
              <w:t>fourth</w:t>
            </w:r>
            <w:r w:rsidR="007408FE" w:rsidRPr="001E683E">
              <w:rPr>
                <w:rFonts w:ascii="Calibri" w:hAnsi="Calibri" w:cs="Calibri"/>
              </w:rPr>
              <w:t xml:space="preserve"> </w:t>
            </w:r>
            <w:r w:rsidRPr="001E683E">
              <w:rPr>
                <w:rFonts w:ascii="Calibri" w:hAnsi="Calibri" w:cs="Calibri"/>
              </w:rPr>
              <w:t>year of the project. It reviews the main quality assurance mechanisms foreseen in the quality plan, analyses results and proposes some improvements for the next period.</w:t>
            </w:r>
          </w:p>
        </w:tc>
      </w:tr>
    </w:tbl>
    <w:p w14:paraId="61DE6970" w14:textId="77777777" w:rsidR="00207D16" w:rsidRPr="002B1814" w:rsidRDefault="00207D16" w:rsidP="00207D16">
      <w:pPr>
        <w:rPr>
          <w:rFonts w:ascii="Calibri" w:hAnsi="Calibri" w:cs="Calibri"/>
        </w:rPr>
      </w:pPr>
    </w:p>
    <w:p w14:paraId="2C7FE86C" w14:textId="77777777" w:rsidR="00207D16" w:rsidRPr="002B1814" w:rsidRDefault="00207D16" w:rsidP="00141B22">
      <w:pPr>
        <w:pStyle w:val="Preface"/>
        <w:outlineLvl w:val="0"/>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42043EF1" w14:textId="77777777" w:rsidR="00207D16" w:rsidRPr="002B1814" w:rsidRDefault="00207D16" w:rsidP="00207D16">
      <w:pPr>
        <w:rPr>
          <w:rFonts w:ascii="Calibri" w:hAnsi="Calibri" w:cs="Calibri"/>
        </w:rPr>
      </w:pPr>
      <w:r w:rsidRPr="002B1814">
        <w:rPr>
          <w:rFonts w:ascii="Calibri" w:hAnsi="Calibri" w:cs="Calibri"/>
        </w:rPr>
        <w:t>Copyright © Members of the EGI-InSPIRE Collaboration, 201</w:t>
      </w:r>
      <w:r w:rsidR="009B5CED">
        <w:rPr>
          <w:rFonts w:ascii="Calibri" w:hAnsi="Calibri" w:cs="Calibri"/>
        </w:rPr>
        <w:t>2</w:t>
      </w:r>
      <w:r w:rsidRPr="002B1814">
        <w:rPr>
          <w:rFonts w:ascii="Calibri" w:hAnsi="Calibri" w:cs="Calibri"/>
        </w:rPr>
        <w:t>.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w:t>
      </w:r>
      <w:r w:rsidR="009B5CED">
        <w:rPr>
          <w:rFonts w:ascii="Calibri" w:hAnsi="Calibri" w:cs="Calibri"/>
        </w:rPr>
        <w:t>2</w:t>
      </w:r>
      <w:r w:rsidRPr="002B1814">
        <w:rPr>
          <w:rFonts w:ascii="Calibri" w:hAnsi="Calibri" w:cs="Calibri"/>
        </w:rPr>
        <w:t xml:space="preserve">. See www.egi.eu for details of the EGI-InSPIRE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37EF76DF"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65EC91A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8B02240"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181ED7E8"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724D8D0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42977FB"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0FD6D31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F9C99B8"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310C0E20" w14:textId="2F5B50DC" w:rsidR="007F12F8" w:rsidRPr="002B1814" w:rsidRDefault="00616451" w:rsidP="00207D16">
            <w:pPr>
              <w:spacing w:before="60" w:after="60"/>
              <w:rPr>
                <w:rFonts w:ascii="Calibri" w:hAnsi="Calibri" w:cs="Calibri"/>
              </w:rPr>
            </w:pPr>
            <w:proofErr w:type="spellStart"/>
            <w:r>
              <w:rPr>
                <w:rFonts w:ascii="Calibri" w:hAnsi="Calibri" w:cs="Calibri"/>
              </w:rPr>
              <w:t>Tiziana</w:t>
            </w:r>
            <w:proofErr w:type="spellEnd"/>
            <w:r>
              <w:rPr>
                <w:rFonts w:ascii="Calibri" w:hAnsi="Calibri" w:cs="Calibri"/>
              </w:rPr>
              <w:t xml:space="preserve"> Ferrari</w:t>
            </w:r>
          </w:p>
        </w:tc>
        <w:tc>
          <w:tcPr>
            <w:tcW w:w="1834" w:type="dxa"/>
            <w:tcBorders>
              <w:top w:val="nil"/>
              <w:left w:val="single" w:sz="2" w:space="0" w:color="auto"/>
              <w:bottom w:val="single" w:sz="2" w:space="0" w:color="auto"/>
              <w:right w:val="single" w:sz="4" w:space="0" w:color="auto"/>
            </w:tcBorders>
            <w:vAlign w:val="center"/>
          </w:tcPr>
          <w:p w14:paraId="65BC44FA" w14:textId="0DDF26D0" w:rsidR="007F12F8" w:rsidRPr="002B1814" w:rsidRDefault="00616451" w:rsidP="00207D16">
            <w:pPr>
              <w:spacing w:before="60" w:after="60"/>
              <w:rPr>
                <w:rFonts w:ascii="Calibri" w:hAnsi="Calibri" w:cs="Calibri"/>
              </w:rPr>
            </w:pPr>
            <w:r>
              <w:rPr>
                <w:rFonts w:ascii="Calibri" w:hAnsi="Calibri" w:cs="Calibri"/>
              </w:rPr>
              <w:t>EGI.eu/NA1</w:t>
            </w:r>
            <w:r w:rsidR="007F12F8">
              <w:rPr>
                <w:rFonts w:ascii="Calibri" w:hAnsi="Calibri" w:cs="Calibri"/>
              </w:rPr>
              <w:t xml:space="preserve"> </w:t>
            </w:r>
          </w:p>
        </w:tc>
        <w:tc>
          <w:tcPr>
            <w:tcW w:w="2016" w:type="dxa"/>
            <w:tcBorders>
              <w:top w:val="nil"/>
              <w:left w:val="single" w:sz="4" w:space="0" w:color="auto"/>
              <w:bottom w:val="single" w:sz="2" w:space="0" w:color="auto"/>
              <w:right w:val="single" w:sz="2" w:space="0" w:color="auto"/>
            </w:tcBorders>
            <w:vAlign w:val="center"/>
          </w:tcPr>
          <w:p w14:paraId="02AF081C" w14:textId="44E0AC70" w:rsidR="00207D16" w:rsidRPr="002B1814" w:rsidRDefault="00616451" w:rsidP="00207D16">
            <w:pPr>
              <w:spacing w:before="60" w:after="60"/>
              <w:rPr>
                <w:rFonts w:ascii="Calibri" w:hAnsi="Calibri" w:cs="Calibri"/>
              </w:rPr>
            </w:pPr>
            <w:r>
              <w:rPr>
                <w:rFonts w:ascii="Calibri" w:hAnsi="Calibri" w:cs="Calibri"/>
              </w:rPr>
              <w:t>10-06-2014</w:t>
            </w:r>
          </w:p>
        </w:tc>
      </w:tr>
      <w:tr w:rsidR="00207D16" w:rsidRPr="002B1814" w14:paraId="26BA0B2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6BC207C"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3A36FCD4"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p w14:paraId="6A8E2B4D" w14:textId="77777777"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B202474"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B235D2B" w14:textId="7A442B56" w:rsidR="00207D16" w:rsidRPr="002B1814" w:rsidRDefault="00616451" w:rsidP="00207D16">
            <w:pPr>
              <w:spacing w:before="60" w:after="60"/>
              <w:rPr>
                <w:rFonts w:ascii="Calibri" w:hAnsi="Calibri" w:cs="Calibri"/>
              </w:rPr>
            </w:pPr>
            <w:r>
              <w:rPr>
                <w:rFonts w:ascii="Calibri" w:hAnsi="Calibri" w:cs="Calibri"/>
              </w:rPr>
              <w:t>18-06-2014</w:t>
            </w:r>
          </w:p>
        </w:tc>
      </w:tr>
    </w:tbl>
    <w:p w14:paraId="4A4B5493"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2FDFD49E"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6F8711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4416F8C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40522B47"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2B5325DA"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0956C711"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8EC829F"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645BE3B4" w14:textId="243F7C9A" w:rsidR="00207D16" w:rsidRPr="00A21B1E" w:rsidRDefault="00616451" w:rsidP="00207D16">
            <w:pPr>
              <w:pStyle w:val="Header"/>
              <w:spacing w:before="0" w:after="0"/>
              <w:rPr>
                <w:rFonts w:ascii="Calibri" w:hAnsi="Calibri" w:cs="Calibri"/>
              </w:rPr>
            </w:pPr>
            <w:r>
              <w:rPr>
                <w:rFonts w:ascii="Calibri" w:hAnsi="Calibri" w:cs="Calibri"/>
              </w:rPr>
              <w:t>10-06-2014</w:t>
            </w:r>
          </w:p>
        </w:tc>
        <w:tc>
          <w:tcPr>
            <w:tcW w:w="4001" w:type="dxa"/>
            <w:tcBorders>
              <w:top w:val="nil"/>
              <w:left w:val="single" w:sz="2" w:space="0" w:color="auto"/>
              <w:bottom w:val="single" w:sz="2" w:space="0" w:color="auto"/>
              <w:right w:val="single" w:sz="2" w:space="0" w:color="auto"/>
            </w:tcBorders>
            <w:vAlign w:val="center"/>
          </w:tcPr>
          <w:p w14:paraId="343B5758" w14:textId="329BEB40" w:rsidR="00207D16" w:rsidRPr="00A21B1E" w:rsidRDefault="00616451" w:rsidP="00207D16">
            <w:pPr>
              <w:pStyle w:val="Header"/>
              <w:spacing w:before="0" w:after="0"/>
              <w:jc w:val="left"/>
              <w:rPr>
                <w:rFonts w:ascii="Calibri" w:hAnsi="Calibri" w:cs="Calibri"/>
              </w:rPr>
            </w:pPr>
            <w:r>
              <w:rPr>
                <w:rFonts w:ascii="Calibri" w:hAnsi="Calibri" w:cs="Calibri"/>
              </w:rPr>
              <w:t>First draft and collection of input from activity managers</w:t>
            </w:r>
          </w:p>
        </w:tc>
        <w:tc>
          <w:tcPr>
            <w:tcW w:w="2551" w:type="dxa"/>
            <w:tcBorders>
              <w:top w:val="nil"/>
              <w:left w:val="single" w:sz="2" w:space="0" w:color="auto"/>
              <w:bottom w:val="single" w:sz="2" w:space="0" w:color="auto"/>
              <w:right w:val="single" w:sz="4" w:space="0" w:color="auto"/>
            </w:tcBorders>
            <w:vAlign w:val="center"/>
          </w:tcPr>
          <w:p w14:paraId="63929479" w14:textId="229CBEC8" w:rsidR="00207D16" w:rsidRPr="00A21B1E" w:rsidRDefault="00616451" w:rsidP="00207D16">
            <w:pPr>
              <w:pStyle w:val="Header"/>
              <w:spacing w:before="0" w:after="0"/>
              <w:jc w:val="left"/>
              <w:rPr>
                <w:rFonts w:ascii="Calibri" w:hAnsi="Calibri" w:cs="Calibri"/>
              </w:rPr>
            </w:pPr>
            <w:r>
              <w:rPr>
                <w:rFonts w:ascii="Calibri" w:hAnsi="Calibri" w:cs="Calibri"/>
              </w:rPr>
              <w:t>T. Ferrari</w:t>
            </w:r>
          </w:p>
        </w:tc>
      </w:tr>
    </w:tbl>
    <w:p w14:paraId="360D0E2A"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2DE52DFC"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4C21F663" w14:textId="77777777"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14:paraId="4DF605A3"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9" w:history="1">
        <w:r w:rsidRPr="002B1814">
          <w:rPr>
            <w:rStyle w:val="Hyperlink"/>
            <w:rFonts w:ascii="Calibri" w:hAnsi="Calibri" w:cs="Calibri"/>
          </w:rPr>
          <w:t>https://wiki.egi.eu/wiki/Procedures</w:t>
        </w:r>
      </w:hyperlink>
    </w:p>
    <w:p w14:paraId="7243179A" w14:textId="77777777"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14:paraId="12ED6389"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14:paraId="38104A86"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6407C2A8"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8C387EB" w14:textId="77777777" w:rsidR="00207D16" w:rsidRPr="002B1814" w:rsidRDefault="00207D16" w:rsidP="00207D16">
      <w:pPr>
        <w:rPr>
          <w:rFonts w:ascii="Calibri" w:hAnsi="Calibri" w:cs="Calibri"/>
        </w:rPr>
      </w:pPr>
    </w:p>
    <w:p w14:paraId="2041F087" w14:textId="77777777" w:rsidR="00207D16"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185F65">
        <w:rPr>
          <w:rFonts w:ascii="Calibri" w:hAnsi="Calibri" w:cs="Calibri"/>
        </w:rPr>
        <w:t xml:space="preserve"> </w:t>
      </w:r>
      <w:r w:rsidRPr="002B1814">
        <w:rPr>
          <w:rFonts w:ascii="Calibri" w:hAnsi="Calibri" w:cs="Calibri"/>
        </w:rPr>
        <w:t>The objectives of the project are:</w:t>
      </w:r>
    </w:p>
    <w:p w14:paraId="1CB540B0" w14:textId="77777777" w:rsidR="00E7692A" w:rsidRPr="002B1814" w:rsidRDefault="00E7692A" w:rsidP="00207D16">
      <w:pPr>
        <w:rPr>
          <w:rFonts w:ascii="Calibri" w:hAnsi="Calibri" w:cs="Calibri"/>
        </w:rPr>
      </w:pPr>
    </w:p>
    <w:p w14:paraId="707F6B03"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3395271"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291C98BC" w14:textId="77777777" w:rsidR="00207D16" w:rsidRPr="002B1814" w:rsidRDefault="00207D16" w:rsidP="0093687A">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91C3C6A" w14:textId="77777777" w:rsidR="00207D16" w:rsidRPr="002B1814" w:rsidRDefault="00207D16" w:rsidP="0093687A">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5B46795C" w14:textId="77777777" w:rsidR="00207D16" w:rsidRPr="002B1814" w:rsidRDefault="00207D16" w:rsidP="0093687A">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39AAA9DF" w14:textId="77777777" w:rsidR="00207D16" w:rsidRPr="002B1814" w:rsidRDefault="00207D16" w:rsidP="0093687A">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343959E" w14:textId="77777777" w:rsidR="00207D16" w:rsidRPr="002B1814" w:rsidRDefault="00207D16" w:rsidP="00207D16">
      <w:pPr>
        <w:rPr>
          <w:rFonts w:ascii="Calibri" w:hAnsi="Calibri" w:cs="Calibri"/>
        </w:rPr>
      </w:pPr>
    </w:p>
    <w:p w14:paraId="32CFC4C9"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7BD2C8F" w14:textId="77777777" w:rsidR="00207D16" w:rsidRPr="002B1814" w:rsidRDefault="00207D16" w:rsidP="00207D16">
      <w:pPr>
        <w:rPr>
          <w:rFonts w:ascii="Calibri" w:hAnsi="Calibri" w:cs="Calibri"/>
          <w:szCs w:val="22"/>
          <w:lang w:val="en-US"/>
        </w:rPr>
      </w:pPr>
    </w:p>
    <w:p w14:paraId="5F63461C" w14:textId="77777777" w:rsidR="00207D16" w:rsidRPr="002B1814" w:rsidRDefault="00207D16" w:rsidP="00E7692A">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r w:rsidR="00E415BE">
        <w:rPr>
          <w:rFonts w:ascii="Calibri" w:hAnsi="Calibri" w:cs="Calibri"/>
          <w:szCs w:val="22"/>
          <w:lang w:val="en-US"/>
        </w:rPr>
        <w:br w:type="page"/>
      </w:r>
    </w:p>
    <w:p w14:paraId="7E858A0B" w14:textId="77777777"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9"/>
    </w:p>
    <w:p w14:paraId="3CF60214" w14:textId="4B1378B0" w:rsidR="00EF06BD" w:rsidRDefault="00A5360B" w:rsidP="00CD2273">
      <w:pPr>
        <w:rPr>
          <w:rFonts w:cstheme="minorHAnsi"/>
        </w:rPr>
      </w:pPr>
      <w:r w:rsidRPr="00EF06BD">
        <w:rPr>
          <w:szCs w:val="22"/>
        </w:rPr>
        <w:t xml:space="preserve">This document reports on the implementation of the </w:t>
      </w:r>
      <w:r w:rsidR="009634AE" w:rsidRPr="00EF06BD">
        <w:rPr>
          <w:szCs w:val="22"/>
        </w:rPr>
        <w:t xml:space="preserve">updated </w:t>
      </w:r>
      <w:r w:rsidRPr="00EF06BD">
        <w:rPr>
          <w:szCs w:val="22"/>
        </w:rPr>
        <w:t>EGI-InSP</w:t>
      </w:r>
      <w:r w:rsidR="00CD2273">
        <w:rPr>
          <w:szCs w:val="22"/>
        </w:rPr>
        <w:t>IRE quality assurance plan, “</w:t>
      </w:r>
      <w:r w:rsidR="00EF06BD">
        <w:rPr>
          <w:rFonts w:ascii="Calibri" w:hAnsi="Calibri" w:cs="Calibri"/>
        </w:rPr>
        <w:t>D1.13 Quality Plan and Project Metrics</w:t>
      </w:r>
      <w:r w:rsidR="00CD2273">
        <w:rPr>
          <w:rFonts w:ascii="Calibri" w:hAnsi="Calibri" w:cs="Calibri"/>
        </w:rPr>
        <w:t>”.</w:t>
      </w:r>
      <w:r w:rsidR="00CD2273">
        <w:rPr>
          <w:rFonts w:cstheme="minorHAnsi"/>
        </w:rPr>
        <w:t xml:space="preserve"> </w:t>
      </w:r>
    </w:p>
    <w:p w14:paraId="4509CDA8" w14:textId="7FC26D21" w:rsidR="00CD2273" w:rsidRDefault="00CD2273" w:rsidP="00CD2273">
      <w:pPr>
        <w:rPr>
          <w:rFonts w:cstheme="minorHAnsi"/>
        </w:rPr>
      </w:pPr>
      <w:r>
        <w:rPr>
          <w:rFonts w:cstheme="minorHAnsi"/>
        </w:rPr>
        <w:t>The PY4 quality report describes the actions undertaken to reflect Recommendation 9 and 10 received at the EGI-</w:t>
      </w:r>
      <w:proofErr w:type="spellStart"/>
      <w:r>
        <w:rPr>
          <w:rFonts w:cstheme="minorHAnsi"/>
        </w:rPr>
        <w:t>InSPIRE</w:t>
      </w:r>
      <w:proofErr w:type="spellEnd"/>
      <w:r>
        <w:rPr>
          <w:rFonts w:cstheme="minorHAnsi"/>
        </w:rPr>
        <w:t xml:space="preserve"> PY3 review:</w:t>
      </w:r>
    </w:p>
    <w:p w14:paraId="0E38ADD6" w14:textId="3D77BD96" w:rsidR="00CE02EE" w:rsidRPr="00CD2273" w:rsidRDefault="00CE02EE" w:rsidP="00CE02EE">
      <w:pPr>
        <w:rPr>
          <w:rFonts w:cstheme="minorHAnsi"/>
          <w:szCs w:val="22"/>
        </w:rPr>
      </w:pPr>
      <w:r w:rsidRPr="00CD2273">
        <w:rPr>
          <w:rFonts w:ascii="Calibri" w:hAnsi="Calibri" w:cs="Calibri"/>
          <w:szCs w:val="22"/>
        </w:rPr>
        <w:t>REC 9. The deliverable production process should be refined in order to eliminate the</w:t>
      </w:r>
      <w:r w:rsidR="00CD2273">
        <w:rPr>
          <w:rFonts w:cstheme="minorHAnsi"/>
          <w:szCs w:val="22"/>
        </w:rPr>
        <w:t xml:space="preserve"> </w:t>
      </w:r>
      <w:r w:rsidRPr="00CD2273">
        <w:rPr>
          <w:rFonts w:ascii="Calibri" w:hAnsi="Calibri" w:cs="Calibri"/>
          <w:szCs w:val="22"/>
        </w:rPr>
        <w:t>consistent one-month delay.</w:t>
      </w:r>
    </w:p>
    <w:p w14:paraId="353CE642" w14:textId="2AF57454" w:rsidR="00CD2273" w:rsidRPr="00CD2273" w:rsidRDefault="00CD2273" w:rsidP="00CD2273">
      <w:pPr>
        <w:rPr>
          <w:rFonts w:ascii="Calibri" w:hAnsi="Calibri" w:cs="Calibri"/>
          <w:szCs w:val="22"/>
        </w:rPr>
      </w:pPr>
      <w:r w:rsidRPr="00CD2273">
        <w:rPr>
          <w:rFonts w:ascii="Calibri" w:hAnsi="Calibri" w:cs="Calibri"/>
          <w:szCs w:val="22"/>
        </w:rPr>
        <w:t>REC 10. Continue with the refinement of project metrics. Consider the collection of end-user</w:t>
      </w:r>
      <w:r>
        <w:rPr>
          <w:rFonts w:ascii="Calibri" w:hAnsi="Calibri" w:cs="Calibri"/>
          <w:szCs w:val="22"/>
        </w:rPr>
        <w:t xml:space="preserve"> </w:t>
      </w:r>
      <w:r w:rsidRPr="00CD2273">
        <w:rPr>
          <w:rFonts w:ascii="Calibri" w:hAnsi="Calibri" w:cs="Calibri"/>
          <w:szCs w:val="22"/>
        </w:rPr>
        <w:t>metrics, which should be collated and analysed in such a way as to help steer EGI.eu</w:t>
      </w:r>
      <w:r>
        <w:rPr>
          <w:rFonts w:ascii="Calibri" w:hAnsi="Calibri" w:cs="Calibri"/>
          <w:szCs w:val="22"/>
        </w:rPr>
        <w:t xml:space="preserve"> </w:t>
      </w:r>
      <w:r w:rsidRPr="00CD2273">
        <w:rPr>
          <w:rFonts w:ascii="Calibri" w:hAnsi="Calibri" w:cs="Calibri"/>
          <w:szCs w:val="22"/>
        </w:rPr>
        <w:t>as moves into the future.</w:t>
      </w:r>
    </w:p>
    <w:p w14:paraId="23ACF0CA" w14:textId="254E9957" w:rsidR="00CD2273" w:rsidRDefault="00CD2273" w:rsidP="00CD2273">
      <w:r>
        <w:rPr>
          <w:rFonts w:ascii="Calibri" w:hAnsi="Calibri" w:cs="Calibri"/>
          <w:szCs w:val="22"/>
        </w:rPr>
        <w:t xml:space="preserve">With reference to REC 9, objectives in terms of increased timeliness in submission of project deliverables and milestones were only partially achieved. This is due to an increased workload in project management duties starting in PY14 and to a reduced amount of resource available for quality management in PY4 due to the project extension of 8 months. </w:t>
      </w:r>
      <w:r w:rsidR="003F0014">
        <w:rPr>
          <w:rFonts w:ascii="Calibri" w:hAnsi="Calibri" w:cs="Calibri"/>
          <w:szCs w:val="22"/>
        </w:rPr>
        <w:t xml:space="preserve">The increased workload was due to </w:t>
      </w:r>
      <w:r w:rsidR="003F0014">
        <w:t>t</w:t>
      </w:r>
      <w:r w:rsidRPr="000E4605">
        <w:t xml:space="preserve">he preparation of the project extension </w:t>
      </w:r>
      <w:r w:rsidR="003F0014">
        <w:t>that</w:t>
      </w:r>
      <w:r>
        <w:t xml:space="preserve"> started</w:t>
      </w:r>
      <w:r w:rsidRPr="000E4605">
        <w:t xml:space="preserve"> </w:t>
      </w:r>
      <w:r>
        <w:t>in PQ14 and was c</w:t>
      </w:r>
      <w:r w:rsidR="003F0014">
        <w:t>ompleted in PQ16, the organization of the handover of project direction and management duties, and the duties related to consortium management that increased due to the resignation of one partner from the EGI Council.</w:t>
      </w:r>
    </w:p>
    <w:p w14:paraId="1088F428" w14:textId="5F224130" w:rsidR="003F0014" w:rsidRDefault="003F0014" w:rsidP="00CD2273">
      <w:r>
        <w:t>The objectives recommended in REC 10 were successfully accomplished by introducing additional user-orientated metrics in the project metrics table, by correlating the review of project metrics and activity metrics to steer the tactical actions required to implement the engagement strategy. The Engagement Strategy was introduced for the first time in PQ15, and is now a living document that is periodically updated taking into account the requirements and input of the EGI stakeholders as well as the performance indicators of the EGI-</w:t>
      </w:r>
      <w:proofErr w:type="spellStart"/>
      <w:r>
        <w:t>InSPIRE</w:t>
      </w:r>
      <w:proofErr w:type="spellEnd"/>
      <w:r>
        <w:t xml:space="preserve"> quality plan.</w:t>
      </w:r>
    </w:p>
    <w:p w14:paraId="314AF234" w14:textId="32E05BD4" w:rsidR="003F0014" w:rsidRDefault="003F0014" w:rsidP="00CD2273">
      <w:r>
        <w:t xml:space="preserve">Additional activities not originally envisaged in the PY4 quality plan were successfully completed in PY4: service management best practices according to the recommendations of the </w:t>
      </w:r>
      <w:proofErr w:type="spellStart"/>
      <w:r>
        <w:t>FitSM</w:t>
      </w:r>
      <w:proofErr w:type="spellEnd"/>
      <w:r>
        <w:t xml:space="preserve"> standards were applied to the EGI.eu services for transnational access thus improving documentation, repeatability and professionalization of service management in a federated environment, and the EGI impact factors of the objectives of the European Commission were updated. New quality reporting processes were defined for the EGI Core Activities: a subset of EGI Global Tasks that as of May 2014 will turn into services regulated by independent Operational Level Agreements binding EGI.eu and the service providers.</w:t>
      </w:r>
    </w:p>
    <w:p w14:paraId="58C56BB9" w14:textId="180A6F45" w:rsidR="00F37255" w:rsidRDefault="003F0014" w:rsidP="00CE02EE">
      <w:r>
        <w:t xml:space="preserve">During PY4 both the vision and strategy of EGI were profoundly revised. This required changes to the balanced scorecard. An interim revised version is presented in this document; a final version will </w:t>
      </w:r>
      <w:proofErr w:type="gramStart"/>
      <w:r>
        <w:t>produced</w:t>
      </w:r>
      <w:proofErr w:type="gramEnd"/>
      <w:r>
        <w:t xml:space="preserve"> in PY5 taking into account the change</w:t>
      </w:r>
      <w:r w:rsidR="002E10E3">
        <w:t>.</w:t>
      </w:r>
    </w:p>
    <w:p w14:paraId="09FF090A" w14:textId="77777777" w:rsidR="002E10E3" w:rsidRPr="002E10E3" w:rsidRDefault="002E10E3" w:rsidP="00CE02EE">
      <w:pPr>
        <w:sectPr w:rsidR="002E10E3" w:rsidRPr="002E10E3">
          <w:headerReference w:type="default" r:id="rId11"/>
          <w:footerReference w:type="default" r:id="rId12"/>
          <w:pgSz w:w="11900" w:h="16840"/>
          <w:pgMar w:top="1418" w:right="1418" w:bottom="1418" w:left="1418" w:header="708" w:footer="708" w:gutter="0"/>
          <w:cols w:space="708"/>
        </w:sectPr>
      </w:pPr>
    </w:p>
    <w:p w14:paraId="49535554"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5EF3C248" w14:textId="77777777" w:rsidR="00896804" w:rsidRDefault="000858A8">
      <w:pPr>
        <w:pStyle w:val="TOC1"/>
        <w:tabs>
          <w:tab w:val="clear" w:pos="382"/>
          <w:tab w:val="left" w:pos="406"/>
        </w:tabs>
        <w:rPr>
          <w:rFonts w:asciiTheme="minorHAnsi" w:eastAsiaTheme="minorEastAsia" w:hAnsiTheme="minorHAnsi" w:cstheme="minorBidi"/>
          <w:b w:val="0"/>
          <w:caps w:val="0"/>
          <w:noProof/>
          <w:sz w:val="24"/>
          <w:lang w:val="en-US" w:eastAsia="ja-JP"/>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896804" w:rsidRPr="007A0086">
        <w:rPr>
          <w:rFonts w:cs="Calibri"/>
          <w:noProof/>
        </w:rPr>
        <w:t>1</w:t>
      </w:r>
      <w:r w:rsidR="00896804">
        <w:rPr>
          <w:rFonts w:asciiTheme="minorHAnsi" w:eastAsiaTheme="minorEastAsia" w:hAnsiTheme="minorHAnsi" w:cstheme="minorBidi"/>
          <w:b w:val="0"/>
          <w:caps w:val="0"/>
          <w:noProof/>
          <w:sz w:val="24"/>
          <w:lang w:val="en-US" w:eastAsia="ja-JP"/>
        </w:rPr>
        <w:tab/>
      </w:r>
      <w:r w:rsidR="00896804" w:rsidRPr="007A0086">
        <w:rPr>
          <w:rFonts w:cs="Calibri"/>
          <w:noProof/>
        </w:rPr>
        <w:t>Introduction</w:t>
      </w:r>
      <w:r w:rsidR="00896804">
        <w:rPr>
          <w:noProof/>
        </w:rPr>
        <w:tab/>
      </w:r>
      <w:r w:rsidR="00896804">
        <w:rPr>
          <w:noProof/>
        </w:rPr>
        <w:fldChar w:fldCharType="begin"/>
      </w:r>
      <w:r w:rsidR="00896804">
        <w:rPr>
          <w:noProof/>
        </w:rPr>
        <w:instrText xml:space="preserve"> PAGEREF _Toc264803483 \h </w:instrText>
      </w:r>
      <w:r w:rsidR="00896804">
        <w:rPr>
          <w:noProof/>
        </w:rPr>
      </w:r>
      <w:r w:rsidR="00896804">
        <w:rPr>
          <w:noProof/>
        </w:rPr>
        <w:fldChar w:fldCharType="separate"/>
      </w:r>
      <w:r w:rsidR="00660750">
        <w:rPr>
          <w:noProof/>
        </w:rPr>
        <w:t>6</w:t>
      </w:r>
      <w:r w:rsidR="00896804">
        <w:rPr>
          <w:noProof/>
        </w:rPr>
        <w:fldChar w:fldCharType="end"/>
      </w:r>
    </w:p>
    <w:p w14:paraId="4871238A" w14:textId="77777777" w:rsidR="00896804" w:rsidRDefault="00896804">
      <w:pPr>
        <w:pStyle w:val="TOC1"/>
        <w:tabs>
          <w:tab w:val="clear" w:pos="382"/>
          <w:tab w:val="left" w:pos="406"/>
        </w:tabs>
        <w:rPr>
          <w:rFonts w:asciiTheme="minorHAnsi" w:eastAsiaTheme="minorEastAsia" w:hAnsiTheme="minorHAnsi" w:cstheme="minorBidi"/>
          <w:b w:val="0"/>
          <w:caps w:val="0"/>
          <w:noProof/>
          <w:sz w:val="24"/>
          <w:lang w:val="en-US" w:eastAsia="ja-JP"/>
        </w:rPr>
      </w:pPr>
      <w:r w:rsidRPr="007A0086">
        <w:rPr>
          <w:rFonts w:cs="Calibri"/>
          <w:noProof/>
        </w:rPr>
        <w:t>2</w:t>
      </w:r>
      <w:r>
        <w:rPr>
          <w:rFonts w:asciiTheme="minorHAnsi" w:eastAsiaTheme="minorEastAsia" w:hAnsiTheme="minorHAnsi" w:cstheme="minorBidi"/>
          <w:b w:val="0"/>
          <w:caps w:val="0"/>
          <w:noProof/>
          <w:sz w:val="24"/>
          <w:lang w:val="en-US" w:eastAsia="ja-JP"/>
        </w:rPr>
        <w:tab/>
      </w:r>
      <w:r w:rsidRPr="007A0086">
        <w:rPr>
          <w:rFonts w:cs="Calibri"/>
          <w:noProof/>
        </w:rPr>
        <w:t>Quality Assurance organisation status</w:t>
      </w:r>
      <w:r>
        <w:rPr>
          <w:noProof/>
        </w:rPr>
        <w:tab/>
      </w:r>
      <w:r>
        <w:rPr>
          <w:noProof/>
        </w:rPr>
        <w:fldChar w:fldCharType="begin"/>
      </w:r>
      <w:r>
        <w:rPr>
          <w:noProof/>
        </w:rPr>
        <w:instrText xml:space="preserve"> PAGEREF _Toc264803484 \h </w:instrText>
      </w:r>
      <w:r>
        <w:rPr>
          <w:noProof/>
        </w:rPr>
      </w:r>
      <w:r>
        <w:rPr>
          <w:noProof/>
        </w:rPr>
        <w:fldChar w:fldCharType="separate"/>
      </w:r>
      <w:r w:rsidR="00660750">
        <w:rPr>
          <w:noProof/>
        </w:rPr>
        <w:t>7</w:t>
      </w:r>
      <w:r>
        <w:rPr>
          <w:noProof/>
        </w:rPr>
        <w:fldChar w:fldCharType="end"/>
      </w:r>
    </w:p>
    <w:p w14:paraId="376D47BD"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Reporting of performance of EGI Core Activities</w:t>
      </w:r>
      <w:r>
        <w:rPr>
          <w:noProof/>
        </w:rPr>
        <w:tab/>
      </w:r>
      <w:r>
        <w:rPr>
          <w:noProof/>
        </w:rPr>
        <w:fldChar w:fldCharType="begin"/>
      </w:r>
      <w:r>
        <w:rPr>
          <w:noProof/>
        </w:rPr>
        <w:instrText xml:space="preserve"> PAGEREF _Toc264803485 \h </w:instrText>
      </w:r>
      <w:r>
        <w:rPr>
          <w:noProof/>
        </w:rPr>
      </w:r>
      <w:r>
        <w:rPr>
          <w:noProof/>
        </w:rPr>
        <w:fldChar w:fldCharType="separate"/>
      </w:r>
      <w:r w:rsidR="00660750">
        <w:rPr>
          <w:noProof/>
        </w:rPr>
        <w:t>8</w:t>
      </w:r>
      <w:r>
        <w:rPr>
          <w:noProof/>
        </w:rPr>
        <w:fldChar w:fldCharType="end"/>
      </w:r>
    </w:p>
    <w:p w14:paraId="7665F8FF"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EGI metrics for DG-Connect Impact Assessment</w:t>
      </w:r>
      <w:r>
        <w:rPr>
          <w:noProof/>
        </w:rPr>
        <w:tab/>
      </w:r>
      <w:r>
        <w:rPr>
          <w:noProof/>
        </w:rPr>
        <w:fldChar w:fldCharType="begin"/>
      </w:r>
      <w:r>
        <w:rPr>
          <w:noProof/>
        </w:rPr>
        <w:instrText xml:space="preserve"> PAGEREF _Toc264803486 \h </w:instrText>
      </w:r>
      <w:r>
        <w:rPr>
          <w:noProof/>
        </w:rPr>
      </w:r>
      <w:r>
        <w:rPr>
          <w:noProof/>
        </w:rPr>
        <w:fldChar w:fldCharType="separate"/>
      </w:r>
      <w:r w:rsidR="00660750">
        <w:rPr>
          <w:noProof/>
        </w:rPr>
        <w:t>8</w:t>
      </w:r>
      <w:r>
        <w:rPr>
          <w:noProof/>
        </w:rPr>
        <w:fldChar w:fldCharType="end"/>
      </w:r>
    </w:p>
    <w:p w14:paraId="410E3896" w14:textId="77777777" w:rsidR="00896804" w:rsidRDefault="0089680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IT Service Management</w:t>
      </w:r>
      <w:r>
        <w:rPr>
          <w:noProof/>
        </w:rPr>
        <w:tab/>
      </w:r>
      <w:r>
        <w:rPr>
          <w:noProof/>
        </w:rPr>
        <w:fldChar w:fldCharType="begin"/>
      </w:r>
      <w:r>
        <w:rPr>
          <w:noProof/>
        </w:rPr>
        <w:instrText xml:space="preserve"> PAGEREF _Toc264803487 \h </w:instrText>
      </w:r>
      <w:r>
        <w:rPr>
          <w:noProof/>
        </w:rPr>
      </w:r>
      <w:r>
        <w:rPr>
          <w:noProof/>
        </w:rPr>
        <w:fldChar w:fldCharType="separate"/>
      </w:r>
      <w:r w:rsidR="00660750">
        <w:rPr>
          <w:noProof/>
        </w:rPr>
        <w:t>10</w:t>
      </w:r>
      <w:r>
        <w:rPr>
          <w:noProof/>
        </w:rPr>
        <w:fldChar w:fldCharType="end"/>
      </w:r>
    </w:p>
    <w:p w14:paraId="599DA656" w14:textId="77777777" w:rsidR="00896804" w:rsidRDefault="0089680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Project Management</w:t>
      </w:r>
      <w:r>
        <w:rPr>
          <w:noProof/>
        </w:rPr>
        <w:tab/>
      </w:r>
      <w:r>
        <w:rPr>
          <w:noProof/>
        </w:rPr>
        <w:fldChar w:fldCharType="begin"/>
      </w:r>
      <w:r>
        <w:rPr>
          <w:noProof/>
        </w:rPr>
        <w:instrText xml:space="preserve"> PAGEREF _Toc264803488 \h </w:instrText>
      </w:r>
      <w:r>
        <w:rPr>
          <w:noProof/>
        </w:rPr>
      </w:r>
      <w:r>
        <w:rPr>
          <w:noProof/>
        </w:rPr>
        <w:fldChar w:fldCharType="separate"/>
      </w:r>
      <w:r w:rsidR="00660750">
        <w:rPr>
          <w:noProof/>
        </w:rPr>
        <w:t>12</w:t>
      </w:r>
      <w:r>
        <w:rPr>
          <w:noProof/>
        </w:rPr>
        <w:fldChar w:fldCharType="end"/>
      </w:r>
    </w:p>
    <w:p w14:paraId="100314E6" w14:textId="77777777" w:rsidR="00896804" w:rsidRDefault="0089680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Project overall assessment mechanisms</w:t>
      </w:r>
      <w:r>
        <w:rPr>
          <w:noProof/>
        </w:rPr>
        <w:tab/>
      </w:r>
      <w:r>
        <w:rPr>
          <w:noProof/>
        </w:rPr>
        <w:fldChar w:fldCharType="begin"/>
      </w:r>
      <w:r>
        <w:rPr>
          <w:noProof/>
        </w:rPr>
        <w:instrText xml:space="preserve"> PAGEREF _Toc264803489 \h </w:instrText>
      </w:r>
      <w:r>
        <w:rPr>
          <w:noProof/>
        </w:rPr>
      </w:r>
      <w:r>
        <w:rPr>
          <w:noProof/>
        </w:rPr>
        <w:fldChar w:fldCharType="separate"/>
      </w:r>
      <w:r w:rsidR="00660750">
        <w:rPr>
          <w:noProof/>
        </w:rPr>
        <w:t>12</w:t>
      </w:r>
      <w:r>
        <w:rPr>
          <w:noProof/>
        </w:rPr>
        <w:fldChar w:fldCharType="end"/>
      </w:r>
    </w:p>
    <w:p w14:paraId="6145855B" w14:textId="77777777" w:rsidR="00896804" w:rsidRDefault="0089680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Document management procedure</w:t>
      </w:r>
      <w:r>
        <w:rPr>
          <w:noProof/>
        </w:rPr>
        <w:tab/>
      </w:r>
      <w:r>
        <w:rPr>
          <w:noProof/>
        </w:rPr>
        <w:fldChar w:fldCharType="begin"/>
      </w:r>
      <w:r>
        <w:rPr>
          <w:noProof/>
        </w:rPr>
        <w:instrText xml:space="preserve"> PAGEREF _Toc264803490 \h </w:instrText>
      </w:r>
      <w:r>
        <w:rPr>
          <w:noProof/>
        </w:rPr>
      </w:r>
      <w:r>
        <w:rPr>
          <w:noProof/>
        </w:rPr>
        <w:fldChar w:fldCharType="separate"/>
      </w:r>
      <w:r w:rsidR="00660750">
        <w:rPr>
          <w:noProof/>
        </w:rPr>
        <w:t>13</w:t>
      </w:r>
      <w:r>
        <w:rPr>
          <w:noProof/>
        </w:rPr>
        <w:fldChar w:fldCharType="end"/>
      </w:r>
    </w:p>
    <w:p w14:paraId="4319F10A" w14:textId="77777777" w:rsidR="00896804" w:rsidRDefault="00896804">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4.1.3</w:t>
      </w:r>
      <w:r>
        <w:rPr>
          <w:rFonts w:asciiTheme="minorHAnsi" w:eastAsiaTheme="minorEastAsia" w:hAnsiTheme="minorHAnsi" w:cstheme="minorBidi"/>
          <w:noProof/>
          <w:sz w:val="24"/>
          <w:szCs w:val="24"/>
          <w:lang w:val="en-US" w:eastAsia="ja-JP"/>
        </w:rPr>
        <w:tab/>
      </w:r>
      <w:r>
        <w:rPr>
          <w:noProof/>
        </w:rPr>
        <w:t>Document review procedure</w:t>
      </w:r>
      <w:r>
        <w:rPr>
          <w:noProof/>
        </w:rPr>
        <w:tab/>
      </w:r>
      <w:r>
        <w:rPr>
          <w:noProof/>
        </w:rPr>
        <w:fldChar w:fldCharType="begin"/>
      </w:r>
      <w:r>
        <w:rPr>
          <w:noProof/>
        </w:rPr>
        <w:instrText xml:space="preserve"> PAGEREF _Toc264803491 \h </w:instrText>
      </w:r>
      <w:r>
        <w:rPr>
          <w:noProof/>
        </w:rPr>
      </w:r>
      <w:r>
        <w:rPr>
          <w:noProof/>
        </w:rPr>
        <w:fldChar w:fldCharType="separate"/>
      </w:r>
      <w:r w:rsidR="00660750">
        <w:rPr>
          <w:noProof/>
        </w:rPr>
        <w:t>13</w:t>
      </w:r>
      <w:r>
        <w:rPr>
          <w:noProof/>
        </w:rPr>
        <w:fldChar w:fldCharType="end"/>
      </w:r>
    </w:p>
    <w:p w14:paraId="5540E592" w14:textId="77777777" w:rsidR="00896804" w:rsidRDefault="00896804">
      <w:pPr>
        <w:pStyle w:val="TOC1"/>
        <w:tabs>
          <w:tab w:val="clear" w:pos="382"/>
          <w:tab w:val="left" w:pos="406"/>
        </w:tabs>
        <w:rPr>
          <w:rFonts w:asciiTheme="minorHAnsi" w:eastAsiaTheme="minorEastAsia" w:hAnsiTheme="minorHAnsi" w:cstheme="minorBidi"/>
          <w:b w:val="0"/>
          <w:caps w:val="0"/>
          <w:noProof/>
          <w:sz w:val="24"/>
          <w:lang w:val="en-US" w:eastAsia="ja-JP"/>
        </w:rPr>
      </w:pPr>
      <w:r w:rsidRPr="007A0086">
        <w:rPr>
          <w:rFonts w:cs="Calibri"/>
          <w:noProof/>
        </w:rPr>
        <w:t>5</w:t>
      </w:r>
      <w:r>
        <w:rPr>
          <w:rFonts w:asciiTheme="minorHAnsi" w:eastAsiaTheme="minorEastAsia" w:hAnsiTheme="minorHAnsi" w:cstheme="minorBidi"/>
          <w:b w:val="0"/>
          <w:caps w:val="0"/>
          <w:noProof/>
          <w:sz w:val="24"/>
          <w:lang w:val="en-US" w:eastAsia="ja-JP"/>
        </w:rPr>
        <w:tab/>
      </w:r>
      <w:r w:rsidRPr="007A0086">
        <w:rPr>
          <w:rFonts w:cs="Calibri"/>
          <w:noProof/>
        </w:rPr>
        <w:t>Main Project Management Tools</w:t>
      </w:r>
      <w:r>
        <w:rPr>
          <w:noProof/>
        </w:rPr>
        <w:tab/>
      </w:r>
      <w:r>
        <w:rPr>
          <w:noProof/>
        </w:rPr>
        <w:fldChar w:fldCharType="begin"/>
      </w:r>
      <w:r>
        <w:rPr>
          <w:noProof/>
        </w:rPr>
        <w:instrText xml:space="preserve"> PAGEREF _Toc264803492 \h </w:instrText>
      </w:r>
      <w:r>
        <w:rPr>
          <w:noProof/>
        </w:rPr>
      </w:r>
      <w:r>
        <w:rPr>
          <w:noProof/>
        </w:rPr>
        <w:fldChar w:fldCharType="separate"/>
      </w:r>
      <w:r w:rsidR="00660750">
        <w:rPr>
          <w:noProof/>
        </w:rPr>
        <w:t>15</w:t>
      </w:r>
      <w:r>
        <w:rPr>
          <w:noProof/>
        </w:rPr>
        <w:fldChar w:fldCharType="end"/>
      </w:r>
    </w:p>
    <w:p w14:paraId="35B4032F"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Document Management Tools</w:t>
      </w:r>
      <w:r>
        <w:rPr>
          <w:noProof/>
        </w:rPr>
        <w:tab/>
      </w:r>
      <w:r>
        <w:rPr>
          <w:noProof/>
        </w:rPr>
        <w:fldChar w:fldCharType="begin"/>
      </w:r>
      <w:r>
        <w:rPr>
          <w:noProof/>
        </w:rPr>
        <w:instrText xml:space="preserve"> PAGEREF _Toc264803493 \h </w:instrText>
      </w:r>
      <w:r>
        <w:rPr>
          <w:noProof/>
        </w:rPr>
      </w:r>
      <w:r>
        <w:rPr>
          <w:noProof/>
        </w:rPr>
        <w:fldChar w:fldCharType="separate"/>
      </w:r>
      <w:r w:rsidR="00660750">
        <w:rPr>
          <w:noProof/>
        </w:rPr>
        <w:t>15</w:t>
      </w:r>
      <w:r>
        <w:rPr>
          <w:noProof/>
        </w:rPr>
        <w:fldChar w:fldCharType="end"/>
      </w:r>
    </w:p>
    <w:p w14:paraId="55EAE030"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Project Progress Tracking</w:t>
      </w:r>
      <w:r>
        <w:rPr>
          <w:noProof/>
        </w:rPr>
        <w:tab/>
      </w:r>
      <w:r>
        <w:rPr>
          <w:noProof/>
        </w:rPr>
        <w:fldChar w:fldCharType="begin"/>
      </w:r>
      <w:r>
        <w:rPr>
          <w:noProof/>
        </w:rPr>
        <w:instrText xml:space="preserve"> PAGEREF _Toc264803494 \h </w:instrText>
      </w:r>
      <w:r>
        <w:rPr>
          <w:noProof/>
        </w:rPr>
      </w:r>
      <w:r>
        <w:rPr>
          <w:noProof/>
        </w:rPr>
        <w:fldChar w:fldCharType="separate"/>
      </w:r>
      <w:r w:rsidR="00660750">
        <w:rPr>
          <w:noProof/>
        </w:rPr>
        <w:t>15</w:t>
      </w:r>
      <w:r>
        <w:rPr>
          <w:noProof/>
        </w:rPr>
        <w:fldChar w:fldCharType="end"/>
      </w:r>
    </w:p>
    <w:p w14:paraId="2EA78188"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Website and Wiki</w:t>
      </w:r>
      <w:r>
        <w:rPr>
          <w:noProof/>
        </w:rPr>
        <w:tab/>
      </w:r>
      <w:r>
        <w:rPr>
          <w:noProof/>
        </w:rPr>
        <w:fldChar w:fldCharType="begin"/>
      </w:r>
      <w:r>
        <w:rPr>
          <w:noProof/>
        </w:rPr>
        <w:instrText xml:space="preserve"> PAGEREF _Toc264803495 \h </w:instrText>
      </w:r>
      <w:r>
        <w:rPr>
          <w:noProof/>
        </w:rPr>
      </w:r>
      <w:r>
        <w:rPr>
          <w:noProof/>
        </w:rPr>
        <w:fldChar w:fldCharType="separate"/>
      </w:r>
      <w:r w:rsidR="00660750">
        <w:rPr>
          <w:noProof/>
        </w:rPr>
        <w:t>16</w:t>
      </w:r>
      <w:r>
        <w:rPr>
          <w:noProof/>
        </w:rPr>
        <w:fldChar w:fldCharType="end"/>
      </w:r>
    </w:p>
    <w:p w14:paraId="6B210E0D"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Meetings</w:t>
      </w:r>
      <w:r>
        <w:rPr>
          <w:noProof/>
        </w:rPr>
        <w:tab/>
      </w:r>
      <w:r>
        <w:rPr>
          <w:noProof/>
        </w:rPr>
        <w:fldChar w:fldCharType="begin"/>
      </w:r>
      <w:r>
        <w:rPr>
          <w:noProof/>
        </w:rPr>
        <w:instrText xml:space="preserve"> PAGEREF _Toc264803496 \h </w:instrText>
      </w:r>
      <w:r>
        <w:rPr>
          <w:noProof/>
        </w:rPr>
      </w:r>
      <w:r>
        <w:rPr>
          <w:noProof/>
        </w:rPr>
        <w:fldChar w:fldCharType="separate"/>
      </w:r>
      <w:r w:rsidR="00660750">
        <w:rPr>
          <w:noProof/>
        </w:rPr>
        <w:t>17</w:t>
      </w:r>
      <w:r>
        <w:rPr>
          <w:noProof/>
        </w:rPr>
        <w:fldChar w:fldCharType="end"/>
      </w:r>
    </w:p>
    <w:p w14:paraId="6E250C25" w14:textId="77777777" w:rsidR="00896804" w:rsidRDefault="00896804">
      <w:pPr>
        <w:pStyle w:val="TOC1"/>
        <w:tabs>
          <w:tab w:val="clear" w:pos="382"/>
          <w:tab w:val="left" w:pos="406"/>
        </w:tabs>
        <w:rPr>
          <w:rFonts w:asciiTheme="minorHAnsi" w:eastAsiaTheme="minorEastAsia" w:hAnsiTheme="minorHAnsi" w:cstheme="minorBidi"/>
          <w:b w:val="0"/>
          <w:caps w:val="0"/>
          <w:noProof/>
          <w:sz w:val="24"/>
          <w:lang w:val="en-US" w:eastAsia="ja-JP"/>
        </w:rPr>
      </w:pPr>
      <w:r w:rsidRPr="007A0086">
        <w:rPr>
          <w:rFonts w:cs="Calibri"/>
          <w:noProof/>
        </w:rPr>
        <w:t>6</w:t>
      </w:r>
      <w:r>
        <w:rPr>
          <w:rFonts w:asciiTheme="minorHAnsi" w:eastAsiaTheme="minorEastAsia" w:hAnsiTheme="minorHAnsi" w:cstheme="minorBidi"/>
          <w:b w:val="0"/>
          <w:caps w:val="0"/>
          <w:noProof/>
          <w:sz w:val="24"/>
          <w:lang w:val="en-US" w:eastAsia="ja-JP"/>
        </w:rPr>
        <w:tab/>
      </w:r>
      <w:r w:rsidRPr="007A0086">
        <w:rPr>
          <w:rFonts w:cs="Calibri"/>
          <w:noProof/>
        </w:rPr>
        <w:t>EGI-InSPIRE Project Metrics</w:t>
      </w:r>
      <w:r>
        <w:rPr>
          <w:noProof/>
        </w:rPr>
        <w:tab/>
      </w:r>
      <w:r>
        <w:rPr>
          <w:noProof/>
        </w:rPr>
        <w:fldChar w:fldCharType="begin"/>
      </w:r>
      <w:r>
        <w:rPr>
          <w:noProof/>
        </w:rPr>
        <w:instrText xml:space="preserve"> PAGEREF _Toc264803497 \h </w:instrText>
      </w:r>
      <w:r>
        <w:rPr>
          <w:noProof/>
        </w:rPr>
      </w:r>
      <w:r>
        <w:rPr>
          <w:noProof/>
        </w:rPr>
        <w:fldChar w:fldCharType="separate"/>
      </w:r>
      <w:r w:rsidR="00660750">
        <w:rPr>
          <w:noProof/>
        </w:rPr>
        <w:t>18</w:t>
      </w:r>
      <w:r>
        <w:rPr>
          <w:noProof/>
        </w:rPr>
        <w:fldChar w:fldCharType="end"/>
      </w:r>
    </w:p>
    <w:p w14:paraId="1E4FD85C"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PY4 Performance</w:t>
      </w:r>
      <w:r>
        <w:rPr>
          <w:noProof/>
        </w:rPr>
        <w:tab/>
      </w:r>
      <w:r>
        <w:rPr>
          <w:noProof/>
        </w:rPr>
        <w:fldChar w:fldCharType="begin"/>
      </w:r>
      <w:r>
        <w:rPr>
          <w:noProof/>
        </w:rPr>
        <w:instrText xml:space="preserve"> PAGEREF _Toc264803498 \h </w:instrText>
      </w:r>
      <w:r>
        <w:rPr>
          <w:noProof/>
        </w:rPr>
      </w:r>
      <w:r>
        <w:rPr>
          <w:noProof/>
        </w:rPr>
        <w:fldChar w:fldCharType="separate"/>
      </w:r>
      <w:r w:rsidR="00660750">
        <w:rPr>
          <w:noProof/>
        </w:rPr>
        <w:t>19</w:t>
      </w:r>
      <w:r>
        <w:rPr>
          <w:noProof/>
        </w:rPr>
        <w:fldChar w:fldCharType="end"/>
      </w:r>
    </w:p>
    <w:p w14:paraId="782C1111"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PY1-PY4 Performance</w:t>
      </w:r>
      <w:r>
        <w:rPr>
          <w:noProof/>
        </w:rPr>
        <w:tab/>
      </w:r>
      <w:r>
        <w:rPr>
          <w:noProof/>
        </w:rPr>
        <w:fldChar w:fldCharType="begin"/>
      </w:r>
      <w:r>
        <w:rPr>
          <w:noProof/>
        </w:rPr>
        <w:instrText xml:space="preserve"> PAGEREF _Toc264803499 \h </w:instrText>
      </w:r>
      <w:r>
        <w:rPr>
          <w:noProof/>
        </w:rPr>
      </w:r>
      <w:r>
        <w:rPr>
          <w:noProof/>
        </w:rPr>
        <w:fldChar w:fldCharType="separate"/>
      </w:r>
      <w:r w:rsidR="00660750">
        <w:rPr>
          <w:noProof/>
        </w:rPr>
        <w:t>26</w:t>
      </w:r>
      <w:r>
        <w:rPr>
          <w:noProof/>
        </w:rPr>
        <w:fldChar w:fldCharType="end"/>
      </w:r>
    </w:p>
    <w:p w14:paraId="4D97BC99" w14:textId="77777777" w:rsidR="00896804" w:rsidRDefault="00896804">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7A0086">
        <w:rPr>
          <w:rFonts w:eastAsiaTheme="majorEastAsia"/>
          <w:noProof/>
        </w:rPr>
        <w:t>6.3</w:t>
      </w:r>
      <w:r>
        <w:rPr>
          <w:rFonts w:asciiTheme="minorHAnsi" w:eastAsiaTheme="minorEastAsia" w:hAnsiTheme="minorHAnsi" w:cstheme="minorBidi"/>
          <w:b w:val="0"/>
          <w:noProof/>
          <w:sz w:val="24"/>
          <w:szCs w:val="24"/>
          <w:lang w:val="en-US" w:eastAsia="ja-JP"/>
        </w:rPr>
        <w:tab/>
      </w:r>
      <w:r w:rsidRPr="007A0086">
        <w:rPr>
          <w:rFonts w:eastAsiaTheme="majorEastAsia"/>
          <w:noProof/>
        </w:rPr>
        <w:t>Activity Metrics</w:t>
      </w:r>
      <w:r>
        <w:rPr>
          <w:noProof/>
        </w:rPr>
        <w:tab/>
      </w:r>
      <w:r>
        <w:rPr>
          <w:noProof/>
        </w:rPr>
        <w:fldChar w:fldCharType="begin"/>
      </w:r>
      <w:r>
        <w:rPr>
          <w:noProof/>
        </w:rPr>
        <w:instrText xml:space="preserve"> PAGEREF _Toc264803500 \h </w:instrText>
      </w:r>
      <w:r>
        <w:rPr>
          <w:noProof/>
        </w:rPr>
      </w:r>
      <w:r>
        <w:rPr>
          <w:noProof/>
        </w:rPr>
        <w:fldChar w:fldCharType="separate"/>
      </w:r>
      <w:r w:rsidR="00660750">
        <w:rPr>
          <w:noProof/>
        </w:rPr>
        <w:t>31</w:t>
      </w:r>
      <w:r>
        <w:rPr>
          <w:noProof/>
        </w:rPr>
        <w:fldChar w:fldCharType="end"/>
      </w:r>
    </w:p>
    <w:p w14:paraId="512B2A80" w14:textId="77777777" w:rsidR="00896804" w:rsidRDefault="00896804">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EGI Strategic Metrics</w:t>
      </w:r>
      <w:r>
        <w:rPr>
          <w:noProof/>
        </w:rPr>
        <w:tab/>
      </w:r>
      <w:r>
        <w:rPr>
          <w:noProof/>
        </w:rPr>
        <w:fldChar w:fldCharType="begin"/>
      </w:r>
      <w:r>
        <w:rPr>
          <w:noProof/>
        </w:rPr>
        <w:instrText xml:space="preserve"> PAGEREF _Toc264803501 \h </w:instrText>
      </w:r>
      <w:r>
        <w:rPr>
          <w:noProof/>
        </w:rPr>
      </w:r>
      <w:r>
        <w:rPr>
          <w:noProof/>
        </w:rPr>
        <w:fldChar w:fldCharType="separate"/>
      </w:r>
      <w:r w:rsidR="00660750">
        <w:rPr>
          <w:noProof/>
        </w:rPr>
        <w:t>32</w:t>
      </w:r>
      <w:r>
        <w:rPr>
          <w:noProof/>
        </w:rPr>
        <w:fldChar w:fldCharType="end"/>
      </w:r>
    </w:p>
    <w:p w14:paraId="000A4014" w14:textId="77777777" w:rsidR="00896804" w:rsidRDefault="00896804">
      <w:pPr>
        <w:pStyle w:val="TOC1"/>
        <w:tabs>
          <w:tab w:val="clear" w:pos="382"/>
          <w:tab w:val="left" w:pos="406"/>
        </w:tabs>
        <w:rPr>
          <w:rFonts w:asciiTheme="minorHAnsi" w:eastAsiaTheme="minorEastAsia" w:hAnsiTheme="minorHAnsi" w:cstheme="minorBidi"/>
          <w:b w:val="0"/>
          <w:caps w:val="0"/>
          <w:noProof/>
          <w:sz w:val="24"/>
          <w:lang w:val="en-US" w:eastAsia="ja-JP"/>
        </w:rPr>
      </w:pPr>
      <w:r w:rsidRPr="007A0086">
        <w:rPr>
          <w:rFonts w:cs="Calibri"/>
          <w:noProof/>
        </w:rPr>
        <w:t>8</w:t>
      </w:r>
      <w:r>
        <w:rPr>
          <w:rFonts w:asciiTheme="minorHAnsi" w:eastAsiaTheme="minorEastAsia" w:hAnsiTheme="minorHAnsi" w:cstheme="minorBidi"/>
          <w:b w:val="0"/>
          <w:caps w:val="0"/>
          <w:noProof/>
          <w:sz w:val="24"/>
          <w:lang w:val="en-US" w:eastAsia="ja-JP"/>
        </w:rPr>
        <w:tab/>
      </w:r>
      <w:r w:rsidRPr="007A0086">
        <w:rPr>
          <w:rFonts w:cs="Calibri"/>
          <w:noProof/>
        </w:rPr>
        <w:t>Conclusion and Future Plans</w:t>
      </w:r>
      <w:r>
        <w:rPr>
          <w:noProof/>
        </w:rPr>
        <w:tab/>
      </w:r>
      <w:r>
        <w:rPr>
          <w:noProof/>
        </w:rPr>
        <w:fldChar w:fldCharType="begin"/>
      </w:r>
      <w:r>
        <w:rPr>
          <w:noProof/>
        </w:rPr>
        <w:instrText xml:space="preserve"> PAGEREF _Toc264803502 \h </w:instrText>
      </w:r>
      <w:r>
        <w:rPr>
          <w:noProof/>
        </w:rPr>
      </w:r>
      <w:r>
        <w:rPr>
          <w:noProof/>
        </w:rPr>
        <w:fldChar w:fldCharType="separate"/>
      </w:r>
      <w:r w:rsidR="00660750">
        <w:rPr>
          <w:noProof/>
        </w:rPr>
        <w:t>42</w:t>
      </w:r>
      <w:r>
        <w:rPr>
          <w:noProof/>
        </w:rPr>
        <w:fldChar w:fldCharType="end"/>
      </w:r>
    </w:p>
    <w:p w14:paraId="2448EEFF" w14:textId="77777777" w:rsidR="00896804" w:rsidRDefault="00896804">
      <w:pPr>
        <w:pStyle w:val="TOC2"/>
        <w:tabs>
          <w:tab w:val="right" w:leader="dot" w:pos="9054"/>
        </w:tabs>
        <w:rPr>
          <w:rFonts w:asciiTheme="minorHAnsi" w:eastAsiaTheme="minorEastAsia" w:hAnsiTheme="minorHAnsi" w:cstheme="minorBidi"/>
          <w:b w:val="0"/>
          <w:noProof/>
          <w:sz w:val="24"/>
          <w:szCs w:val="24"/>
          <w:lang w:val="en-US" w:eastAsia="ja-JP"/>
        </w:rPr>
      </w:pPr>
      <w:r>
        <w:rPr>
          <w:noProof/>
        </w:rPr>
        <w:t>APPENDIX I: EGI Scorecard Data Dictionary Template</w:t>
      </w:r>
      <w:r>
        <w:rPr>
          <w:noProof/>
        </w:rPr>
        <w:tab/>
      </w:r>
      <w:r>
        <w:rPr>
          <w:noProof/>
        </w:rPr>
        <w:fldChar w:fldCharType="begin"/>
      </w:r>
      <w:r>
        <w:rPr>
          <w:noProof/>
        </w:rPr>
        <w:instrText xml:space="preserve"> PAGEREF _Toc264803503 \h </w:instrText>
      </w:r>
      <w:r>
        <w:rPr>
          <w:noProof/>
        </w:rPr>
      </w:r>
      <w:r>
        <w:rPr>
          <w:noProof/>
        </w:rPr>
        <w:fldChar w:fldCharType="separate"/>
      </w:r>
      <w:r w:rsidR="00660750">
        <w:rPr>
          <w:noProof/>
        </w:rPr>
        <w:t>43</w:t>
      </w:r>
      <w:r>
        <w:rPr>
          <w:noProof/>
        </w:rPr>
        <w:fldChar w:fldCharType="end"/>
      </w:r>
    </w:p>
    <w:p w14:paraId="70CB1333" w14:textId="77777777" w:rsidR="00207D16" w:rsidRPr="002B1814" w:rsidRDefault="000858A8" w:rsidP="00207D16">
      <w:pPr>
        <w:rPr>
          <w:rFonts w:ascii="Calibri" w:hAnsi="Calibri" w:cs="Calibri"/>
        </w:rPr>
      </w:pPr>
      <w:r w:rsidRPr="002B1814">
        <w:rPr>
          <w:rFonts w:ascii="Calibri" w:hAnsi="Calibri" w:cs="Calibri"/>
          <w:b/>
          <w:caps/>
          <w:sz w:val="24"/>
          <w:szCs w:val="24"/>
        </w:rPr>
        <w:fldChar w:fldCharType="end"/>
      </w:r>
    </w:p>
    <w:p w14:paraId="39AC7879" w14:textId="77777777" w:rsidR="00207D16" w:rsidRPr="002B1814" w:rsidRDefault="00207D16" w:rsidP="00141B22">
      <w:pPr>
        <w:pStyle w:val="Heading1"/>
        <w:rPr>
          <w:rFonts w:cs="Calibri"/>
        </w:rPr>
      </w:pPr>
      <w:bookmarkStart w:id="10" w:name="_Toc264803483"/>
      <w:r w:rsidRPr="002B1814">
        <w:rPr>
          <w:rFonts w:cs="Calibri"/>
        </w:rPr>
        <w:lastRenderedPageBreak/>
        <w:t>Introduction</w:t>
      </w:r>
      <w:bookmarkEnd w:id="10"/>
    </w:p>
    <w:p w14:paraId="46BCBF5F" w14:textId="77777777" w:rsidR="003162DE" w:rsidRDefault="002346D5" w:rsidP="00B728E7">
      <w:pPr>
        <w:rPr>
          <w:szCs w:val="22"/>
        </w:rPr>
      </w:pPr>
      <w:r w:rsidRPr="00555A89">
        <w:rPr>
          <w:szCs w:val="22"/>
        </w:rPr>
        <w:t>This document reports on the implementation of the EGI</w:t>
      </w:r>
      <w:r w:rsidR="00355473" w:rsidRPr="00555A89">
        <w:rPr>
          <w:szCs w:val="22"/>
        </w:rPr>
        <w:t>-InSP</w:t>
      </w:r>
      <w:r w:rsidR="009634AE">
        <w:rPr>
          <w:szCs w:val="22"/>
        </w:rPr>
        <w:t>IRE quality assurance plan, D1.</w:t>
      </w:r>
      <w:r w:rsidR="003162DE">
        <w:rPr>
          <w:szCs w:val="22"/>
        </w:rPr>
        <w:t>13</w:t>
      </w:r>
      <w:r w:rsidR="003162DE">
        <w:rPr>
          <w:rStyle w:val="FootnoteReference"/>
          <w:szCs w:val="22"/>
        </w:rPr>
        <w:footnoteReference w:id="1"/>
      </w:r>
      <w:r w:rsidR="003162DE">
        <w:rPr>
          <w:szCs w:val="22"/>
        </w:rPr>
        <w:t xml:space="preserve"> </w:t>
      </w:r>
      <w:r w:rsidRPr="00555A89">
        <w:rPr>
          <w:szCs w:val="22"/>
        </w:rPr>
        <w:t xml:space="preserve">during the </w:t>
      </w:r>
      <w:r w:rsidR="003162DE">
        <w:rPr>
          <w:szCs w:val="22"/>
        </w:rPr>
        <w:t>fourth</w:t>
      </w:r>
      <w:r w:rsidR="0018318D" w:rsidRPr="00555A89">
        <w:rPr>
          <w:szCs w:val="22"/>
        </w:rPr>
        <w:t xml:space="preserve"> </w:t>
      </w:r>
      <w:r w:rsidRPr="00555A89">
        <w:rPr>
          <w:szCs w:val="22"/>
        </w:rPr>
        <w:t>year of the project. It reviews the main quality assurance mechanisms set out in the quality plan, analyses</w:t>
      </w:r>
      <w:r w:rsidR="003162DE">
        <w:rPr>
          <w:szCs w:val="22"/>
        </w:rPr>
        <w:t xml:space="preserve"> the changes introduced in PY4 and describes the future actions for PY5.</w:t>
      </w:r>
      <w:r w:rsidRPr="00555A89">
        <w:rPr>
          <w:szCs w:val="22"/>
        </w:rPr>
        <w:t xml:space="preserve"> </w:t>
      </w:r>
    </w:p>
    <w:p w14:paraId="5E16BB9B" w14:textId="556C9268" w:rsidR="003162DE" w:rsidRDefault="00723F4F" w:rsidP="00B728E7">
      <w:pPr>
        <w:rPr>
          <w:szCs w:val="22"/>
        </w:rPr>
      </w:pPr>
      <w:r>
        <w:rPr>
          <w:szCs w:val="22"/>
        </w:rPr>
        <w:t xml:space="preserve">This report is a self-assessment of the running of the project, </w:t>
      </w:r>
      <w:r w:rsidR="003162DE">
        <w:rPr>
          <w:szCs w:val="22"/>
        </w:rPr>
        <w:t>and provides an analysis of the project metrics during the course of PY4 and in the project period PY1-PY4</w:t>
      </w:r>
      <w:r w:rsidR="00CD2273">
        <w:rPr>
          <w:szCs w:val="22"/>
        </w:rPr>
        <w:t>, with a focus on metrics that indicate the impact of community engagement activities</w:t>
      </w:r>
      <w:r w:rsidR="003162DE">
        <w:rPr>
          <w:szCs w:val="22"/>
        </w:rPr>
        <w:t>. This analysis is complemented by specific annual activity reports that provide additional analysis of the activity metrics.</w:t>
      </w:r>
    </w:p>
    <w:p w14:paraId="2093A1BC" w14:textId="005AF39B" w:rsidR="00CD2273" w:rsidRDefault="003162DE" w:rsidP="00B728E7">
      <w:pPr>
        <w:rPr>
          <w:szCs w:val="22"/>
        </w:rPr>
      </w:pPr>
      <w:r>
        <w:rPr>
          <w:szCs w:val="22"/>
        </w:rPr>
        <w:t xml:space="preserve">This document is complemented by </w:t>
      </w:r>
      <w:r w:rsidR="003225AE">
        <w:rPr>
          <w:szCs w:val="22"/>
        </w:rPr>
        <w:t xml:space="preserve">the </w:t>
      </w:r>
      <w:r w:rsidR="002E10E3">
        <w:rPr>
          <w:szCs w:val="22"/>
        </w:rPr>
        <w:t xml:space="preserve">PY4 </w:t>
      </w:r>
      <w:r w:rsidR="003225AE">
        <w:rPr>
          <w:szCs w:val="22"/>
        </w:rPr>
        <w:t>Periodic Report</w:t>
      </w:r>
      <w:r>
        <w:rPr>
          <w:szCs w:val="22"/>
        </w:rPr>
        <w:t>, which provides an overview of the project achievements and issues</w:t>
      </w:r>
      <w:r w:rsidR="003225AE">
        <w:rPr>
          <w:szCs w:val="22"/>
        </w:rPr>
        <w:t>.</w:t>
      </w:r>
      <w:r w:rsidR="00723F4F">
        <w:rPr>
          <w:szCs w:val="22"/>
        </w:rPr>
        <w:t xml:space="preserve"> </w:t>
      </w:r>
      <w:r w:rsidR="00CD2273">
        <w:rPr>
          <w:szCs w:val="22"/>
        </w:rPr>
        <w:t>Section 2 provides an overview of the changes introduced in PY4 according to the recommendations received at the PY3 review.</w:t>
      </w:r>
      <w:r w:rsidR="00D140BB">
        <w:rPr>
          <w:szCs w:val="22"/>
        </w:rPr>
        <w:t xml:space="preserve"> </w:t>
      </w:r>
      <w:r w:rsidR="00CD2273">
        <w:rPr>
          <w:szCs w:val="22"/>
        </w:rPr>
        <w:t xml:space="preserve">A revised interim version of the balanced scorecard is provided in Section 7, which takes into consideration the changes in the EGI strategy and </w:t>
      </w:r>
      <w:proofErr w:type="gramStart"/>
      <w:r w:rsidR="00CD2273">
        <w:rPr>
          <w:szCs w:val="22"/>
        </w:rPr>
        <w:t>vision which</w:t>
      </w:r>
      <w:proofErr w:type="gramEnd"/>
      <w:r w:rsidR="00CD2273">
        <w:rPr>
          <w:szCs w:val="22"/>
        </w:rPr>
        <w:t xml:space="preserve"> were approved by the EGI Council in September 2013 and April 2014.</w:t>
      </w:r>
      <w:r w:rsidR="00D140BB">
        <w:rPr>
          <w:szCs w:val="22"/>
        </w:rPr>
        <w:t xml:space="preserve"> </w:t>
      </w:r>
      <w:r w:rsidR="00CD2273">
        <w:rPr>
          <w:szCs w:val="22"/>
        </w:rPr>
        <w:t>Section 8 concludes the report and defines the actions for PY5.</w:t>
      </w:r>
    </w:p>
    <w:p w14:paraId="6BB01C66" w14:textId="77777777" w:rsidR="00207D16" w:rsidRPr="002B1814" w:rsidRDefault="001E683E" w:rsidP="00141B22">
      <w:pPr>
        <w:pStyle w:val="Heading1"/>
        <w:rPr>
          <w:rFonts w:cs="Calibri"/>
        </w:rPr>
      </w:pPr>
      <w:bookmarkStart w:id="11" w:name="_Toc264803484"/>
      <w:r>
        <w:rPr>
          <w:rFonts w:cs="Calibri"/>
        </w:rPr>
        <w:lastRenderedPageBreak/>
        <w:t>Quality Assurance organisation status</w:t>
      </w:r>
      <w:bookmarkEnd w:id="11"/>
    </w:p>
    <w:p w14:paraId="5E3E59E8" w14:textId="12F74EC0" w:rsidR="00207D16" w:rsidRPr="002B1814" w:rsidRDefault="00210E61" w:rsidP="00207D16">
      <w:pPr>
        <w:rPr>
          <w:rFonts w:ascii="Calibri" w:hAnsi="Calibri" w:cs="Calibri"/>
        </w:rPr>
      </w:pPr>
      <w:r>
        <w:rPr>
          <w:rFonts w:ascii="Calibri" w:hAnsi="Calibri" w:cs="Calibri"/>
        </w:rPr>
        <w:t>This section reports on the Quality Assurance manage</w:t>
      </w:r>
      <w:r w:rsidR="00C74BD9">
        <w:rPr>
          <w:rFonts w:ascii="Calibri" w:hAnsi="Calibri" w:cs="Calibri"/>
        </w:rPr>
        <w:t>ment as implemented in the EGI-</w:t>
      </w:r>
      <w:proofErr w:type="spellStart"/>
      <w:r w:rsidR="00C74BD9">
        <w:rPr>
          <w:rFonts w:ascii="Calibri" w:hAnsi="Calibri" w:cs="Calibri"/>
        </w:rPr>
        <w:t>I</w:t>
      </w:r>
      <w:r>
        <w:rPr>
          <w:rFonts w:ascii="Calibri" w:hAnsi="Calibri" w:cs="Calibri"/>
        </w:rPr>
        <w:t>nSPIRE</w:t>
      </w:r>
      <w:proofErr w:type="spellEnd"/>
      <w:r>
        <w:rPr>
          <w:rFonts w:ascii="Calibri" w:hAnsi="Calibri" w:cs="Calibri"/>
        </w:rPr>
        <w:t xml:space="preserve"> project and the related support tools.</w:t>
      </w:r>
    </w:p>
    <w:p w14:paraId="7D4F1D57" w14:textId="77777777" w:rsidR="00E415BE" w:rsidRPr="009C67EC" w:rsidRDefault="002346D5" w:rsidP="00E415BE">
      <w:pPr>
        <w:pStyle w:val="BodyText"/>
        <w:rPr>
          <w:rFonts w:eastAsia="MS Mincho" w:cs="Arial"/>
        </w:rPr>
      </w:pPr>
      <w:r>
        <w:t xml:space="preserve">In EGI-InSPIRE, </w:t>
      </w:r>
      <w:r w:rsidR="00E415BE" w:rsidRPr="009C67EC">
        <w:t xml:space="preserve">the resources committed to Quality Assurance are </w:t>
      </w:r>
      <w:r>
        <w:t>provided by NA1</w:t>
      </w:r>
      <w:r w:rsidR="00355473">
        <w:t xml:space="preserve"> through quality management procedures and processes</w:t>
      </w:r>
      <w:r w:rsidR="00E415BE" w:rsidRPr="009C67EC">
        <w:t>. S</w:t>
      </w:r>
      <w:r>
        <w:t xml:space="preserve">ome </w:t>
      </w:r>
      <w:r w:rsidR="00E415BE" w:rsidRPr="009C67EC">
        <w:t>Quality Assurance effort is</w:t>
      </w:r>
      <w:r>
        <w:t xml:space="preserve"> also</w:t>
      </w:r>
      <w:r w:rsidR="00E415BE" w:rsidRPr="009C67EC">
        <w:t xml:space="preserve"> allocated within each activity in order to implement the QA p</w:t>
      </w:r>
      <w:r>
        <w:t>o</w:t>
      </w:r>
      <w:r w:rsidR="004633BE">
        <w:t>licy and metrics defined in D1.</w:t>
      </w:r>
      <w:r w:rsidR="0018318D">
        <w:t>9</w:t>
      </w:r>
      <w:r>
        <w:t xml:space="preserve"> Quality Plan and Project Metrics [R1].</w:t>
      </w:r>
    </w:p>
    <w:p w14:paraId="5F258FA9" w14:textId="77777777" w:rsidR="00E415BE" w:rsidRPr="009C67EC" w:rsidRDefault="00E415BE" w:rsidP="00E415BE">
      <w:pPr>
        <w:pStyle w:val="BodyText"/>
      </w:pPr>
      <w:r w:rsidRPr="009C67EC">
        <w:t xml:space="preserve">The </w:t>
      </w:r>
      <w:r w:rsidR="005E3BD6">
        <w:t xml:space="preserve">main tasks of the </w:t>
      </w:r>
      <w:r w:rsidR="00355473">
        <w:t>quality functions in NA1 include</w:t>
      </w:r>
      <w:r w:rsidRPr="009C67EC">
        <w:t>:</w:t>
      </w:r>
    </w:p>
    <w:p w14:paraId="190142DB" w14:textId="77777777" w:rsidR="00ED3ED5" w:rsidRDefault="00E415BE" w:rsidP="0093687A">
      <w:pPr>
        <w:numPr>
          <w:ilvl w:val="0"/>
          <w:numId w:val="4"/>
        </w:numPr>
      </w:pPr>
      <w:r w:rsidRPr="009C67EC">
        <w:t xml:space="preserve">Develop </w:t>
      </w:r>
      <w:r w:rsidR="005E3BD6">
        <w:t xml:space="preserve">the </w:t>
      </w:r>
      <w:r w:rsidRPr="009C67EC">
        <w:t xml:space="preserve">Quality and </w:t>
      </w:r>
      <w:r w:rsidR="005E3BD6">
        <w:t>Metrics</w:t>
      </w:r>
      <w:r w:rsidRPr="009C67EC">
        <w:t xml:space="preserve"> Plan</w:t>
      </w:r>
      <w:r w:rsidR="005E3BD6">
        <w:t xml:space="preserve"> and update these annually</w:t>
      </w:r>
      <w:r w:rsidRPr="009C67EC">
        <w:t>;</w:t>
      </w:r>
      <w:r w:rsidR="00ED3ED5">
        <w:t xml:space="preserve"> </w:t>
      </w:r>
    </w:p>
    <w:p w14:paraId="3F052661" w14:textId="6421C071" w:rsidR="00E415BE" w:rsidRPr="009C67EC" w:rsidRDefault="00ED3ED5" w:rsidP="00ED3ED5">
      <w:pPr>
        <w:numPr>
          <w:ilvl w:val="1"/>
          <w:numId w:val="4"/>
        </w:numPr>
      </w:pPr>
      <w:r w:rsidRPr="00C74BD9">
        <w:rPr>
          <w:b/>
        </w:rPr>
        <w:t>PY4:</w:t>
      </w:r>
      <w:r>
        <w:t xml:space="preserve"> project and activity metrics were updated in PY3 to include a larger number of user-orientated metrics allowing the assessment of the impact of community engagement activities, in terms of new user communities reaching the final stage of the engagement process and being ready to the pre-production use of the infrastructure as well as in terms of new user communities being still in the first stages of the engagement process.</w:t>
      </w:r>
    </w:p>
    <w:p w14:paraId="439E24DD" w14:textId="77777777" w:rsidR="00E415BE" w:rsidRDefault="00E415BE" w:rsidP="0093687A">
      <w:pPr>
        <w:numPr>
          <w:ilvl w:val="0"/>
          <w:numId w:val="4"/>
        </w:numPr>
      </w:pPr>
      <w:r w:rsidRPr="009C67EC">
        <w:t>Ensure that agreed quality m</w:t>
      </w:r>
      <w:r w:rsidR="005E3BD6">
        <w:t>etrics are applied and measured within the activities;</w:t>
      </w:r>
    </w:p>
    <w:p w14:paraId="49C6A12B" w14:textId="7DE09660" w:rsidR="00ED3ED5" w:rsidRPr="009C67EC" w:rsidRDefault="00ED3ED5" w:rsidP="00ED3ED5">
      <w:pPr>
        <w:numPr>
          <w:ilvl w:val="1"/>
          <w:numId w:val="4"/>
        </w:numPr>
      </w:pPr>
      <w:r w:rsidRPr="00C74BD9">
        <w:rPr>
          <w:b/>
        </w:rPr>
        <w:t>PY4:</w:t>
      </w:r>
      <w:r>
        <w:t xml:space="preserve"> activity and project metrics were regularly registered in the metrics portal of the project.</w:t>
      </w:r>
    </w:p>
    <w:p w14:paraId="24F91305" w14:textId="77777777" w:rsidR="00E415BE" w:rsidRDefault="005E3BD6" w:rsidP="0093687A">
      <w:pPr>
        <w:numPr>
          <w:ilvl w:val="0"/>
          <w:numId w:val="4"/>
        </w:numPr>
      </w:pPr>
      <w:r>
        <w:t>Summarise the metrics for the Quarterly and Annual Periodic Reports</w:t>
      </w:r>
    </w:p>
    <w:p w14:paraId="2BF5CD39" w14:textId="6497EAA4" w:rsidR="00ED3ED5" w:rsidRPr="009C67EC" w:rsidRDefault="00ED3ED5" w:rsidP="00ED3ED5">
      <w:pPr>
        <w:numPr>
          <w:ilvl w:val="1"/>
          <w:numId w:val="4"/>
        </w:numPr>
      </w:pPr>
      <w:r w:rsidRPr="00C74BD9">
        <w:rPr>
          <w:b/>
        </w:rPr>
        <w:t>PY4:</w:t>
      </w:r>
      <w:r>
        <w:t xml:space="preserve"> QR14</w:t>
      </w:r>
      <w:r>
        <w:rPr>
          <w:rStyle w:val="FootnoteReference"/>
        </w:rPr>
        <w:footnoteReference w:id="2"/>
      </w:r>
      <w:r>
        <w:t xml:space="preserve"> and QR15</w:t>
      </w:r>
      <w:r>
        <w:rPr>
          <w:rStyle w:val="FootnoteReference"/>
        </w:rPr>
        <w:footnoteReference w:id="3"/>
      </w:r>
      <w:r>
        <w:t xml:space="preserve"> reports were extended by including an analysis of the trends in user communities by discipline (number of users, number of actives VOs)</w:t>
      </w:r>
    </w:p>
    <w:p w14:paraId="025B6D67" w14:textId="24BB7134" w:rsidR="00E415BE" w:rsidRDefault="00CE02EE" w:rsidP="0093687A">
      <w:pPr>
        <w:numPr>
          <w:ilvl w:val="0"/>
          <w:numId w:val="4"/>
        </w:numPr>
      </w:pPr>
      <w:r>
        <w:t xml:space="preserve">From PY4: provide the necessary indicators that allow </w:t>
      </w:r>
      <w:proofErr w:type="gramStart"/>
      <w:r>
        <w:t>to assess the effectiveness of the EGI Engagement Strategy</w:t>
      </w:r>
      <w:r>
        <w:rPr>
          <w:rStyle w:val="FootnoteReference"/>
        </w:rPr>
        <w:footnoteReference w:id="4"/>
      </w:r>
      <w:r>
        <w:t xml:space="preserve"> and update</w:t>
      </w:r>
      <w:proofErr w:type="gramEnd"/>
      <w:r>
        <w:t xml:space="preserve"> it according to the lesson learned</w:t>
      </w:r>
      <w:r w:rsidR="00E415BE" w:rsidRPr="009C67EC">
        <w:t>.</w:t>
      </w:r>
    </w:p>
    <w:p w14:paraId="2A5D719B" w14:textId="63141F65" w:rsidR="00CE02EE" w:rsidRDefault="00CE02EE" w:rsidP="00CE02EE">
      <w:pPr>
        <w:numPr>
          <w:ilvl w:val="1"/>
          <w:numId w:val="4"/>
        </w:numPr>
      </w:pPr>
      <w:r w:rsidRPr="00C74BD9">
        <w:rPr>
          <w:b/>
        </w:rPr>
        <w:t>PY4:</w:t>
      </w:r>
      <w:r>
        <w:t xml:space="preserve"> starting from QR15 project metrics are reviewed on a quarterly basis and are evaluated as part o the process that defines the EGI Engagement Strategy. The document is reviewed on a quarterly basis and includes the tactical actions that need to be implemented taking into account the outcome of activities around communications, promotion through the EGI Champions network and community engagement activities undertaken nationally and at a pan-European level though EGi.eu coordination.</w:t>
      </w:r>
    </w:p>
    <w:p w14:paraId="3494DE36" w14:textId="60F1CD8B" w:rsidR="00C74BD9" w:rsidRPr="009C67EC" w:rsidRDefault="00C74BD9" w:rsidP="00CE02EE">
      <w:pPr>
        <w:numPr>
          <w:ilvl w:val="1"/>
          <w:numId w:val="4"/>
        </w:numPr>
      </w:pPr>
      <w:r>
        <w:rPr>
          <w:b/>
        </w:rPr>
        <w:t>PY5:</w:t>
      </w:r>
      <w:r>
        <w:t xml:space="preserve"> </w:t>
      </w:r>
    </w:p>
    <w:p w14:paraId="2D0005FC" w14:textId="77777777" w:rsidR="00210E61" w:rsidRDefault="00210E61" w:rsidP="00CD48B7"/>
    <w:p w14:paraId="795591C3" w14:textId="37970BA4" w:rsidR="00CD48B7" w:rsidRPr="00CD48B7" w:rsidRDefault="00CD48B7" w:rsidP="00CD48B7">
      <w:r>
        <w:t>The project metrics are summarised each quarter at</w:t>
      </w:r>
      <w:r w:rsidR="00755F2F">
        <w:t xml:space="preserve"> </w:t>
      </w:r>
      <w:hyperlink r:id="rId13" w:history="1">
        <w:r w:rsidR="00FA14A6" w:rsidRPr="00305605">
          <w:rPr>
            <w:rStyle w:val="Hyperlink"/>
          </w:rPr>
          <w:t>http://www.egi.eu/about/egi-inspire/metrics/index.html</w:t>
        </w:r>
      </w:hyperlink>
      <w:r w:rsidR="00FA14A6">
        <w:t xml:space="preserve">. </w:t>
      </w:r>
      <w:r>
        <w:t xml:space="preserve">A project metrics portal was released by EGI-InSPIRE JRA1 </w:t>
      </w:r>
      <w:r w:rsidR="00B31A42">
        <w:t xml:space="preserve">in </w:t>
      </w:r>
      <w:proofErr w:type="gramStart"/>
      <w:r w:rsidR="00B31A42">
        <w:t>PY1,</w:t>
      </w:r>
      <w:proofErr w:type="gramEnd"/>
      <w:r w:rsidR="00B31A42">
        <w:t xml:space="preserve"> upgraded in PY2 and PY3 </w:t>
      </w:r>
      <w:r>
        <w:t xml:space="preserve">and is available at </w:t>
      </w:r>
      <w:hyperlink r:id="rId14" w:history="1">
        <w:r>
          <w:rPr>
            <w:rStyle w:val="Hyperlink"/>
          </w:rPr>
          <w:t>http://metrics.egi.eu/</w:t>
        </w:r>
      </w:hyperlink>
      <w:r>
        <w:t xml:space="preserve">. All NGI </w:t>
      </w:r>
      <w:r w:rsidR="004217F0">
        <w:t xml:space="preserve">and EGI.eu </w:t>
      </w:r>
      <w:r>
        <w:t xml:space="preserve">metrics and project task metrics are now reported in the metrics portal. Where possible metrics are </w:t>
      </w:r>
      <w:r>
        <w:lastRenderedPageBreak/>
        <w:t xml:space="preserve">automatically gathered from operational tools and activity managers and NGIs are requested to validate or modify them as needed. The remaining metrics are manually recorded in the portal. </w:t>
      </w:r>
    </w:p>
    <w:p w14:paraId="2B4EDDE4" w14:textId="77777777" w:rsidR="00210E61" w:rsidRDefault="00CD48B7" w:rsidP="00CD48B7">
      <w:r>
        <w:t xml:space="preserve">Further operational tools </w:t>
      </w:r>
      <w:r w:rsidR="00210E61">
        <w:t xml:space="preserve">that provide assistance in the extraction of the relevant metrics </w:t>
      </w:r>
      <w:r>
        <w:t xml:space="preserve">are available at the operational tools wiki page </w:t>
      </w:r>
      <w:hyperlink r:id="rId15" w:history="1">
        <w:r>
          <w:rPr>
            <w:rStyle w:val="Hyperlink"/>
          </w:rPr>
          <w:t>https://wiki.egi.eu/wiki/Tools</w:t>
        </w:r>
      </w:hyperlink>
      <w:r>
        <w:t>. Statistic of service levels accomplished by Resource Centres and NGIs are gathered monthly and are accessible on wiki (</w:t>
      </w:r>
      <w:hyperlink r:id="rId16" w:history="1">
        <w:r w:rsidRPr="00D72965">
          <w:rPr>
            <w:rStyle w:val="Hyperlink"/>
          </w:rPr>
          <w:t>https://wiki.egi.eu/wiki/Performance</w:t>
        </w:r>
      </w:hyperlink>
      <w:r>
        <w:t>).</w:t>
      </w:r>
      <w:r w:rsidR="00210E61">
        <w:t xml:space="preserve"> </w:t>
      </w:r>
    </w:p>
    <w:p w14:paraId="5BABCBE1" w14:textId="3B85ED0F" w:rsidR="00E51975" w:rsidRDefault="00210E61" w:rsidP="00CD48B7">
      <w:r>
        <w:t xml:space="preserve">These performance figures are regularly monitored as part of the EGI service management procedures. Considerable resources were spent in PY4 to align EGI service management best practices to the </w:t>
      </w:r>
      <w:proofErr w:type="spellStart"/>
      <w:r>
        <w:t>FitSM</w:t>
      </w:r>
      <w:proofErr w:type="spellEnd"/>
      <w:r>
        <w:t xml:space="preserve"> standard</w:t>
      </w:r>
      <w:r>
        <w:rPr>
          <w:rStyle w:val="FootnoteReference"/>
        </w:rPr>
        <w:footnoteReference w:id="5"/>
      </w:r>
      <w:r>
        <w:t xml:space="preserve"> in collaboration with the </w:t>
      </w:r>
      <w:proofErr w:type="spellStart"/>
      <w:r>
        <w:t>FedSM</w:t>
      </w:r>
      <w:proofErr w:type="spellEnd"/>
      <w:r>
        <w:t xml:space="preserve"> project, as reported in the following section.</w:t>
      </w:r>
    </w:p>
    <w:p w14:paraId="2AB2F636" w14:textId="394B7F19" w:rsidR="00160FDB" w:rsidRDefault="00160FDB" w:rsidP="00141B22">
      <w:pPr>
        <w:pStyle w:val="Heading2"/>
      </w:pPr>
      <w:bookmarkStart w:id="12" w:name="_Toc264803485"/>
      <w:r>
        <w:t>Reporting of performance of EGI Core Activities</w:t>
      </w:r>
      <w:bookmarkEnd w:id="12"/>
    </w:p>
    <w:p w14:paraId="781C59AE" w14:textId="77777777" w:rsidR="000E4605" w:rsidRDefault="000E4605" w:rsidP="000E4605">
      <w:r w:rsidRPr="000E4605">
        <w:t>The technical profile and costs of the EGI-</w:t>
      </w:r>
      <w:proofErr w:type="spellStart"/>
      <w:r w:rsidRPr="000E4605">
        <w:t>InSPIRE</w:t>
      </w:r>
      <w:proofErr w:type="spellEnd"/>
      <w:r w:rsidRPr="000E4605">
        <w:t xml:space="preserve"> operations and technical Global Tasks were reviewed in preparation to a change in funding structure from May 2014 after the end of PY4. These tasks (currently delivered through SA1 and SA2</w:t>
      </w:r>
      <w:r>
        <w:t xml:space="preserve"> are yearly assessed through the project quality procedures</w:t>
      </w:r>
      <w:r w:rsidRPr="000E4605">
        <w:t xml:space="preserve">) will evolve into support services – the so-called “EGI Core Activities” – that will still be delivered by partners of the EGI collaboration, but will no longer rely on EC project funding according to the EGI services sustainability plan. </w:t>
      </w:r>
    </w:p>
    <w:p w14:paraId="2E9C3289" w14:textId="72A95A79" w:rsidR="00160FDB" w:rsidRDefault="000E4605" w:rsidP="000E4605">
      <w:r w:rsidRPr="000E4605">
        <w:t>A new set of partners responsible of providing these activities and services from May 2014 was appointed and the preparation of handover of activities started.</w:t>
      </w:r>
      <w:r w:rsidR="00160FDB" w:rsidRPr="000E4605">
        <w:t xml:space="preserve"> </w:t>
      </w:r>
    </w:p>
    <w:p w14:paraId="6600D44F" w14:textId="3E6AFFE4" w:rsidR="000E4605" w:rsidRPr="000E4605" w:rsidRDefault="000E4605" w:rsidP="000E4605">
      <w:r>
        <w:t xml:space="preserve">Quality assessment procedures and policies were defined for these activities, which will be applied starting in PQ17 of the project. Service levels, metrics, frequency and reporting mechanisms were defined in service Operational Level Agreements. More information about the OLA framework defined for service management of the EGI Core Activities </w:t>
      </w:r>
      <w:r w:rsidR="00CD480B">
        <w:t xml:space="preserve">and the related reporting processes and tools </w:t>
      </w:r>
      <w:r>
        <w:t xml:space="preserve">is provided in </w:t>
      </w:r>
      <w:r w:rsidR="00CD480B">
        <w:t>EGI-</w:t>
      </w:r>
      <w:proofErr w:type="spellStart"/>
      <w:r w:rsidR="00CD480B">
        <w:t>InSPIRE</w:t>
      </w:r>
      <w:proofErr w:type="spellEnd"/>
      <w:r w:rsidR="00CD480B">
        <w:t xml:space="preserve"> </w:t>
      </w:r>
      <w:r>
        <w:t>Milestone MS429</w:t>
      </w:r>
      <w:r>
        <w:rPr>
          <w:rStyle w:val="FootnoteReference"/>
        </w:rPr>
        <w:footnoteReference w:id="6"/>
      </w:r>
      <w:r>
        <w:t>.</w:t>
      </w:r>
    </w:p>
    <w:p w14:paraId="0F09911D" w14:textId="0124ECDB" w:rsidR="00210E61" w:rsidRDefault="007B4630" w:rsidP="00141B22">
      <w:pPr>
        <w:pStyle w:val="Heading2"/>
      </w:pPr>
      <w:bookmarkStart w:id="13" w:name="_Toc264803486"/>
      <w:r>
        <w:t>EGI metrics for DG-Connect Impact Assessment</w:t>
      </w:r>
      <w:bookmarkEnd w:id="13"/>
    </w:p>
    <w:p w14:paraId="33A29F95" w14:textId="6F64A78F" w:rsidR="00A0746F" w:rsidRDefault="00A0746F" w:rsidP="00A0746F">
      <w:r>
        <w:t>EGI metrics are annual provided to the European Commission to contribute to assess the impact of EC actions for the implementation of the European Research Area.</w:t>
      </w:r>
      <w:r w:rsidR="00160FDB">
        <w:t xml:space="preserve"> EGI metrics are gathered as indicators of the progress towards the achievement of the DG-Connect e-Infrastructures Unit:</w:t>
      </w:r>
    </w:p>
    <w:p w14:paraId="00D0EF53" w14:textId="77777777" w:rsidR="00A0746F" w:rsidRPr="00B94CF5" w:rsidRDefault="00A0746F" w:rsidP="00A0746F">
      <w:pPr>
        <w:suppressAutoHyphens w:val="0"/>
        <w:spacing w:before="0" w:after="0"/>
        <w:jc w:val="left"/>
        <w:rPr>
          <w:rFonts w:ascii="Times" w:hAnsi="Times"/>
          <w:sz w:val="20"/>
          <w:lang w:val="en-US" w:eastAsia="en-US"/>
        </w:rPr>
      </w:pPr>
    </w:p>
    <w:p w14:paraId="6A79EE9C" w14:textId="77777777" w:rsidR="00A0746F" w:rsidRDefault="00A0746F" w:rsidP="00A0746F">
      <w:pPr>
        <w:rPr>
          <w:rFonts w:eastAsia="Cambria"/>
          <w:lang w:val="en-US" w:eastAsia="en-US"/>
        </w:rPr>
      </w:pPr>
      <w:r w:rsidRPr="00B94CF5">
        <w:rPr>
          <w:rFonts w:eastAsia="Cambria"/>
          <w:b/>
          <w:i/>
          <w:lang w:val="en-US" w:eastAsia="en-US"/>
        </w:rPr>
        <w:t>GOAL</w:t>
      </w:r>
      <w:r>
        <w:rPr>
          <w:rFonts w:eastAsia="Cambria"/>
          <w:b/>
          <w:i/>
          <w:lang w:val="en-US" w:eastAsia="en-US"/>
        </w:rPr>
        <w:t xml:space="preserve"> (computational infrastructure)</w:t>
      </w:r>
      <w:r w:rsidRPr="00B94CF5">
        <w:rPr>
          <w:rFonts w:eastAsia="Cambria"/>
          <w:b/>
          <w:i/>
          <w:lang w:val="en-US" w:eastAsia="en-US"/>
        </w:rPr>
        <w:t>: Europe leads in the supply and use of computational infrastructure and services in industry and academia, generating new knowledge and industrial innovation</w:t>
      </w:r>
      <w:r w:rsidRPr="00B94CF5">
        <w:rPr>
          <w:rFonts w:eastAsia="Cambria"/>
          <w:lang w:val="en-US" w:eastAsia="en-US"/>
        </w:rPr>
        <w:t>.</w:t>
      </w:r>
    </w:p>
    <w:p w14:paraId="62C3BDFF" w14:textId="77777777" w:rsidR="00A0746F" w:rsidRDefault="00A0746F" w:rsidP="00A0746F">
      <w:r w:rsidRPr="00B94CF5">
        <w:rPr>
          <w:rFonts w:eastAsia="Cambria"/>
          <w:lang w:val="en-US" w:eastAsia="en-US"/>
        </w:rPr>
        <w:sym w:font="Wingdings" w:char="F0E0"/>
      </w:r>
      <w:r>
        <w:rPr>
          <w:rFonts w:eastAsia="Cambria"/>
          <w:lang w:val="en-US" w:eastAsia="en-US"/>
        </w:rPr>
        <w:t xml:space="preserve"> EGI </w:t>
      </w:r>
      <w:r>
        <w:t>he portfolio of EGI solutions for computing will be expanded by complementing the existing High Throughput Data Analysis solution with a standards-based Federated Cloud solution</w:t>
      </w:r>
    </w:p>
    <w:p w14:paraId="0A5CD773" w14:textId="77777777" w:rsidR="00A0746F" w:rsidRDefault="00A0746F" w:rsidP="00A0746F">
      <w:r>
        <w:sym w:font="Wingdings" w:char="F0E0"/>
      </w:r>
      <w:r>
        <w:t xml:space="preserve"> Indicators: </w:t>
      </w:r>
    </w:p>
    <w:p w14:paraId="26C21B43" w14:textId="77777777" w:rsidR="00A0746F" w:rsidRPr="00B94CF5" w:rsidRDefault="00A0746F" w:rsidP="00B435DF">
      <w:pPr>
        <w:pStyle w:val="ListParagraph"/>
        <w:numPr>
          <w:ilvl w:val="0"/>
          <w:numId w:val="14"/>
        </w:numPr>
        <w:contextualSpacing w:val="0"/>
        <w:rPr>
          <w:rFonts w:eastAsia="Cambria"/>
          <w:lang w:val="en-US" w:eastAsia="en-US"/>
        </w:rPr>
      </w:pPr>
      <w:r>
        <w:t>Computing cycles available for open transnational access</w:t>
      </w:r>
    </w:p>
    <w:p w14:paraId="7F9CB3ED" w14:textId="77777777" w:rsidR="00A0746F" w:rsidRPr="00B94CF5" w:rsidRDefault="00A0746F" w:rsidP="00B435DF">
      <w:pPr>
        <w:pStyle w:val="ListParagraph"/>
        <w:numPr>
          <w:ilvl w:val="0"/>
          <w:numId w:val="14"/>
        </w:numPr>
        <w:contextualSpacing w:val="0"/>
        <w:rPr>
          <w:rFonts w:eastAsia="Cambria"/>
          <w:lang w:val="en-US" w:eastAsia="en-US"/>
        </w:rPr>
      </w:pPr>
      <w:r>
        <w:t xml:space="preserve">Number of EGI users </w:t>
      </w:r>
    </w:p>
    <w:p w14:paraId="39AF7C17" w14:textId="77777777" w:rsidR="00A0746F" w:rsidRPr="00B94CF5" w:rsidRDefault="00A0746F" w:rsidP="00B435DF">
      <w:pPr>
        <w:pStyle w:val="ListParagraph"/>
        <w:numPr>
          <w:ilvl w:val="0"/>
          <w:numId w:val="14"/>
        </w:numPr>
        <w:contextualSpacing w:val="0"/>
        <w:rPr>
          <w:rFonts w:eastAsia="Cambria"/>
          <w:lang w:val="en-US" w:eastAsia="en-US"/>
        </w:rPr>
      </w:pPr>
      <w:r>
        <w:lastRenderedPageBreak/>
        <w:t xml:space="preserve">Percentage of transnational usage: percentage of foreign resources (CPU normalized wall time hours) used by users of a given country aggregated across the whole of EGI. </w:t>
      </w:r>
      <w:r>
        <w:br/>
        <w:t>BASELINE (DATE): 28% (May 2014). TARGET 2016: 35%</w:t>
      </w:r>
    </w:p>
    <w:p w14:paraId="1C3854E6" w14:textId="77777777" w:rsidR="00A0746F" w:rsidRDefault="00A0746F" w:rsidP="00A0746F"/>
    <w:p w14:paraId="381DCD87" w14:textId="77777777" w:rsidR="00A0746F" w:rsidRDefault="00A0746F" w:rsidP="00A0746F">
      <w:pPr>
        <w:rPr>
          <w:rFonts w:eastAsia="Cambria"/>
          <w:lang w:val="en-US" w:eastAsia="en-US"/>
        </w:rPr>
      </w:pPr>
      <w:r w:rsidRPr="00B94CF5">
        <w:rPr>
          <w:rFonts w:eastAsia="Cambria"/>
          <w:b/>
          <w:i/>
          <w:lang w:val="en-US" w:eastAsia="en-US"/>
        </w:rPr>
        <w:t>GOAL (</w:t>
      </w:r>
      <w:r w:rsidRPr="00B94CF5">
        <w:rPr>
          <w:b/>
          <w:i/>
        </w:rPr>
        <w:t>data centric science and engineering)</w:t>
      </w:r>
      <w:r w:rsidRPr="00B94CF5">
        <w:rPr>
          <w:rFonts w:eastAsia="Cambria"/>
          <w:b/>
          <w:i/>
          <w:lang w:val="en-US" w:eastAsia="en-US"/>
        </w:rPr>
        <w:t>: Europe leads in the supply and use of computational infrastructure and services in industry and academia, generating new knowledge and industrial innovation</w:t>
      </w:r>
      <w:r w:rsidRPr="00B94CF5">
        <w:rPr>
          <w:rFonts w:eastAsia="Cambria"/>
          <w:lang w:val="en-US" w:eastAsia="en-US"/>
        </w:rPr>
        <w:t>.</w:t>
      </w:r>
    </w:p>
    <w:p w14:paraId="6A6282F1" w14:textId="77777777" w:rsidR="00A0746F" w:rsidRDefault="00A0746F" w:rsidP="00A0746F">
      <w:pPr>
        <w:rPr>
          <w:rFonts w:eastAsia="Cambria"/>
          <w:lang w:val="en-US" w:eastAsia="en-US"/>
        </w:rPr>
      </w:pPr>
      <w:r w:rsidRPr="00B94CF5">
        <w:rPr>
          <w:rFonts w:eastAsia="Cambria"/>
          <w:lang w:val="en-US" w:eastAsia="en-US"/>
        </w:rPr>
        <w:sym w:font="Wingdings" w:char="F0E0"/>
      </w:r>
      <w:r>
        <w:rPr>
          <w:rFonts w:eastAsia="Cambria"/>
          <w:lang w:val="en-US" w:eastAsia="en-US"/>
        </w:rPr>
        <w:t xml:space="preserve"> Indicators:</w:t>
      </w:r>
    </w:p>
    <w:p w14:paraId="60463BA7" w14:textId="77777777" w:rsidR="00A0746F" w:rsidRDefault="00A0746F" w:rsidP="00B435DF">
      <w:pPr>
        <w:pStyle w:val="ListParagraph"/>
        <w:numPr>
          <w:ilvl w:val="0"/>
          <w:numId w:val="15"/>
        </w:numPr>
        <w:contextualSpacing w:val="0"/>
      </w:pPr>
      <w:r>
        <w:t xml:space="preserve">Number of open access scientific publications that benefited from EGI </w:t>
      </w:r>
    </w:p>
    <w:p w14:paraId="016B6949" w14:textId="77777777" w:rsidR="00A0746F" w:rsidRPr="00B94CF5" w:rsidRDefault="00A0746F" w:rsidP="00B435DF">
      <w:pPr>
        <w:pStyle w:val="ListParagraph"/>
        <w:numPr>
          <w:ilvl w:val="0"/>
          <w:numId w:val="15"/>
        </w:numPr>
        <w:contextualSpacing w:val="0"/>
      </w:pPr>
      <w:r>
        <w:t xml:space="preserve">Number of interoperable distributed data storage services available in EGI: ESCRIPTION: number of user interfaces to storage services providing capacity for data ingestion and management, registered in the EGI service </w:t>
      </w:r>
      <w:proofErr w:type="gramStart"/>
      <w:r>
        <w:t>catalogue .</w:t>
      </w:r>
      <w:proofErr w:type="gramEnd"/>
      <w:r>
        <w:t xml:space="preserve"> BASELINE (DATE): 358 service end-</w:t>
      </w:r>
      <w:proofErr w:type="gramStart"/>
      <w:r>
        <w:t>points .</w:t>
      </w:r>
      <w:proofErr w:type="gramEnd"/>
      <w:r>
        <w:t xml:space="preserve"> TARGET 2015: 370 (2015)</w:t>
      </w:r>
    </w:p>
    <w:p w14:paraId="10B2D36A" w14:textId="77777777" w:rsidR="00A0746F" w:rsidRDefault="00A0746F" w:rsidP="00A0746F">
      <w:pPr>
        <w:rPr>
          <w:b/>
        </w:rPr>
      </w:pPr>
    </w:p>
    <w:p w14:paraId="37653E56" w14:textId="77777777" w:rsidR="00A0746F" w:rsidRPr="006B0FED" w:rsidRDefault="00A0746F" w:rsidP="00A0746F">
      <w:pPr>
        <w:rPr>
          <w:b/>
          <w:i/>
        </w:rPr>
      </w:pPr>
      <w:r>
        <w:rPr>
          <w:b/>
        </w:rPr>
        <w:t xml:space="preserve">GOAL (Virtual Research Communities): </w:t>
      </w:r>
      <w:r w:rsidRPr="006B0FED">
        <w:rPr>
          <w:b/>
          <w:i/>
        </w:rPr>
        <w:t>Researchers across disciplines are digitally empowered through e-Science environments and tools tailored to their specific needs, resulting in better collaboration and higher efficiency and creativity in research</w:t>
      </w:r>
    </w:p>
    <w:p w14:paraId="42152A64" w14:textId="77777777" w:rsidR="00A0746F" w:rsidRDefault="00A0746F" w:rsidP="00A0746F">
      <w:r w:rsidRPr="00B94CF5">
        <w:rPr>
          <w:b/>
        </w:rPr>
        <w:sym w:font="Wingdings" w:char="F0E0"/>
      </w:r>
      <w:r>
        <w:t>Indicators:</w:t>
      </w:r>
    </w:p>
    <w:p w14:paraId="410828E0" w14:textId="77777777" w:rsidR="00A0746F" w:rsidRPr="006B0FED" w:rsidRDefault="00A0746F" w:rsidP="00B435DF">
      <w:pPr>
        <w:pStyle w:val="ListParagraph"/>
        <w:numPr>
          <w:ilvl w:val="0"/>
          <w:numId w:val="16"/>
        </w:numPr>
        <w:contextualSpacing w:val="0"/>
        <w:rPr>
          <w:b/>
        </w:rPr>
      </w:pPr>
      <w:r>
        <w:t xml:space="preserve">Number of international virtual research communities that use EGI services: number of active international research collaborations supported yearly by EGI. BASELINE (DATE): 105 (April 2013-May </w:t>
      </w:r>
      <w:proofErr w:type="gramStart"/>
      <w:r>
        <w:t>2014 .</w:t>
      </w:r>
      <w:proofErr w:type="gramEnd"/>
      <w:r>
        <w:t xml:space="preserve"> TARGET 2015: 125  </w:t>
      </w:r>
    </w:p>
    <w:p w14:paraId="7114FE73" w14:textId="17473F86" w:rsidR="00A0746F" w:rsidRPr="006B0FED" w:rsidRDefault="00A0746F" w:rsidP="00B435DF">
      <w:pPr>
        <w:pStyle w:val="ListParagraph"/>
        <w:numPr>
          <w:ilvl w:val="0"/>
          <w:numId w:val="16"/>
        </w:numPr>
        <w:contextualSpacing w:val="0"/>
        <w:rPr>
          <w:b/>
        </w:rPr>
      </w:pPr>
      <w:r>
        <w:t xml:space="preserve">Number of applications and platforms that are integrated with EGI computing services: number of user applications and user-community gateways integrated with the EGI compute and data services. </w:t>
      </w:r>
      <w:proofErr w:type="gramStart"/>
      <w:r>
        <w:t>These are provided by the Application Database</w:t>
      </w:r>
      <w:r w:rsidR="00160FDB">
        <w:rPr>
          <w:rStyle w:val="FootnoteReference"/>
        </w:rPr>
        <w:footnoteReference w:id="7"/>
      </w:r>
      <w:r>
        <w:t xml:space="preserve"> of EGI</w:t>
      </w:r>
      <w:proofErr w:type="gramEnd"/>
      <w:r>
        <w:t xml:space="preserve">. BASELINE (DATE): </w:t>
      </w:r>
      <w:proofErr w:type="gramStart"/>
      <w:r>
        <w:t>495 ,</w:t>
      </w:r>
      <w:proofErr w:type="gramEnd"/>
      <w:r>
        <w:t xml:space="preserve"> TARGET 2015: 530</w:t>
      </w:r>
    </w:p>
    <w:p w14:paraId="2C4A260E" w14:textId="77777777" w:rsidR="00A0746F" w:rsidRPr="00A0746F" w:rsidRDefault="00A0746F" w:rsidP="00A0746F"/>
    <w:p w14:paraId="29D07E5E" w14:textId="77777777" w:rsidR="00E51975" w:rsidRDefault="00E51975" w:rsidP="00141B22">
      <w:pPr>
        <w:pStyle w:val="Heading1"/>
      </w:pPr>
      <w:bookmarkStart w:id="14" w:name="_Toc264803487"/>
      <w:r>
        <w:lastRenderedPageBreak/>
        <w:t>IT Service Management</w:t>
      </w:r>
      <w:bookmarkEnd w:id="14"/>
    </w:p>
    <w:p w14:paraId="2798F395" w14:textId="2DE88047" w:rsidR="00160FDB" w:rsidRDefault="00160FDB" w:rsidP="00E51975">
      <w:pPr>
        <w:rPr>
          <w:color w:val="222222"/>
          <w:szCs w:val="22"/>
          <w:shd w:val="clear" w:color="auto" w:fill="FFFFFF"/>
        </w:rPr>
      </w:pPr>
      <w:r>
        <w:rPr>
          <w:color w:val="222222"/>
          <w:szCs w:val="22"/>
          <w:shd w:val="clear" w:color="auto" w:fill="FFFFFF"/>
        </w:rPr>
        <w:t>A major effort was spent in PY4 for the improvement of quality, documentation and repeatability of processes with the objective of reaching a higher level of professionalization in service management applied to the EGI.eu services enabling the federation and transnational access.</w:t>
      </w:r>
    </w:p>
    <w:p w14:paraId="3E8CAEA5" w14:textId="77777777" w:rsidR="00E51975" w:rsidRPr="00951323" w:rsidRDefault="00E51975" w:rsidP="00E51975">
      <w:pPr>
        <w:rPr>
          <w:color w:val="222222"/>
          <w:szCs w:val="22"/>
          <w:shd w:val="clear" w:color="auto" w:fill="FFFFFF"/>
        </w:rPr>
      </w:pPr>
      <w:r>
        <w:rPr>
          <w:color w:val="222222"/>
          <w:szCs w:val="22"/>
          <w:shd w:val="clear" w:color="auto" w:fill="FFFFFF"/>
        </w:rPr>
        <w:t xml:space="preserve">Several EGI documents have mentioned IT Service Management as </w:t>
      </w:r>
      <w:r w:rsidRPr="00772807">
        <w:rPr>
          <w:color w:val="222222"/>
          <w:szCs w:val="22"/>
          <w:shd w:val="clear" w:color="auto" w:fill="FFFFFF"/>
        </w:rPr>
        <w:t xml:space="preserve">a strategic area for improving </w:t>
      </w:r>
      <w:r>
        <w:rPr>
          <w:color w:val="222222"/>
          <w:szCs w:val="22"/>
          <w:shd w:val="clear" w:color="auto" w:fill="FFFFFF"/>
        </w:rPr>
        <w:t xml:space="preserve">the way services are defined and managed across the infrastructure. </w:t>
      </w:r>
      <w:r w:rsidRPr="00772807">
        <w:rPr>
          <w:color w:val="222222"/>
          <w:szCs w:val="22"/>
          <w:shd w:val="clear" w:color="auto" w:fill="FFFFFF"/>
        </w:rPr>
        <w:t>The ITIL® framework is the most widely accepted approach to IT service management and the de facto standard for operating computer centres in the industrial sector</w:t>
      </w:r>
      <w:r>
        <w:rPr>
          <w:color w:val="222222"/>
          <w:szCs w:val="22"/>
          <w:shd w:val="clear" w:color="auto" w:fill="FFFFFF"/>
        </w:rPr>
        <w:t>,</w:t>
      </w:r>
      <w:r w:rsidRPr="00772807">
        <w:rPr>
          <w:color w:val="222222"/>
          <w:szCs w:val="22"/>
          <w:shd w:val="clear" w:color="auto" w:fill="FFFFFF"/>
        </w:rPr>
        <w:t xml:space="preserve"> providing a cohesive set of best practices, drawn from the public and private sectors internationally.</w:t>
      </w:r>
      <w:r>
        <w:rPr>
          <w:color w:val="222222"/>
          <w:szCs w:val="22"/>
          <w:shd w:val="clear" w:color="auto" w:fill="FFFFFF"/>
        </w:rPr>
        <w:t xml:space="preserve"> However, ITIL, along with a number of other standards and frameworks like ISO/IEC 20000 are extremely complex, which hinders if not stops actual implementation. In addition, they do not address a number of challenges faced in federated environments such as EGI: assumes</w:t>
      </w:r>
      <w:r w:rsidRPr="00951323">
        <w:rPr>
          <w:color w:val="222222"/>
          <w:szCs w:val="22"/>
          <w:shd w:val="clear" w:color="auto" w:fill="FFFFFF"/>
        </w:rPr>
        <w:t xml:space="preserve"> single central control</w:t>
      </w:r>
      <w:r>
        <w:rPr>
          <w:color w:val="222222"/>
          <w:szCs w:val="22"/>
          <w:shd w:val="clear" w:color="auto" w:fill="FFFFFF"/>
        </w:rPr>
        <w:t xml:space="preserve"> of service provision, h</w:t>
      </w:r>
      <w:r w:rsidRPr="00951323">
        <w:rPr>
          <w:color w:val="222222"/>
          <w:szCs w:val="22"/>
          <w:shd w:val="clear" w:color="auto" w:fill="FFFFFF"/>
        </w:rPr>
        <w:t>ardly address collaborations</w:t>
      </w:r>
      <w:r>
        <w:rPr>
          <w:color w:val="222222"/>
          <w:szCs w:val="22"/>
          <w:shd w:val="clear" w:color="auto" w:fill="FFFFFF"/>
        </w:rPr>
        <w:t>, are t</w:t>
      </w:r>
      <w:r w:rsidRPr="00951323">
        <w:rPr>
          <w:color w:val="222222"/>
          <w:szCs w:val="22"/>
          <w:shd w:val="clear" w:color="auto" w:fill="FFFFFF"/>
        </w:rPr>
        <w:t xml:space="preserve">opic specific or massive </w:t>
      </w:r>
      <w:r>
        <w:rPr>
          <w:color w:val="222222"/>
          <w:szCs w:val="22"/>
          <w:shd w:val="clear" w:color="auto" w:fill="FFFFFF"/>
        </w:rPr>
        <w:t xml:space="preserve">in </w:t>
      </w:r>
      <w:r w:rsidRPr="00951323">
        <w:rPr>
          <w:color w:val="222222"/>
          <w:szCs w:val="22"/>
          <w:shd w:val="clear" w:color="auto" w:fill="FFFFFF"/>
        </w:rPr>
        <w:t>content</w:t>
      </w:r>
      <w:r>
        <w:rPr>
          <w:color w:val="222222"/>
          <w:szCs w:val="22"/>
          <w:shd w:val="clear" w:color="auto" w:fill="FFFFFF"/>
        </w:rPr>
        <w:t xml:space="preserve"> and t</w:t>
      </w:r>
      <w:r w:rsidRPr="00951323">
        <w:rPr>
          <w:color w:val="222222"/>
          <w:szCs w:val="22"/>
          <w:shd w:val="clear" w:color="auto" w:fill="FFFFFF"/>
        </w:rPr>
        <w:t xml:space="preserve">raditional ITSM </w:t>
      </w:r>
      <w:r>
        <w:rPr>
          <w:color w:val="222222"/>
          <w:szCs w:val="22"/>
          <w:shd w:val="clear" w:color="auto" w:fill="FFFFFF"/>
        </w:rPr>
        <w:t>concepts/</w:t>
      </w:r>
      <w:r w:rsidRPr="00951323">
        <w:rPr>
          <w:color w:val="222222"/>
          <w:szCs w:val="22"/>
          <w:shd w:val="clear" w:color="auto" w:fill="FFFFFF"/>
        </w:rPr>
        <w:t xml:space="preserve">ideas </w:t>
      </w:r>
      <w:r>
        <w:rPr>
          <w:color w:val="222222"/>
          <w:szCs w:val="22"/>
          <w:shd w:val="clear" w:color="auto" w:fill="FFFFFF"/>
        </w:rPr>
        <w:t xml:space="preserve">do not always </w:t>
      </w:r>
      <w:r w:rsidRPr="00951323">
        <w:rPr>
          <w:color w:val="222222"/>
          <w:szCs w:val="22"/>
          <w:shd w:val="clear" w:color="auto" w:fill="FFFFFF"/>
        </w:rPr>
        <w:t>work</w:t>
      </w:r>
      <w:r>
        <w:rPr>
          <w:color w:val="222222"/>
          <w:szCs w:val="22"/>
          <w:shd w:val="clear" w:color="auto" w:fill="FFFFFF"/>
        </w:rPr>
        <w:t>.</w:t>
      </w:r>
    </w:p>
    <w:p w14:paraId="3614C942" w14:textId="77777777" w:rsidR="00E51975" w:rsidRDefault="00E51975" w:rsidP="00E51975">
      <w:pPr>
        <w:rPr>
          <w:color w:val="222222"/>
          <w:szCs w:val="22"/>
          <w:shd w:val="clear" w:color="auto" w:fill="FFFFFF"/>
        </w:rPr>
      </w:pPr>
      <w:r w:rsidRPr="00772807">
        <w:rPr>
          <w:color w:val="222222"/>
          <w:szCs w:val="22"/>
          <w:shd w:val="clear" w:color="auto" w:fill="FFFFFF"/>
        </w:rPr>
        <w:t xml:space="preserve">With the kick-off of the </w:t>
      </w:r>
      <w:proofErr w:type="spellStart"/>
      <w:r w:rsidRPr="00772807">
        <w:rPr>
          <w:color w:val="222222"/>
          <w:szCs w:val="22"/>
          <w:shd w:val="clear" w:color="auto" w:fill="FFFFFF"/>
        </w:rPr>
        <w:t>FedSM</w:t>
      </w:r>
      <w:proofErr w:type="spellEnd"/>
      <w:r w:rsidRPr="00772807">
        <w:rPr>
          <w:color w:val="222222"/>
          <w:szCs w:val="22"/>
          <w:shd w:val="clear" w:color="auto" w:fill="FFFFFF"/>
        </w:rPr>
        <w:t xml:space="preserve"> project</w:t>
      </w:r>
      <w:r>
        <w:rPr>
          <w:rStyle w:val="FootnoteReference"/>
          <w:color w:val="222222"/>
          <w:szCs w:val="22"/>
          <w:shd w:val="clear" w:color="auto" w:fill="FFFFFF"/>
        </w:rPr>
        <w:footnoteReference w:id="8"/>
      </w:r>
      <w:r w:rsidRPr="00772807">
        <w:rPr>
          <w:color w:val="222222"/>
          <w:szCs w:val="22"/>
          <w:shd w:val="clear" w:color="auto" w:fill="FFFFFF"/>
        </w:rPr>
        <w:t xml:space="preserve"> where EGI.eu is a client partner, </w:t>
      </w:r>
      <w:r>
        <w:rPr>
          <w:color w:val="222222"/>
          <w:szCs w:val="22"/>
          <w:shd w:val="clear" w:color="auto" w:fill="FFFFFF"/>
        </w:rPr>
        <w:t xml:space="preserve">a new lightweight service management standard was created called, </w:t>
      </w:r>
      <w:proofErr w:type="spellStart"/>
      <w:r>
        <w:rPr>
          <w:color w:val="222222"/>
          <w:szCs w:val="22"/>
          <w:shd w:val="clear" w:color="auto" w:fill="FFFFFF"/>
        </w:rPr>
        <w:t>FitSM</w:t>
      </w:r>
      <w:proofErr w:type="spellEnd"/>
      <w:r>
        <w:rPr>
          <w:color w:val="222222"/>
          <w:szCs w:val="22"/>
          <w:shd w:val="clear" w:color="auto" w:fill="FFFFFF"/>
        </w:rPr>
        <w:t xml:space="preserve">. </w:t>
      </w:r>
      <w:proofErr w:type="spellStart"/>
      <w:r>
        <w:rPr>
          <w:color w:val="222222"/>
          <w:szCs w:val="22"/>
          <w:shd w:val="clear" w:color="auto" w:fill="FFFFFF"/>
        </w:rPr>
        <w:t>FitSM</w:t>
      </w:r>
      <w:proofErr w:type="spellEnd"/>
      <w:r>
        <w:rPr>
          <w:color w:val="222222"/>
          <w:szCs w:val="22"/>
          <w:shd w:val="clear" w:color="auto" w:fill="FFFFFF"/>
        </w:rPr>
        <w:t xml:space="preserve"> provides</w:t>
      </w:r>
      <w:r w:rsidRPr="007F076B">
        <w:rPr>
          <w:color w:val="222222"/>
          <w:szCs w:val="22"/>
          <w:shd w:val="clear" w:color="auto" w:fill="FFFFFF"/>
        </w:rPr>
        <w:t xml:space="preserve"> a pragmatic and achievable standard that allows for effective service management</w:t>
      </w:r>
      <w:r>
        <w:rPr>
          <w:color w:val="222222"/>
          <w:szCs w:val="22"/>
          <w:shd w:val="clear" w:color="auto" w:fill="FFFFFF"/>
        </w:rPr>
        <w:t>,</w:t>
      </w:r>
      <w:r w:rsidRPr="007F076B">
        <w:rPr>
          <w:color w:val="222222"/>
          <w:szCs w:val="22"/>
          <w:shd w:val="clear" w:color="auto" w:fill="FFFFFF"/>
        </w:rPr>
        <w:t xml:space="preserve"> cope</w:t>
      </w:r>
      <w:r>
        <w:rPr>
          <w:color w:val="222222"/>
          <w:szCs w:val="22"/>
          <w:shd w:val="clear" w:color="auto" w:fill="FFFFFF"/>
        </w:rPr>
        <w:t>s</w:t>
      </w:r>
      <w:r w:rsidRPr="007F076B">
        <w:rPr>
          <w:color w:val="222222"/>
          <w:szCs w:val="22"/>
          <w:shd w:val="clear" w:color="auto" w:fill="FFFFFF"/>
        </w:rPr>
        <w:t xml:space="preserve"> with federated environments, which often lack the hierarchy and level of control seen in other situations</w:t>
      </w:r>
      <w:r>
        <w:rPr>
          <w:color w:val="222222"/>
          <w:szCs w:val="22"/>
          <w:shd w:val="clear" w:color="auto" w:fill="FFFFFF"/>
        </w:rPr>
        <w:t>, p</w:t>
      </w:r>
      <w:r w:rsidRPr="007F076B">
        <w:rPr>
          <w:color w:val="222222"/>
          <w:szCs w:val="22"/>
          <w:shd w:val="clear" w:color="auto" w:fill="FFFFFF"/>
        </w:rPr>
        <w:t>rovide</w:t>
      </w:r>
      <w:r>
        <w:rPr>
          <w:color w:val="222222"/>
          <w:szCs w:val="22"/>
          <w:shd w:val="clear" w:color="auto" w:fill="FFFFFF"/>
        </w:rPr>
        <w:t>s</w:t>
      </w:r>
      <w:r w:rsidRPr="007F076B">
        <w:rPr>
          <w:color w:val="222222"/>
          <w:szCs w:val="22"/>
          <w:shd w:val="clear" w:color="auto" w:fill="FFFFFF"/>
        </w:rPr>
        <w:t xml:space="preserve"> a baseline level of ITSM than can support ‘management interoperability’</w:t>
      </w:r>
      <w:r>
        <w:rPr>
          <w:color w:val="222222"/>
          <w:szCs w:val="22"/>
          <w:shd w:val="clear" w:color="auto" w:fill="FFFFFF"/>
        </w:rPr>
        <w:t xml:space="preserve"> and</w:t>
      </w:r>
      <w:r w:rsidRPr="007F076B">
        <w:rPr>
          <w:color w:val="222222"/>
          <w:szCs w:val="22"/>
          <w:shd w:val="clear" w:color="auto" w:fill="FFFFFF"/>
        </w:rPr>
        <w:t xml:space="preserve"> </w:t>
      </w:r>
      <w:r>
        <w:rPr>
          <w:color w:val="222222"/>
          <w:szCs w:val="22"/>
          <w:shd w:val="clear" w:color="auto" w:fill="FFFFFF"/>
        </w:rPr>
        <w:t xml:space="preserve">gives </w:t>
      </w:r>
      <w:r w:rsidRPr="007F076B">
        <w:rPr>
          <w:color w:val="222222"/>
          <w:szCs w:val="22"/>
          <w:shd w:val="clear" w:color="auto" w:fill="FFFFFF"/>
        </w:rPr>
        <w:t>concrete support for ITSM implementation through assessment tools</w:t>
      </w:r>
      <w:r>
        <w:rPr>
          <w:color w:val="222222"/>
          <w:szCs w:val="22"/>
          <w:shd w:val="clear" w:color="auto" w:fill="FFFFFF"/>
        </w:rPr>
        <w:t>, guides, templates and samples.</w:t>
      </w:r>
    </w:p>
    <w:p w14:paraId="5679B03B" w14:textId="77777777" w:rsidR="00E51975" w:rsidRDefault="00E51975" w:rsidP="00E51975">
      <w:pPr>
        <w:rPr>
          <w:color w:val="222222"/>
          <w:szCs w:val="22"/>
          <w:shd w:val="clear" w:color="auto" w:fill="FFFFFF"/>
        </w:rPr>
      </w:pPr>
      <w:r w:rsidRPr="00772807">
        <w:rPr>
          <w:color w:val="222222"/>
          <w:szCs w:val="22"/>
          <w:shd w:val="clear" w:color="auto" w:fill="FFFFFF"/>
        </w:rPr>
        <w:t>Over the last year, EGI has work</w:t>
      </w:r>
      <w:r>
        <w:rPr>
          <w:color w:val="222222"/>
          <w:szCs w:val="22"/>
          <w:shd w:val="clear" w:color="auto" w:fill="FFFFFF"/>
        </w:rPr>
        <w:t>ed</w:t>
      </w:r>
      <w:r w:rsidRPr="00772807">
        <w:rPr>
          <w:color w:val="222222"/>
          <w:szCs w:val="22"/>
          <w:shd w:val="clear" w:color="auto" w:fill="FFFFFF"/>
        </w:rPr>
        <w:t xml:space="preserve"> to increase the maturity of its service management processes </w:t>
      </w:r>
      <w:r>
        <w:rPr>
          <w:color w:val="222222"/>
          <w:szCs w:val="22"/>
          <w:shd w:val="clear" w:color="auto" w:fill="FFFFFF"/>
        </w:rPr>
        <w:t xml:space="preserve">according to the requirements provided by this new standard </w:t>
      </w:r>
      <w:r w:rsidRPr="00772807">
        <w:rPr>
          <w:color w:val="222222"/>
          <w:szCs w:val="22"/>
          <w:shd w:val="clear" w:color="auto" w:fill="FFFFFF"/>
        </w:rPr>
        <w:t>in the areas of operations, policy and software delivery</w:t>
      </w:r>
      <w:r>
        <w:rPr>
          <w:color w:val="222222"/>
          <w:szCs w:val="22"/>
          <w:shd w:val="clear" w:color="auto" w:fill="FFFFFF"/>
        </w:rPr>
        <w:t xml:space="preserve">. One of the major benefits that </w:t>
      </w:r>
      <w:proofErr w:type="gramStart"/>
      <w:r>
        <w:rPr>
          <w:color w:val="222222"/>
          <w:szCs w:val="22"/>
          <w:shd w:val="clear" w:color="auto" w:fill="FFFFFF"/>
        </w:rPr>
        <w:t>has</w:t>
      </w:r>
      <w:proofErr w:type="gramEnd"/>
      <w:r>
        <w:rPr>
          <w:color w:val="222222"/>
          <w:szCs w:val="22"/>
          <w:shd w:val="clear" w:color="auto" w:fill="FFFFFF"/>
        </w:rPr>
        <w:t xml:space="preserve"> supported implementation is</w:t>
      </w:r>
      <w:r w:rsidRPr="00772807">
        <w:rPr>
          <w:color w:val="222222"/>
          <w:szCs w:val="22"/>
          <w:shd w:val="clear" w:color="auto" w:fill="FFFFFF"/>
        </w:rPr>
        <w:t xml:space="preserve"> dedicated consultancy </w:t>
      </w:r>
      <w:r>
        <w:rPr>
          <w:color w:val="222222"/>
          <w:szCs w:val="22"/>
          <w:shd w:val="clear" w:color="auto" w:fill="FFFFFF"/>
        </w:rPr>
        <w:t xml:space="preserve">as well as templates provided by the </w:t>
      </w:r>
      <w:proofErr w:type="spellStart"/>
      <w:r>
        <w:rPr>
          <w:color w:val="222222"/>
          <w:szCs w:val="22"/>
          <w:shd w:val="clear" w:color="auto" w:fill="FFFFFF"/>
        </w:rPr>
        <w:t>FedSM</w:t>
      </w:r>
      <w:proofErr w:type="spellEnd"/>
      <w:r>
        <w:rPr>
          <w:color w:val="222222"/>
          <w:szCs w:val="22"/>
          <w:shd w:val="clear" w:color="auto" w:fill="FFFFFF"/>
        </w:rPr>
        <w:t xml:space="preserve"> project.</w:t>
      </w:r>
    </w:p>
    <w:p w14:paraId="156ABDAC" w14:textId="0AE53B77" w:rsidR="00E51975" w:rsidRPr="00A916BF" w:rsidRDefault="00E51975" w:rsidP="00E51975">
      <w:pPr>
        <w:rPr>
          <w:color w:val="222222"/>
          <w:szCs w:val="22"/>
          <w:shd w:val="clear" w:color="auto" w:fill="FFFFFF"/>
        </w:rPr>
      </w:pPr>
      <w:r w:rsidRPr="00772807">
        <w:rPr>
          <w:color w:val="222222"/>
          <w:szCs w:val="22"/>
          <w:shd w:val="clear" w:color="auto" w:fill="FFFFFF"/>
        </w:rPr>
        <w:t>One of the main outcome</w:t>
      </w:r>
      <w:r>
        <w:rPr>
          <w:color w:val="222222"/>
          <w:szCs w:val="22"/>
          <w:shd w:val="clear" w:color="auto" w:fill="FFFFFF"/>
        </w:rPr>
        <w:t>s</w:t>
      </w:r>
      <w:r w:rsidRPr="00772807">
        <w:rPr>
          <w:color w:val="222222"/>
          <w:szCs w:val="22"/>
          <w:shd w:val="clear" w:color="auto" w:fill="FFFFFF"/>
        </w:rPr>
        <w:t xml:space="preserve"> has been the creation of the EGI.eu service portfolio</w:t>
      </w:r>
      <w:r w:rsidR="00160FDB">
        <w:rPr>
          <w:rStyle w:val="FootnoteReference"/>
          <w:color w:val="222222"/>
          <w:szCs w:val="22"/>
          <w:shd w:val="clear" w:color="auto" w:fill="FFFFFF"/>
        </w:rPr>
        <w:footnoteReference w:id="9"/>
      </w:r>
      <w:r w:rsidRPr="00772807">
        <w:rPr>
          <w:color w:val="222222"/>
          <w:szCs w:val="22"/>
          <w:shd w:val="clear" w:color="auto" w:fill="FFFFFF"/>
        </w:rPr>
        <w:t xml:space="preserve"> as a refactoring of the EGI-</w:t>
      </w:r>
      <w:proofErr w:type="spellStart"/>
      <w:r w:rsidRPr="00772807">
        <w:rPr>
          <w:color w:val="222222"/>
          <w:szCs w:val="22"/>
          <w:shd w:val="clear" w:color="auto" w:fill="FFFFFF"/>
        </w:rPr>
        <w:t>InSPIRE</w:t>
      </w:r>
      <w:proofErr w:type="spellEnd"/>
      <w:r w:rsidRPr="00772807">
        <w:rPr>
          <w:color w:val="222222"/>
          <w:szCs w:val="22"/>
          <w:shd w:val="clear" w:color="auto" w:fill="FFFFFF"/>
        </w:rPr>
        <w:t xml:space="preserve"> activities</w:t>
      </w:r>
      <w:r>
        <w:rPr>
          <w:color w:val="222222"/>
          <w:szCs w:val="22"/>
          <w:shd w:val="clear" w:color="auto" w:fill="FFFFFF"/>
        </w:rPr>
        <w:t>. This portfolio</w:t>
      </w:r>
      <w:r w:rsidRPr="00772807">
        <w:rPr>
          <w:color w:val="222222"/>
          <w:szCs w:val="22"/>
          <w:shd w:val="clear" w:color="auto" w:fill="FFFFFF"/>
        </w:rPr>
        <w:t xml:space="preserve"> organise</w:t>
      </w:r>
      <w:r>
        <w:rPr>
          <w:color w:val="222222"/>
          <w:szCs w:val="22"/>
          <w:shd w:val="clear" w:color="auto" w:fill="FFFFFF"/>
        </w:rPr>
        <w:t>s</w:t>
      </w:r>
      <w:r w:rsidRPr="00772807">
        <w:rPr>
          <w:color w:val="222222"/>
          <w:szCs w:val="22"/>
          <w:shd w:val="clear" w:color="auto" w:fill="FFFFFF"/>
        </w:rPr>
        <w:t xml:space="preserve"> the services being provided from </w:t>
      </w:r>
      <w:r>
        <w:rPr>
          <w:color w:val="222222"/>
          <w:szCs w:val="22"/>
          <w:shd w:val="clear" w:color="auto" w:fill="FFFFFF"/>
        </w:rPr>
        <w:t>an</w:t>
      </w:r>
      <w:r w:rsidRPr="00772807">
        <w:rPr>
          <w:color w:val="222222"/>
          <w:szCs w:val="22"/>
          <w:shd w:val="clear" w:color="auto" w:fill="FFFFFF"/>
        </w:rPr>
        <w:t xml:space="preserve"> organisation</w:t>
      </w:r>
      <w:r>
        <w:rPr>
          <w:color w:val="222222"/>
          <w:szCs w:val="22"/>
          <w:shd w:val="clear" w:color="auto" w:fill="FFFFFF"/>
        </w:rPr>
        <w:t>al</w:t>
      </w:r>
      <w:r w:rsidRPr="00772807">
        <w:rPr>
          <w:color w:val="222222"/>
          <w:szCs w:val="22"/>
          <w:shd w:val="clear" w:color="auto" w:fill="FFFFFF"/>
        </w:rPr>
        <w:t xml:space="preserve"> viewpoint and </w:t>
      </w:r>
      <w:r>
        <w:rPr>
          <w:color w:val="222222"/>
          <w:szCs w:val="22"/>
          <w:shd w:val="clear" w:color="auto" w:fill="FFFFFF"/>
        </w:rPr>
        <w:t xml:space="preserve">hence </w:t>
      </w:r>
      <w:r w:rsidRPr="00772807">
        <w:rPr>
          <w:color w:val="222222"/>
          <w:szCs w:val="22"/>
          <w:shd w:val="clear" w:color="auto" w:fill="FFFFFF"/>
        </w:rPr>
        <w:t xml:space="preserve">regardless </w:t>
      </w:r>
      <w:r>
        <w:rPr>
          <w:color w:val="222222"/>
          <w:szCs w:val="22"/>
          <w:shd w:val="clear" w:color="auto" w:fill="FFFFFF"/>
        </w:rPr>
        <w:t xml:space="preserve">of </w:t>
      </w:r>
      <w:r w:rsidRPr="00772807">
        <w:rPr>
          <w:color w:val="222222"/>
          <w:szCs w:val="22"/>
          <w:shd w:val="clear" w:color="auto" w:fill="FFFFFF"/>
        </w:rPr>
        <w:t>the project structure. The cost</w:t>
      </w:r>
      <w:r>
        <w:rPr>
          <w:color w:val="222222"/>
          <w:szCs w:val="22"/>
          <w:shd w:val="clear" w:color="auto" w:fill="FFFFFF"/>
        </w:rPr>
        <w:t>s</w:t>
      </w:r>
      <w:r w:rsidRPr="00772807">
        <w:rPr>
          <w:color w:val="222222"/>
          <w:szCs w:val="22"/>
          <w:shd w:val="clear" w:color="auto" w:fill="FFFFFF"/>
        </w:rPr>
        <w:t xml:space="preserve"> of </w:t>
      </w:r>
      <w:r>
        <w:rPr>
          <w:color w:val="222222"/>
          <w:szCs w:val="22"/>
          <w:shd w:val="clear" w:color="auto" w:fill="FFFFFF"/>
        </w:rPr>
        <w:t>the EGI G</w:t>
      </w:r>
      <w:r w:rsidRPr="00772807">
        <w:rPr>
          <w:color w:val="222222"/>
          <w:szCs w:val="22"/>
          <w:shd w:val="clear" w:color="auto" w:fill="FFFFFF"/>
        </w:rPr>
        <w:t xml:space="preserve">lobal </w:t>
      </w:r>
      <w:r>
        <w:rPr>
          <w:color w:val="222222"/>
          <w:szCs w:val="22"/>
          <w:shd w:val="clear" w:color="auto" w:fill="FFFFFF"/>
        </w:rPr>
        <w:t>T</w:t>
      </w:r>
      <w:r w:rsidRPr="00772807">
        <w:rPr>
          <w:color w:val="222222"/>
          <w:szCs w:val="22"/>
          <w:shd w:val="clear" w:color="auto" w:fill="FFFFFF"/>
        </w:rPr>
        <w:t xml:space="preserve">asks have also been restructured to map </w:t>
      </w:r>
      <w:r>
        <w:rPr>
          <w:color w:val="222222"/>
          <w:szCs w:val="22"/>
          <w:shd w:val="clear" w:color="auto" w:fill="FFFFFF"/>
        </w:rPr>
        <w:t xml:space="preserve">across to </w:t>
      </w:r>
      <w:r w:rsidRPr="00772807">
        <w:rPr>
          <w:color w:val="222222"/>
          <w:szCs w:val="22"/>
          <w:shd w:val="clear" w:color="auto" w:fill="FFFFFF"/>
        </w:rPr>
        <w:t xml:space="preserve">the new service portfolio. The finalisation and publication of the portfolio </w:t>
      </w:r>
      <w:r>
        <w:rPr>
          <w:color w:val="222222"/>
          <w:szCs w:val="22"/>
          <w:shd w:val="clear" w:color="auto" w:fill="FFFFFF"/>
        </w:rPr>
        <w:t>wa</w:t>
      </w:r>
      <w:r w:rsidRPr="00772807">
        <w:rPr>
          <w:color w:val="222222"/>
          <w:szCs w:val="22"/>
          <w:shd w:val="clear" w:color="auto" w:fill="FFFFFF"/>
        </w:rPr>
        <w:t xml:space="preserve">s </w:t>
      </w:r>
      <w:r>
        <w:rPr>
          <w:color w:val="222222"/>
          <w:szCs w:val="22"/>
          <w:shd w:val="clear" w:color="auto" w:fill="FFFFFF"/>
        </w:rPr>
        <w:t>approved</w:t>
      </w:r>
      <w:r w:rsidRPr="00772807">
        <w:rPr>
          <w:color w:val="222222"/>
          <w:szCs w:val="22"/>
          <w:shd w:val="clear" w:color="auto" w:fill="FFFFFF"/>
        </w:rPr>
        <w:t xml:space="preserve"> </w:t>
      </w:r>
      <w:r>
        <w:rPr>
          <w:color w:val="222222"/>
          <w:szCs w:val="22"/>
          <w:shd w:val="clear" w:color="auto" w:fill="FFFFFF"/>
        </w:rPr>
        <w:t>during the summer of 2013 and published as a service catalogue on the EGI website.</w:t>
      </w:r>
    </w:p>
    <w:p w14:paraId="3AFB3B16" w14:textId="77777777" w:rsidR="00E51975" w:rsidRPr="00772807" w:rsidRDefault="00E51975" w:rsidP="00E51975">
      <w:pPr>
        <w:rPr>
          <w:color w:val="222222"/>
          <w:szCs w:val="22"/>
          <w:shd w:val="clear" w:color="auto" w:fill="FFFFFF"/>
        </w:rPr>
      </w:pPr>
      <w:r w:rsidRPr="00DC28C9">
        <w:rPr>
          <w:color w:val="222222"/>
          <w:szCs w:val="22"/>
          <w:shd w:val="clear" w:color="auto" w:fill="FFFFFF"/>
        </w:rPr>
        <w:t xml:space="preserve">The initial scope of ITSM for EGI will first be on </w:t>
      </w:r>
      <w:r>
        <w:rPr>
          <w:color w:val="222222"/>
          <w:szCs w:val="22"/>
          <w:shd w:val="clear" w:color="auto" w:fill="FFFFFF"/>
        </w:rPr>
        <w:t>the “</w:t>
      </w:r>
      <w:r w:rsidRPr="00DC28C9">
        <w:rPr>
          <w:color w:val="222222"/>
          <w:szCs w:val="22"/>
          <w:shd w:val="clear" w:color="auto" w:fill="FFFFFF"/>
        </w:rPr>
        <w:t>Federated Operations</w:t>
      </w:r>
      <w:r>
        <w:rPr>
          <w:color w:val="222222"/>
          <w:szCs w:val="22"/>
          <w:shd w:val="clear" w:color="auto" w:fill="FFFFFF"/>
        </w:rPr>
        <w:t>” service</w:t>
      </w:r>
      <w:r w:rsidRPr="00DC28C9">
        <w:rPr>
          <w:color w:val="222222"/>
          <w:szCs w:val="22"/>
          <w:shd w:val="clear" w:color="auto" w:fill="FFFFFF"/>
        </w:rPr>
        <w:t>. This is mainly because it is the largest EGI service, to balance implementation effort and to gain experience and knowledge to then apply to other services.</w:t>
      </w:r>
      <w:r>
        <w:rPr>
          <w:color w:val="222222"/>
          <w:szCs w:val="22"/>
          <w:shd w:val="clear" w:color="auto" w:fill="FFFFFF"/>
        </w:rPr>
        <w:t xml:space="preserve"> A maturity assessment was conducted based on a scheme developed by </w:t>
      </w:r>
      <w:proofErr w:type="spellStart"/>
      <w:r>
        <w:rPr>
          <w:color w:val="222222"/>
          <w:szCs w:val="22"/>
          <w:shd w:val="clear" w:color="auto" w:fill="FFFFFF"/>
        </w:rPr>
        <w:t>FedSM</w:t>
      </w:r>
      <w:proofErr w:type="spellEnd"/>
      <w:r>
        <w:rPr>
          <w:color w:val="222222"/>
          <w:szCs w:val="22"/>
          <w:shd w:val="clear" w:color="auto" w:fill="FFFFFF"/>
        </w:rPr>
        <w:t xml:space="preserve"> allowing EGI to target specific areas helping to more efficiently improve identified gaps. One of the main results was from looking at management processes from</w:t>
      </w:r>
      <w:r w:rsidRPr="00E43402">
        <w:rPr>
          <w:color w:val="222222"/>
          <w:szCs w:val="22"/>
          <w:shd w:val="clear" w:color="auto" w:fill="FFFFFF"/>
        </w:rPr>
        <w:t xml:space="preserve"> an overall service</w:t>
      </w:r>
      <w:r>
        <w:rPr>
          <w:color w:val="222222"/>
          <w:szCs w:val="22"/>
          <w:shd w:val="clear" w:color="auto" w:fill="FFFFFF"/>
        </w:rPr>
        <w:t xml:space="preserve"> perspective and the realization</w:t>
      </w:r>
      <w:r w:rsidRPr="00E43402">
        <w:rPr>
          <w:color w:val="222222"/>
          <w:szCs w:val="22"/>
          <w:shd w:val="clear" w:color="auto" w:fill="FFFFFF"/>
        </w:rPr>
        <w:t xml:space="preserve"> that many of the processes and procedures were tied to </w:t>
      </w:r>
      <w:r>
        <w:rPr>
          <w:color w:val="222222"/>
          <w:szCs w:val="22"/>
          <w:shd w:val="clear" w:color="auto" w:fill="FFFFFF"/>
        </w:rPr>
        <w:t>service components</w:t>
      </w:r>
      <w:r w:rsidRPr="00E43402">
        <w:rPr>
          <w:color w:val="222222"/>
          <w:szCs w:val="22"/>
          <w:shd w:val="clear" w:color="auto" w:fill="FFFFFF"/>
        </w:rPr>
        <w:t xml:space="preserve"> and not the service itself. In fact, some were quite mature where others were completely missing.</w:t>
      </w:r>
    </w:p>
    <w:p w14:paraId="53169F65" w14:textId="77777777" w:rsidR="00E51975" w:rsidRPr="00A916BF" w:rsidRDefault="00E51975" w:rsidP="00E51975">
      <w:pPr>
        <w:rPr>
          <w:color w:val="222222"/>
          <w:szCs w:val="22"/>
          <w:shd w:val="clear" w:color="auto" w:fill="FFFFFF"/>
        </w:rPr>
      </w:pPr>
      <w:r>
        <w:rPr>
          <w:color w:val="222222"/>
          <w:szCs w:val="22"/>
          <w:shd w:val="clear" w:color="auto" w:fill="FFFFFF"/>
        </w:rPr>
        <w:t xml:space="preserve">Moving into the future, ITSM implementation will continue to expand, not only in defined processes and procedures, but in service coverage as well. </w:t>
      </w:r>
      <w:r w:rsidRPr="00A916BF">
        <w:rPr>
          <w:color w:val="222222"/>
          <w:szCs w:val="22"/>
          <w:shd w:val="clear" w:color="auto" w:fill="FFFFFF"/>
        </w:rPr>
        <w:t xml:space="preserve">ITSM is and will continue to be fundamental in </w:t>
      </w:r>
      <w:r w:rsidRPr="00A916BF">
        <w:rPr>
          <w:color w:val="222222"/>
          <w:szCs w:val="22"/>
          <w:shd w:val="clear" w:color="auto" w:fill="FFFFFF"/>
        </w:rPr>
        <w:lastRenderedPageBreak/>
        <w:t>supporting EGI’s evolution as a sustainable e-Infrastructure for accelerating research in Europe and beyond</w:t>
      </w:r>
      <w:r>
        <w:rPr>
          <w:color w:val="222222"/>
          <w:szCs w:val="22"/>
          <w:shd w:val="clear" w:color="auto" w:fill="FFFFFF"/>
        </w:rPr>
        <w:t>, by o</w:t>
      </w:r>
      <w:r w:rsidRPr="00DC28C9">
        <w:rPr>
          <w:color w:val="222222"/>
          <w:szCs w:val="22"/>
          <w:shd w:val="clear" w:color="auto" w:fill="FFFFFF"/>
        </w:rPr>
        <w:t>ffer</w:t>
      </w:r>
      <w:r>
        <w:rPr>
          <w:color w:val="222222"/>
          <w:szCs w:val="22"/>
          <w:shd w:val="clear" w:color="auto" w:fill="FFFFFF"/>
        </w:rPr>
        <w:t>ing</w:t>
      </w:r>
      <w:r w:rsidRPr="00DC28C9">
        <w:rPr>
          <w:color w:val="222222"/>
          <w:szCs w:val="22"/>
          <w:shd w:val="clear" w:color="auto" w:fill="FFFFFF"/>
        </w:rPr>
        <w:t xml:space="preserve"> better predictability for how services are managed and delivered</w:t>
      </w:r>
      <w:r>
        <w:rPr>
          <w:color w:val="222222"/>
          <w:szCs w:val="22"/>
          <w:shd w:val="clear" w:color="auto" w:fill="FFFFFF"/>
        </w:rPr>
        <w:t xml:space="preserve"> and e</w:t>
      </w:r>
      <w:r w:rsidRPr="00DC28C9">
        <w:rPr>
          <w:color w:val="222222"/>
          <w:szCs w:val="22"/>
          <w:shd w:val="clear" w:color="auto" w:fill="FFFFFF"/>
        </w:rPr>
        <w:t xml:space="preserve">volve </w:t>
      </w:r>
      <w:r>
        <w:rPr>
          <w:color w:val="222222"/>
          <w:szCs w:val="22"/>
          <w:shd w:val="clear" w:color="auto" w:fill="FFFFFF"/>
        </w:rPr>
        <w:t>activities with</w:t>
      </w:r>
      <w:r w:rsidRPr="00DC28C9">
        <w:rPr>
          <w:color w:val="222222"/>
          <w:szCs w:val="22"/>
          <w:shd w:val="clear" w:color="auto" w:fill="FFFFFF"/>
        </w:rPr>
        <w:t xml:space="preserve"> a </w:t>
      </w:r>
      <w:r>
        <w:rPr>
          <w:color w:val="222222"/>
          <w:szCs w:val="22"/>
          <w:shd w:val="clear" w:color="auto" w:fill="FFFFFF"/>
        </w:rPr>
        <w:t xml:space="preserve">more </w:t>
      </w:r>
      <w:r w:rsidRPr="00DC28C9">
        <w:rPr>
          <w:color w:val="222222"/>
          <w:szCs w:val="22"/>
          <w:shd w:val="clear" w:color="auto" w:fill="FFFFFF"/>
        </w:rPr>
        <w:t>customer-oriented approach</w:t>
      </w:r>
      <w:r>
        <w:rPr>
          <w:color w:val="222222"/>
          <w:szCs w:val="22"/>
          <w:shd w:val="clear" w:color="auto" w:fill="FFFFFF"/>
        </w:rPr>
        <w:t xml:space="preserve"> to improve user experience and overall service “quality”.</w:t>
      </w:r>
    </w:p>
    <w:p w14:paraId="68B95A77" w14:textId="77777777" w:rsidR="00E51975" w:rsidRDefault="00E51975" w:rsidP="00CD48B7"/>
    <w:p w14:paraId="751E5A01" w14:textId="77777777" w:rsidR="00E415BE" w:rsidRPr="00E415BE" w:rsidRDefault="004D773D" w:rsidP="00E415BE">
      <w:r>
        <w:rPr>
          <w:rFonts w:ascii="Arial" w:hAnsi="Arial" w:cs="Arial"/>
          <w:color w:val="222222"/>
          <w:sz w:val="20"/>
          <w:shd w:val="clear" w:color="auto" w:fill="FFFFFF"/>
        </w:rPr>
        <w:t> </w:t>
      </w:r>
    </w:p>
    <w:p w14:paraId="286FDF89" w14:textId="77777777" w:rsidR="00E415BE" w:rsidRPr="002B1814" w:rsidRDefault="00E415BE" w:rsidP="00141B22">
      <w:pPr>
        <w:pStyle w:val="Heading1"/>
      </w:pPr>
      <w:bookmarkStart w:id="15" w:name="_Toc264803488"/>
      <w:r>
        <w:lastRenderedPageBreak/>
        <w:t>Project Management</w:t>
      </w:r>
      <w:bookmarkEnd w:id="15"/>
    </w:p>
    <w:p w14:paraId="66DF5851" w14:textId="2168D1EE" w:rsidR="00E415BE" w:rsidRPr="009C67EC" w:rsidRDefault="00E415BE" w:rsidP="00E415BE">
      <w:r w:rsidRPr="009C67EC">
        <w:t>The project management procedures and related material</w:t>
      </w:r>
      <w:r w:rsidR="006E2CAE">
        <w:t>s used within EGI-InSPIRE</w:t>
      </w:r>
      <w:r w:rsidRPr="009C67EC">
        <w:t xml:space="preserve"> </w:t>
      </w:r>
      <w:r w:rsidR="00160FDB">
        <w:t xml:space="preserve">in PY4 </w:t>
      </w:r>
      <w:r w:rsidR="00723F4F">
        <w:t xml:space="preserve">are based on the </w:t>
      </w:r>
      <w:r w:rsidR="006E2CAE">
        <w:t xml:space="preserve">successful </w:t>
      </w:r>
      <w:r w:rsidR="00C45749">
        <w:t xml:space="preserve">processes developed during </w:t>
      </w:r>
      <w:r w:rsidR="00160FDB">
        <w:t>the course of the previous years of the project</w:t>
      </w:r>
      <w:r w:rsidR="00C45749">
        <w:t xml:space="preserve">. </w:t>
      </w:r>
    </w:p>
    <w:p w14:paraId="214C1B8E" w14:textId="77777777" w:rsidR="00E415BE" w:rsidRPr="009C67EC" w:rsidRDefault="00E415BE" w:rsidP="00141B22">
      <w:pPr>
        <w:pStyle w:val="Heading3"/>
        <w:keepNext w:val="0"/>
        <w:spacing w:before="200" w:after="40"/>
      </w:pPr>
      <w:bookmarkStart w:id="16" w:name="_Ref225044410"/>
      <w:bookmarkStart w:id="17" w:name="_Toc264803489"/>
      <w:r w:rsidRPr="009C67EC">
        <w:t>Project overall assessment mechanisms</w:t>
      </w:r>
      <w:bookmarkEnd w:id="16"/>
      <w:bookmarkEnd w:id="17"/>
    </w:p>
    <w:p w14:paraId="7FC9E149" w14:textId="77777777" w:rsidR="00E415BE" w:rsidRDefault="00E415BE" w:rsidP="00E415BE">
      <w:pPr>
        <w:tabs>
          <w:tab w:val="num" w:pos="720"/>
        </w:tabs>
      </w:pPr>
      <w:r w:rsidRPr="009C67EC">
        <w:t>The following mechanisms have been established by the project to assess the project progress:</w:t>
      </w:r>
    </w:p>
    <w:p w14:paraId="7ED4B164" w14:textId="77777777" w:rsidR="00D21C1D" w:rsidRPr="009C67EC" w:rsidRDefault="00D21C1D" w:rsidP="00E415BE">
      <w:pPr>
        <w:tabs>
          <w:tab w:val="num" w:pos="720"/>
        </w:tabs>
      </w:pPr>
    </w:p>
    <w:p w14:paraId="3D17729B" w14:textId="551A6C76" w:rsidR="0007551C" w:rsidRPr="0007551C" w:rsidRDefault="0087587A" w:rsidP="0007551C">
      <w:pPr>
        <w:numPr>
          <w:ilvl w:val="0"/>
          <w:numId w:val="5"/>
        </w:numPr>
        <w:rPr>
          <w:rFonts w:eastAsia="MS Mincho"/>
        </w:rPr>
      </w:pPr>
      <w:r>
        <w:rPr>
          <w:rFonts w:eastAsia="MS Mincho"/>
        </w:rPr>
        <w:t>A</w:t>
      </w:r>
      <w:r w:rsidR="00996840">
        <w:rPr>
          <w:rFonts w:eastAsia="MS Mincho"/>
        </w:rPr>
        <w:t xml:space="preserve">ctivity </w:t>
      </w:r>
      <w:r>
        <w:rPr>
          <w:rFonts w:eastAsia="MS Mincho"/>
        </w:rPr>
        <w:t>M</w:t>
      </w:r>
      <w:r w:rsidR="00996840">
        <w:rPr>
          <w:rFonts w:eastAsia="MS Mincho"/>
        </w:rPr>
        <w:t xml:space="preserve">anagement </w:t>
      </w:r>
      <w:r>
        <w:rPr>
          <w:rFonts w:eastAsia="MS Mincho"/>
        </w:rPr>
        <w:t>B</w:t>
      </w:r>
      <w:r w:rsidR="00996840">
        <w:rPr>
          <w:rFonts w:eastAsia="MS Mincho"/>
        </w:rPr>
        <w:t>oard</w:t>
      </w:r>
      <w:r>
        <w:rPr>
          <w:rFonts w:eastAsia="MS Mincho"/>
        </w:rPr>
        <w:t xml:space="preserve"> </w:t>
      </w:r>
      <w:r w:rsidR="001C579F">
        <w:rPr>
          <w:rFonts w:eastAsia="MS Mincho"/>
        </w:rPr>
        <w:t>(AMB)</w:t>
      </w:r>
      <w:r>
        <w:rPr>
          <w:rFonts w:eastAsia="MS Mincho"/>
        </w:rPr>
        <w:t xml:space="preserve"> meetings</w:t>
      </w:r>
      <w:r w:rsidR="00AF4ECE">
        <w:rPr>
          <w:rStyle w:val="FootnoteReference"/>
          <w:rFonts w:eastAsia="MS Mincho"/>
        </w:rPr>
        <w:footnoteReference w:id="10"/>
      </w:r>
      <w:r w:rsidR="00160FDB">
        <w:rPr>
          <w:rFonts w:eastAsia="MS Mincho"/>
        </w:rPr>
        <w:t xml:space="preserve"> </w:t>
      </w:r>
      <w:r w:rsidR="00160FDB" w:rsidRPr="00160FDB">
        <w:rPr>
          <w:rFonts w:eastAsia="MS Mincho"/>
        </w:rPr>
        <w:sym w:font="Wingdings" w:char="F0E0"/>
      </w:r>
      <w:r w:rsidR="00160FDB">
        <w:rPr>
          <w:rFonts w:eastAsia="MS Mincho"/>
        </w:rPr>
        <w:t xml:space="preserve"> the AMB </w:t>
      </w:r>
      <w:r w:rsidR="0007551C">
        <w:rPr>
          <w:rFonts w:eastAsia="MS Mincho"/>
        </w:rPr>
        <w:t xml:space="preserve">is </w:t>
      </w:r>
      <w:r w:rsidR="00160FDB">
        <w:rPr>
          <w:rFonts w:eastAsia="MS Mincho"/>
        </w:rPr>
        <w:t>responsible of monitoring the progress of activities. Technical issues and progress in achieving the project milestones is discussed</w:t>
      </w:r>
      <w:r w:rsidR="0007551C">
        <w:rPr>
          <w:rFonts w:eastAsia="MS Mincho"/>
        </w:rPr>
        <w:t xml:space="preserve">. As of PQ14 AMB weekly reports are collected through wiki at </w:t>
      </w:r>
      <w:hyperlink r:id="rId17" w:history="1">
        <w:r w:rsidR="0007551C" w:rsidRPr="00305605">
          <w:rPr>
            <w:rStyle w:val="Hyperlink"/>
            <w:rFonts w:eastAsia="MS Mincho"/>
          </w:rPr>
          <w:t>https://wiki.egi.eu/wiki/Activity_Management_Board</w:t>
        </w:r>
      </w:hyperlink>
    </w:p>
    <w:p w14:paraId="4493CCD8" w14:textId="50D4598B" w:rsidR="00E415BE" w:rsidRDefault="00454A59" w:rsidP="0093687A">
      <w:pPr>
        <w:numPr>
          <w:ilvl w:val="0"/>
          <w:numId w:val="5"/>
        </w:numPr>
        <w:rPr>
          <w:rFonts w:eastAsia="MS Mincho"/>
        </w:rPr>
      </w:pPr>
      <w:r>
        <w:rPr>
          <w:rFonts w:eastAsia="MS Mincho"/>
        </w:rPr>
        <w:t xml:space="preserve">Quarterly reports and </w:t>
      </w:r>
      <w:r w:rsidR="00E415BE" w:rsidRPr="009C67EC">
        <w:rPr>
          <w:rFonts w:eastAsia="MS Mincho"/>
        </w:rPr>
        <w:t>per</w:t>
      </w:r>
      <w:r>
        <w:rPr>
          <w:rFonts w:eastAsia="MS Mincho"/>
        </w:rPr>
        <w:t>iodic</w:t>
      </w:r>
      <w:r w:rsidR="0087587A">
        <w:rPr>
          <w:rFonts w:eastAsia="MS Mincho"/>
        </w:rPr>
        <w:t xml:space="preserve"> reports</w:t>
      </w:r>
      <w:r w:rsidR="00BE63F7">
        <w:rPr>
          <w:rFonts w:eastAsia="MS Mincho"/>
        </w:rPr>
        <w:t xml:space="preserve"> </w:t>
      </w:r>
      <w:r w:rsidR="00BE63F7" w:rsidRPr="00BE63F7">
        <w:rPr>
          <w:rFonts w:eastAsia="MS Mincho"/>
        </w:rPr>
        <w:sym w:font="Wingdings" w:char="F0E0"/>
      </w:r>
      <w:r w:rsidR="00BE63F7">
        <w:rPr>
          <w:rFonts w:eastAsia="MS Mincho"/>
        </w:rPr>
        <w:t xml:space="preserve"> </w:t>
      </w:r>
      <w:hyperlink r:id="rId18" w:history="1">
        <w:r w:rsidR="00BE63F7" w:rsidRPr="00305605">
          <w:rPr>
            <w:rStyle w:val="Hyperlink"/>
            <w:rFonts w:eastAsia="MS Mincho"/>
          </w:rPr>
          <w:t>https://wiki.egi.eu/wiki/Project_Deliverables_and_Milestones</w:t>
        </w:r>
      </w:hyperlink>
    </w:p>
    <w:p w14:paraId="5450002F" w14:textId="214AA550" w:rsidR="00BE63F7" w:rsidRPr="00BE63F7" w:rsidRDefault="00E415BE" w:rsidP="00BE63F7">
      <w:pPr>
        <w:numPr>
          <w:ilvl w:val="0"/>
          <w:numId w:val="5"/>
        </w:numPr>
        <w:rPr>
          <w:rFonts w:eastAsia="MS Mincho"/>
        </w:rPr>
      </w:pPr>
      <w:r w:rsidRPr="00BE63F7">
        <w:rPr>
          <w:rFonts w:eastAsia="MS Mincho"/>
        </w:rPr>
        <w:t>Deliver</w:t>
      </w:r>
      <w:r w:rsidR="00BE63F7">
        <w:rPr>
          <w:rFonts w:eastAsia="MS Mincho"/>
        </w:rPr>
        <w:t xml:space="preserve">ables and milestones reviews: </w:t>
      </w:r>
      <w:hyperlink r:id="rId19" w:history="1">
        <w:r w:rsidR="00BE63F7" w:rsidRPr="00305605">
          <w:rPr>
            <w:rStyle w:val="Hyperlink"/>
            <w:rFonts w:eastAsia="MS Mincho"/>
          </w:rPr>
          <w:t>https://wiki.egi.eu/wiki/Review_procedure</w:t>
        </w:r>
      </w:hyperlink>
    </w:p>
    <w:p w14:paraId="6371C3F7" w14:textId="77777777" w:rsidR="00E415BE" w:rsidRPr="009C67EC" w:rsidRDefault="00E415BE" w:rsidP="0093687A">
      <w:pPr>
        <w:numPr>
          <w:ilvl w:val="0"/>
          <w:numId w:val="5"/>
        </w:numPr>
        <w:rPr>
          <w:rFonts w:eastAsia="MS Mincho"/>
        </w:rPr>
      </w:pPr>
      <w:r w:rsidRPr="009C67EC">
        <w:rPr>
          <w:rFonts w:eastAsia="MS Mincho"/>
        </w:rPr>
        <w:t xml:space="preserve">Metrics </w:t>
      </w:r>
      <w:r w:rsidR="004208CA">
        <w:rPr>
          <w:rFonts w:eastAsia="MS Mincho"/>
        </w:rPr>
        <w:t>web</w:t>
      </w:r>
      <w:r w:rsidR="009D16D0">
        <w:rPr>
          <w:rStyle w:val="FootnoteReference"/>
          <w:rFonts w:eastAsia="MS Mincho"/>
        </w:rPr>
        <w:footnoteReference w:id="11"/>
      </w:r>
      <w:r w:rsidR="004208CA">
        <w:rPr>
          <w:rFonts w:eastAsia="MS Mincho"/>
        </w:rPr>
        <w:t xml:space="preserve"> and wiki pages</w:t>
      </w:r>
      <w:r w:rsidR="009D16D0">
        <w:rPr>
          <w:rStyle w:val="FootnoteReference"/>
          <w:rFonts w:eastAsia="MS Mincho"/>
        </w:rPr>
        <w:footnoteReference w:id="12"/>
      </w:r>
      <w:r w:rsidR="0087587A">
        <w:rPr>
          <w:rFonts w:eastAsia="MS Mincho"/>
        </w:rPr>
        <w:t>;</w:t>
      </w:r>
    </w:p>
    <w:p w14:paraId="1E77CE1F" w14:textId="1DFB2325" w:rsidR="00347D04" w:rsidRPr="009C67EC" w:rsidRDefault="00347D04" w:rsidP="0093687A">
      <w:pPr>
        <w:numPr>
          <w:ilvl w:val="0"/>
          <w:numId w:val="5"/>
        </w:numPr>
      </w:pPr>
      <w:r>
        <w:rPr>
          <w:rFonts w:eastAsia="MS Mincho"/>
        </w:rPr>
        <w:t>Project Management Board meetings</w:t>
      </w:r>
      <w:r w:rsidR="00BE63F7">
        <w:rPr>
          <w:rFonts w:eastAsia="MS Mincho"/>
        </w:rPr>
        <w:t xml:space="preserve"> </w:t>
      </w:r>
      <w:r w:rsidR="00BE63F7" w:rsidRPr="00BE63F7">
        <w:rPr>
          <w:rFonts w:eastAsia="MS Mincho"/>
        </w:rPr>
        <w:sym w:font="Wingdings" w:char="F0E0"/>
      </w:r>
      <w:r w:rsidR="00BE63F7">
        <w:rPr>
          <w:rFonts w:eastAsia="MS Mincho"/>
        </w:rPr>
        <w:t xml:space="preserve"> the role of the PMB is to manage issues that may arise within the consortium according to the duties and responsibilities defined in the Consortium Agreement</w:t>
      </w:r>
    </w:p>
    <w:p w14:paraId="752B4A9C" w14:textId="5FEB4C03" w:rsidR="00E415BE" w:rsidRPr="009C67EC" w:rsidRDefault="00E415BE" w:rsidP="0093687A">
      <w:pPr>
        <w:numPr>
          <w:ilvl w:val="0"/>
          <w:numId w:val="5"/>
        </w:numPr>
        <w:rPr>
          <w:rFonts w:eastAsia="MS Mincho"/>
        </w:rPr>
      </w:pPr>
      <w:r w:rsidRPr="009C67EC">
        <w:rPr>
          <w:rFonts w:eastAsia="MS Mincho"/>
        </w:rPr>
        <w:t>Exte</w:t>
      </w:r>
      <w:r w:rsidR="00BE63F7">
        <w:rPr>
          <w:rFonts w:eastAsia="MS Mincho"/>
        </w:rPr>
        <w:t xml:space="preserve">rnal Advisory Committee reports </w:t>
      </w:r>
      <w:r w:rsidR="00BE63F7" w:rsidRPr="00BE63F7">
        <w:rPr>
          <w:rFonts w:eastAsia="MS Mincho"/>
        </w:rPr>
        <w:sym w:font="Wingdings" w:char="F0E0"/>
      </w:r>
      <w:r w:rsidR="00BE63F7">
        <w:rPr>
          <w:rFonts w:eastAsia="MS Mincho"/>
        </w:rPr>
        <w:t xml:space="preserve"> these are gathered every six months and feedback is provided to the PMB. In PY4, in preparation to the end of the project, a new advisory board: the “Strategy and Innovation Advisory Board” with strong user representation was approved by the Council to be constituted in 2014.</w:t>
      </w:r>
    </w:p>
    <w:p w14:paraId="18DA2A3A" w14:textId="77777777" w:rsidR="00E415BE" w:rsidRPr="009C67EC" w:rsidRDefault="004208CA" w:rsidP="0093687A">
      <w:pPr>
        <w:numPr>
          <w:ilvl w:val="0"/>
          <w:numId w:val="5"/>
        </w:numPr>
        <w:rPr>
          <w:rFonts w:eastAsia="MS Mincho"/>
        </w:rPr>
      </w:pPr>
      <w:r>
        <w:rPr>
          <w:rFonts w:eastAsia="MS Mincho"/>
        </w:rPr>
        <w:t>EC annual project</w:t>
      </w:r>
      <w:r w:rsidR="00E415BE" w:rsidRPr="009C67EC">
        <w:rPr>
          <w:rFonts w:eastAsia="MS Mincho"/>
        </w:rPr>
        <w:t xml:space="preserve"> reviews.</w:t>
      </w:r>
    </w:p>
    <w:p w14:paraId="0492A7C0" w14:textId="77777777" w:rsidR="00E415BE" w:rsidRDefault="00E415BE" w:rsidP="00E415BE"/>
    <w:p w14:paraId="093A1877" w14:textId="77777777" w:rsidR="00996840" w:rsidRPr="00E404C4" w:rsidRDefault="00996840" w:rsidP="00E415BE">
      <w:pPr>
        <w:rPr>
          <w:i/>
        </w:rPr>
      </w:pPr>
      <w:r w:rsidRPr="00E404C4">
        <w:rPr>
          <w:i/>
        </w:rPr>
        <w:t>Assessment:</w:t>
      </w:r>
    </w:p>
    <w:p w14:paraId="6A431F92" w14:textId="79BBAE03" w:rsidR="00BE63F7" w:rsidRDefault="00996840" w:rsidP="00E415BE">
      <w:r>
        <w:t xml:space="preserve">The AMB </w:t>
      </w:r>
      <w:r w:rsidR="001C579F">
        <w:t xml:space="preserve">includes the Activity Managers and key Task Leaders for the project and </w:t>
      </w:r>
      <w:r w:rsidR="009E344B">
        <w:t>continues to meet</w:t>
      </w:r>
      <w:r w:rsidR="001C579F">
        <w:t xml:space="preserve"> on a weekly basis</w:t>
      </w:r>
      <w:r w:rsidR="009E344B">
        <w:t>, with an annual face to face meeting</w:t>
      </w:r>
      <w:r w:rsidR="001C579F">
        <w:t xml:space="preserve">. The meetings have driven the Deliverable and Milestone production and </w:t>
      </w:r>
      <w:r w:rsidR="006044B7">
        <w:t xml:space="preserve">their associated </w:t>
      </w:r>
      <w:r w:rsidR="001C579F">
        <w:t>review process</w:t>
      </w:r>
      <w:r w:rsidR="0043663C">
        <w:t>, and have also proved to be a useful forum to raise and resolve project issues</w:t>
      </w:r>
      <w:r w:rsidR="009E344B">
        <w:t>, and to discuss events</w:t>
      </w:r>
      <w:r w:rsidR="0043663C">
        <w:t xml:space="preserve">. The quarterly reports have also been produced successfully, </w:t>
      </w:r>
      <w:r w:rsidR="00BE63F7">
        <w:t xml:space="preserve">even if QR14 and QR15 were delayed in their final review stage, with a consequent delay in submission to the EC. </w:t>
      </w:r>
    </w:p>
    <w:p w14:paraId="60CFFC55" w14:textId="60D6CA81" w:rsidR="00BE63F7" w:rsidRDefault="00BE63F7" w:rsidP="00E415BE">
      <w:r>
        <w:t xml:space="preserve">Delays were solely due to the greatly reduced effort within NA1 in the period PY4-PY5, due to the need to cope with a 8 month extension of the project until December 2014, and to the increase workload related to the organization of the project extension itself, to the consortium issues raised by the withdrawing of the German NGI from the EGI Council, and to the handover of project direction and project management activities that took place during PQ14 and 15. </w:t>
      </w:r>
    </w:p>
    <w:p w14:paraId="58D9476C" w14:textId="77777777" w:rsidR="00BE63F7" w:rsidRDefault="00BE63F7" w:rsidP="00E415BE"/>
    <w:p w14:paraId="14C94B0D" w14:textId="4DE0A5B6" w:rsidR="00F22E3F" w:rsidRDefault="00C87709" w:rsidP="00E415BE">
      <w:r>
        <w:lastRenderedPageBreak/>
        <w:t xml:space="preserve">Project Management Board meetings </w:t>
      </w:r>
      <w:r w:rsidR="009E344B">
        <w:t>were held quarterly</w:t>
      </w:r>
      <w:r w:rsidR="00BE63F7">
        <w:t xml:space="preserve"> and co-located with the main EGI events</w:t>
      </w:r>
      <w:r w:rsidR="00A66709">
        <w:t>.</w:t>
      </w:r>
      <w:r w:rsidR="009E344B">
        <w:t xml:space="preserve"> </w:t>
      </w:r>
      <w:r>
        <w:t xml:space="preserve">The </w:t>
      </w:r>
      <w:r w:rsidR="00BE63F7">
        <w:t>third</w:t>
      </w:r>
      <w:r w:rsidR="008A46D7">
        <w:t xml:space="preserve"> </w:t>
      </w:r>
      <w:r>
        <w:t xml:space="preserve">EC annual project review </w:t>
      </w:r>
      <w:r w:rsidR="00BF1571">
        <w:t>was</w:t>
      </w:r>
      <w:r>
        <w:t xml:space="preserve"> held </w:t>
      </w:r>
      <w:r w:rsidR="00BE63F7">
        <w:t>in June 2013</w:t>
      </w:r>
      <w:r w:rsidR="009E344B">
        <w:t>.</w:t>
      </w:r>
    </w:p>
    <w:p w14:paraId="7E9E10E5" w14:textId="2696D1A7" w:rsidR="0056709E" w:rsidRDefault="0056709E" w:rsidP="00E415BE">
      <w:r>
        <w:t xml:space="preserve">The metrics portal has been </w:t>
      </w:r>
      <w:r w:rsidR="00BE63F7">
        <w:t>constantly maintained to update it according to the new PY4 metrics plan</w:t>
      </w:r>
      <w:r>
        <w:t>.</w:t>
      </w:r>
    </w:p>
    <w:p w14:paraId="10FB231F" w14:textId="77777777" w:rsidR="00E404C4" w:rsidRDefault="00E404C4" w:rsidP="00E415BE"/>
    <w:p w14:paraId="0D7F0E8B" w14:textId="534D2B81" w:rsidR="00F22E3F" w:rsidRPr="00E404C4" w:rsidRDefault="00F22E3F" w:rsidP="00E415BE">
      <w:pPr>
        <w:rPr>
          <w:i/>
        </w:rPr>
      </w:pPr>
      <w:r w:rsidRPr="00E404C4">
        <w:rPr>
          <w:i/>
        </w:rPr>
        <w:t>Changes proposed</w:t>
      </w:r>
      <w:r w:rsidR="005F2051" w:rsidRPr="00E404C4">
        <w:rPr>
          <w:i/>
        </w:rPr>
        <w:t xml:space="preserve"> </w:t>
      </w:r>
      <w:r w:rsidR="001B0AB4">
        <w:rPr>
          <w:i/>
        </w:rPr>
        <w:t>for PY5</w:t>
      </w:r>
      <w:r w:rsidRPr="00E404C4">
        <w:rPr>
          <w:i/>
        </w:rPr>
        <w:t>:</w:t>
      </w:r>
    </w:p>
    <w:p w14:paraId="5E5D9966" w14:textId="1A130F24" w:rsidR="00F22E3F" w:rsidRDefault="001B0AB4" w:rsidP="00E415BE">
      <w:r>
        <w:t>Part of the activities funded in PY4 will become services; performance metrics, reporting tools and procedures have been defined to ensure continuation of reporting and monitoring of performance</w:t>
      </w:r>
      <w:r w:rsidR="00EB5952" w:rsidRPr="00C46BD6">
        <w:t>.</w:t>
      </w:r>
      <w:r>
        <w:t xml:space="preserve"> The Executive Board and the Council will be responsible of reviewing the performance delivered.</w:t>
      </w:r>
    </w:p>
    <w:p w14:paraId="47D2D305" w14:textId="77777777" w:rsidR="00E415BE" w:rsidRPr="009C67EC" w:rsidRDefault="00996840" w:rsidP="00141B22">
      <w:pPr>
        <w:pStyle w:val="Heading3"/>
        <w:keepNext w:val="0"/>
        <w:spacing w:before="200" w:after="40"/>
      </w:pPr>
      <w:bookmarkStart w:id="18" w:name="_Toc264803490"/>
      <w:r>
        <w:t>Document</w:t>
      </w:r>
      <w:r w:rsidR="00E415BE" w:rsidRPr="009C67EC">
        <w:t xml:space="preserve"> management </w:t>
      </w:r>
      <w:r w:rsidR="0043663C">
        <w:t>procedure</w:t>
      </w:r>
      <w:bookmarkEnd w:id="18"/>
    </w:p>
    <w:p w14:paraId="796E15B9" w14:textId="5D11EE02" w:rsidR="0043663C" w:rsidRPr="009C67EC" w:rsidRDefault="00E415BE" w:rsidP="001B0AB4">
      <w:r w:rsidRPr="009C67EC">
        <w:t xml:space="preserve">The </w:t>
      </w:r>
      <w:r w:rsidR="0043663C">
        <w:t>document management procedure</w:t>
      </w:r>
      <w:r w:rsidRPr="009C67EC">
        <w:t xml:space="preserve"> includes the foll</w:t>
      </w:r>
      <w:r w:rsidR="00C514B9">
        <w:t xml:space="preserve">owing </w:t>
      </w:r>
      <w:r w:rsidR="0043663C">
        <w:t>elements,</w:t>
      </w:r>
      <w:r w:rsidR="00C514B9">
        <w:t xml:space="preserve"> </w:t>
      </w:r>
      <w:r w:rsidR="001B0AB4">
        <w:t xml:space="preserve">as descried in previous deliverables: a </w:t>
      </w:r>
      <w:r w:rsidR="001B0AB4">
        <w:rPr>
          <w:lang w:val="fr-FR"/>
        </w:rPr>
        <w:t>d</w:t>
      </w:r>
      <w:r w:rsidRPr="00873FC0">
        <w:rPr>
          <w:lang w:val="fr-FR"/>
        </w:rPr>
        <w:t xml:space="preserve">ocument </w:t>
      </w:r>
      <w:proofErr w:type="spellStart"/>
      <w:r w:rsidR="0043663C">
        <w:rPr>
          <w:lang w:val="fr-FR"/>
        </w:rPr>
        <w:t>repository</w:t>
      </w:r>
      <w:proofErr w:type="spellEnd"/>
      <w:r w:rsidR="00C514B9">
        <w:rPr>
          <w:rFonts w:eastAsia="MS Mincho"/>
          <w:lang w:val="fr-FR"/>
        </w:rPr>
        <w:t xml:space="preserve"> (</w:t>
      </w:r>
      <w:proofErr w:type="spellStart"/>
      <w:r w:rsidR="00C514B9">
        <w:rPr>
          <w:rFonts w:eastAsia="MS Mincho"/>
          <w:lang w:val="fr-FR"/>
        </w:rPr>
        <w:t>DocDB</w:t>
      </w:r>
      <w:proofErr w:type="spellEnd"/>
      <w:r w:rsidR="001B0AB4">
        <w:rPr>
          <w:rStyle w:val="FootnoteReference"/>
          <w:rFonts w:eastAsia="MS Mincho"/>
          <w:lang w:val="fr-FR"/>
        </w:rPr>
        <w:footnoteReference w:id="13"/>
      </w:r>
      <w:r w:rsidRPr="00873FC0">
        <w:rPr>
          <w:rFonts w:eastAsia="MS Mincho"/>
          <w:lang w:val="fr-FR"/>
        </w:rPr>
        <w:t>)</w:t>
      </w:r>
      <w:r w:rsidR="001B0AB4">
        <w:rPr>
          <w:lang w:val="fr-FR"/>
        </w:rPr>
        <w:t xml:space="preserve">, </w:t>
      </w:r>
      <w:r w:rsidR="001B0AB4">
        <w:t>naming conventions, d</w:t>
      </w:r>
      <w:r w:rsidR="0043663C">
        <w:t>ocument metadata</w:t>
      </w:r>
      <w:r w:rsidR="001B0AB4">
        <w:t>, r</w:t>
      </w:r>
      <w:r w:rsidR="0043663C">
        <w:t>epository metadata.</w:t>
      </w:r>
    </w:p>
    <w:p w14:paraId="0F444BBA" w14:textId="77777777" w:rsidR="00E415BE" w:rsidRDefault="00E415BE" w:rsidP="00E415BE"/>
    <w:p w14:paraId="4A19D93D" w14:textId="77777777" w:rsidR="001E4F0F" w:rsidRPr="00B0386A" w:rsidRDefault="001E4F0F" w:rsidP="00E415BE">
      <w:pPr>
        <w:rPr>
          <w:i/>
        </w:rPr>
      </w:pPr>
      <w:r w:rsidRPr="00B0386A">
        <w:rPr>
          <w:i/>
        </w:rPr>
        <w:t>Assessment:</w:t>
      </w:r>
    </w:p>
    <w:p w14:paraId="5E10A306" w14:textId="77777777" w:rsidR="001B0AB4" w:rsidRDefault="005A78C2" w:rsidP="00E415BE">
      <w:r>
        <w:t xml:space="preserve">The </w:t>
      </w:r>
      <w:proofErr w:type="spellStart"/>
      <w:r>
        <w:t>DocDB</w:t>
      </w:r>
      <w:proofErr w:type="spellEnd"/>
      <w:r>
        <w:t xml:space="preserve"> has functioned effectively as the document storage repository for all official EGI publications</w:t>
      </w:r>
      <w:r w:rsidR="00C54CC3">
        <w:t xml:space="preserve"> </w:t>
      </w:r>
      <w:r w:rsidR="00C53C31">
        <w:t>since the start of the project</w:t>
      </w:r>
      <w:r>
        <w:t xml:space="preserve">, including deliverables, milestones, </w:t>
      </w:r>
      <w:r w:rsidR="00B0386A">
        <w:t xml:space="preserve">review documents, </w:t>
      </w:r>
      <w:r>
        <w:t>presentations, reports and committee minutes.</w:t>
      </w:r>
      <w:r w:rsidR="00B0386A">
        <w:t xml:space="preserve"> </w:t>
      </w:r>
      <w:r w:rsidR="00C54CC3">
        <w:t xml:space="preserve">Statistics for the </w:t>
      </w:r>
      <w:proofErr w:type="spellStart"/>
      <w:r w:rsidR="00C54CC3">
        <w:t>DocDB</w:t>
      </w:r>
      <w:proofErr w:type="spellEnd"/>
      <w:r w:rsidR="00C54CC3">
        <w:t xml:space="preserve"> are listed at </w:t>
      </w:r>
      <w:hyperlink r:id="rId20" w:history="1">
        <w:r w:rsidR="00777EC9" w:rsidRPr="00777EC9">
          <w:rPr>
            <w:rStyle w:val="Hyperlink"/>
          </w:rPr>
          <w:t>https://documents.egi.eu/public/Statistics</w:t>
        </w:r>
      </w:hyperlink>
      <w:r w:rsidR="00C54CC3">
        <w:t xml:space="preserve">. There are currently over </w:t>
      </w:r>
      <w:r w:rsidR="001B0AB4">
        <w:t>2200 documents (</w:t>
      </w:r>
      <w:r w:rsidR="00C53C31">
        <w:t>1</w:t>
      </w:r>
      <w:r w:rsidR="00777EC9">
        <w:t>570</w:t>
      </w:r>
      <w:r w:rsidR="00C54CC3">
        <w:t xml:space="preserve"> </w:t>
      </w:r>
      <w:r w:rsidR="001B0AB4">
        <w:t>at the end of PY3)</w:t>
      </w:r>
      <w:r w:rsidR="00C54CC3">
        <w:t xml:space="preserve"> and mor</w:t>
      </w:r>
      <w:r w:rsidR="00626CBE">
        <w:t>e</w:t>
      </w:r>
      <w:r w:rsidR="00C54CC3">
        <w:t xml:space="preserve"> than </w:t>
      </w:r>
      <w:r w:rsidR="001B0AB4">
        <w:t>16,500 files in the database (</w:t>
      </w:r>
      <w:r w:rsidR="00777EC9">
        <w:t xml:space="preserve">11,900 </w:t>
      </w:r>
      <w:r w:rsidR="001B0AB4">
        <w:t>at the end of PY3)</w:t>
      </w:r>
      <w:r w:rsidR="00C54CC3">
        <w:t xml:space="preserve">, with </w:t>
      </w:r>
      <w:r w:rsidR="001B0AB4">
        <w:t xml:space="preserve">2390 </w:t>
      </w:r>
      <w:r w:rsidR="00C54CC3">
        <w:t>registered authors</w:t>
      </w:r>
      <w:r w:rsidR="001B0AB4">
        <w:t xml:space="preserve"> (1890 at the end of PY3)</w:t>
      </w:r>
      <w:r w:rsidR="00C54CC3">
        <w:t xml:space="preserve">. </w:t>
      </w:r>
    </w:p>
    <w:p w14:paraId="5CAFDB9D" w14:textId="3F4B0A93" w:rsidR="0069422D" w:rsidRDefault="00B0386A" w:rsidP="00E415BE">
      <w:r>
        <w:t>Guidelines for naming of official documents such as deliverables and milesto</w:t>
      </w:r>
      <w:r w:rsidR="00C53C31">
        <w:t>nes are set out in D1.</w:t>
      </w:r>
      <w:r w:rsidR="00777EC9">
        <w:t>9</w:t>
      </w:r>
      <w:r w:rsidR="00C54CC3">
        <w:t xml:space="preserve">. The </w:t>
      </w:r>
      <w:r>
        <w:t xml:space="preserve">final step in the </w:t>
      </w:r>
      <w:r w:rsidR="00C54CC3">
        <w:t xml:space="preserve">document review process is for the quality team to check that the conventions have been followed before producing a final pdf of the document for submission to the EC, </w:t>
      </w:r>
      <w:r w:rsidR="00626CBE">
        <w:t xml:space="preserve">as well as </w:t>
      </w:r>
      <w:r w:rsidR="0023323A">
        <w:t>updating the document version to final</w:t>
      </w:r>
      <w:r w:rsidR="007A497A">
        <w:t>, setting th</w:t>
      </w:r>
      <w:r w:rsidR="006962C3">
        <w:t>e modification and viewing perm</w:t>
      </w:r>
      <w:r w:rsidR="007A497A">
        <w:t>issions</w:t>
      </w:r>
      <w:r w:rsidR="0023323A">
        <w:t xml:space="preserve"> </w:t>
      </w:r>
      <w:r w:rsidR="00626CBE">
        <w:t xml:space="preserve">in the </w:t>
      </w:r>
      <w:proofErr w:type="spellStart"/>
      <w:r w:rsidR="00626CBE">
        <w:t>DocDB</w:t>
      </w:r>
      <w:proofErr w:type="spellEnd"/>
      <w:r w:rsidR="00626CBE">
        <w:t xml:space="preserve"> </w:t>
      </w:r>
      <w:r w:rsidR="00C54CC3">
        <w:t xml:space="preserve">and publishing </w:t>
      </w:r>
      <w:r w:rsidR="0023323A">
        <w:t xml:space="preserve">it </w:t>
      </w:r>
      <w:r w:rsidR="00C54CC3">
        <w:t xml:space="preserve">to the website. </w:t>
      </w:r>
      <w:r w:rsidR="00C53C31">
        <w:t>The process for publishing a document with all the necessary metadata is outlined on the wiki</w:t>
      </w:r>
      <w:r w:rsidR="00C53C31">
        <w:rPr>
          <w:rStyle w:val="FootnoteReference"/>
        </w:rPr>
        <w:footnoteReference w:id="14"/>
      </w:r>
      <w:r w:rsidR="00C53C31">
        <w:t>.</w:t>
      </w:r>
      <w:r w:rsidR="00037573">
        <w:t xml:space="preserve"> The documents have been reviewed to ensure that they have the correct access rights by the correct groups.</w:t>
      </w:r>
    </w:p>
    <w:p w14:paraId="618909CC" w14:textId="77777777" w:rsidR="00F22E3F" w:rsidRDefault="00F22E3F" w:rsidP="00E415BE"/>
    <w:p w14:paraId="6149C94C" w14:textId="07A6BF66" w:rsidR="00F22E3F" w:rsidRPr="00AC37F2" w:rsidRDefault="00BF1571" w:rsidP="00E415BE">
      <w:pPr>
        <w:rPr>
          <w:i/>
        </w:rPr>
      </w:pPr>
      <w:r>
        <w:rPr>
          <w:i/>
        </w:rPr>
        <w:t xml:space="preserve">Changes proposed for Year </w:t>
      </w:r>
      <w:r w:rsidR="00896804">
        <w:rPr>
          <w:i/>
        </w:rPr>
        <w:t>Five</w:t>
      </w:r>
      <w:r w:rsidR="005F2051" w:rsidRPr="00AC37F2">
        <w:rPr>
          <w:i/>
        </w:rPr>
        <w:t>:</w:t>
      </w:r>
    </w:p>
    <w:p w14:paraId="64055121" w14:textId="1AACFD81" w:rsidR="000E4396" w:rsidRDefault="00020CF5" w:rsidP="00E415BE">
      <w:r>
        <w:t xml:space="preserve">The </w:t>
      </w:r>
      <w:proofErr w:type="spellStart"/>
      <w:r>
        <w:t>DocDB</w:t>
      </w:r>
      <w:proofErr w:type="spellEnd"/>
      <w:r>
        <w:t xml:space="preserve"> will continue as the official repository for the EGI-InSPIRE documents</w:t>
      </w:r>
      <w:r w:rsidR="001B0AB4">
        <w:t xml:space="preserve"> and in general for EGI digital objects. Support of the tool will be ensured through EGI participants’ fees and in-kind contributions</w:t>
      </w:r>
      <w:r>
        <w:t>.</w:t>
      </w:r>
    </w:p>
    <w:p w14:paraId="3B065A3F" w14:textId="77777777" w:rsidR="00F22E3F" w:rsidRPr="009C67EC" w:rsidRDefault="00F22E3F" w:rsidP="00141B22">
      <w:pPr>
        <w:pStyle w:val="Heading3"/>
        <w:keepNext w:val="0"/>
        <w:spacing w:before="200" w:after="40"/>
      </w:pPr>
      <w:bookmarkStart w:id="19" w:name="_Toc264803491"/>
      <w:r>
        <w:t>Document</w:t>
      </w:r>
      <w:r w:rsidRPr="009C67EC">
        <w:t xml:space="preserve"> </w:t>
      </w:r>
      <w:r>
        <w:t>review</w:t>
      </w:r>
      <w:r w:rsidRPr="009C67EC">
        <w:t xml:space="preserve"> </w:t>
      </w:r>
      <w:r>
        <w:t>procedure</w:t>
      </w:r>
      <w:bookmarkEnd w:id="19"/>
    </w:p>
    <w:p w14:paraId="7DC0F501" w14:textId="77777777" w:rsidR="005F2051" w:rsidRDefault="005F2051" w:rsidP="00E415BE">
      <w:r>
        <w:t>The formal outputs from the project, in the form of milestones and deliverables</w:t>
      </w:r>
      <w:r w:rsidR="004E379E">
        <w:t xml:space="preserve"> pass through a </w:t>
      </w:r>
      <w:r w:rsidR="00626CBE">
        <w:t>defined</w:t>
      </w:r>
      <w:r w:rsidR="004E379E">
        <w:t xml:space="preserve"> review process. The review process is timed to ensure that the output is available to the EC at the end of the project month (PM) that the material is due. </w:t>
      </w:r>
    </w:p>
    <w:p w14:paraId="6E842A8F" w14:textId="77777777" w:rsidR="004E379E" w:rsidRDefault="004E379E" w:rsidP="00E415BE"/>
    <w:p w14:paraId="5F61B23F" w14:textId="77777777" w:rsidR="004E379E" w:rsidRDefault="004E379E" w:rsidP="00E415BE">
      <w:r>
        <w:lastRenderedPageBreak/>
        <w:t xml:space="preserve">The timetable and detailed processes of the document review procedure are listed on the wiki site at </w:t>
      </w:r>
      <w:hyperlink r:id="rId21" w:history="1">
        <w:r w:rsidR="007321BB" w:rsidRPr="007321BB">
          <w:rPr>
            <w:rStyle w:val="Hyperlink"/>
          </w:rPr>
          <w:t>https://wiki.egi.eu/wiki/Review_process_for_deliverables_and_milestones</w:t>
        </w:r>
      </w:hyperlink>
      <w:r w:rsidR="00BF1571">
        <w:t xml:space="preserve"> and are also described in D1.</w:t>
      </w:r>
      <w:r w:rsidR="00296555">
        <w:t>9</w:t>
      </w:r>
      <w:r>
        <w:t xml:space="preserve"> [R1].</w:t>
      </w:r>
    </w:p>
    <w:p w14:paraId="18641B4F" w14:textId="71406359" w:rsidR="00555A89" w:rsidRDefault="001B0AB4" w:rsidP="00E415BE">
      <w:r>
        <w:t>No changes to the review process where applied in PY4.</w:t>
      </w:r>
    </w:p>
    <w:p w14:paraId="169EAEB1" w14:textId="77777777" w:rsidR="00626CBE" w:rsidRDefault="00626CBE" w:rsidP="00E415BE">
      <w:pPr>
        <w:rPr>
          <w:i/>
        </w:rPr>
      </w:pPr>
    </w:p>
    <w:p w14:paraId="60A06942" w14:textId="77777777" w:rsidR="00E70B30" w:rsidRPr="003B4F22" w:rsidRDefault="00E70B30" w:rsidP="00141B22">
      <w:pPr>
        <w:outlineLvl w:val="0"/>
        <w:rPr>
          <w:i/>
        </w:rPr>
      </w:pPr>
      <w:r w:rsidRPr="003B4F22">
        <w:rPr>
          <w:i/>
        </w:rPr>
        <w:t>Assessment</w:t>
      </w:r>
    </w:p>
    <w:p w14:paraId="2E8B6D8D" w14:textId="44FF5726" w:rsidR="001B0AB4" w:rsidRDefault="00C46BD6" w:rsidP="00E415BE">
      <w:r>
        <w:t xml:space="preserve">The </w:t>
      </w:r>
      <w:r w:rsidR="00234CAB">
        <w:t>established</w:t>
      </w:r>
      <w:r>
        <w:t xml:space="preserve"> review process has run successfully during </w:t>
      </w:r>
      <w:r w:rsidR="00234CAB">
        <w:t>PY</w:t>
      </w:r>
      <w:r w:rsidR="001B0AB4">
        <w:t>4, but quarterly reports still suffered from delays. These delays were mainly introduced during the final revision stage, due to the drastically reduced NA1 effort allocated to quality management in PY4 in order to cope with the project extension and the workload due to the handover of project direction and project management duties which took place during PQ14 and PQ15.</w:t>
      </w:r>
    </w:p>
    <w:p w14:paraId="74DD3EA1" w14:textId="77777777" w:rsidR="00C46BD6" w:rsidRPr="00E70B30" w:rsidRDefault="00C46BD6" w:rsidP="00E415BE"/>
    <w:p w14:paraId="66B8A0D8" w14:textId="6BDB010B" w:rsidR="000171FB" w:rsidRPr="003B4F22" w:rsidRDefault="000465CA" w:rsidP="00E415BE">
      <w:pPr>
        <w:rPr>
          <w:i/>
        </w:rPr>
      </w:pPr>
      <w:r>
        <w:rPr>
          <w:i/>
        </w:rPr>
        <w:t xml:space="preserve">Proposed changes for Year </w:t>
      </w:r>
      <w:r w:rsidR="00AF3B4E">
        <w:rPr>
          <w:i/>
        </w:rPr>
        <w:t>Five</w:t>
      </w:r>
      <w:r w:rsidR="000171FB" w:rsidRPr="003B4F22">
        <w:rPr>
          <w:i/>
        </w:rPr>
        <w:t>:</w:t>
      </w:r>
    </w:p>
    <w:p w14:paraId="53FF7022" w14:textId="4BC3F64F" w:rsidR="00D2193B" w:rsidRPr="00E415BE" w:rsidRDefault="00AF3B4E" w:rsidP="00E415BE">
      <w:r>
        <w:t>No changes are proposed</w:t>
      </w:r>
      <w:r w:rsidR="00234CAB">
        <w:t>.</w:t>
      </w:r>
      <w:r>
        <w:t xml:space="preserve"> No delays are expected in the project outputs during the project </w:t>
      </w:r>
      <w:proofErr w:type="gramStart"/>
      <w:r>
        <w:t>extension  PY5</w:t>
      </w:r>
      <w:proofErr w:type="gramEnd"/>
      <w:r>
        <w:t>.</w:t>
      </w:r>
    </w:p>
    <w:p w14:paraId="097DB740" w14:textId="77777777" w:rsidR="00DD6C33" w:rsidRDefault="00DD6C33" w:rsidP="00141B22">
      <w:pPr>
        <w:pStyle w:val="Heading1"/>
        <w:rPr>
          <w:rFonts w:cs="Calibri"/>
        </w:rPr>
      </w:pPr>
      <w:bookmarkStart w:id="20" w:name="_Toc264803492"/>
      <w:r>
        <w:rPr>
          <w:rFonts w:cs="Calibri"/>
        </w:rPr>
        <w:lastRenderedPageBreak/>
        <w:t>M</w:t>
      </w:r>
      <w:r w:rsidR="00185F65">
        <w:rPr>
          <w:rFonts w:cs="Calibri"/>
        </w:rPr>
        <w:t>a</w:t>
      </w:r>
      <w:r>
        <w:rPr>
          <w:rFonts w:cs="Calibri"/>
        </w:rPr>
        <w:t xml:space="preserve">in </w:t>
      </w:r>
      <w:r w:rsidR="00185F65">
        <w:rPr>
          <w:rFonts w:cs="Calibri"/>
        </w:rPr>
        <w:t>P</w:t>
      </w:r>
      <w:r>
        <w:rPr>
          <w:rFonts w:cs="Calibri"/>
        </w:rPr>
        <w:t xml:space="preserve">roject </w:t>
      </w:r>
      <w:r w:rsidR="00185F65">
        <w:rPr>
          <w:rFonts w:cs="Calibri"/>
        </w:rPr>
        <w:t xml:space="preserve">Management </w:t>
      </w:r>
      <w:r w:rsidR="007344A0">
        <w:rPr>
          <w:rFonts w:cs="Calibri"/>
        </w:rPr>
        <w:t>T</w:t>
      </w:r>
      <w:r>
        <w:rPr>
          <w:rFonts w:cs="Calibri"/>
        </w:rPr>
        <w:t>ools</w:t>
      </w:r>
      <w:bookmarkEnd w:id="20"/>
    </w:p>
    <w:p w14:paraId="36EBBF22" w14:textId="77777777" w:rsidR="00BD6797" w:rsidRPr="009C67EC" w:rsidRDefault="00BD6797" w:rsidP="00141B22">
      <w:pPr>
        <w:pStyle w:val="Heading2"/>
      </w:pPr>
      <w:bookmarkStart w:id="21" w:name="_Toc514061728"/>
      <w:bookmarkStart w:id="22" w:name="_Ref519669941"/>
      <w:bookmarkStart w:id="23" w:name="_Toc11836278"/>
      <w:bookmarkStart w:id="24" w:name="_Toc82993284"/>
      <w:bookmarkStart w:id="25" w:name="_Toc142209354"/>
      <w:bookmarkStart w:id="26" w:name="_Toc264803493"/>
      <w:r w:rsidRPr="009C67EC">
        <w:t xml:space="preserve">Document </w:t>
      </w:r>
      <w:r w:rsidR="007344A0">
        <w:t>M</w:t>
      </w:r>
      <w:r w:rsidRPr="009C67EC">
        <w:t xml:space="preserve">anagement </w:t>
      </w:r>
      <w:r w:rsidR="007344A0">
        <w:t>T</w:t>
      </w:r>
      <w:r w:rsidRPr="009C67EC">
        <w:t>ools</w:t>
      </w:r>
      <w:bookmarkEnd w:id="21"/>
      <w:bookmarkEnd w:id="22"/>
      <w:bookmarkEnd w:id="23"/>
      <w:bookmarkEnd w:id="24"/>
      <w:bookmarkEnd w:id="25"/>
      <w:bookmarkEnd w:id="26"/>
    </w:p>
    <w:p w14:paraId="0D104DA0" w14:textId="77777777" w:rsidR="00BD6797" w:rsidRPr="009C67EC" w:rsidRDefault="00BD6797" w:rsidP="00BD6797">
      <w:r w:rsidRPr="009C67EC">
        <w:t>The document management tools and st</w:t>
      </w:r>
      <w:r w:rsidR="00BE05B7">
        <w:t>andards recommended for EGI</w:t>
      </w:r>
      <w:r w:rsidRPr="009C67EC">
        <w:t xml:space="preserve"> are the following:</w:t>
      </w:r>
    </w:p>
    <w:p w14:paraId="457EB789" w14:textId="77777777" w:rsidR="00BD6797" w:rsidRPr="009C67EC" w:rsidRDefault="00BD6797" w:rsidP="00B435DF">
      <w:pPr>
        <w:numPr>
          <w:ilvl w:val="0"/>
          <w:numId w:val="7"/>
        </w:numPr>
      </w:pPr>
      <w:r w:rsidRPr="009C67EC">
        <w:t xml:space="preserve">Word processing: </w:t>
      </w:r>
      <w:r w:rsidR="00F4171D">
        <w:t>MS Word 97-2003</w:t>
      </w:r>
    </w:p>
    <w:p w14:paraId="2953D664" w14:textId="77777777" w:rsidR="00BD6797" w:rsidRPr="009C67EC" w:rsidRDefault="00BD6797" w:rsidP="00B435DF">
      <w:pPr>
        <w:numPr>
          <w:ilvl w:val="0"/>
          <w:numId w:val="7"/>
        </w:numPr>
      </w:pPr>
      <w:r w:rsidRPr="009C67EC">
        <w:t>Spreadsheet: MS Excel</w:t>
      </w:r>
      <w:r w:rsidR="00F4171D">
        <w:t xml:space="preserve"> 97-2003</w:t>
      </w:r>
    </w:p>
    <w:p w14:paraId="10548915" w14:textId="77777777" w:rsidR="00BD6797" w:rsidRPr="009C67EC" w:rsidRDefault="00BD6797" w:rsidP="00B435DF">
      <w:pPr>
        <w:numPr>
          <w:ilvl w:val="0"/>
          <w:numId w:val="7"/>
        </w:numPr>
      </w:pPr>
      <w:r w:rsidRPr="009C67EC">
        <w:t>Slides presentation: MS PowerPoint</w:t>
      </w:r>
      <w:r w:rsidR="00F4171D">
        <w:t xml:space="preserve"> 97-2003</w:t>
      </w:r>
    </w:p>
    <w:p w14:paraId="161B9A70" w14:textId="77777777" w:rsidR="00BD6797" w:rsidRPr="009C67EC" w:rsidRDefault="00BD6797" w:rsidP="00B435DF">
      <w:pPr>
        <w:numPr>
          <w:ilvl w:val="0"/>
          <w:numId w:val="7"/>
        </w:numPr>
      </w:pPr>
      <w:r w:rsidRPr="009C67EC">
        <w:t xml:space="preserve">Document Management tools: </w:t>
      </w:r>
      <w:proofErr w:type="spellStart"/>
      <w:r w:rsidR="00BE05B7">
        <w:t>DocDB</w:t>
      </w:r>
      <w:proofErr w:type="spellEnd"/>
    </w:p>
    <w:p w14:paraId="3C0069D1" w14:textId="77777777" w:rsidR="005A7095" w:rsidRDefault="005A7095" w:rsidP="00BD6797"/>
    <w:p w14:paraId="76E85A6D" w14:textId="77777777" w:rsidR="00BD6797" w:rsidRPr="009C67EC" w:rsidRDefault="00BD6797" w:rsidP="00BD6797">
      <w:r w:rsidRPr="009C67EC">
        <w:t xml:space="preserve">The following formats </w:t>
      </w:r>
      <w:r w:rsidR="00BE05B7">
        <w:t>are</w:t>
      </w:r>
      <w:r w:rsidRPr="009C67EC">
        <w:t xml:space="preserve"> used for exchanging documents:</w:t>
      </w:r>
    </w:p>
    <w:p w14:paraId="4AE21031" w14:textId="77777777" w:rsidR="00BD6797" w:rsidRPr="009C67EC" w:rsidRDefault="00BD6797" w:rsidP="00B435DF">
      <w:pPr>
        <w:numPr>
          <w:ilvl w:val="0"/>
          <w:numId w:val="8"/>
        </w:numPr>
      </w:pPr>
      <w:r w:rsidRPr="009C67EC">
        <w:t xml:space="preserve">doc, </w:t>
      </w:r>
      <w:proofErr w:type="spellStart"/>
      <w:r w:rsidRPr="009C67EC">
        <w:t>xls</w:t>
      </w:r>
      <w:proofErr w:type="spellEnd"/>
      <w:r w:rsidRPr="009C67EC">
        <w:t xml:space="preserve">, </w:t>
      </w:r>
      <w:proofErr w:type="spellStart"/>
      <w:r w:rsidRPr="009C67EC">
        <w:t>ppt</w:t>
      </w:r>
      <w:proofErr w:type="spellEnd"/>
      <w:r w:rsidRPr="009C67EC">
        <w:t xml:space="preserve"> </w:t>
      </w:r>
    </w:p>
    <w:p w14:paraId="5D9406BC" w14:textId="77777777" w:rsidR="00BD6797" w:rsidRPr="009C67EC" w:rsidRDefault="00BD6797" w:rsidP="00B435DF">
      <w:pPr>
        <w:numPr>
          <w:ilvl w:val="0"/>
          <w:numId w:val="8"/>
        </w:numPr>
      </w:pPr>
      <w:r w:rsidRPr="009C67EC">
        <w:t>PDF</w:t>
      </w:r>
    </w:p>
    <w:p w14:paraId="12D33975" w14:textId="77777777" w:rsidR="00BD6797" w:rsidRPr="009C67EC" w:rsidRDefault="00BD6797" w:rsidP="00B435DF">
      <w:pPr>
        <w:numPr>
          <w:ilvl w:val="0"/>
          <w:numId w:val="8"/>
        </w:numPr>
      </w:pPr>
      <w:r w:rsidRPr="009C67EC">
        <w:t>HTML</w:t>
      </w:r>
    </w:p>
    <w:p w14:paraId="4C500B34" w14:textId="77777777" w:rsidR="007C3927" w:rsidRDefault="007C3927" w:rsidP="00BD6797"/>
    <w:p w14:paraId="35CAB198" w14:textId="77777777" w:rsidR="00BD6797" w:rsidRDefault="00BD6797" w:rsidP="00BD6797">
      <w:r w:rsidRPr="009C67EC">
        <w:t>All official documents must be available in PDF format.</w:t>
      </w:r>
      <w:r w:rsidR="00CA655C">
        <w:t xml:space="preserve"> </w:t>
      </w:r>
      <w:r w:rsidR="003A0A80">
        <w:t xml:space="preserve">Documents produced by </w:t>
      </w:r>
      <w:proofErr w:type="spellStart"/>
      <w:r w:rsidR="003A0A80">
        <w:t>OpenSource</w:t>
      </w:r>
      <w:proofErr w:type="spellEnd"/>
      <w:r w:rsidR="003A0A80">
        <w:t xml:space="preserve"> versions of office software, and/or in </w:t>
      </w:r>
      <w:proofErr w:type="spellStart"/>
      <w:r w:rsidR="003A0A80">
        <w:t>OpenSource</w:t>
      </w:r>
      <w:proofErr w:type="spellEnd"/>
      <w:r w:rsidR="003A0A80">
        <w:t xml:space="preserve"> formats</w:t>
      </w:r>
      <w:r w:rsidR="00CA655C">
        <w:t xml:space="preserve"> may also be submitted for review, but final documents should be available as pdfs.</w:t>
      </w:r>
    </w:p>
    <w:p w14:paraId="3C0BD6AE" w14:textId="77777777" w:rsidR="00CA655C" w:rsidRDefault="00CA655C" w:rsidP="00BD6797"/>
    <w:p w14:paraId="2D37AF79" w14:textId="77777777" w:rsidR="00CA655C" w:rsidRDefault="00CA655C" w:rsidP="00BD6797">
      <w:r>
        <w:t>Further templates are available from the website</w:t>
      </w:r>
      <w:r>
        <w:rPr>
          <w:rStyle w:val="FootnoteReference"/>
        </w:rPr>
        <w:footnoteReference w:id="15"/>
      </w:r>
      <w:r>
        <w:t>, a presentation template</w:t>
      </w:r>
      <w:r w:rsidR="00DA6C0C">
        <w:t xml:space="preserve"> in </w:t>
      </w:r>
      <w:r w:rsidR="004F6C59">
        <w:t xml:space="preserve">MS </w:t>
      </w:r>
      <w:r w:rsidR="00DA6C0C">
        <w:t>Power</w:t>
      </w:r>
      <w:r w:rsidR="004F6C59">
        <w:t>P</w:t>
      </w:r>
      <w:r w:rsidR="00DA6C0C">
        <w:t xml:space="preserve">oint and </w:t>
      </w:r>
      <w:proofErr w:type="spellStart"/>
      <w:r w:rsidR="00DA6C0C">
        <w:t>LaTeX</w:t>
      </w:r>
      <w:proofErr w:type="spellEnd"/>
      <w:r w:rsidR="00DA6C0C">
        <w:t xml:space="preserve">, and </w:t>
      </w:r>
      <w:r>
        <w:t>poster template</w:t>
      </w:r>
      <w:r w:rsidR="00DA6C0C">
        <w:t xml:space="preserve">s in </w:t>
      </w:r>
      <w:r w:rsidR="004F6C59">
        <w:t xml:space="preserve">MS </w:t>
      </w:r>
      <w:r w:rsidR="00DA6C0C">
        <w:t>Power</w:t>
      </w:r>
      <w:r w:rsidR="004F6C59">
        <w:t>P</w:t>
      </w:r>
      <w:r w:rsidR="00DA6C0C">
        <w:t xml:space="preserve">oint and </w:t>
      </w:r>
      <w:proofErr w:type="spellStart"/>
      <w:r w:rsidR="00DA6C0C">
        <w:t>Libre</w:t>
      </w:r>
      <w:proofErr w:type="spellEnd"/>
      <w:r w:rsidR="00DA6C0C">
        <w:t xml:space="preserve"> </w:t>
      </w:r>
      <w:r w:rsidR="004F6C59">
        <w:t>O</w:t>
      </w:r>
      <w:r w:rsidR="00DA6C0C">
        <w:t>ffice.</w:t>
      </w:r>
    </w:p>
    <w:p w14:paraId="4C537BC4" w14:textId="77777777" w:rsidR="00C90509" w:rsidRDefault="00C90509" w:rsidP="00BD6797"/>
    <w:p w14:paraId="39BFDAA1" w14:textId="77777777" w:rsidR="00C90509" w:rsidRDefault="00C90509" w:rsidP="00BD6797">
      <w:r w:rsidRPr="00C90509">
        <w:rPr>
          <w:i/>
        </w:rPr>
        <w:t>Assessment</w:t>
      </w:r>
      <w:r>
        <w:t>:</w:t>
      </w:r>
    </w:p>
    <w:p w14:paraId="103336D2" w14:textId="77777777" w:rsidR="00C90509" w:rsidRDefault="00C90509" w:rsidP="00BD6797">
      <w:r>
        <w:t>Since version control and formatting can become difficult if different file formats are use</w:t>
      </w:r>
      <w:r w:rsidR="00CA655C">
        <w:t>d</w:t>
      </w:r>
      <w:r w:rsidR="00AB1590">
        <w:t xml:space="preserve"> between versions</w:t>
      </w:r>
      <w:r w:rsidR="00CA655C">
        <w:t xml:space="preserve">, the expectation during </w:t>
      </w:r>
      <w:r w:rsidR="007C3927">
        <w:t>PY</w:t>
      </w:r>
      <w:r w:rsidR="00B84E51">
        <w:t>4</w:t>
      </w:r>
      <w:r>
        <w:t xml:space="preserve"> is to continue using </w:t>
      </w:r>
      <w:r w:rsidR="00AB1590">
        <w:t xml:space="preserve">both of </w:t>
      </w:r>
      <w:r>
        <w:t>these file formats for document creation and circulation.</w:t>
      </w:r>
      <w:r w:rsidR="00344913">
        <w:t xml:space="preserve"> </w:t>
      </w:r>
    </w:p>
    <w:p w14:paraId="17CAD216" w14:textId="77777777" w:rsidR="00C90509" w:rsidRDefault="00C90509" w:rsidP="00BD6797"/>
    <w:p w14:paraId="5AEA4785" w14:textId="37E24A41" w:rsidR="00C90509" w:rsidRPr="001910F9" w:rsidRDefault="000A7810" w:rsidP="00BD6797">
      <w:pPr>
        <w:rPr>
          <w:i/>
        </w:rPr>
      </w:pPr>
      <w:r>
        <w:rPr>
          <w:i/>
        </w:rPr>
        <w:t xml:space="preserve">Proposed changes for Year </w:t>
      </w:r>
      <w:r w:rsidR="00896804">
        <w:rPr>
          <w:i/>
        </w:rPr>
        <w:t>Five</w:t>
      </w:r>
      <w:r w:rsidR="00C90509" w:rsidRPr="001910F9">
        <w:rPr>
          <w:i/>
        </w:rPr>
        <w:t>:</w:t>
      </w:r>
    </w:p>
    <w:p w14:paraId="68C695A0" w14:textId="53D87198" w:rsidR="00C90509" w:rsidRDefault="00AF3B4E" w:rsidP="00BD6797">
      <w:r>
        <w:t>None</w:t>
      </w:r>
      <w:r w:rsidR="004A4D82">
        <w:t>.</w:t>
      </w:r>
    </w:p>
    <w:p w14:paraId="256712F0" w14:textId="77777777" w:rsidR="00C90509" w:rsidRPr="009C67EC" w:rsidRDefault="00C90509" w:rsidP="00BD6797"/>
    <w:p w14:paraId="7E4E45AB" w14:textId="77777777" w:rsidR="00BD6797" w:rsidRPr="009C67EC" w:rsidRDefault="00BD6797" w:rsidP="00141B22">
      <w:pPr>
        <w:pStyle w:val="Heading2"/>
      </w:pPr>
      <w:bookmarkStart w:id="27" w:name="_Toc82993285"/>
      <w:bookmarkStart w:id="28" w:name="_Toc142209355"/>
      <w:bookmarkStart w:id="29" w:name="_Toc264803494"/>
      <w:r w:rsidRPr="009C67EC">
        <w:t>Project Progress Tracking</w:t>
      </w:r>
      <w:bookmarkEnd w:id="27"/>
      <w:bookmarkEnd w:id="28"/>
      <w:bookmarkEnd w:id="29"/>
    </w:p>
    <w:p w14:paraId="1BD3B213" w14:textId="77777777" w:rsidR="00BD6797" w:rsidRPr="009C67EC" w:rsidRDefault="00BD6797" w:rsidP="00BD6797">
      <w:r w:rsidRPr="009C67EC">
        <w:t>For the whole project</w:t>
      </w:r>
      <w:r w:rsidR="00481261">
        <w:t xml:space="preserve"> the project </w:t>
      </w:r>
      <w:r w:rsidR="00694AFD">
        <w:t xml:space="preserve">effort </w:t>
      </w:r>
      <w:r w:rsidR="00481261">
        <w:t>is tracked using</w:t>
      </w:r>
      <w:r w:rsidRPr="009C67EC">
        <w:t>:</w:t>
      </w:r>
    </w:p>
    <w:p w14:paraId="23634D9C" w14:textId="77777777" w:rsidR="00BD6797" w:rsidRPr="00F4171D" w:rsidRDefault="00BD6797" w:rsidP="00B435DF">
      <w:pPr>
        <w:numPr>
          <w:ilvl w:val="0"/>
          <w:numId w:val="6"/>
        </w:numPr>
        <w:jc w:val="left"/>
        <w:rPr>
          <w:rStyle w:val="Hyperlink"/>
          <w:color w:val="auto"/>
          <w:u w:val="none"/>
        </w:rPr>
      </w:pPr>
      <w:r w:rsidRPr="009C67EC">
        <w:t>Project Progress Tracking: PPT (CERN tool, custo</w:t>
      </w:r>
      <w:r w:rsidR="003F1E19">
        <w:t>mised for EGI</w:t>
      </w:r>
      <w:r w:rsidR="00F14297">
        <w:t>-InSPIRE</w:t>
      </w:r>
      <w:r w:rsidRPr="009C67EC">
        <w:t xml:space="preserve">): </w:t>
      </w:r>
      <w:hyperlink r:id="rId22" w:history="1">
        <w:r w:rsidR="003F1E19" w:rsidRPr="00C7175B">
          <w:rPr>
            <w:rStyle w:val="Hyperlink"/>
          </w:rPr>
          <w:t>https://pptevm.cern.ch/egi/ui/main.do</w:t>
        </w:r>
      </w:hyperlink>
    </w:p>
    <w:p w14:paraId="33A510D2" w14:textId="77777777" w:rsidR="00F4171D" w:rsidRDefault="00F4171D" w:rsidP="00F4171D">
      <w:pPr>
        <w:jc w:val="left"/>
        <w:rPr>
          <w:rStyle w:val="Hyperlink"/>
        </w:rPr>
      </w:pPr>
    </w:p>
    <w:p w14:paraId="5E831623" w14:textId="77777777" w:rsidR="00F4171D" w:rsidRDefault="00F4171D" w:rsidP="00F4171D">
      <w:pPr>
        <w:pStyle w:val="Header"/>
        <w:spacing w:before="120" w:after="120"/>
      </w:pPr>
      <w:r w:rsidRPr="009273D7">
        <w:t>The PPT tool is hosted by CERN and is used by the EGI-InSPIRE project</w:t>
      </w:r>
      <w:r>
        <w:t>, and other EC</w:t>
      </w:r>
      <w:r w:rsidR="004239D8">
        <w:t>-</w:t>
      </w:r>
      <w:r w:rsidR="00F14297">
        <w:t xml:space="preserve">funded </w:t>
      </w:r>
      <w:r>
        <w:t>projects such as EMI,</w:t>
      </w:r>
      <w:r w:rsidRPr="009273D7">
        <w:t xml:space="preserve"> to track the work of its members across the different work packages and tasks.</w:t>
      </w:r>
      <w:r>
        <w:t xml:space="preserve"> It </w:t>
      </w:r>
      <w:r>
        <w:lastRenderedPageBreak/>
        <w:t xml:space="preserve">manages the </w:t>
      </w:r>
      <w:r w:rsidRPr="00EC7BBE">
        <w:t xml:space="preserve">online </w:t>
      </w:r>
      <w:r>
        <w:t>completion of timesheets across the partners.</w:t>
      </w:r>
      <w:r w:rsidR="005B249D">
        <w:t xml:space="preserve"> The timesheets submitted are used as the source of data for the quarterly payments to partners, which are </w:t>
      </w:r>
      <w:r w:rsidR="00594CF7">
        <w:t>calculated</w:t>
      </w:r>
      <w:r w:rsidR="005B249D">
        <w:t xml:space="preserve"> based on estimated costs related to the effort </w:t>
      </w:r>
      <w:r w:rsidR="007D0213">
        <w:t>recorded during the quarter</w:t>
      </w:r>
      <w:r w:rsidR="00594CF7">
        <w:t xml:space="preserve"> and the average staff costs</w:t>
      </w:r>
      <w:r w:rsidR="005B249D">
        <w:t xml:space="preserve">. Final adjustments to payments are made through the Form C’s provided by the </w:t>
      </w:r>
      <w:r w:rsidR="007D0213">
        <w:t>project partners at the end of each project year</w:t>
      </w:r>
      <w:r w:rsidR="00594CF7">
        <w:t>, based on real staff costs, and other costs</w:t>
      </w:r>
      <w:r w:rsidR="007D0213">
        <w:t>. The Form C’s are audited by the partners</w:t>
      </w:r>
      <w:r w:rsidR="00594CF7">
        <w:t>’</w:t>
      </w:r>
      <w:r w:rsidR="007D0213">
        <w:t xml:space="preserve"> </w:t>
      </w:r>
      <w:r w:rsidR="00594CF7">
        <w:t xml:space="preserve">institutional </w:t>
      </w:r>
      <w:r w:rsidR="007D0213">
        <w:t xml:space="preserve">accountants, and Certificates on the Financial Statements are provided when necessary. All Form Cs are reviewed by the EC’s financial and legal services and any queries resolved through the end of project year NEF session. </w:t>
      </w:r>
      <w:r w:rsidR="007F4BCF">
        <w:t xml:space="preserve">EGI </w:t>
      </w:r>
      <w:r w:rsidR="007D0213">
        <w:t xml:space="preserve">Global </w:t>
      </w:r>
      <w:r w:rsidR="008C6EEB">
        <w:t>T</w:t>
      </w:r>
      <w:r w:rsidR="007D0213">
        <w:t>ask</w:t>
      </w:r>
      <w:r w:rsidR="00594CF7">
        <w:t>s</w:t>
      </w:r>
      <w:r w:rsidR="007D0213">
        <w:t xml:space="preserve"> costs are </w:t>
      </w:r>
      <w:r w:rsidR="00594CF7">
        <w:t>gathered</w:t>
      </w:r>
      <w:r w:rsidR="007D0213">
        <w:t xml:space="preserve"> through a separate spreadsheet, which is completed by partners based on the average or actual costs of providing the global tasks as a whole.</w:t>
      </w:r>
    </w:p>
    <w:p w14:paraId="0A998748" w14:textId="77777777" w:rsidR="007D0213" w:rsidRDefault="007D0213" w:rsidP="00F4171D">
      <w:pPr>
        <w:pStyle w:val="Header"/>
        <w:spacing w:before="120" w:after="120"/>
      </w:pPr>
      <w:proofErr w:type="gramStart"/>
      <w:r>
        <w:t>Monitoring of project effort within PPT (and by association the quarterly payments) is carried out by the Work Package leaders</w:t>
      </w:r>
      <w:r w:rsidR="00594CF7">
        <w:t>, to assess expended effort against planned effort</w:t>
      </w:r>
      <w:proofErr w:type="gramEnd"/>
      <w:r>
        <w:t xml:space="preserve">. This analysis at </w:t>
      </w:r>
      <w:r w:rsidR="00594CF7">
        <w:t xml:space="preserve">both </w:t>
      </w:r>
      <w:r>
        <w:t>a work package and</w:t>
      </w:r>
      <w:r w:rsidR="00594CF7">
        <w:t xml:space="preserve"> a</w:t>
      </w:r>
      <w:r>
        <w:t xml:space="preserve"> project level is reported through the quarterly and periodic reports, along with any associated deviations from the work plan or project issues.</w:t>
      </w:r>
    </w:p>
    <w:p w14:paraId="50678463" w14:textId="77777777" w:rsidR="00AF3B4E" w:rsidRDefault="00AF3B4E" w:rsidP="00AF3B4E">
      <w:r w:rsidRPr="00C90509">
        <w:rPr>
          <w:i/>
        </w:rPr>
        <w:t>Assessment</w:t>
      </w:r>
      <w:r>
        <w:t>:</w:t>
      </w:r>
    </w:p>
    <w:p w14:paraId="318AAA9D" w14:textId="2FC00D12" w:rsidR="00AF3B4E" w:rsidRPr="00EC7BBE" w:rsidRDefault="00AF3B4E" w:rsidP="00F4171D">
      <w:pPr>
        <w:pStyle w:val="Header"/>
        <w:spacing w:before="120" w:after="120"/>
      </w:pPr>
      <w:r>
        <w:t>The use of PPT2 to support PY5 was successfully negotiated. PPT will also be used to report effort related to the EGI Core Activities, even if these will not be part of the EGI-</w:t>
      </w:r>
      <w:proofErr w:type="spellStart"/>
      <w:r>
        <w:t>InSPIRE</w:t>
      </w:r>
      <w:proofErr w:type="spellEnd"/>
      <w:r>
        <w:t xml:space="preserve"> Description of work.</w:t>
      </w:r>
    </w:p>
    <w:p w14:paraId="3EE78DCD" w14:textId="77777777" w:rsidR="00F4171D" w:rsidRPr="009273D7" w:rsidRDefault="00F4171D" w:rsidP="00F4171D"/>
    <w:p w14:paraId="1FD99703" w14:textId="21F7626F" w:rsidR="007946FA" w:rsidRPr="00AF3B4E" w:rsidRDefault="00961599" w:rsidP="00AF3B4E">
      <w:pPr>
        <w:spacing w:after="0"/>
        <w:rPr>
          <w:szCs w:val="24"/>
        </w:rPr>
      </w:pPr>
      <w:r>
        <w:rPr>
          <w:szCs w:val="24"/>
        </w:rPr>
        <w:t xml:space="preserve"> </w:t>
      </w:r>
      <w:r w:rsidR="000A7810">
        <w:rPr>
          <w:i/>
        </w:rPr>
        <w:t xml:space="preserve">Proposed changes for Year </w:t>
      </w:r>
      <w:r w:rsidR="00AF3B4E">
        <w:rPr>
          <w:i/>
        </w:rPr>
        <w:t>Five</w:t>
      </w:r>
      <w:r w:rsidR="007946FA" w:rsidRPr="001910F9">
        <w:rPr>
          <w:i/>
        </w:rPr>
        <w:t>:</w:t>
      </w:r>
    </w:p>
    <w:p w14:paraId="3666553B" w14:textId="2A87EE74" w:rsidR="00961599" w:rsidRDefault="00AF3B4E" w:rsidP="00961599">
      <w:pPr>
        <w:rPr>
          <w:szCs w:val="22"/>
        </w:rPr>
      </w:pPr>
      <w:r>
        <w:rPr>
          <w:szCs w:val="24"/>
        </w:rPr>
        <w:t>None.</w:t>
      </w:r>
    </w:p>
    <w:p w14:paraId="0EE086BD" w14:textId="77777777" w:rsidR="00BD6797" w:rsidRPr="009C67EC" w:rsidRDefault="00BD6797" w:rsidP="00141B22">
      <w:pPr>
        <w:pStyle w:val="Heading2"/>
      </w:pPr>
      <w:bookmarkStart w:id="30" w:name="_Hlt517683594"/>
      <w:bookmarkStart w:id="31" w:name="_Toc510929189"/>
      <w:bookmarkStart w:id="32" w:name="_Toc514061729"/>
      <w:bookmarkStart w:id="33" w:name="_Toc11836279"/>
      <w:bookmarkStart w:id="34" w:name="_Toc82993286"/>
      <w:bookmarkStart w:id="35" w:name="_Toc142209356"/>
      <w:bookmarkStart w:id="36" w:name="_Toc264803495"/>
      <w:bookmarkEnd w:id="30"/>
      <w:r w:rsidRPr="009C67EC">
        <w:t>Website</w:t>
      </w:r>
      <w:bookmarkEnd w:id="31"/>
      <w:bookmarkEnd w:id="32"/>
      <w:bookmarkEnd w:id="33"/>
      <w:bookmarkEnd w:id="34"/>
      <w:bookmarkEnd w:id="35"/>
      <w:r>
        <w:t xml:space="preserve"> and </w:t>
      </w:r>
      <w:r w:rsidR="007344A0">
        <w:t>W</w:t>
      </w:r>
      <w:r>
        <w:t>iki</w:t>
      </w:r>
      <w:bookmarkEnd w:id="36"/>
    </w:p>
    <w:p w14:paraId="7DA003D4" w14:textId="7971A3BE" w:rsidR="00AF3B4E" w:rsidRDefault="00BD6797" w:rsidP="00B435DF">
      <w:pPr>
        <w:numPr>
          <w:ilvl w:val="0"/>
          <w:numId w:val="9"/>
        </w:numPr>
      </w:pPr>
      <w:r w:rsidRPr="009C67EC">
        <w:t xml:space="preserve">PUBLIC: Dedicated to the general public: </w:t>
      </w:r>
      <w:hyperlink r:id="rId23" w:history="1">
        <w:r w:rsidR="00AF3B4E" w:rsidRPr="00305605">
          <w:rPr>
            <w:rStyle w:val="Hyperlink"/>
          </w:rPr>
          <w:t>http://www.egi.eu/</w:t>
        </w:r>
      </w:hyperlink>
    </w:p>
    <w:p w14:paraId="0FFB807D" w14:textId="1352F7F6" w:rsidR="00AF3B4E" w:rsidRPr="009C67EC" w:rsidRDefault="00AF3B4E" w:rsidP="00B435DF">
      <w:pPr>
        <w:numPr>
          <w:ilvl w:val="0"/>
          <w:numId w:val="9"/>
        </w:numPr>
      </w:pPr>
      <w:r>
        <w:t xml:space="preserve">Wiki: </w:t>
      </w:r>
      <w:hyperlink r:id="rId24" w:history="1">
        <w:r w:rsidRPr="00305605">
          <w:rPr>
            <w:rStyle w:val="Hyperlink"/>
          </w:rPr>
          <w:t>https://wiki.egi.eu/wiki/Main_Page</w:t>
        </w:r>
      </w:hyperlink>
    </w:p>
    <w:p w14:paraId="6EA087BD" w14:textId="77777777" w:rsidR="00F4171D" w:rsidRDefault="00F4171D" w:rsidP="00F4171D"/>
    <w:p w14:paraId="1F84552C" w14:textId="77777777" w:rsidR="00F4171D" w:rsidRDefault="00F4171D" w:rsidP="00F4171D">
      <w:r w:rsidRPr="00E450A4">
        <w:rPr>
          <w:i/>
        </w:rPr>
        <w:t>Assessment</w:t>
      </w:r>
      <w:r>
        <w:t>:</w:t>
      </w:r>
    </w:p>
    <w:p w14:paraId="32C44809" w14:textId="4099BBCD" w:rsidR="000465CA" w:rsidRDefault="00CE326E" w:rsidP="00E450A4">
      <w:r>
        <w:t xml:space="preserve">The EGI public website has </w:t>
      </w:r>
      <w:r w:rsidR="002A3301">
        <w:t xml:space="preserve">continued to be developed, with new areas on EGI Champions, </w:t>
      </w:r>
      <w:r w:rsidR="00AF3B4E">
        <w:t>operations</w:t>
      </w:r>
      <w:r w:rsidR="002A3301">
        <w:t xml:space="preserve"> and federated clouds.</w:t>
      </w:r>
      <w:r>
        <w:t xml:space="preserve"> </w:t>
      </w:r>
    </w:p>
    <w:p w14:paraId="2F0C4CF3" w14:textId="77777777" w:rsidR="0062722B" w:rsidRDefault="0062722B" w:rsidP="00E450A4"/>
    <w:p w14:paraId="05F0CB4A" w14:textId="77777777" w:rsidR="00E450A4" w:rsidRDefault="00E450A4" w:rsidP="00E450A4">
      <w:pPr>
        <w:rPr>
          <w:rStyle w:val="apple-style-span"/>
          <w:color w:val="000000"/>
        </w:rPr>
      </w:pPr>
      <w:r w:rsidRPr="00E450A4">
        <w:rPr>
          <w:rStyle w:val="apple-style-span"/>
          <w:color w:val="000000"/>
        </w:rPr>
        <w:t>The project wiki site</w:t>
      </w:r>
      <w:r w:rsidRPr="00E450A4">
        <w:rPr>
          <w:rStyle w:val="FootnoteReference"/>
          <w:color w:val="000000"/>
        </w:rPr>
        <w:footnoteReference w:id="16"/>
      </w:r>
      <w:r w:rsidRPr="00E450A4">
        <w:rPr>
          <w:rStyle w:val="apple-style-span"/>
          <w:color w:val="000000"/>
        </w:rPr>
        <w:t xml:space="preserve"> has been regularly updated during the course of the project and </w:t>
      </w:r>
      <w:r w:rsidR="00A027DC">
        <w:rPr>
          <w:rStyle w:val="apple-style-span"/>
          <w:color w:val="000000"/>
        </w:rPr>
        <w:t>has been particularly useful in supporting and reporti</w:t>
      </w:r>
      <w:r w:rsidR="00A47E2C">
        <w:rPr>
          <w:rStyle w:val="apple-style-span"/>
          <w:color w:val="000000"/>
        </w:rPr>
        <w:t>ng the work of the Virtual Teams</w:t>
      </w:r>
      <w:r w:rsidR="00F503E5">
        <w:rPr>
          <w:rStyle w:val="FootnoteReference"/>
          <w:color w:val="000000"/>
        </w:rPr>
        <w:footnoteReference w:id="17"/>
      </w:r>
      <w:r w:rsidR="0036598F">
        <w:rPr>
          <w:rStyle w:val="apple-style-span"/>
          <w:color w:val="000000"/>
        </w:rPr>
        <w:t>.</w:t>
      </w:r>
    </w:p>
    <w:p w14:paraId="01B39487" w14:textId="77777777" w:rsidR="00F36B2C" w:rsidRDefault="00F36B2C" w:rsidP="00E450A4">
      <w:pPr>
        <w:rPr>
          <w:rStyle w:val="apple-style-span"/>
          <w:color w:val="000000"/>
        </w:rPr>
      </w:pPr>
    </w:p>
    <w:p w14:paraId="6155ACD3" w14:textId="0CA99E4A" w:rsidR="0062722B" w:rsidRDefault="0062722B" w:rsidP="00E450A4">
      <w:pPr>
        <w:rPr>
          <w:rStyle w:val="apple-style-span"/>
          <w:color w:val="000000"/>
        </w:rPr>
      </w:pPr>
      <w:r>
        <w:t>The EGI website and wiki are hosted and maintained by EGI-InSPIRE partner CESNET. This includes securi</w:t>
      </w:r>
      <w:r w:rsidR="00FF4683">
        <w:t>ty monitoring and patching, day-</w:t>
      </w:r>
      <w:r>
        <w:t>to</w:t>
      </w:r>
      <w:r w:rsidR="00FF4683">
        <w:t>-</w:t>
      </w:r>
      <w:r>
        <w:t xml:space="preserve">day maintenance, and more substantial updates to the CMS as were required for the </w:t>
      </w:r>
      <w:proofErr w:type="spellStart"/>
      <w:r>
        <w:t>relaunch</w:t>
      </w:r>
      <w:proofErr w:type="spellEnd"/>
      <w:r>
        <w:t xml:space="preserve"> of the website</w:t>
      </w:r>
      <w:r w:rsidR="00F503E5">
        <w:t xml:space="preserve"> in PY2</w:t>
      </w:r>
      <w:r>
        <w:t xml:space="preserve">. The level of service provided by CESNET </w:t>
      </w:r>
      <w:r w:rsidR="004D5067">
        <w:t xml:space="preserve">for the website, wiki, </w:t>
      </w:r>
      <w:proofErr w:type="spellStart"/>
      <w:proofErr w:type="gramStart"/>
      <w:r w:rsidR="004D5067">
        <w:t>Indico</w:t>
      </w:r>
      <w:proofErr w:type="spellEnd"/>
      <w:r w:rsidR="004D5067">
        <w:t>(</w:t>
      </w:r>
      <w:proofErr w:type="gramEnd"/>
      <w:r w:rsidR="004D5067">
        <w:t xml:space="preserve">see below), document server  and other technical services has shown excellent availability and reliability. The very occasional failures have been promptly resolved. The technical support and consultancy </w:t>
      </w:r>
      <w:r>
        <w:t xml:space="preserve">has been </w:t>
      </w:r>
      <w:r w:rsidR="00AF3B4E">
        <w:t>effective and responsive</w:t>
      </w:r>
      <w:r>
        <w:t>.</w:t>
      </w:r>
    </w:p>
    <w:p w14:paraId="2ED3F3D2" w14:textId="77777777" w:rsidR="00185F65" w:rsidRDefault="00185F65" w:rsidP="00F4171D"/>
    <w:p w14:paraId="143D8F9D" w14:textId="5A5F0EFC" w:rsidR="00F4171D" w:rsidRPr="00851615" w:rsidRDefault="00C632A2" w:rsidP="00F4171D">
      <w:pPr>
        <w:rPr>
          <w:i/>
        </w:rPr>
      </w:pPr>
      <w:r>
        <w:rPr>
          <w:i/>
        </w:rPr>
        <w:t xml:space="preserve">Plans for Year </w:t>
      </w:r>
      <w:r w:rsidR="00AF3B4E">
        <w:rPr>
          <w:i/>
        </w:rPr>
        <w:t>Five</w:t>
      </w:r>
      <w:r w:rsidR="00F4171D" w:rsidRPr="00851615">
        <w:rPr>
          <w:i/>
        </w:rPr>
        <w:t>:</w:t>
      </w:r>
    </w:p>
    <w:p w14:paraId="18BB4916" w14:textId="7AEC3293" w:rsidR="00AA5A32" w:rsidRDefault="00AF3B4E" w:rsidP="00F4171D">
      <w:r>
        <w:t>No changes</w:t>
      </w:r>
      <w:r w:rsidR="00AA5A32">
        <w:t>.</w:t>
      </w:r>
    </w:p>
    <w:p w14:paraId="63EF9CAB" w14:textId="77777777" w:rsidR="00185F65" w:rsidRDefault="00185F65" w:rsidP="00F4171D"/>
    <w:p w14:paraId="7A5A377D" w14:textId="77777777" w:rsidR="00BD6797" w:rsidRPr="009C67EC" w:rsidRDefault="00BD6797" w:rsidP="00141B22">
      <w:pPr>
        <w:pStyle w:val="Heading2"/>
      </w:pPr>
      <w:bookmarkStart w:id="37" w:name="_Toc82993287"/>
      <w:bookmarkStart w:id="38" w:name="_Toc142209357"/>
      <w:bookmarkStart w:id="39" w:name="_Toc264803496"/>
      <w:r w:rsidRPr="009C67EC">
        <w:t>Meetings</w:t>
      </w:r>
      <w:bookmarkEnd w:id="37"/>
      <w:bookmarkEnd w:id="38"/>
      <w:bookmarkEnd w:id="39"/>
    </w:p>
    <w:p w14:paraId="720FC1C6" w14:textId="77777777" w:rsidR="00BD6797" w:rsidRDefault="00BD6797" w:rsidP="009F3FB3">
      <w:pPr>
        <w:rPr>
          <w:rStyle w:val="Hyperlink"/>
          <w:color w:val="auto"/>
          <w:u w:val="none"/>
        </w:rPr>
      </w:pPr>
      <w:r w:rsidRPr="009C67EC">
        <w:t xml:space="preserve">Meetings and related agendas are managed with </w:t>
      </w:r>
      <w:proofErr w:type="spellStart"/>
      <w:r w:rsidR="003F1E19">
        <w:t>Indico</w:t>
      </w:r>
      <w:proofErr w:type="spellEnd"/>
      <w:r w:rsidR="003F1E19">
        <w:t xml:space="preserve">: </w:t>
      </w:r>
      <w:hyperlink r:id="rId25" w:history="1">
        <w:r w:rsidR="008A2241" w:rsidRPr="008A2241">
          <w:rPr>
            <w:rStyle w:val="Hyperlink"/>
          </w:rPr>
          <w:t>https://www.egi.eu/indico/</w:t>
        </w:r>
      </w:hyperlink>
      <w:r w:rsidR="008A2241">
        <w:t xml:space="preserve">. </w:t>
      </w:r>
      <w:r w:rsidR="00401823" w:rsidRPr="00401823">
        <w:rPr>
          <w:rStyle w:val="Hyperlink"/>
          <w:color w:val="auto"/>
          <w:u w:val="none"/>
        </w:rPr>
        <w:t>The</w:t>
      </w:r>
      <w:r w:rsidR="00401823">
        <w:rPr>
          <w:rStyle w:val="Hyperlink"/>
          <w:color w:val="auto"/>
          <w:u w:val="none"/>
        </w:rPr>
        <w:t>se include EGI Community meetings, EGI Management meetings, such as the OTAG, SCG, USAG and UCB, operations meetings and EGI-InSPIRE meetings, such as the AMB, PMB and CB.</w:t>
      </w:r>
    </w:p>
    <w:p w14:paraId="6189C370" w14:textId="77777777" w:rsidR="00401823" w:rsidRDefault="00401823" w:rsidP="009F3FB3">
      <w:pPr>
        <w:rPr>
          <w:rStyle w:val="Hyperlink"/>
          <w:color w:val="auto"/>
          <w:u w:val="none"/>
        </w:rPr>
      </w:pPr>
    </w:p>
    <w:p w14:paraId="7D1B78EC" w14:textId="77777777" w:rsidR="00401823" w:rsidRDefault="00401823" w:rsidP="00141B22">
      <w:pPr>
        <w:outlineLvl w:val="0"/>
        <w:rPr>
          <w:rStyle w:val="Hyperlink"/>
          <w:color w:val="auto"/>
          <w:u w:val="none"/>
        </w:rPr>
      </w:pPr>
      <w:r>
        <w:rPr>
          <w:rStyle w:val="Hyperlink"/>
          <w:color w:val="auto"/>
          <w:u w:val="none"/>
        </w:rPr>
        <w:t xml:space="preserve">EGI also hosts two large annual events each year, the </w:t>
      </w:r>
      <w:r w:rsidR="00296D2B">
        <w:rPr>
          <w:rStyle w:val="Hyperlink"/>
          <w:color w:val="auto"/>
          <w:u w:val="none"/>
        </w:rPr>
        <w:t xml:space="preserve">Community </w:t>
      </w:r>
      <w:r>
        <w:rPr>
          <w:rStyle w:val="Hyperlink"/>
          <w:color w:val="auto"/>
          <w:u w:val="none"/>
        </w:rPr>
        <w:t xml:space="preserve">Forum and the Technical Forum. </w:t>
      </w:r>
    </w:p>
    <w:p w14:paraId="21FB02C0" w14:textId="77777777" w:rsidR="006D6A92" w:rsidRDefault="006D6A92" w:rsidP="00BD6797">
      <w:pPr>
        <w:jc w:val="left"/>
        <w:rPr>
          <w:rStyle w:val="Hyperlink"/>
          <w:color w:val="auto"/>
          <w:u w:val="none"/>
        </w:rPr>
      </w:pPr>
    </w:p>
    <w:p w14:paraId="35A553E5" w14:textId="77777777" w:rsidR="006D6A92" w:rsidRPr="009E19A1" w:rsidRDefault="006D6A92" w:rsidP="00BD6797">
      <w:pPr>
        <w:jc w:val="left"/>
        <w:rPr>
          <w:rStyle w:val="Hyperlink"/>
          <w:i/>
          <w:color w:val="auto"/>
          <w:u w:val="none"/>
        </w:rPr>
      </w:pPr>
      <w:r w:rsidRPr="009E19A1">
        <w:rPr>
          <w:rStyle w:val="Hyperlink"/>
          <w:i/>
          <w:color w:val="auto"/>
          <w:u w:val="none"/>
        </w:rPr>
        <w:t>Assessment:</w:t>
      </w:r>
    </w:p>
    <w:p w14:paraId="2290515C" w14:textId="08DB7C18" w:rsidR="009E19A1" w:rsidRDefault="009E19A1" w:rsidP="009F3FB3">
      <w:pPr>
        <w:rPr>
          <w:rStyle w:val="Hyperlink"/>
          <w:color w:val="auto"/>
          <w:u w:val="none"/>
        </w:rPr>
      </w:pPr>
      <w:proofErr w:type="spellStart"/>
      <w:r>
        <w:rPr>
          <w:rStyle w:val="Hyperlink"/>
          <w:color w:val="auto"/>
          <w:u w:val="none"/>
        </w:rPr>
        <w:t>Indico</w:t>
      </w:r>
      <w:proofErr w:type="spellEnd"/>
      <w:r>
        <w:rPr>
          <w:rStyle w:val="Hyperlink"/>
          <w:color w:val="auto"/>
          <w:u w:val="none"/>
        </w:rPr>
        <w:t xml:space="preserve"> has been used throughout the </w:t>
      </w:r>
      <w:r w:rsidR="00704CC1">
        <w:rPr>
          <w:rStyle w:val="Hyperlink"/>
          <w:color w:val="auto"/>
          <w:u w:val="none"/>
        </w:rPr>
        <w:t xml:space="preserve">third </w:t>
      </w:r>
      <w:r>
        <w:rPr>
          <w:rStyle w:val="Hyperlink"/>
          <w:color w:val="auto"/>
          <w:u w:val="none"/>
        </w:rPr>
        <w:t>year for hosting meetings of the various EGI, EGI.eu and community groups</w:t>
      </w:r>
      <w:r w:rsidR="000441C8">
        <w:rPr>
          <w:rStyle w:val="Hyperlink"/>
          <w:color w:val="auto"/>
          <w:u w:val="none"/>
        </w:rPr>
        <w:t>, including the two large annual meetings</w:t>
      </w:r>
      <w:r>
        <w:rPr>
          <w:rStyle w:val="Hyperlink"/>
          <w:color w:val="auto"/>
          <w:u w:val="none"/>
        </w:rPr>
        <w:t xml:space="preserve">. </w:t>
      </w:r>
      <w:proofErr w:type="spellStart"/>
      <w:r>
        <w:rPr>
          <w:rStyle w:val="Hyperlink"/>
          <w:color w:val="auto"/>
          <w:u w:val="none"/>
        </w:rPr>
        <w:t>I</w:t>
      </w:r>
      <w:r w:rsidR="00837CA7">
        <w:rPr>
          <w:rStyle w:val="Hyperlink"/>
          <w:color w:val="auto"/>
          <w:u w:val="none"/>
        </w:rPr>
        <w:t>ndico</w:t>
      </w:r>
      <w:proofErr w:type="spellEnd"/>
      <w:r>
        <w:rPr>
          <w:rStyle w:val="Hyperlink"/>
          <w:color w:val="auto"/>
          <w:u w:val="none"/>
        </w:rPr>
        <w:t xml:space="preserve"> </w:t>
      </w:r>
      <w:r w:rsidR="000441C8">
        <w:rPr>
          <w:rStyle w:val="Hyperlink"/>
          <w:color w:val="auto"/>
          <w:u w:val="none"/>
        </w:rPr>
        <w:t>continues to offer</w:t>
      </w:r>
      <w:r>
        <w:rPr>
          <w:rStyle w:val="Hyperlink"/>
          <w:color w:val="auto"/>
          <w:u w:val="none"/>
        </w:rPr>
        <w:t xml:space="preserve"> functionalities such as registration, programme generation, agenda, timetabling, abstract review, email lists of contributors and a permanent repository for documents such minutes, notes, abstracts and presentations.</w:t>
      </w:r>
      <w:r w:rsidR="006A02E2">
        <w:rPr>
          <w:rStyle w:val="Hyperlink"/>
          <w:color w:val="auto"/>
          <w:u w:val="none"/>
        </w:rPr>
        <w:t xml:space="preserve"> The performance of the </w:t>
      </w:r>
      <w:proofErr w:type="spellStart"/>
      <w:r w:rsidR="006A02E2">
        <w:rPr>
          <w:rStyle w:val="Hyperlink"/>
          <w:color w:val="auto"/>
          <w:u w:val="none"/>
        </w:rPr>
        <w:t>Indico</w:t>
      </w:r>
      <w:proofErr w:type="spellEnd"/>
      <w:r w:rsidR="006A02E2">
        <w:rPr>
          <w:rStyle w:val="Hyperlink"/>
          <w:color w:val="auto"/>
          <w:u w:val="none"/>
        </w:rPr>
        <w:t xml:space="preserve"> tool during the </w:t>
      </w:r>
      <w:r w:rsidR="00704CC1">
        <w:rPr>
          <w:rStyle w:val="Hyperlink"/>
          <w:color w:val="auto"/>
          <w:u w:val="none"/>
        </w:rPr>
        <w:t xml:space="preserve">third </w:t>
      </w:r>
      <w:r w:rsidR="006A02E2">
        <w:rPr>
          <w:rStyle w:val="Hyperlink"/>
          <w:color w:val="auto"/>
          <w:u w:val="none"/>
        </w:rPr>
        <w:t>year has been satisfactory, with no major outages experienced.</w:t>
      </w:r>
      <w:r w:rsidR="00AF3B4E">
        <w:rPr>
          <w:rStyle w:val="Hyperlink"/>
          <w:color w:val="auto"/>
          <w:u w:val="none"/>
        </w:rPr>
        <w:t xml:space="preserve"> No upgrades were necessary.</w:t>
      </w:r>
    </w:p>
    <w:p w14:paraId="158DEFBF" w14:textId="77777777" w:rsidR="006D6A92" w:rsidRDefault="006D6A92" w:rsidP="00BD6797">
      <w:pPr>
        <w:jc w:val="left"/>
        <w:rPr>
          <w:rStyle w:val="Hyperlink"/>
          <w:color w:val="auto"/>
          <w:u w:val="none"/>
        </w:rPr>
      </w:pPr>
    </w:p>
    <w:p w14:paraId="01332425" w14:textId="613064EB" w:rsidR="006D6A92" w:rsidRPr="00B5413A" w:rsidRDefault="000441C8" w:rsidP="00BD6797">
      <w:pPr>
        <w:jc w:val="left"/>
        <w:rPr>
          <w:i/>
        </w:rPr>
      </w:pPr>
      <w:r>
        <w:rPr>
          <w:rStyle w:val="Hyperlink"/>
          <w:i/>
          <w:color w:val="auto"/>
          <w:u w:val="none"/>
        </w:rPr>
        <w:t xml:space="preserve">Plans for Year </w:t>
      </w:r>
      <w:r w:rsidR="00AF3B4E">
        <w:rPr>
          <w:rStyle w:val="Hyperlink"/>
          <w:i/>
          <w:color w:val="auto"/>
          <w:u w:val="none"/>
        </w:rPr>
        <w:t>Five</w:t>
      </w:r>
      <w:r w:rsidR="006D6A92" w:rsidRPr="00B5413A">
        <w:rPr>
          <w:rStyle w:val="Hyperlink"/>
          <w:i/>
          <w:color w:val="auto"/>
          <w:u w:val="none"/>
        </w:rPr>
        <w:t>:</w:t>
      </w:r>
    </w:p>
    <w:p w14:paraId="21FE43EF" w14:textId="77777777" w:rsidR="00BD6797" w:rsidRPr="00BD6797" w:rsidRDefault="009E19A1" w:rsidP="00BD6797">
      <w:proofErr w:type="spellStart"/>
      <w:r>
        <w:t>Indico</w:t>
      </w:r>
      <w:proofErr w:type="spellEnd"/>
      <w:r>
        <w:t xml:space="preserve"> will continue to be used to provide meeting planning for EGI.eu and the wider community in the </w:t>
      </w:r>
      <w:r w:rsidR="00704CC1">
        <w:t xml:space="preserve">fourth </w:t>
      </w:r>
      <w:r>
        <w:t xml:space="preserve">year. </w:t>
      </w:r>
    </w:p>
    <w:p w14:paraId="3280ECE9" w14:textId="77777777" w:rsidR="00DD6C33" w:rsidRDefault="007344A0" w:rsidP="00141B22">
      <w:pPr>
        <w:pStyle w:val="Heading1"/>
        <w:rPr>
          <w:rFonts w:cs="Calibri"/>
        </w:rPr>
      </w:pPr>
      <w:bookmarkStart w:id="40" w:name="_Toc264803497"/>
      <w:r>
        <w:rPr>
          <w:rFonts w:cs="Calibri"/>
        </w:rPr>
        <w:lastRenderedPageBreak/>
        <w:t xml:space="preserve">EGI-InSPIRE Project </w:t>
      </w:r>
      <w:r w:rsidR="00DD6C33">
        <w:rPr>
          <w:rFonts w:cs="Calibri"/>
        </w:rPr>
        <w:t>Metrics</w:t>
      </w:r>
      <w:bookmarkEnd w:id="40"/>
    </w:p>
    <w:p w14:paraId="170D77C2" w14:textId="189C649D" w:rsidR="00BD6797" w:rsidRDefault="00BD6797" w:rsidP="00BD6797">
      <w:r>
        <w:t>EGI-</w:t>
      </w:r>
      <w:proofErr w:type="spellStart"/>
      <w:r>
        <w:t>InSPIRE</w:t>
      </w:r>
      <w:proofErr w:type="spellEnd"/>
      <w:r>
        <w:t xml:space="preserve"> define</w:t>
      </w:r>
      <w:r w:rsidR="002D5F74">
        <w:t>d</w:t>
      </w:r>
      <w:r>
        <w:t xml:space="preserve"> the following project objectives (PO) as its goals:</w:t>
      </w:r>
    </w:p>
    <w:p w14:paraId="7AB805C8" w14:textId="77777777" w:rsidR="00336B6D" w:rsidRDefault="00336B6D" w:rsidP="00BD6797"/>
    <w:p w14:paraId="00C2C9FA" w14:textId="77777777" w:rsidR="00BD6797" w:rsidRDefault="00BD6797" w:rsidP="00B435DF">
      <w:pPr>
        <w:pStyle w:val="ListParagraph"/>
        <w:numPr>
          <w:ilvl w:val="0"/>
          <w:numId w:val="10"/>
        </w:numPr>
      </w:pPr>
      <w:r w:rsidRPr="00D9244E">
        <w:rPr>
          <w:b/>
        </w:rPr>
        <w:t>PO1:</w:t>
      </w:r>
      <w:r>
        <w:t xml:space="preserve"> The continued operation and expansion of today’s production infrastructure by transitioning to a governance model and operational infrastructure that can be increasingly sustained outside of specific project funding.</w:t>
      </w:r>
    </w:p>
    <w:p w14:paraId="4BCB1E83" w14:textId="77777777" w:rsidR="00BD6797" w:rsidRDefault="00BD6797" w:rsidP="00B435DF">
      <w:pPr>
        <w:pStyle w:val="ListParagraph"/>
        <w:numPr>
          <w:ilvl w:val="0"/>
          <w:numId w:val="10"/>
        </w:numPr>
      </w:pPr>
      <w:r w:rsidRPr="00D9244E">
        <w:rPr>
          <w:b/>
        </w:rPr>
        <w:t>PO2:</w:t>
      </w:r>
      <w:r>
        <w:t xml:space="preserve"> The continued support of researchers within Europe and their international collaborators that are using the current production infrastructure.</w:t>
      </w:r>
    </w:p>
    <w:p w14:paraId="4A5E6540" w14:textId="77777777" w:rsidR="00BD6797" w:rsidRDefault="00BD6797" w:rsidP="00B435DF">
      <w:pPr>
        <w:pStyle w:val="ListParagraph"/>
        <w:numPr>
          <w:ilvl w:val="0"/>
          <w:numId w:val="10"/>
        </w:numPr>
      </w:pPr>
      <w:r w:rsidRPr="00D9244E">
        <w:rPr>
          <w:b/>
        </w:rPr>
        <w:t>PO3:</w:t>
      </w:r>
      <w:r>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225F2F81" w14:textId="77777777" w:rsidR="00BD6797" w:rsidRDefault="00BD6797" w:rsidP="00B435DF">
      <w:pPr>
        <w:pStyle w:val="ListParagraph"/>
        <w:numPr>
          <w:ilvl w:val="0"/>
          <w:numId w:val="10"/>
        </w:numPr>
      </w:pPr>
      <w:r w:rsidRPr="00D9244E">
        <w:rPr>
          <w:b/>
        </w:rPr>
        <w:t>PO4:</w:t>
      </w:r>
      <w:r>
        <w:t xml:space="preserve"> Interfaces that expand access to new user communities including new potential heavy users of the infrastructure from the ESFRI projects.</w:t>
      </w:r>
    </w:p>
    <w:p w14:paraId="38AE26E1" w14:textId="77777777" w:rsidR="00BD6797" w:rsidRDefault="00BD6797" w:rsidP="00B435DF">
      <w:pPr>
        <w:pStyle w:val="ListParagraph"/>
        <w:numPr>
          <w:ilvl w:val="0"/>
          <w:numId w:val="10"/>
        </w:numPr>
      </w:pPr>
      <w:r w:rsidRPr="00D9244E">
        <w:rPr>
          <w:b/>
        </w:rPr>
        <w:t>PO5:</w:t>
      </w:r>
      <w:r>
        <w:t xml:space="preserve"> Mechanisms to integrate existing infrastructure providers in Europe and around the world into the production infrastructure so as to provide transparent access to all authorised users.</w:t>
      </w:r>
    </w:p>
    <w:p w14:paraId="0C16565D" w14:textId="77777777" w:rsidR="00BD6797" w:rsidRDefault="00BD6797" w:rsidP="00B435DF">
      <w:pPr>
        <w:pStyle w:val="ListParagraph"/>
        <w:numPr>
          <w:ilvl w:val="0"/>
          <w:numId w:val="10"/>
        </w:numPr>
      </w:pPr>
      <w:r w:rsidRPr="00D9244E">
        <w:rPr>
          <w:b/>
        </w:rPr>
        <w:t>PO6:</w:t>
      </w:r>
      <w:r>
        <w:t xml:space="preserve"> Establish processes and procedures to allow the integration of new DCI technologies (e.g. clouds, volunteer desktop grids, etc.) and heterogeneous resources (e.g. HTC and HPC) into a seamless production</w:t>
      </w:r>
    </w:p>
    <w:p w14:paraId="4FFBF258" w14:textId="77777777" w:rsidR="00BD6797" w:rsidRDefault="00BD6797" w:rsidP="00BD6797"/>
    <w:p w14:paraId="0F8CFB87" w14:textId="0E921DB9" w:rsidR="00BD6797" w:rsidRDefault="00BD6797" w:rsidP="00BD6797">
      <w:r>
        <w:t>Prog</w:t>
      </w:r>
      <w:r w:rsidR="002D5F74">
        <w:t>ress towards these objectives was previously</w:t>
      </w:r>
      <w:r>
        <w:t xml:space="preserve"> monitored through the project’s metrics. Additional metrics </w:t>
      </w:r>
      <w:r w:rsidR="00AF3B4E">
        <w:t>were</w:t>
      </w:r>
      <w:r>
        <w:t xml:space="preserve"> defined </w:t>
      </w:r>
      <w:r w:rsidR="00AF3B4E">
        <w:t xml:space="preserve">in PY4 </w:t>
      </w:r>
      <w:r>
        <w:t xml:space="preserve">to monitor the </w:t>
      </w:r>
      <w:r w:rsidR="00AF3B4E">
        <w:t>impact of EGI engagement activities, in particular in the area of scientific communities.</w:t>
      </w:r>
    </w:p>
    <w:p w14:paraId="2E9A308D" w14:textId="77777777" w:rsidR="003F1E19" w:rsidRDefault="003F1E19" w:rsidP="00BD6797"/>
    <w:p w14:paraId="6C456823" w14:textId="77777777" w:rsidR="00BD6797" w:rsidRDefault="00BD6797" w:rsidP="00BD6797">
      <w:r>
        <w:t>Therefore the metrics described in this document are used to measure work:</w:t>
      </w:r>
    </w:p>
    <w:p w14:paraId="3DB8FB87" w14:textId="77777777" w:rsidR="00BD6797" w:rsidRDefault="00BD6797" w:rsidP="00B435DF">
      <w:pPr>
        <w:pStyle w:val="ListParagraph"/>
        <w:numPr>
          <w:ilvl w:val="0"/>
          <w:numId w:val="11"/>
        </w:numPr>
      </w:pPr>
      <w:r>
        <w:t>As an Activity within the project</w:t>
      </w:r>
    </w:p>
    <w:p w14:paraId="7C964AC6" w14:textId="77777777" w:rsidR="00BD6797" w:rsidRDefault="00BD6797" w:rsidP="00B435DF">
      <w:pPr>
        <w:pStyle w:val="ListParagraph"/>
        <w:numPr>
          <w:ilvl w:val="0"/>
          <w:numId w:val="11"/>
        </w:numPr>
      </w:pPr>
      <w:r>
        <w:t xml:space="preserve">Towards the project’s </w:t>
      </w:r>
      <w:r w:rsidR="001F3600">
        <w:t xml:space="preserve">overall </w:t>
      </w:r>
      <w:r>
        <w:t>objectives (PO1-6)</w:t>
      </w:r>
    </w:p>
    <w:p w14:paraId="2CBF7AE0" w14:textId="4174EED5" w:rsidR="00BD6797" w:rsidRDefault="002D5F74" w:rsidP="00B435DF">
      <w:pPr>
        <w:pStyle w:val="ListParagraph"/>
        <w:numPr>
          <w:ilvl w:val="0"/>
          <w:numId w:val="11"/>
        </w:numPr>
      </w:pPr>
      <w:r>
        <w:t xml:space="preserve">Towards EGI’s strategic </w:t>
      </w:r>
      <w:r w:rsidR="001F3600">
        <w:t>goals outlined in the EGI Strategy Plan</w:t>
      </w:r>
      <w:r w:rsidR="00AF3B4E">
        <w:rPr>
          <w:rStyle w:val="FootnoteReference"/>
        </w:rPr>
        <w:footnoteReference w:id="18"/>
      </w:r>
    </w:p>
    <w:p w14:paraId="48D9C169" w14:textId="77777777" w:rsidR="0015701B" w:rsidRDefault="0015701B" w:rsidP="0015701B"/>
    <w:p w14:paraId="64DDB168" w14:textId="7E971E08" w:rsidR="006A5ED6" w:rsidRDefault="001F3600" w:rsidP="0015701B">
      <w:r>
        <w:t>The original target metrics for the project level metrics are outlined below</w:t>
      </w:r>
      <w:r w:rsidR="002F1602">
        <w:t>. The PY3 Targets for each metric have three values. The</w:t>
      </w:r>
      <w:r w:rsidR="002F1602" w:rsidRPr="002F1602">
        <w:t xml:space="preserve"> </w:t>
      </w:r>
      <w:r w:rsidR="002F1602">
        <w:t xml:space="preserve">first figure is a foundation level performance and the </w:t>
      </w:r>
      <w:proofErr w:type="gramStart"/>
      <w:r w:rsidR="002F1602">
        <w:t>two bracketed</w:t>
      </w:r>
      <w:proofErr w:type="gramEnd"/>
      <w:r w:rsidR="002F1602">
        <w:t xml:space="preserve"> figures are ideal and stretch targets respectively for that metric</w:t>
      </w:r>
      <w:r w:rsidR="00B828CD">
        <w:t>.</w:t>
      </w:r>
    </w:p>
    <w:p w14:paraId="6AA95E64" w14:textId="48CA65CF" w:rsidR="00B828CD" w:rsidRDefault="00B828CD" w:rsidP="0015701B">
      <w:r>
        <w:t xml:space="preserve">The </w:t>
      </w:r>
      <w:r w:rsidRPr="00F37255">
        <w:rPr>
          <w:b/>
        </w:rPr>
        <w:t>n</w:t>
      </w:r>
      <w:r w:rsidR="00F37255" w:rsidRPr="00F37255">
        <w:rPr>
          <w:b/>
        </w:rPr>
        <w:t>ew project metrics</w:t>
      </w:r>
      <w:r w:rsidR="00F37255">
        <w:t xml:space="preserve"> that where added for PY4 are marked in bold in the table below. Additional project metrics were dropped in agreement with the PY4 quality plan document in project deliverable D1.13</w:t>
      </w:r>
      <w:r w:rsidR="00F37255">
        <w:rPr>
          <w:rStyle w:val="FootnoteReference"/>
        </w:rPr>
        <w:footnoteReference w:id="19"/>
      </w:r>
      <w:r w:rsidR="00F37255">
        <w:t>. The new metrics were added to improve the alignment provide more information about VO trends, following the recommendations from the PY3 review.</w:t>
      </w:r>
      <w:r w:rsidR="00E04A99">
        <w:t xml:space="preserve"> The metrics removed were about objectives fully accomplished.</w:t>
      </w:r>
    </w:p>
    <w:p w14:paraId="27EBE1F0" w14:textId="77777777" w:rsidR="00B95AC6" w:rsidRDefault="00B95AC6" w:rsidP="0015701B"/>
    <w:p w14:paraId="1F477108" w14:textId="456BC781" w:rsidR="008C6EEB" w:rsidRDefault="00534989" w:rsidP="00141B22">
      <w:pPr>
        <w:pStyle w:val="Heading2"/>
      </w:pPr>
      <w:bookmarkStart w:id="41" w:name="_Toc264803498"/>
      <w:r>
        <w:lastRenderedPageBreak/>
        <w:t>PY4 Performance</w:t>
      </w:r>
      <w:bookmarkEnd w:id="41"/>
      <w:r>
        <w:t xml:space="preserve"> </w:t>
      </w:r>
    </w:p>
    <w:p w14:paraId="177DD896" w14:textId="542D5AE0" w:rsidR="00F11DD9" w:rsidRPr="00A36A7B" w:rsidRDefault="00F11DD9" w:rsidP="00141B22">
      <w:pPr>
        <w:pStyle w:val="Standard"/>
        <w:jc w:val="center"/>
        <w:outlineLvl w:val="0"/>
        <w:rPr>
          <w:szCs w:val="22"/>
        </w:rPr>
      </w:pPr>
      <w:r w:rsidRPr="00E04A99">
        <w:rPr>
          <w:b/>
          <w:kern w:val="0"/>
        </w:rPr>
        <w:t>Table 1: Achieved</w:t>
      </w:r>
      <w:r w:rsidRPr="00AB1AD8">
        <w:rPr>
          <w:b/>
          <w:kern w:val="0"/>
        </w:rPr>
        <w:t xml:space="preserve"> </w:t>
      </w:r>
      <w:bookmarkStart w:id="42" w:name="_GoBack"/>
      <w:r w:rsidRPr="00AB1AD8">
        <w:rPr>
          <w:b/>
          <w:kern w:val="0"/>
        </w:rPr>
        <w:t xml:space="preserve">Project Year Four </w:t>
      </w:r>
      <w:bookmarkEnd w:id="42"/>
      <w:r w:rsidRPr="00AB1AD8">
        <w:rPr>
          <w:b/>
          <w:kern w:val="0"/>
        </w:rPr>
        <w:t>Project Metrics (Q13-Q16)</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530"/>
        <w:gridCol w:w="1543"/>
        <w:gridCol w:w="990"/>
        <w:gridCol w:w="990"/>
        <w:gridCol w:w="990"/>
        <w:gridCol w:w="990"/>
        <w:gridCol w:w="1080"/>
      </w:tblGrid>
      <w:tr w:rsidR="00F37255" w:rsidRPr="00672E24" w14:paraId="04F827E1" w14:textId="77777777" w:rsidTr="00B639CB">
        <w:tc>
          <w:tcPr>
            <w:tcW w:w="918" w:type="dxa"/>
            <w:tcBorders>
              <w:top w:val="single" w:sz="4" w:space="0" w:color="auto"/>
              <w:left w:val="single" w:sz="4" w:space="0" w:color="auto"/>
              <w:bottom w:val="single" w:sz="4" w:space="0" w:color="auto"/>
              <w:right w:val="single" w:sz="4" w:space="0" w:color="auto"/>
            </w:tcBorders>
            <w:hideMark/>
          </w:tcPr>
          <w:p w14:paraId="51EAB361" w14:textId="77777777" w:rsidR="00F11DD9" w:rsidRPr="00A36A7B" w:rsidRDefault="00F11DD9" w:rsidP="00232D69">
            <w:pPr>
              <w:rPr>
                <w:szCs w:val="22"/>
              </w:rPr>
            </w:pPr>
            <w:r w:rsidRPr="00A36A7B">
              <w:rPr>
                <w:szCs w:val="22"/>
              </w:rPr>
              <w:t>Project</w:t>
            </w:r>
          </w:p>
          <w:p w14:paraId="33F0759E" w14:textId="77777777" w:rsidR="00F11DD9" w:rsidRPr="00A36A7B" w:rsidRDefault="00F11DD9" w:rsidP="00232D69">
            <w:pPr>
              <w:rPr>
                <w:szCs w:val="22"/>
              </w:rPr>
            </w:pPr>
            <w:r w:rsidRPr="00A36A7B">
              <w:rPr>
                <w:szCs w:val="22"/>
              </w:rPr>
              <w:t>Objectives</w:t>
            </w:r>
          </w:p>
        </w:tc>
        <w:tc>
          <w:tcPr>
            <w:tcW w:w="1530" w:type="dxa"/>
            <w:tcBorders>
              <w:top w:val="single" w:sz="4" w:space="0" w:color="auto"/>
              <w:left w:val="single" w:sz="4" w:space="0" w:color="auto"/>
              <w:bottom w:val="single" w:sz="4" w:space="0" w:color="auto"/>
              <w:right w:val="single" w:sz="4" w:space="0" w:color="auto"/>
            </w:tcBorders>
            <w:hideMark/>
          </w:tcPr>
          <w:p w14:paraId="2ADCFF06" w14:textId="77777777" w:rsidR="00F11DD9" w:rsidRPr="00A36A7B" w:rsidRDefault="00F11DD9" w:rsidP="00F37255">
            <w:pPr>
              <w:jc w:val="left"/>
              <w:rPr>
                <w:szCs w:val="22"/>
              </w:rPr>
            </w:pPr>
            <w:r w:rsidRPr="00A36A7B">
              <w:rPr>
                <w:szCs w:val="22"/>
              </w:rPr>
              <w:t>Objective Summary</w:t>
            </w:r>
          </w:p>
        </w:tc>
        <w:tc>
          <w:tcPr>
            <w:tcW w:w="1543" w:type="dxa"/>
            <w:tcBorders>
              <w:top w:val="single" w:sz="4" w:space="0" w:color="auto"/>
              <w:left w:val="single" w:sz="4" w:space="0" w:color="auto"/>
              <w:bottom w:val="single" w:sz="4" w:space="0" w:color="auto"/>
              <w:right w:val="single" w:sz="4" w:space="0" w:color="auto"/>
            </w:tcBorders>
          </w:tcPr>
          <w:p w14:paraId="7B304DBC" w14:textId="77777777" w:rsidR="00F11DD9" w:rsidRPr="00A36A7B" w:rsidRDefault="00F11DD9" w:rsidP="00232D69">
            <w:pPr>
              <w:rPr>
                <w:szCs w:val="22"/>
              </w:rPr>
            </w:pPr>
            <w:r w:rsidRPr="00A36A7B">
              <w:rPr>
                <w:szCs w:val="22"/>
              </w:rPr>
              <w:t>Metrics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7232D38" w14:textId="77777777" w:rsidR="00F11DD9" w:rsidRPr="00A36A7B" w:rsidRDefault="00F11DD9" w:rsidP="00232D69">
            <w:pPr>
              <w:rPr>
                <w:szCs w:val="22"/>
              </w:rPr>
            </w:pPr>
            <w:r w:rsidRPr="00A36A7B">
              <w:rPr>
                <w:szCs w:val="22"/>
              </w:rPr>
              <w:t>PQ13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B8A8400" w14:textId="77777777" w:rsidR="00F11DD9" w:rsidRPr="00A36A7B" w:rsidRDefault="00F11DD9" w:rsidP="00232D69">
            <w:pPr>
              <w:rPr>
                <w:szCs w:val="22"/>
              </w:rPr>
            </w:pPr>
            <w:r w:rsidRPr="00A36A7B">
              <w:rPr>
                <w:szCs w:val="22"/>
              </w:rPr>
              <w:t>PQ14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F6D8DB" w14:textId="77777777" w:rsidR="00F11DD9" w:rsidRPr="00A36A7B" w:rsidRDefault="00F11DD9" w:rsidP="00232D69">
            <w:pPr>
              <w:rPr>
                <w:szCs w:val="22"/>
              </w:rPr>
            </w:pPr>
            <w:r w:rsidRPr="00A36A7B">
              <w:rPr>
                <w:szCs w:val="22"/>
              </w:rPr>
              <w:t>PQ15</w:t>
            </w:r>
          </w:p>
        </w:tc>
        <w:tc>
          <w:tcPr>
            <w:tcW w:w="990" w:type="dxa"/>
            <w:tcBorders>
              <w:top w:val="single" w:sz="4" w:space="0" w:color="auto"/>
              <w:left w:val="single" w:sz="4" w:space="0" w:color="auto"/>
              <w:bottom w:val="single" w:sz="4" w:space="0" w:color="auto"/>
              <w:right w:val="single" w:sz="4" w:space="0" w:color="auto"/>
            </w:tcBorders>
          </w:tcPr>
          <w:p w14:paraId="07EA0FEC" w14:textId="77777777" w:rsidR="00F11DD9" w:rsidRPr="00A36A7B" w:rsidRDefault="00F11DD9" w:rsidP="00232D69">
            <w:pPr>
              <w:rPr>
                <w:szCs w:val="22"/>
              </w:rPr>
            </w:pPr>
            <w:r w:rsidRPr="00A36A7B">
              <w:rPr>
                <w:szCs w:val="22"/>
              </w:rPr>
              <w:t>PQ16</w:t>
            </w:r>
          </w:p>
        </w:tc>
        <w:tc>
          <w:tcPr>
            <w:tcW w:w="1080" w:type="dxa"/>
            <w:tcBorders>
              <w:top w:val="single" w:sz="4" w:space="0" w:color="auto"/>
              <w:left w:val="single" w:sz="4" w:space="0" w:color="auto"/>
              <w:bottom w:val="single" w:sz="4" w:space="0" w:color="auto"/>
              <w:right w:val="single" w:sz="4" w:space="0" w:color="auto"/>
            </w:tcBorders>
          </w:tcPr>
          <w:p w14:paraId="3971735A" w14:textId="77777777" w:rsidR="00F11DD9" w:rsidRPr="00A36A7B" w:rsidRDefault="00F11DD9" w:rsidP="00232D69">
            <w:pPr>
              <w:jc w:val="center"/>
              <w:rPr>
                <w:szCs w:val="22"/>
              </w:rPr>
            </w:pPr>
            <w:r w:rsidRPr="00A36A7B">
              <w:rPr>
                <w:szCs w:val="22"/>
              </w:rPr>
              <w:t>Target</w:t>
            </w:r>
          </w:p>
          <w:p w14:paraId="50631A63" w14:textId="77777777" w:rsidR="00F11DD9" w:rsidRPr="00672E24" w:rsidRDefault="00F11DD9" w:rsidP="00232D69">
            <w:pPr>
              <w:jc w:val="center"/>
              <w:rPr>
                <w:szCs w:val="22"/>
              </w:rPr>
            </w:pPr>
            <w:r w:rsidRPr="00A36A7B">
              <w:rPr>
                <w:szCs w:val="22"/>
              </w:rPr>
              <w:t>PY4</w:t>
            </w:r>
          </w:p>
        </w:tc>
      </w:tr>
      <w:tr w:rsidR="00F37255" w:rsidRPr="00672E24" w14:paraId="3D1646DF" w14:textId="77777777" w:rsidTr="00B639CB">
        <w:tc>
          <w:tcPr>
            <w:tcW w:w="918" w:type="dxa"/>
            <w:vMerge w:val="restart"/>
            <w:tcBorders>
              <w:top w:val="single" w:sz="4" w:space="0" w:color="auto"/>
              <w:left w:val="single" w:sz="4" w:space="0" w:color="auto"/>
              <w:right w:val="single" w:sz="4" w:space="0" w:color="auto"/>
            </w:tcBorders>
            <w:hideMark/>
          </w:tcPr>
          <w:p w14:paraId="3F1E8308" w14:textId="77777777" w:rsidR="00F11DD9" w:rsidRPr="00672E24" w:rsidRDefault="00F11DD9" w:rsidP="00232D69">
            <w:pPr>
              <w:rPr>
                <w:szCs w:val="22"/>
              </w:rPr>
            </w:pPr>
            <w:r w:rsidRPr="00672E24">
              <w:rPr>
                <w:szCs w:val="22"/>
              </w:rPr>
              <w:t>PO1</w:t>
            </w:r>
          </w:p>
        </w:tc>
        <w:tc>
          <w:tcPr>
            <w:tcW w:w="1530" w:type="dxa"/>
            <w:vMerge w:val="restart"/>
            <w:tcBorders>
              <w:top w:val="single" w:sz="4" w:space="0" w:color="auto"/>
              <w:left w:val="single" w:sz="4" w:space="0" w:color="auto"/>
              <w:right w:val="single" w:sz="4" w:space="0" w:color="auto"/>
            </w:tcBorders>
            <w:hideMark/>
          </w:tcPr>
          <w:p w14:paraId="1095AEC3" w14:textId="77777777" w:rsidR="00F11DD9" w:rsidRPr="00672E24" w:rsidRDefault="00F11DD9" w:rsidP="00F37255">
            <w:pPr>
              <w:jc w:val="left"/>
              <w:rPr>
                <w:szCs w:val="22"/>
              </w:rPr>
            </w:pPr>
            <w:r w:rsidRPr="00672E24">
              <w:rPr>
                <w:szCs w:val="22"/>
              </w:rPr>
              <w:t>Expansion of a nationally based production infrastructure</w:t>
            </w:r>
          </w:p>
        </w:tc>
        <w:tc>
          <w:tcPr>
            <w:tcW w:w="1543" w:type="dxa"/>
            <w:tcBorders>
              <w:top w:val="single" w:sz="4" w:space="0" w:color="auto"/>
              <w:left w:val="single" w:sz="4" w:space="0" w:color="auto"/>
              <w:bottom w:val="single" w:sz="4" w:space="0" w:color="auto"/>
              <w:right w:val="single" w:sz="4" w:space="0" w:color="auto"/>
            </w:tcBorders>
          </w:tcPr>
          <w:p w14:paraId="7014DBC3" w14:textId="77777777" w:rsidR="00F11DD9" w:rsidRDefault="00F11DD9" w:rsidP="00F37255">
            <w:pPr>
              <w:jc w:val="left"/>
              <w:rPr>
                <w:szCs w:val="22"/>
              </w:rPr>
            </w:pPr>
            <w:r w:rsidRPr="00672E24">
              <w:rPr>
                <w:szCs w:val="22"/>
              </w:rPr>
              <w:t>Number of resource centres in EGI-</w:t>
            </w:r>
            <w:proofErr w:type="spellStart"/>
            <w:r w:rsidRPr="00672E24">
              <w:rPr>
                <w:szCs w:val="22"/>
              </w:rPr>
              <w:t>InSPIRE</w:t>
            </w:r>
            <w:proofErr w:type="spellEnd"/>
            <w:r w:rsidRPr="00672E24">
              <w:rPr>
                <w:szCs w:val="22"/>
              </w:rPr>
              <w:t xml:space="preserve"> and integrated partners (M.SA1.Size.1)</w:t>
            </w:r>
          </w:p>
          <w:p w14:paraId="595E350C" w14:textId="6B3FA978" w:rsidR="00F37255" w:rsidRPr="00672E24" w:rsidRDefault="00F37255" w:rsidP="00F37255">
            <w:pPr>
              <w:jc w:val="left"/>
              <w:rPr>
                <w:szCs w:val="22"/>
              </w:rPr>
            </w:pPr>
            <w:r>
              <w:rPr>
                <w:szCs w:val="22"/>
              </w:rPr>
              <w:t>Only includes certified sites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25EEC5" w14:textId="77777777" w:rsidR="00F11DD9" w:rsidRPr="00672E24" w:rsidRDefault="00F11DD9" w:rsidP="00232D69">
            <w:pPr>
              <w:jc w:val="center"/>
              <w:rPr>
                <w:szCs w:val="22"/>
              </w:rPr>
            </w:pPr>
            <w:r w:rsidRPr="00672E24">
              <w:rPr>
                <w:szCs w:val="22"/>
              </w:rPr>
              <w:t>337</w:t>
            </w:r>
          </w:p>
          <w:p w14:paraId="6045B423" w14:textId="04555483" w:rsidR="00F11DD9" w:rsidRPr="00672E24" w:rsidRDefault="00F11DD9" w:rsidP="00232D69">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1C81DF" w14:textId="5897D910" w:rsidR="00F11DD9" w:rsidRPr="00672E24" w:rsidRDefault="00F11DD9" w:rsidP="00F37255">
            <w:pPr>
              <w:jc w:val="center"/>
              <w:rPr>
                <w:szCs w:val="22"/>
              </w:rPr>
            </w:pPr>
            <w:r w:rsidRPr="00672E24">
              <w:rPr>
                <w:szCs w:val="22"/>
              </w:rPr>
              <w:t xml:space="preserve">341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9AF3C13" w14:textId="77777777" w:rsidR="00F11DD9" w:rsidRPr="00672E24" w:rsidRDefault="00F11DD9" w:rsidP="00232D69">
            <w:pPr>
              <w:jc w:val="center"/>
              <w:rPr>
                <w:szCs w:val="22"/>
              </w:rPr>
            </w:pPr>
            <w:r w:rsidRPr="00672E24">
              <w:rPr>
                <w:szCs w:val="22"/>
              </w:rPr>
              <w:t>335</w:t>
            </w:r>
          </w:p>
          <w:p w14:paraId="52A08CAD" w14:textId="546F32D9" w:rsidR="00F11DD9" w:rsidRPr="00672E24" w:rsidRDefault="00F11DD9" w:rsidP="00232D69">
            <w:pPr>
              <w:jc w:val="center"/>
              <w:rPr>
                <w:szCs w:val="22"/>
              </w:rPr>
            </w:pPr>
          </w:p>
        </w:tc>
        <w:tc>
          <w:tcPr>
            <w:tcW w:w="990" w:type="dxa"/>
            <w:tcBorders>
              <w:top w:val="single" w:sz="4" w:space="0" w:color="auto"/>
              <w:left w:val="single" w:sz="4" w:space="0" w:color="auto"/>
              <w:bottom w:val="single" w:sz="4" w:space="0" w:color="auto"/>
              <w:right w:val="single" w:sz="4" w:space="0" w:color="auto"/>
            </w:tcBorders>
          </w:tcPr>
          <w:p w14:paraId="7441B8B6" w14:textId="77777777" w:rsidR="00F11DD9" w:rsidRPr="00F11DD9" w:rsidRDefault="00F11DD9" w:rsidP="00232D69">
            <w:pPr>
              <w:jc w:val="center"/>
              <w:rPr>
                <w:b/>
                <w:szCs w:val="22"/>
              </w:rPr>
            </w:pPr>
            <w:r w:rsidRPr="00F11DD9">
              <w:rPr>
                <w:b/>
                <w:szCs w:val="22"/>
              </w:rPr>
              <w:t>361</w:t>
            </w:r>
          </w:p>
          <w:p w14:paraId="18582597" w14:textId="67BCC0EE" w:rsidR="00F11DD9" w:rsidRPr="00672E24" w:rsidRDefault="00F11DD9" w:rsidP="00232D69">
            <w:pPr>
              <w:jc w:val="center"/>
              <w:rPr>
                <w:szCs w:val="22"/>
              </w:rPr>
            </w:pPr>
          </w:p>
        </w:tc>
        <w:tc>
          <w:tcPr>
            <w:tcW w:w="1080" w:type="dxa"/>
            <w:tcBorders>
              <w:top w:val="single" w:sz="4" w:space="0" w:color="auto"/>
              <w:left w:val="single" w:sz="4" w:space="0" w:color="auto"/>
              <w:bottom w:val="single" w:sz="4" w:space="0" w:color="auto"/>
              <w:right w:val="single" w:sz="4" w:space="0" w:color="auto"/>
            </w:tcBorders>
          </w:tcPr>
          <w:p w14:paraId="08A6D4EC" w14:textId="77777777" w:rsidR="00F11DD9" w:rsidRPr="00672E24" w:rsidRDefault="00F11DD9" w:rsidP="00232D69">
            <w:pPr>
              <w:rPr>
                <w:szCs w:val="22"/>
              </w:rPr>
            </w:pPr>
            <w:r w:rsidRPr="00F11DD9">
              <w:rPr>
                <w:b/>
                <w:szCs w:val="22"/>
              </w:rPr>
              <w:t>345</w:t>
            </w:r>
            <w:r w:rsidRPr="00672E24">
              <w:rPr>
                <w:szCs w:val="22"/>
              </w:rPr>
              <w:br/>
              <w:t>(350)</w:t>
            </w:r>
          </w:p>
          <w:p w14:paraId="034304A8" w14:textId="77777777" w:rsidR="00F11DD9" w:rsidRPr="00672E24" w:rsidRDefault="00F11DD9" w:rsidP="00232D69">
            <w:pPr>
              <w:rPr>
                <w:szCs w:val="22"/>
              </w:rPr>
            </w:pPr>
            <w:r w:rsidRPr="00672E24">
              <w:rPr>
                <w:szCs w:val="22"/>
              </w:rPr>
              <w:t>(355)</w:t>
            </w:r>
          </w:p>
        </w:tc>
      </w:tr>
      <w:tr w:rsidR="00F37255" w:rsidRPr="00672E24" w14:paraId="6B372345" w14:textId="77777777" w:rsidTr="00B639CB">
        <w:tc>
          <w:tcPr>
            <w:tcW w:w="918" w:type="dxa"/>
            <w:vMerge/>
            <w:tcBorders>
              <w:left w:val="single" w:sz="4" w:space="0" w:color="auto"/>
              <w:right w:val="single" w:sz="4" w:space="0" w:color="auto"/>
            </w:tcBorders>
          </w:tcPr>
          <w:p w14:paraId="1AA9A871" w14:textId="77777777" w:rsidR="00F11DD9" w:rsidRPr="00672E24" w:rsidRDefault="00F11DD9" w:rsidP="00232D69">
            <w:pPr>
              <w:rPr>
                <w:szCs w:val="22"/>
              </w:rPr>
            </w:pPr>
          </w:p>
        </w:tc>
        <w:tc>
          <w:tcPr>
            <w:tcW w:w="1530" w:type="dxa"/>
            <w:vMerge/>
            <w:tcBorders>
              <w:left w:val="single" w:sz="4" w:space="0" w:color="auto"/>
              <w:right w:val="single" w:sz="4" w:space="0" w:color="auto"/>
            </w:tcBorders>
          </w:tcPr>
          <w:p w14:paraId="79AFAFD8"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63F9E588" w14:textId="77777777" w:rsidR="00F11DD9" w:rsidRPr="00672E24" w:rsidRDefault="00F11DD9" w:rsidP="00F37255">
            <w:pPr>
              <w:jc w:val="left"/>
              <w:rPr>
                <w:szCs w:val="22"/>
              </w:rPr>
            </w:pPr>
            <w:r w:rsidRPr="00672E24">
              <w:rPr>
                <w:szCs w:val="22"/>
              </w:rPr>
              <w:t>Number of job slots available in EGI-</w:t>
            </w:r>
            <w:proofErr w:type="spellStart"/>
            <w:r w:rsidRPr="00672E24">
              <w:rPr>
                <w:szCs w:val="22"/>
              </w:rPr>
              <w:t>InSPIRE</w:t>
            </w:r>
            <w:proofErr w:type="spellEnd"/>
            <w:r w:rsidRPr="00672E24">
              <w:rPr>
                <w:szCs w:val="22"/>
              </w:rPr>
              <w:t xml:space="preserve"> and integrated partners (M.SA1.Size.2A)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4E77A30" w14:textId="77777777" w:rsidR="00F11DD9" w:rsidRPr="00672E24" w:rsidRDefault="00F11DD9" w:rsidP="00232D69">
            <w:pPr>
              <w:jc w:val="center"/>
              <w:rPr>
                <w:szCs w:val="22"/>
              </w:rPr>
            </w:pPr>
            <w:r w:rsidRPr="00672E24">
              <w:rPr>
                <w:szCs w:val="22"/>
              </w:rPr>
              <w:t>433,878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F472681" w14:textId="77777777" w:rsidR="00F11DD9" w:rsidRPr="00672E24" w:rsidRDefault="00F11DD9" w:rsidP="00232D69">
            <w:pPr>
              <w:jc w:val="center"/>
              <w:rPr>
                <w:szCs w:val="22"/>
              </w:rPr>
            </w:pPr>
            <w:r w:rsidRPr="00672E24">
              <w:rPr>
                <w:szCs w:val="22"/>
              </w:rPr>
              <w:t>436,922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9CFD01" w14:textId="77777777" w:rsidR="00F11DD9" w:rsidRPr="00672E24" w:rsidRDefault="00F11DD9" w:rsidP="00232D69">
            <w:pPr>
              <w:jc w:val="center"/>
              <w:rPr>
                <w:szCs w:val="22"/>
              </w:rPr>
            </w:pPr>
            <w:r w:rsidRPr="00672E24">
              <w:rPr>
                <w:szCs w:val="22"/>
              </w:rPr>
              <w:t>404,105</w:t>
            </w:r>
          </w:p>
          <w:p w14:paraId="4CA2D68B" w14:textId="77777777" w:rsidR="00F11DD9" w:rsidRPr="00672E24" w:rsidRDefault="00F11DD9" w:rsidP="00232D69">
            <w:pPr>
              <w:jc w:val="center"/>
              <w:rPr>
                <w:szCs w:val="22"/>
              </w:rPr>
            </w:pPr>
          </w:p>
        </w:tc>
        <w:tc>
          <w:tcPr>
            <w:tcW w:w="990" w:type="dxa"/>
            <w:tcBorders>
              <w:top w:val="single" w:sz="4" w:space="0" w:color="auto"/>
              <w:left w:val="single" w:sz="4" w:space="0" w:color="auto"/>
              <w:bottom w:val="single" w:sz="4" w:space="0" w:color="auto"/>
              <w:right w:val="single" w:sz="4" w:space="0" w:color="auto"/>
            </w:tcBorders>
          </w:tcPr>
          <w:p w14:paraId="1E0D81C4" w14:textId="77777777" w:rsidR="00F11DD9" w:rsidRPr="00F11DD9" w:rsidRDefault="00F11DD9" w:rsidP="00232D69">
            <w:pPr>
              <w:jc w:val="center"/>
              <w:rPr>
                <w:b/>
                <w:szCs w:val="22"/>
              </w:rPr>
            </w:pPr>
            <w:r w:rsidRPr="00F11DD9">
              <w:rPr>
                <w:b/>
                <w:szCs w:val="22"/>
              </w:rPr>
              <w:t>487,577</w:t>
            </w:r>
          </w:p>
        </w:tc>
        <w:tc>
          <w:tcPr>
            <w:tcW w:w="1080" w:type="dxa"/>
            <w:tcBorders>
              <w:top w:val="single" w:sz="4" w:space="0" w:color="auto"/>
              <w:left w:val="single" w:sz="4" w:space="0" w:color="auto"/>
              <w:bottom w:val="single" w:sz="4" w:space="0" w:color="auto"/>
              <w:right w:val="single" w:sz="4" w:space="0" w:color="auto"/>
            </w:tcBorders>
          </w:tcPr>
          <w:p w14:paraId="07380BEE" w14:textId="77777777" w:rsidR="00F11DD9" w:rsidRPr="00672E24" w:rsidRDefault="00F11DD9" w:rsidP="00232D69">
            <w:pPr>
              <w:rPr>
                <w:szCs w:val="22"/>
              </w:rPr>
            </w:pPr>
            <w:r w:rsidRPr="00585B83">
              <w:rPr>
                <w:b/>
                <w:szCs w:val="22"/>
              </w:rPr>
              <w:t>400,000</w:t>
            </w:r>
            <w:r w:rsidRPr="00672E24">
              <w:rPr>
                <w:szCs w:val="22"/>
              </w:rPr>
              <w:t xml:space="preserve"> (425,000)</w:t>
            </w:r>
          </w:p>
          <w:p w14:paraId="0C2E6721" w14:textId="77777777" w:rsidR="00F11DD9" w:rsidRPr="00672E24" w:rsidRDefault="00F11DD9" w:rsidP="00232D69">
            <w:pPr>
              <w:rPr>
                <w:szCs w:val="22"/>
              </w:rPr>
            </w:pPr>
            <w:r w:rsidRPr="00672E24">
              <w:rPr>
                <w:szCs w:val="22"/>
              </w:rPr>
              <w:t>(</w:t>
            </w:r>
            <w:r w:rsidRPr="00F11DD9">
              <w:rPr>
                <w:b/>
                <w:szCs w:val="22"/>
              </w:rPr>
              <w:t>450,000</w:t>
            </w:r>
            <w:r w:rsidRPr="00672E24">
              <w:rPr>
                <w:szCs w:val="22"/>
              </w:rPr>
              <w:t>)</w:t>
            </w:r>
          </w:p>
        </w:tc>
      </w:tr>
      <w:tr w:rsidR="00F37255" w:rsidRPr="00672E24" w14:paraId="596A84D7" w14:textId="77777777" w:rsidTr="00B639CB">
        <w:tc>
          <w:tcPr>
            <w:tcW w:w="918" w:type="dxa"/>
            <w:vMerge/>
            <w:tcBorders>
              <w:left w:val="single" w:sz="4" w:space="0" w:color="auto"/>
              <w:right w:val="single" w:sz="4" w:space="0" w:color="auto"/>
            </w:tcBorders>
          </w:tcPr>
          <w:p w14:paraId="3D50F671" w14:textId="77777777" w:rsidR="00F11DD9" w:rsidRPr="00672E24" w:rsidRDefault="00F11DD9" w:rsidP="00232D69">
            <w:pPr>
              <w:rPr>
                <w:szCs w:val="22"/>
              </w:rPr>
            </w:pPr>
          </w:p>
        </w:tc>
        <w:tc>
          <w:tcPr>
            <w:tcW w:w="1530" w:type="dxa"/>
            <w:vMerge/>
            <w:tcBorders>
              <w:left w:val="single" w:sz="4" w:space="0" w:color="auto"/>
              <w:right w:val="single" w:sz="4" w:space="0" w:color="auto"/>
            </w:tcBorders>
          </w:tcPr>
          <w:p w14:paraId="660B27F0"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550808B0" w14:textId="77777777" w:rsidR="00F11DD9" w:rsidRPr="00672E24" w:rsidRDefault="00F11DD9" w:rsidP="00F37255">
            <w:pPr>
              <w:jc w:val="left"/>
              <w:rPr>
                <w:szCs w:val="22"/>
              </w:rPr>
            </w:pPr>
            <w:r w:rsidRPr="00672E24">
              <w:rPr>
                <w:szCs w:val="22"/>
              </w:rPr>
              <w:t>EGI monthly availability and reliability of site middleware services</w:t>
            </w:r>
            <w:r w:rsidRPr="00672E24" w:rsidDel="00145B26">
              <w:rPr>
                <w:szCs w:val="22"/>
              </w:rPr>
              <w:t xml:space="preserve"> </w:t>
            </w:r>
            <w:r w:rsidRPr="00672E24">
              <w:rPr>
                <w:szCs w:val="22"/>
              </w:rPr>
              <w:t>(M.SA1.Operation.5)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042345C" w14:textId="77777777" w:rsidR="00F11DD9" w:rsidRPr="00672E24" w:rsidRDefault="00F11DD9" w:rsidP="00232D69">
            <w:pPr>
              <w:jc w:val="center"/>
              <w:rPr>
                <w:szCs w:val="22"/>
              </w:rPr>
            </w:pPr>
            <w:r w:rsidRPr="00672E24">
              <w:rPr>
                <w:szCs w:val="22"/>
              </w:rPr>
              <w:t>95.41%/</w:t>
            </w:r>
          </w:p>
          <w:p w14:paraId="76DF80E4" w14:textId="77777777" w:rsidR="00F11DD9" w:rsidRPr="00672E24" w:rsidRDefault="00F11DD9" w:rsidP="00232D69">
            <w:pPr>
              <w:jc w:val="center"/>
              <w:rPr>
                <w:szCs w:val="22"/>
              </w:rPr>
            </w:pPr>
            <w:r w:rsidRPr="00672E24">
              <w:rPr>
                <w:szCs w:val="22"/>
              </w:rPr>
              <w:t>95.91%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7609200" w14:textId="77777777" w:rsidR="00F11DD9" w:rsidRPr="00672E24" w:rsidRDefault="00F11DD9" w:rsidP="00232D69">
            <w:pPr>
              <w:rPr>
                <w:szCs w:val="22"/>
              </w:rPr>
            </w:pPr>
            <w:r w:rsidRPr="00672E24">
              <w:rPr>
                <w:szCs w:val="22"/>
              </w:rPr>
              <w:t>97.24%/</w:t>
            </w:r>
          </w:p>
          <w:p w14:paraId="4ECE0ED9" w14:textId="77777777" w:rsidR="00F11DD9" w:rsidRPr="00672E24" w:rsidRDefault="00F11DD9" w:rsidP="00232D69">
            <w:pPr>
              <w:jc w:val="center"/>
              <w:rPr>
                <w:szCs w:val="22"/>
              </w:rPr>
            </w:pPr>
            <w:r w:rsidRPr="00672E24">
              <w:rPr>
                <w:szCs w:val="22"/>
              </w:rPr>
              <w:t>97.96%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21C769E" w14:textId="77777777" w:rsidR="00F11DD9" w:rsidRPr="00672E24" w:rsidRDefault="00F11DD9" w:rsidP="00232D69">
            <w:pPr>
              <w:jc w:val="center"/>
              <w:rPr>
                <w:szCs w:val="22"/>
              </w:rPr>
            </w:pPr>
            <w:r w:rsidRPr="00672E24">
              <w:rPr>
                <w:szCs w:val="22"/>
              </w:rPr>
              <w:t>96.60%/</w:t>
            </w:r>
          </w:p>
          <w:p w14:paraId="28FF78CC" w14:textId="77777777" w:rsidR="00F11DD9" w:rsidRPr="00672E24" w:rsidRDefault="00F11DD9" w:rsidP="00232D69">
            <w:pPr>
              <w:jc w:val="center"/>
              <w:rPr>
                <w:szCs w:val="22"/>
              </w:rPr>
            </w:pPr>
            <w:r w:rsidRPr="00672E24">
              <w:rPr>
                <w:szCs w:val="22"/>
              </w:rPr>
              <w:t>97.04%</w:t>
            </w:r>
          </w:p>
        </w:tc>
        <w:tc>
          <w:tcPr>
            <w:tcW w:w="990" w:type="dxa"/>
            <w:tcBorders>
              <w:top w:val="single" w:sz="4" w:space="0" w:color="auto"/>
              <w:left w:val="single" w:sz="4" w:space="0" w:color="auto"/>
              <w:bottom w:val="single" w:sz="4" w:space="0" w:color="auto"/>
              <w:right w:val="single" w:sz="4" w:space="0" w:color="auto"/>
            </w:tcBorders>
          </w:tcPr>
          <w:p w14:paraId="6BC9E513" w14:textId="77777777" w:rsidR="00F11DD9" w:rsidRPr="00F11DD9" w:rsidRDefault="00F11DD9" w:rsidP="00232D69">
            <w:pPr>
              <w:jc w:val="center"/>
              <w:rPr>
                <w:b/>
                <w:szCs w:val="22"/>
              </w:rPr>
            </w:pPr>
            <w:r w:rsidRPr="00F11DD9">
              <w:rPr>
                <w:b/>
                <w:szCs w:val="22"/>
              </w:rPr>
              <w:t>95.83%/96.42%</w:t>
            </w:r>
          </w:p>
        </w:tc>
        <w:tc>
          <w:tcPr>
            <w:tcW w:w="1080" w:type="dxa"/>
            <w:tcBorders>
              <w:top w:val="single" w:sz="4" w:space="0" w:color="auto"/>
              <w:left w:val="single" w:sz="4" w:space="0" w:color="auto"/>
              <w:bottom w:val="single" w:sz="4" w:space="0" w:color="auto"/>
              <w:right w:val="single" w:sz="4" w:space="0" w:color="auto"/>
            </w:tcBorders>
          </w:tcPr>
          <w:p w14:paraId="3B66083B" w14:textId="77777777" w:rsidR="00F11DD9" w:rsidRPr="00672E24" w:rsidRDefault="00F11DD9" w:rsidP="00232D69">
            <w:pPr>
              <w:rPr>
                <w:szCs w:val="22"/>
              </w:rPr>
            </w:pPr>
            <w:r w:rsidRPr="00F11DD9">
              <w:rPr>
                <w:b/>
                <w:szCs w:val="22"/>
              </w:rPr>
              <w:t>97.0/97.5</w:t>
            </w:r>
            <w:r w:rsidRPr="00672E24">
              <w:rPr>
                <w:szCs w:val="22"/>
              </w:rPr>
              <w:t>%</w:t>
            </w:r>
          </w:p>
          <w:p w14:paraId="5456A2DD" w14:textId="77777777" w:rsidR="00F11DD9" w:rsidRPr="00672E24" w:rsidRDefault="00F11DD9" w:rsidP="00232D69">
            <w:pPr>
              <w:rPr>
                <w:szCs w:val="22"/>
              </w:rPr>
            </w:pPr>
            <w:r w:rsidRPr="00672E24">
              <w:rPr>
                <w:szCs w:val="22"/>
              </w:rPr>
              <w:t>(97.5/98.0%)</w:t>
            </w:r>
          </w:p>
          <w:p w14:paraId="1AB2D38D" w14:textId="77777777" w:rsidR="00F11DD9" w:rsidRPr="00672E24" w:rsidRDefault="00F11DD9" w:rsidP="00232D69">
            <w:pPr>
              <w:rPr>
                <w:szCs w:val="22"/>
              </w:rPr>
            </w:pPr>
            <w:r w:rsidRPr="00672E24">
              <w:rPr>
                <w:szCs w:val="22"/>
              </w:rPr>
              <w:t>(98.0/98.5%)</w:t>
            </w:r>
          </w:p>
        </w:tc>
      </w:tr>
      <w:tr w:rsidR="00F37255" w:rsidRPr="00672E24" w14:paraId="679A7983" w14:textId="77777777" w:rsidTr="00B639CB">
        <w:tc>
          <w:tcPr>
            <w:tcW w:w="918" w:type="dxa"/>
            <w:vMerge/>
            <w:tcBorders>
              <w:left w:val="single" w:sz="4" w:space="0" w:color="auto"/>
              <w:right w:val="single" w:sz="4" w:space="0" w:color="auto"/>
            </w:tcBorders>
          </w:tcPr>
          <w:p w14:paraId="667703EB" w14:textId="77777777" w:rsidR="00F11DD9" w:rsidRPr="00672E24" w:rsidRDefault="00F11DD9" w:rsidP="00232D69">
            <w:pPr>
              <w:rPr>
                <w:szCs w:val="22"/>
              </w:rPr>
            </w:pPr>
          </w:p>
        </w:tc>
        <w:tc>
          <w:tcPr>
            <w:tcW w:w="1530" w:type="dxa"/>
            <w:vMerge/>
            <w:tcBorders>
              <w:left w:val="single" w:sz="4" w:space="0" w:color="auto"/>
              <w:right w:val="single" w:sz="4" w:space="0" w:color="auto"/>
            </w:tcBorders>
          </w:tcPr>
          <w:p w14:paraId="7EDE4A13"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0BBE6C14" w14:textId="2344E54D" w:rsidR="00F37255" w:rsidRPr="00F37255" w:rsidRDefault="00F37255" w:rsidP="00232D69">
            <w:pPr>
              <w:rPr>
                <w:b/>
                <w:szCs w:val="22"/>
              </w:rPr>
            </w:pPr>
            <w:r w:rsidRPr="00F37255">
              <w:rPr>
                <w:b/>
                <w:szCs w:val="22"/>
              </w:rPr>
              <w:t>NEW</w:t>
            </w:r>
          </w:p>
          <w:p w14:paraId="30CCB6D6" w14:textId="77777777" w:rsidR="00F11DD9" w:rsidRPr="00672E24" w:rsidRDefault="00F11DD9" w:rsidP="00232D69">
            <w:pPr>
              <w:rPr>
                <w:szCs w:val="22"/>
              </w:rPr>
            </w:pPr>
            <w:r w:rsidRPr="00672E24">
              <w:rPr>
                <w:szCs w:val="22"/>
              </w:rPr>
              <w:t>Average monthly availability and reliability of NGI core middleware services</w:t>
            </w:r>
            <w:r w:rsidRPr="00672E24" w:rsidDel="00145B26">
              <w:rPr>
                <w:szCs w:val="22"/>
              </w:rPr>
              <w:t xml:space="preserve"> </w:t>
            </w:r>
            <w:r>
              <w:rPr>
                <w:szCs w:val="22"/>
              </w:rPr>
              <w:t>(MSA1.Operation</w:t>
            </w:r>
            <w:r w:rsidRPr="00672E24">
              <w:rPr>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8EF401" w14:textId="77777777" w:rsidR="00F11DD9" w:rsidRPr="00672E24" w:rsidRDefault="00F11DD9" w:rsidP="00232D69">
            <w:pPr>
              <w:jc w:val="center"/>
              <w:rPr>
                <w:szCs w:val="22"/>
              </w:rPr>
            </w:pPr>
            <w:r w:rsidRPr="00672E24">
              <w:rPr>
                <w:szCs w:val="22"/>
              </w:rPr>
              <w:t>98.33%/</w:t>
            </w:r>
          </w:p>
          <w:p w14:paraId="5F33900C" w14:textId="77777777" w:rsidR="00F11DD9" w:rsidRPr="00672E24" w:rsidRDefault="00F11DD9" w:rsidP="00232D69">
            <w:pPr>
              <w:jc w:val="center"/>
              <w:rPr>
                <w:szCs w:val="22"/>
              </w:rPr>
            </w:pPr>
            <w:r w:rsidRPr="00672E24">
              <w:rPr>
                <w:szCs w:val="22"/>
              </w:rPr>
              <w:t>98.53%</w:t>
            </w:r>
          </w:p>
          <w:p w14:paraId="5829F35A" w14:textId="77777777" w:rsidR="00F11DD9" w:rsidRPr="00672E24" w:rsidRDefault="00F11DD9" w:rsidP="00232D69">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C69991D" w14:textId="77777777" w:rsidR="00F11DD9" w:rsidRPr="00672E24" w:rsidRDefault="00F11DD9" w:rsidP="00232D69">
            <w:pPr>
              <w:rPr>
                <w:szCs w:val="22"/>
              </w:rPr>
            </w:pPr>
            <w:r w:rsidRPr="00672E24">
              <w:rPr>
                <w:szCs w:val="22"/>
              </w:rPr>
              <w:t>99.29%/</w:t>
            </w:r>
          </w:p>
          <w:p w14:paraId="5A23CA12" w14:textId="77777777" w:rsidR="00F11DD9" w:rsidRPr="00672E24" w:rsidRDefault="00F11DD9" w:rsidP="00232D69">
            <w:pPr>
              <w:jc w:val="center"/>
              <w:rPr>
                <w:szCs w:val="22"/>
              </w:rPr>
            </w:pPr>
            <w:r w:rsidRPr="00672E24">
              <w:rPr>
                <w:szCs w:val="22"/>
              </w:rPr>
              <w:t>99.75%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A0BFAE5" w14:textId="77777777" w:rsidR="00F11DD9" w:rsidRPr="00672E24" w:rsidRDefault="00F11DD9" w:rsidP="00232D69">
            <w:pPr>
              <w:jc w:val="center"/>
              <w:rPr>
                <w:szCs w:val="22"/>
              </w:rPr>
            </w:pPr>
            <w:r w:rsidRPr="00672E24">
              <w:rPr>
                <w:szCs w:val="22"/>
              </w:rPr>
              <w:t>98.57%/</w:t>
            </w:r>
          </w:p>
          <w:p w14:paraId="28A4DB50" w14:textId="77777777" w:rsidR="00F11DD9" w:rsidRPr="00672E24" w:rsidRDefault="00F11DD9" w:rsidP="00232D69">
            <w:pPr>
              <w:jc w:val="center"/>
              <w:rPr>
                <w:szCs w:val="22"/>
              </w:rPr>
            </w:pPr>
            <w:r w:rsidRPr="00672E24">
              <w:rPr>
                <w:szCs w:val="22"/>
              </w:rPr>
              <w:t>99.65%</w:t>
            </w:r>
          </w:p>
        </w:tc>
        <w:tc>
          <w:tcPr>
            <w:tcW w:w="990" w:type="dxa"/>
            <w:tcBorders>
              <w:top w:val="single" w:sz="4" w:space="0" w:color="auto"/>
              <w:left w:val="single" w:sz="4" w:space="0" w:color="auto"/>
              <w:bottom w:val="single" w:sz="4" w:space="0" w:color="auto"/>
              <w:right w:val="single" w:sz="4" w:space="0" w:color="auto"/>
            </w:tcBorders>
          </w:tcPr>
          <w:p w14:paraId="577E67C6" w14:textId="77777777" w:rsidR="00F11DD9" w:rsidRPr="00F11DD9" w:rsidRDefault="00F11DD9" w:rsidP="00232D69">
            <w:pPr>
              <w:jc w:val="center"/>
              <w:rPr>
                <w:b/>
                <w:szCs w:val="22"/>
              </w:rPr>
            </w:pPr>
            <w:r w:rsidRPr="00F11DD9">
              <w:rPr>
                <w:b/>
                <w:szCs w:val="22"/>
              </w:rPr>
              <w:t>99.00%/99.63%</w:t>
            </w:r>
          </w:p>
        </w:tc>
        <w:tc>
          <w:tcPr>
            <w:tcW w:w="1080" w:type="dxa"/>
            <w:tcBorders>
              <w:top w:val="single" w:sz="4" w:space="0" w:color="auto"/>
              <w:left w:val="single" w:sz="4" w:space="0" w:color="auto"/>
              <w:bottom w:val="single" w:sz="4" w:space="0" w:color="auto"/>
              <w:right w:val="single" w:sz="4" w:space="0" w:color="auto"/>
            </w:tcBorders>
          </w:tcPr>
          <w:p w14:paraId="275FFD5C" w14:textId="77777777" w:rsidR="00F11DD9" w:rsidRPr="00F11DD9" w:rsidRDefault="00F11DD9" w:rsidP="00232D69">
            <w:pPr>
              <w:rPr>
                <w:b/>
                <w:szCs w:val="22"/>
              </w:rPr>
            </w:pPr>
            <w:r w:rsidRPr="00F11DD9">
              <w:rPr>
                <w:b/>
                <w:szCs w:val="22"/>
              </w:rPr>
              <w:t>99.60/99.80%</w:t>
            </w:r>
          </w:p>
          <w:p w14:paraId="28877183" w14:textId="77777777" w:rsidR="00F11DD9" w:rsidRPr="00672E24" w:rsidRDefault="00F11DD9" w:rsidP="00232D69">
            <w:pPr>
              <w:rPr>
                <w:szCs w:val="22"/>
              </w:rPr>
            </w:pPr>
            <w:r w:rsidRPr="00672E24">
              <w:rPr>
                <w:szCs w:val="22"/>
              </w:rPr>
              <w:t>(99.65/99.85%)</w:t>
            </w:r>
          </w:p>
          <w:p w14:paraId="6F1A862E" w14:textId="77777777" w:rsidR="00F11DD9" w:rsidRPr="00672E24" w:rsidRDefault="00F11DD9" w:rsidP="00232D69">
            <w:pPr>
              <w:rPr>
                <w:szCs w:val="22"/>
              </w:rPr>
            </w:pPr>
            <w:r w:rsidRPr="00672E24">
              <w:rPr>
                <w:szCs w:val="22"/>
              </w:rPr>
              <w:t>(99.67/99.87%)</w:t>
            </w:r>
          </w:p>
        </w:tc>
      </w:tr>
      <w:tr w:rsidR="00F37255" w:rsidRPr="00672E24" w14:paraId="2BB4803C" w14:textId="77777777" w:rsidTr="00B639CB">
        <w:tc>
          <w:tcPr>
            <w:tcW w:w="918" w:type="dxa"/>
            <w:vMerge/>
            <w:tcBorders>
              <w:left w:val="single" w:sz="4" w:space="0" w:color="auto"/>
              <w:right w:val="single" w:sz="4" w:space="0" w:color="auto"/>
            </w:tcBorders>
          </w:tcPr>
          <w:p w14:paraId="2C347886" w14:textId="77777777" w:rsidR="00F11DD9" w:rsidRPr="00672E24" w:rsidRDefault="00F11DD9" w:rsidP="00232D69">
            <w:pPr>
              <w:rPr>
                <w:szCs w:val="22"/>
              </w:rPr>
            </w:pPr>
          </w:p>
        </w:tc>
        <w:tc>
          <w:tcPr>
            <w:tcW w:w="1530" w:type="dxa"/>
            <w:vMerge/>
            <w:tcBorders>
              <w:left w:val="single" w:sz="4" w:space="0" w:color="auto"/>
              <w:right w:val="single" w:sz="4" w:space="0" w:color="auto"/>
            </w:tcBorders>
          </w:tcPr>
          <w:p w14:paraId="74006FAA"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251D90FE" w14:textId="7A5027D4" w:rsidR="00F37255" w:rsidRPr="00F37255" w:rsidRDefault="00F37255" w:rsidP="00232D69">
            <w:pPr>
              <w:rPr>
                <w:b/>
                <w:szCs w:val="22"/>
              </w:rPr>
            </w:pPr>
            <w:r w:rsidRPr="00F37255">
              <w:rPr>
                <w:b/>
                <w:szCs w:val="22"/>
              </w:rPr>
              <w:t>NEW</w:t>
            </w:r>
          </w:p>
          <w:p w14:paraId="4FC8B56F" w14:textId="77777777" w:rsidR="00F11DD9" w:rsidRPr="00672E24" w:rsidRDefault="00F11DD9" w:rsidP="00F37255">
            <w:pPr>
              <w:jc w:val="left"/>
              <w:rPr>
                <w:szCs w:val="22"/>
              </w:rPr>
            </w:pPr>
            <w:r w:rsidRPr="00672E24">
              <w:rPr>
                <w:szCs w:val="22"/>
              </w:rPr>
              <w:t xml:space="preserve">EGI monthly availability </w:t>
            </w:r>
            <w:r w:rsidRPr="00672E24">
              <w:rPr>
                <w:szCs w:val="22"/>
              </w:rPr>
              <w:lastRenderedPageBreak/>
              <w:t>and reliability of critical central operations tools</w:t>
            </w:r>
            <w:r w:rsidRPr="00672E24" w:rsidDel="00145B26">
              <w:rPr>
                <w:szCs w:val="22"/>
              </w:rPr>
              <w:t xml:space="preserve"> </w:t>
            </w:r>
            <w:r>
              <w:rPr>
                <w:szCs w:val="22"/>
              </w:rPr>
              <w:t>(MSA1.Operation</w:t>
            </w:r>
            <w:r w:rsidRPr="00672E24">
              <w:rPr>
                <w:szCs w:val="22"/>
              </w:rPr>
              <w:t>.6a)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1E533B8" w14:textId="77777777" w:rsidR="00F11DD9" w:rsidRPr="00672E24" w:rsidRDefault="00F11DD9" w:rsidP="00232D69">
            <w:pPr>
              <w:jc w:val="center"/>
              <w:rPr>
                <w:szCs w:val="22"/>
              </w:rPr>
            </w:pPr>
            <w:r w:rsidRPr="00672E24">
              <w:rPr>
                <w:szCs w:val="22"/>
              </w:rPr>
              <w:lastRenderedPageBreak/>
              <w:t>99.71%/</w:t>
            </w:r>
          </w:p>
          <w:p w14:paraId="30FE163A" w14:textId="77777777" w:rsidR="00F11DD9" w:rsidRPr="00672E24" w:rsidRDefault="00F11DD9" w:rsidP="00232D69">
            <w:pPr>
              <w:jc w:val="center"/>
              <w:rPr>
                <w:szCs w:val="22"/>
              </w:rPr>
            </w:pPr>
            <w:r w:rsidRPr="00672E24">
              <w:rPr>
                <w:szCs w:val="22"/>
              </w:rPr>
              <w:t>99.91%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EA776A1" w14:textId="77777777" w:rsidR="00F11DD9" w:rsidRPr="00672E24" w:rsidRDefault="00F11DD9" w:rsidP="00232D69">
            <w:pPr>
              <w:rPr>
                <w:szCs w:val="22"/>
              </w:rPr>
            </w:pPr>
            <w:r w:rsidRPr="00672E24">
              <w:rPr>
                <w:szCs w:val="22"/>
              </w:rPr>
              <w:t>97.39%/</w:t>
            </w:r>
          </w:p>
          <w:p w14:paraId="197EC3E0" w14:textId="77777777" w:rsidR="00F11DD9" w:rsidRPr="00672E24" w:rsidRDefault="00F11DD9" w:rsidP="00232D69">
            <w:pPr>
              <w:jc w:val="center"/>
              <w:rPr>
                <w:szCs w:val="22"/>
              </w:rPr>
            </w:pPr>
            <w:r w:rsidRPr="00672E24">
              <w:rPr>
                <w:szCs w:val="22"/>
              </w:rPr>
              <w:t>97.42%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2D237F" w14:textId="77777777" w:rsidR="00F11DD9" w:rsidRPr="00672E24" w:rsidRDefault="00F11DD9" w:rsidP="00232D69">
            <w:pPr>
              <w:jc w:val="center"/>
              <w:rPr>
                <w:szCs w:val="22"/>
              </w:rPr>
            </w:pPr>
            <w:r w:rsidRPr="00672E24">
              <w:rPr>
                <w:szCs w:val="22"/>
              </w:rPr>
              <w:t xml:space="preserve">99.62%/ </w:t>
            </w:r>
          </w:p>
          <w:p w14:paraId="71B77EAC" w14:textId="77777777" w:rsidR="00F11DD9" w:rsidRPr="00672E24" w:rsidRDefault="00F11DD9" w:rsidP="00232D69">
            <w:pPr>
              <w:jc w:val="center"/>
              <w:rPr>
                <w:szCs w:val="22"/>
              </w:rPr>
            </w:pPr>
            <w:r w:rsidRPr="00672E24">
              <w:rPr>
                <w:szCs w:val="22"/>
              </w:rPr>
              <w:t>99.63%</w:t>
            </w:r>
          </w:p>
        </w:tc>
        <w:tc>
          <w:tcPr>
            <w:tcW w:w="990" w:type="dxa"/>
            <w:tcBorders>
              <w:top w:val="single" w:sz="4" w:space="0" w:color="auto"/>
              <w:left w:val="single" w:sz="4" w:space="0" w:color="auto"/>
              <w:bottom w:val="single" w:sz="4" w:space="0" w:color="auto"/>
              <w:right w:val="single" w:sz="4" w:space="0" w:color="auto"/>
            </w:tcBorders>
          </w:tcPr>
          <w:p w14:paraId="27838DE3" w14:textId="77777777" w:rsidR="00F11DD9" w:rsidRPr="00F11DD9" w:rsidRDefault="00F11DD9" w:rsidP="00232D69">
            <w:pPr>
              <w:jc w:val="center"/>
              <w:rPr>
                <w:b/>
                <w:szCs w:val="22"/>
              </w:rPr>
            </w:pPr>
            <w:r w:rsidRPr="00F11DD9">
              <w:rPr>
                <w:b/>
                <w:szCs w:val="22"/>
              </w:rPr>
              <w:t>98.91%/99.10%</w:t>
            </w:r>
          </w:p>
        </w:tc>
        <w:tc>
          <w:tcPr>
            <w:tcW w:w="1080" w:type="dxa"/>
            <w:tcBorders>
              <w:top w:val="single" w:sz="4" w:space="0" w:color="auto"/>
              <w:left w:val="single" w:sz="4" w:space="0" w:color="auto"/>
              <w:bottom w:val="single" w:sz="4" w:space="0" w:color="auto"/>
              <w:right w:val="single" w:sz="4" w:space="0" w:color="auto"/>
            </w:tcBorders>
          </w:tcPr>
          <w:p w14:paraId="7CE70B9D" w14:textId="77777777" w:rsidR="00F11DD9" w:rsidRPr="00F11DD9" w:rsidRDefault="00F11DD9" w:rsidP="00232D69">
            <w:pPr>
              <w:rPr>
                <w:b/>
                <w:szCs w:val="22"/>
              </w:rPr>
            </w:pPr>
            <w:r w:rsidRPr="00F11DD9">
              <w:rPr>
                <w:b/>
                <w:szCs w:val="22"/>
              </w:rPr>
              <w:t>99.60/99.80%</w:t>
            </w:r>
          </w:p>
          <w:p w14:paraId="46B5712F" w14:textId="77777777" w:rsidR="00F11DD9" w:rsidRPr="00672E24" w:rsidRDefault="00F11DD9" w:rsidP="00232D69">
            <w:pPr>
              <w:rPr>
                <w:szCs w:val="22"/>
              </w:rPr>
            </w:pPr>
            <w:r w:rsidRPr="00672E24">
              <w:rPr>
                <w:szCs w:val="22"/>
              </w:rPr>
              <w:t>(99.65/9</w:t>
            </w:r>
            <w:r w:rsidRPr="00672E24">
              <w:rPr>
                <w:szCs w:val="22"/>
              </w:rPr>
              <w:lastRenderedPageBreak/>
              <w:t>9.85%)</w:t>
            </w:r>
          </w:p>
          <w:p w14:paraId="39C3E853" w14:textId="77777777" w:rsidR="00F11DD9" w:rsidRPr="00672E24" w:rsidRDefault="00F11DD9" w:rsidP="00232D69">
            <w:pPr>
              <w:rPr>
                <w:szCs w:val="22"/>
              </w:rPr>
            </w:pPr>
            <w:r w:rsidRPr="00672E24">
              <w:rPr>
                <w:szCs w:val="22"/>
              </w:rPr>
              <w:t>(99.67/99.87%)</w:t>
            </w:r>
          </w:p>
        </w:tc>
      </w:tr>
      <w:tr w:rsidR="00F37255" w:rsidRPr="00672E24" w14:paraId="6EA8D0FD" w14:textId="77777777" w:rsidTr="00B639CB">
        <w:tc>
          <w:tcPr>
            <w:tcW w:w="918" w:type="dxa"/>
            <w:vMerge/>
            <w:tcBorders>
              <w:left w:val="single" w:sz="4" w:space="0" w:color="auto"/>
              <w:right w:val="single" w:sz="4" w:space="0" w:color="auto"/>
            </w:tcBorders>
          </w:tcPr>
          <w:p w14:paraId="46A84D98" w14:textId="77777777" w:rsidR="00F11DD9" w:rsidRPr="00672E24" w:rsidRDefault="00F11DD9" w:rsidP="00232D69">
            <w:pPr>
              <w:rPr>
                <w:szCs w:val="22"/>
              </w:rPr>
            </w:pPr>
          </w:p>
        </w:tc>
        <w:tc>
          <w:tcPr>
            <w:tcW w:w="1530" w:type="dxa"/>
            <w:vMerge/>
            <w:tcBorders>
              <w:left w:val="single" w:sz="4" w:space="0" w:color="auto"/>
              <w:right w:val="single" w:sz="4" w:space="0" w:color="auto"/>
            </w:tcBorders>
          </w:tcPr>
          <w:p w14:paraId="41B5AB37"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4F425C93" w14:textId="3FE665BE" w:rsidR="00F37255" w:rsidRPr="00F37255" w:rsidRDefault="00F37255" w:rsidP="00232D69">
            <w:pPr>
              <w:rPr>
                <w:b/>
                <w:szCs w:val="22"/>
              </w:rPr>
            </w:pPr>
            <w:r w:rsidRPr="00F37255">
              <w:rPr>
                <w:b/>
                <w:szCs w:val="22"/>
              </w:rPr>
              <w:t>NEW</w:t>
            </w:r>
          </w:p>
          <w:p w14:paraId="71764581" w14:textId="77777777" w:rsidR="00F11DD9" w:rsidRPr="00672E24" w:rsidRDefault="00F11DD9" w:rsidP="00B639CB">
            <w:pPr>
              <w:jc w:val="left"/>
              <w:rPr>
                <w:szCs w:val="22"/>
              </w:rPr>
            </w:pPr>
            <w:r w:rsidRPr="00672E24">
              <w:rPr>
                <w:szCs w:val="22"/>
              </w:rPr>
              <w:t>EGI monthly averaged VO availability and reliability (M.SA1.Operation.7)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1554E9D" w14:textId="77777777" w:rsidR="00F11DD9" w:rsidRPr="00672E24" w:rsidRDefault="00F11DD9" w:rsidP="00232D69">
            <w:pPr>
              <w:jc w:val="center"/>
              <w:rPr>
                <w:szCs w:val="22"/>
              </w:rPr>
            </w:pPr>
            <w:r w:rsidRPr="00672E24">
              <w:rPr>
                <w:szCs w:val="22"/>
              </w:rPr>
              <w:t>97.27%/</w:t>
            </w:r>
          </w:p>
          <w:p w14:paraId="20B5B47B" w14:textId="77777777" w:rsidR="00F11DD9" w:rsidRPr="00672E24" w:rsidRDefault="00F11DD9" w:rsidP="00232D69">
            <w:pPr>
              <w:jc w:val="center"/>
              <w:rPr>
                <w:szCs w:val="22"/>
              </w:rPr>
            </w:pPr>
            <w:r w:rsidRPr="00672E24">
              <w:rPr>
                <w:szCs w:val="22"/>
              </w:rPr>
              <w:t>98.34%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D9852F" w14:textId="77777777" w:rsidR="00F11DD9" w:rsidRPr="00672E24" w:rsidRDefault="00F11DD9" w:rsidP="00232D69">
            <w:pPr>
              <w:jc w:val="center"/>
              <w:rPr>
                <w:szCs w:val="22"/>
              </w:rPr>
            </w:pPr>
            <w:r w:rsidRPr="00672E24">
              <w:rPr>
                <w:szCs w:val="22"/>
              </w:rPr>
              <w:t>98.13%</w:t>
            </w:r>
          </w:p>
          <w:p w14:paraId="34D74640" w14:textId="77777777" w:rsidR="00F11DD9" w:rsidRPr="00672E24" w:rsidRDefault="00F11DD9" w:rsidP="00232D69">
            <w:pPr>
              <w:jc w:val="center"/>
              <w:rPr>
                <w:szCs w:val="22"/>
              </w:rPr>
            </w:pPr>
            <w:r w:rsidRPr="00672E24">
              <w:rPr>
                <w:szCs w:val="22"/>
              </w:rPr>
              <w:t>99.04%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1AEC790" w14:textId="77777777" w:rsidR="00F11DD9" w:rsidRPr="00672E24" w:rsidRDefault="00F11DD9" w:rsidP="00232D69">
            <w:pPr>
              <w:jc w:val="center"/>
              <w:rPr>
                <w:szCs w:val="22"/>
              </w:rPr>
            </w:pPr>
            <w:r w:rsidRPr="00672E24">
              <w:rPr>
                <w:szCs w:val="22"/>
              </w:rPr>
              <w:t>98.18%/</w:t>
            </w:r>
          </w:p>
          <w:p w14:paraId="692AAFA2" w14:textId="77777777" w:rsidR="00F11DD9" w:rsidRPr="00672E24" w:rsidRDefault="00F11DD9" w:rsidP="00232D69">
            <w:pPr>
              <w:jc w:val="center"/>
              <w:rPr>
                <w:szCs w:val="22"/>
              </w:rPr>
            </w:pPr>
            <w:r w:rsidRPr="00672E24">
              <w:rPr>
                <w:szCs w:val="22"/>
              </w:rPr>
              <w:t>98.61%</w:t>
            </w:r>
          </w:p>
        </w:tc>
        <w:tc>
          <w:tcPr>
            <w:tcW w:w="990" w:type="dxa"/>
            <w:tcBorders>
              <w:top w:val="single" w:sz="4" w:space="0" w:color="auto"/>
              <w:left w:val="single" w:sz="4" w:space="0" w:color="auto"/>
              <w:bottom w:val="single" w:sz="4" w:space="0" w:color="auto"/>
              <w:right w:val="single" w:sz="4" w:space="0" w:color="auto"/>
            </w:tcBorders>
          </w:tcPr>
          <w:p w14:paraId="25A0CF44" w14:textId="77777777" w:rsidR="00F11DD9" w:rsidRPr="00F11DD9" w:rsidRDefault="00F11DD9" w:rsidP="00232D69">
            <w:pPr>
              <w:jc w:val="center"/>
              <w:rPr>
                <w:b/>
                <w:szCs w:val="22"/>
              </w:rPr>
            </w:pPr>
            <w:r w:rsidRPr="00F11DD9">
              <w:rPr>
                <w:b/>
                <w:szCs w:val="22"/>
              </w:rPr>
              <w:t>96.88%/97.89%</w:t>
            </w:r>
          </w:p>
        </w:tc>
        <w:tc>
          <w:tcPr>
            <w:tcW w:w="1080" w:type="dxa"/>
            <w:tcBorders>
              <w:top w:val="single" w:sz="4" w:space="0" w:color="auto"/>
              <w:left w:val="single" w:sz="4" w:space="0" w:color="auto"/>
              <w:bottom w:val="single" w:sz="4" w:space="0" w:color="auto"/>
              <w:right w:val="single" w:sz="4" w:space="0" w:color="auto"/>
            </w:tcBorders>
          </w:tcPr>
          <w:p w14:paraId="253C2F62" w14:textId="77777777" w:rsidR="00F11DD9" w:rsidRPr="00F11DD9" w:rsidRDefault="00F11DD9" w:rsidP="00232D69">
            <w:pPr>
              <w:rPr>
                <w:b/>
                <w:szCs w:val="22"/>
              </w:rPr>
            </w:pPr>
            <w:r w:rsidRPr="00F11DD9">
              <w:rPr>
                <w:b/>
                <w:szCs w:val="22"/>
              </w:rPr>
              <w:t>98%/99%</w:t>
            </w:r>
          </w:p>
          <w:p w14:paraId="10F2879D" w14:textId="77777777" w:rsidR="00F11DD9" w:rsidRPr="00672E24" w:rsidRDefault="00F11DD9" w:rsidP="00232D69">
            <w:pPr>
              <w:rPr>
                <w:szCs w:val="22"/>
              </w:rPr>
            </w:pPr>
            <w:r w:rsidRPr="00672E24">
              <w:rPr>
                <w:szCs w:val="22"/>
              </w:rPr>
              <w:t>(98.5/99.0%)</w:t>
            </w:r>
          </w:p>
          <w:p w14:paraId="434950AD" w14:textId="77777777" w:rsidR="00F11DD9" w:rsidRPr="00672E24" w:rsidRDefault="00F11DD9" w:rsidP="00232D69">
            <w:pPr>
              <w:rPr>
                <w:szCs w:val="22"/>
              </w:rPr>
            </w:pPr>
            <w:r w:rsidRPr="00672E24">
              <w:rPr>
                <w:szCs w:val="22"/>
              </w:rPr>
              <w:t>(98.7/99.2%)</w:t>
            </w:r>
          </w:p>
        </w:tc>
      </w:tr>
      <w:tr w:rsidR="00F37255" w:rsidRPr="00672E24" w14:paraId="1EA38733" w14:textId="77777777" w:rsidTr="00B639CB">
        <w:tc>
          <w:tcPr>
            <w:tcW w:w="918" w:type="dxa"/>
            <w:vMerge w:val="restart"/>
            <w:tcBorders>
              <w:top w:val="single" w:sz="4" w:space="0" w:color="auto"/>
              <w:left w:val="single" w:sz="4" w:space="0" w:color="auto"/>
              <w:right w:val="single" w:sz="4" w:space="0" w:color="auto"/>
            </w:tcBorders>
            <w:hideMark/>
          </w:tcPr>
          <w:p w14:paraId="5D667970" w14:textId="77777777" w:rsidR="00F11DD9" w:rsidRPr="00672E24" w:rsidRDefault="00F11DD9" w:rsidP="00232D69">
            <w:pPr>
              <w:rPr>
                <w:szCs w:val="22"/>
              </w:rPr>
            </w:pPr>
            <w:r w:rsidRPr="00672E24">
              <w:rPr>
                <w:szCs w:val="22"/>
              </w:rPr>
              <w:t>PO2</w:t>
            </w:r>
          </w:p>
        </w:tc>
        <w:tc>
          <w:tcPr>
            <w:tcW w:w="1530" w:type="dxa"/>
            <w:vMerge w:val="restart"/>
            <w:tcBorders>
              <w:top w:val="single" w:sz="4" w:space="0" w:color="auto"/>
              <w:left w:val="single" w:sz="4" w:space="0" w:color="auto"/>
              <w:right w:val="single" w:sz="4" w:space="0" w:color="auto"/>
            </w:tcBorders>
            <w:hideMark/>
          </w:tcPr>
          <w:p w14:paraId="3F4D9D85" w14:textId="77777777" w:rsidR="00F11DD9" w:rsidRPr="00672E24" w:rsidRDefault="00F11DD9" w:rsidP="00F37255">
            <w:pPr>
              <w:jc w:val="left"/>
              <w:rPr>
                <w:szCs w:val="22"/>
              </w:rPr>
            </w:pPr>
            <w:r w:rsidRPr="00672E24">
              <w:rPr>
                <w:szCs w:val="22"/>
              </w:rPr>
              <w:t>Support of European researchers and international collaborators through VRCs</w:t>
            </w:r>
          </w:p>
        </w:tc>
        <w:tc>
          <w:tcPr>
            <w:tcW w:w="1543" w:type="dxa"/>
            <w:tcBorders>
              <w:top w:val="single" w:sz="4" w:space="0" w:color="auto"/>
              <w:left w:val="single" w:sz="4" w:space="0" w:color="auto"/>
              <w:bottom w:val="single" w:sz="4" w:space="0" w:color="auto"/>
              <w:right w:val="single" w:sz="4" w:space="0" w:color="auto"/>
            </w:tcBorders>
          </w:tcPr>
          <w:p w14:paraId="1FA0DD5F" w14:textId="77777777" w:rsidR="00F11DD9" w:rsidRPr="00672E24" w:rsidRDefault="00F11DD9" w:rsidP="00F37255">
            <w:pPr>
              <w:jc w:val="left"/>
              <w:rPr>
                <w:szCs w:val="22"/>
              </w:rPr>
            </w:pPr>
            <w:r w:rsidRPr="00672E24">
              <w:rPr>
                <w:szCs w:val="22"/>
              </w:rPr>
              <w:t>Number of papers from EGI Users (M.NA2.5)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959481F" w14:textId="77777777" w:rsidR="00F11DD9" w:rsidRPr="00672E24" w:rsidRDefault="00F11DD9" w:rsidP="00232D69">
            <w:pPr>
              <w:jc w:val="center"/>
              <w:rPr>
                <w:szCs w:val="22"/>
              </w:rPr>
            </w:pPr>
            <w:r w:rsidRPr="00672E24">
              <w:rPr>
                <w:szCs w:val="22"/>
              </w:rPr>
              <w:t>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130B975" w14:textId="77777777" w:rsidR="00F11DD9" w:rsidRPr="00672E24" w:rsidRDefault="00F11DD9" w:rsidP="00232D69">
            <w:pPr>
              <w:jc w:val="center"/>
              <w:rPr>
                <w:szCs w:val="22"/>
              </w:rPr>
            </w:pPr>
            <w:r w:rsidRPr="00672E24">
              <w:rPr>
                <w:szCs w:val="22"/>
              </w:rPr>
              <w:t>36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47A26E" w14:textId="77777777" w:rsidR="00F11DD9" w:rsidRPr="00672E24" w:rsidRDefault="00F11DD9" w:rsidP="00232D69">
            <w:pPr>
              <w:jc w:val="center"/>
              <w:rPr>
                <w:szCs w:val="22"/>
              </w:rPr>
            </w:pPr>
            <w:r w:rsidRPr="00672E24">
              <w:rPr>
                <w:szCs w:val="22"/>
              </w:rPr>
              <w:t>10</w:t>
            </w:r>
          </w:p>
        </w:tc>
        <w:tc>
          <w:tcPr>
            <w:tcW w:w="990" w:type="dxa"/>
            <w:tcBorders>
              <w:top w:val="single" w:sz="4" w:space="0" w:color="auto"/>
              <w:left w:val="single" w:sz="4" w:space="0" w:color="auto"/>
              <w:bottom w:val="single" w:sz="4" w:space="0" w:color="auto"/>
              <w:right w:val="single" w:sz="4" w:space="0" w:color="auto"/>
            </w:tcBorders>
          </w:tcPr>
          <w:p w14:paraId="582F4993" w14:textId="77777777" w:rsidR="00F11DD9" w:rsidRPr="00672E24" w:rsidRDefault="00F11DD9" w:rsidP="00232D69">
            <w:pPr>
              <w:jc w:val="center"/>
              <w:rPr>
                <w:szCs w:val="22"/>
              </w:rPr>
            </w:pPr>
            <w:r w:rsidRPr="00B72E97">
              <w:rPr>
                <w:szCs w:val="22"/>
              </w:rPr>
              <w:t>27</w:t>
            </w:r>
          </w:p>
        </w:tc>
        <w:tc>
          <w:tcPr>
            <w:tcW w:w="1080" w:type="dxa"/>
            <w:tcBorders>
              <w:top w:val="single" w:sz="4" w:space="0" w:color="auto"/>
              <w:left w:val="single" w:sz="4" w:space="0" w:color="auto"/>
              <w:bottom w:val="single" w:sz="4" w:space="0" w:color="auto"/>
              <w:right w:val="single" w:sz="4" w:space="0" w:color="auto"/>
            </w:tcBorders>
          </w:tcPr>
          <w:p w14:paraId="292670BC" w14:textId="39104561" w:rsidR="00F11DD9" w:rsidRPr="00585B83" w:rsidRDefault="00585B83" w:rsidP="00232D69">
            <w:pPr>
              <w:rPr>
                <w:b/>
                <w:szCs w:val="22"/>
              </w:rPr>
            </w:pPr>
            <w:r>
              <w:rPr>
                <w:b/>
                <w:szCs w:val="22"/>
              </w:rPr>
              <w:t xml:space="preserve">Achieved/year: </w:t>
            </w:r>
            <w:r w:rsidRPr="00585B83">
              <w:rPr>
                <w:b/>
                <w:szCs w:val="22"/>
              </w:rPr>
              <w:t>82</w:t>
            </w:r>
          </w:p>
          <w:p w14:paraId="42BF9817" w14:textId="77777777" w:rsidR="00F11DD9" w:rsidRPr="00672E24" w:rsidRDefault="00F11DD9" w:rsidP="00232D69">
            <w:pPr>
              <w:rPr>
                <w:szCs w:val="22"/>
              </w:rPr>
            </w:pPr>
            <w:r w:rsidRPr="00672E24">
              <w:rPr>
                <w:szCs w:val="22"/>
              </w:rPr>
              <w:t>(80)</w:t>
            </w:r>
          </w:p>
          <w:p w14:paraId="4B3A823F" w14:textId="77777777" w:rsidR="00F11DD9" w:rsidRPr="00672E24" w:rsidRDefault="00F11DD9" w:rsidP="00232D69">
            <w:pPr>
              <w:rPr>
                <w:szCs w:val="22"/>
              </w:rPr>
            </w:pPr>
            <w:r w:rsidRPr="00672E24">
              <w:rPr>
                <w:szCs w:val="22"/>
              </w:rPr>
              <w:t>(90)</w:t>
            </w:r>
          </w:p>
        </w:tc>
      </w:tr>
      <w:tr w:rsidR="00F37255" w:rsidRPr="00672E24" w14:paraId="4BFB0DED" w14:textId="77777777" w:rsidTr="00B639CB">
        <w:tc>
          <w:tcPr>
            <w:tcW w:w="918" w:type="dxa"/>
            <w:vMerge/>
            <w:tcBorders>
              <w:left w:val="single" w:sz="4" w:space="0" w:color="auto"/>
              <w:right w:val="single" w:sz="4" w:space="0" w:color="auto"/>
            </w:tcBorders>
          </w:tcPr>
          <w:p w14:paraId="028680FA" w14:textId="77777777" w:rsidR="00F11DD9" w:rsidRPr="00672E24" w:rsidRDefault="00F11DD9" w:rsidP="00232D69">
            <w:pPr>
              <w:rPr>
                <w:szCs w:val="22"/>
              </w:rPr>
            </w:pPr>
          </w:p>
        </w:tc>
        <w:tc>
          <w:tcPr>
            <w:tcW w:w="1530" w:type="dxa"/>
            <w:vMerge/>
            <w:tcBorders>
              <w:left w:val="single" w:sz="4" w:space="0" w:color="auto"/>
              <w:right w:val="single" w:sz="4" w:space="0" w:color="auto"/>
            </w:tcBorders>
          </w:tcPr>
          <w:p w14:paraId="7D0EBB4D"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393479ED" w14:textId="77777777" w:rsidR="00F11DD9" w:rsidRPr="00672E24" w:rsidRDefault="00F11DD9" w:rsidP="00E04A99">
            <w:pPr>
              <w:jc w:val="left"/>
              <w:rPr>
                <w:szCs w:val="22"/>
              </w:rPr>
            </w:pPr>
            <w:r w:rsidRPr="00672E24">
              <w:rPr>
                <w:szCs w:val="22"/>
              </w:rPr>
              <w:t>Number of grid jobs done a day (Million) (M.SA1.Usage.1)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365ABB" w14:textId="77777777" w:rsidR="00F11DD9" w:rsidRPr="00672E24" w:rsidRDefault="00F11DD9" w:rsidP="00232D69">
            <w:pPr>
              <w:jc w:val="center"/>
              <w:rPr>
                <w:szCs w:val="22"/>
              </w:rPr>
            </w:pPr>
            <w:r w:rsidRPr="00672E24">
              <w:rPr>
                <w:szCs w:val="22"/>
              </w:rPr>
              <w:t>1.19 M (grid)</w:t>
            </w:r>
          </w:p>
          <w:p w14:paraId="1943856A" w14:textId="77777777" w:rsidR="00F11DD9" w:rsidRPr="00672E24" w:rsidRDefault="00F11DD9" w:rsidP="00232D69">
            <w:pPr>
              <w:jc w:val="center"/>
              <w:rPr>
                <w:szCs w:val="22"/>
              </w:rPr>
            </w:pPr>
            <w:r w:rsidRPr="00672E24">
              <w:rPr>
                <w:szCs w:val="22"/>
              </w:rPr>
              <w:t>1.45 M (grid and local)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E61DFF1" w14:textId="77777777" w:rsidR="00F11DD9" w:rsidRPr="00672E24" w:rsidRDefault="00F11DD9" w:rsidP="00232D69">
            <w:pPr>
              <w:jc w:val="center"/>
              <w:rPr>
                <w:szCs w:val="22"/>
              </w:rPr>
            </w:pPr>
            <w:r w:rsidRPr="00672E24">
              <w:rPr>
                <w:szCs w:val="22"/>
              </w:rPr>
              <w:t xml:space="preserve">1.35 M </w:t>
            </w:r>
          </w:p>
          <w:p w14:paraId="1BD8EF61" w14:textId="77777777" w:rsidR="00F11DD9" w:rsidRPr="00672E24" w:rsidRDefault="00F11DD9" w:rsidP="00232D69">
            <w:pPr>
              <w:jc w:val="center"/>
              <w:rPr>
                <w:szCs w:val="22"/>
              </w:rPr>
            </w:pPr>
            <w:r w:rsidRPr="00672E24">
              <w:rPr>
                <w:szCs w:val="22"/>
              </w:rPr>
              <w:t>(</w:t>
            </w:r>
            <w:proofErr w:type="gramStart"/>
            <w:r w:rsidRPr="00672E24">
              <w:rPr>
                <w:szCs w:val="22"/>
              </w:rPr>
              <w:t>grid</w:t>
            </w:r>
            <w:proofErr w:type="gramEnd"/>
            <w:r w:rsidRPr="00672E24">
              <w:rPr>
                <w:szCs w:val="22"/>
              </w:rPr>
              <w:t>)</w:t>
            </w:r>
          </w:p>
          <w:p w14:paraId="6C641302" w14:textId="77777777" w:rsidR="00F11DD9" w:rsidRPr="00672E24" w:rsidRDefault="00F11DD9" w:rsidP="00232D69">
            <w:pPr>
              <w:jc w:val="center"/>
              <w:rPr>
                <w:szCs w:val="22"/>
              </w:rPr>
            </w:pPr>
            <w:r w:rsidRPr="00672E24">
              <w:rPr>
                <w:szCs w:val="22"/>
              </w:rPr>
              <w:t>1.61 M (grid and cloud)</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3A2B76" w14:textId="77777777" w:rsidR="00F11DD9" w:rsidRPr="00672E24" w:rsidRDefault="00F11DD9" w:rsidP="00232D69">
            <w:pPr>
              <w:jc w:val="center"/>
              <w:rPr>
                <w:szCs w:val="22"/>
              </w:rPr>
            </w:pPr>
            <w:r w:rsidRPr="00672E24">
              <w:rPr>
                <w:szCs w:val="22"/>
              </w:rPr>
              <w:t>1.40 M (grid)</w:t>
            </w:r>
          </w:p>
          <w:p w14:paraId="10A231E6" w14:textId="77777777" w:rsidR="00F11DD9" w:rsidRPr="00672E24" w:rsidRDefault="00F11DD9" w:rsidP="00232D69">
            <w:pPr>
              <w:jc w:val="center"/>
              <w:rPr>
                <w:szCs w:val="22"/>
              </w:rPr>
            </w:pPr>
            <w:r w:rsidRPr="00672E24">
              <w:rPr>
                <w:szCs w:val="22"/>
              </w:rPr>
              <w:t>1.61 M (grid and local)</w:t>
            </w:r>
          </w:p>
        </w:tc>
        <w:tc>
          <w:tcPr>
            <w:tcW w:w="990" w:type="dxa"/>
            <w:tcBorders>
              <w:top w:val="single" w:sz="4" w:space="0" w:color="auto"/>
              <w:left w:val="single" w:sz="4" w:space="0" w:color="auto"/>
              <w:bottom w:val="single" w:sz="4" w:space="0" w:color="auto"/>
              <w:right w:val="single" w:sz="4" w:space="0" w:color="auto"/>
            </w:tcBorders>
          </w:tcPr>
          <w:p w14:paraId="39610AD7" w14:textId="77777777" w:rsidR="00F11DD9" w:rsidRPr="00232D69" w:rsidRDefault="00F11DD9" w:rsidP="00232D69">
            <w:pPr>
              <w:jc w:val="center"/>
              <w:rPr>
                <w:b/>
                <w:szCs w:val="22"/>
              </w:rPr>
            </w:pPr>
            <w:r w:rsidRPr="00232D69">
              <w:rPr>
                <w:b/>
                <w:szCs w:val="22"/>
              </w:rPr>
              <w:t>1.52M</w:t>
            </w:r>
          </w:p>
          <w:p w14:paraId="5AE99C1E" w14:textId="77777777" w:rsidR="00F11DD9" w:rsidRPr="00672E24" w:rsidRDefault="00F11DD9" w:rsidP="00232D69">
            <w:pPr>
              <w:jc w:val="center"/>
              <w:rPr>
                <w:szCs w:val="22"/>
              </w:rPr>
            </w:pPr>
            <w:r w:rsidRPr="00672E24">
              <w:rPr>
                <w:szCs w:val="22"/>
              </w:rPr>
              <w:t xml:space="preserve"> (</w:t>
            </w:r>
            <w:proofErr w:type="gramStart"/>
            <w:r w:rsidRPr="00672E24">
              <w:rPr>
                <w:szCs w:val="22"/>
              </w:rPr>
              <w:t>grid</w:t>
            </w:r>
            <w:proofErr w:type="gramEnd"/>
            <w:r w:rsidRPr="00672E24">
              <w:rPr>
                <w:szCs w:val="22"/>
              </w:rPr>
              <w:t xml:space="preserve"> and local)</w:t>
            </w:r>
          </w:p>
        </w:tc>
        <w:tc>
          <w:tcPr>
            <w:tcW w:w="1080" w:type="dxa"/>
            <w:tcBorders>
              <w:top w:val="single" w:sz="4" w:space="0" w:color="auto"/>
              <w:left w:val="single" w:sz="4" w:space="0" w:color="auto"/>
              <w:bottom w:val="single" w:sz="4" w:space="0" w:color="auto"/>
              <w:right w:val="single" w:sz="4" w:space="0" w:color="auto"/>
            </w:tcBorders>
          </w:tcPr>
          <w:p w14:paraId="4F1705B6" w14:textId="77777777" w:rsidR="00F11DD9" w:rsidRPr="00B511C6" w:rsidRDefault="00F11DD9" w:rsidP="00232D69">
            <w:pPr>
              <w:rPr>
                <w:b/>
                <w:szCs w:val="22"/>
              </w:rPr>
            </w:pPr>
            <w:r w:rsidRPr="00B511C6">
              <w:rPr>
                <w:b/>
                <w:szCs w:val="22"/>
              </w:rPr>
              <w:t>1.6 M</w:t>
            </w:r>
          </w:p>
          <w:p w14:paraId="4142F6A7" w14:textId="77777777" w:rsidR="00F11DD9" w:rsidRPr="00672E24" w:rsidRDefault="00F11DD9" w:rsidP="00232D69">
            <w:pPr>
              <w:rPr>
                <w:szCs w:val="22"/>
              </w:rPr>
            </w:pPr>
            <w:r w:rsidRPr="00672E24">
              <w:rPr>
                <w:szCs w:val="22"/>
              </w:rPr>
              <w:t>(1.8 M)</w:t>
            </w:r>
          </w:p>
          <w:p w14:paraId="40FD2ED9" w14:textId="77777777" w:rsidR="00F11DD9" w:rsidRPr="00672E24" w:rsidRDefault="00F11DD9" w:rsidP="00232D69">
            <w:pPr>
              <w:rPr>
                <w:szCs w:val="22"/>
              </w:rPr>
            </w:pPr>
            <w:r w:rsidRPr="00672E24">
              <w:rPr>
                <w:szCs w:val="22"/>
              </w:rPr>
              <w:t>(2.0 M)</w:t>
            </w:r>
          </w:p>
        </w:tc>
      </w:tr>
      <w:tr w:rsidR="00F37255" w:rsidRPr="00672E24" w14:paraId="3C3C23EA" w14:textId="77777777" w:rsidTr="00B639CB">
        <w:tc>
          <w:tcPr>
            <w:tcW w:w="918" w:type="dxa"/>
            <w:vMerge w:val="restart"/>
            <w:tcBorders>
              <w:top w:val="single" w:sz="4" w:space="0" w:color="auto"/>
              <w:left w:val="single" w:sz="4" w:space="0" w:color="auto"/>
              <w:right w:val="single" w:sz="4" w:space="0" w:color="auto"/>
            </w:tcBorders>
            <w:hideMark/>
          </w:tcPr>
          <w:p w14:paraId="795227CB" w14:textId="77777777" w:rsidR="00F11DD9" w:rsidRPr="00672E24" w:rsidRDefault="00F11DD9" w:rsidP="00232D69">
            <w:pPr>
              <w:rPr>
                <w:szCs w:val="22"/>
              </w:rPr>
            </w:pPr>
            <w:r w:rsidRPr="00672E24">
              <w:rPr>
                <w:szCs w:val="22"/>
              </w:rPr>
              <w:t>PO3</w:t>
            </w:r>
          </w:p>
        </w:tc>
        <w:tc>
          <w:tcPr>
            <w:tcW w:w="1530" w:type="dxa"/>
            <w:vMerge w:val="restart"/>
            <w:tcBorders>
              <w:top w:val="single" w:sz="4" w:space="0" w:color="auto"/>
              <w:left w:val="single" w:sz="4" w:space="0" w:color="auto"/>
              <w:right w:val="single" w:sz="4" w:space="0" w:color="auto"/>
            </w:tcBorders>
            <w:hideMark/>
          </w:tcPr>
          <w:p w14:paraId="5FCD89C2" w14:textId="77777777" w:rsidR="00F11DD9" w:rsidRPr="00672E24" w:rsidRDefault="00F11DD9" w:rsidP="00F37255">
            <w:pPr>
              <w:jc w:val="left"/>
              <w:rPr>
                <w:szCs w:val="22"/>
              </w:rPr>
            </w:pPr>
            <w:r w:rsidRPr="00672E24">
              <w:rPr>
                <w:szCs w:val="22"/>
              </w:rPr>
              <w:t>Sustainable support for Heavy User Communities</w:t>
            </w:r>
          </w:p>
        </w:tc>
        <w:tc>
          <w:tcPr>
            <w:tcW w:w="1543" w:type="dxa"/>
            <w:tcBorders>
              <w:top w:val="single" w:sz="4" w:space="0" w:color="auto"/>
              <w:left w:val="single" w:sz="4" w:space="0" w:color="auto"/>
              <w:bottom w:val="single" w:sz="4" w:space="0" w:color="auto"/>
              <w:right w:val="single" w:sz="4" w:space="0" w:color="auto"/>
            </w:tcBorders>
          </w:tcPr>
          <w:p w14:paraId="6B2AD0C8" w14:textId="77777777" w:rsidR="00F11DD9" w:rsidRPr="00672E24" w:rsidRDefault="00F11DD9" w:rsidP="00E04A99">
            <w:pPr>
              <w:jc w:val="left"/>
              <w:rPr>
                <w:szCs w:val="22"/>
              </w:rPr>
            </w:pPr>
            <w:r w:rsidRPr="00672E24">
              <w:rPr>
                <w:szCs w:val="22"/>
              </w:rPr>
              <w:t>Number of production sites supporting MPI</w:t>
            </w:r>
            <w:r w:rsidRPr="00672E24" w:rsidDel="00A502C7">
              <w:rPr>
                <w:szCs w:val="22"/>
              </w:rPr>
              <w:t xml:space="preserve"> </w:t>
            </w:r>
            <w:r w:rsidRPr="00672E24">
              <w:rPr>
                <w:szCs w:val="22"/>
              </w:rPr>
              <w:t>(M.SA1.Integration.2)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4988BC7" w14:textId="77777777" w:rsidR="00F11DD9" w:rsidRPr="00672E24" w:rsidRDefault="00F11DD9" w:rsidP="00232D69">
            <w:pPr>
              <w:jc w:val="center"/>
              <w:rPr>
                <w:szCs w:val="22"/>
              </w:rPr>
            </w:pPr>
            <w:r w:rsidRPr="00672E24">
              <w:rPr>
                <w:szCs w:val="22"/>
              </w:rPr>
              <w:t>80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374CB3" w14:textId="77777777" w:rsidR="00F11DD9" w:rsidRPr="00672E24" w:rsidRDefault="00F11DD9" w:rsidP="00232D69">
            <w:pPr>
              <w:jc w:val="center"/>
              <w:rPr>
                <w:szCs w:val="22"/>
              </w:rPr>
            </w:pPr>
            <w:r w:rsidRPr="00672E24">
              <w:rPr>
                <w:szCs w:val="22"/>
              </w:rPr>
              <w:t>89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3864F16" w14:textId="77777777" w:rsidR="00F11DD9" w:rsidRPr="00672E24" w:rsidRDefault="00F11DD9" w:rsidP="00232D69">
            <w:pPr>
              <w:jc w:val="center"/>
              <w:rPr>
                <w:szCs w:val="22"/>
              </w:rPr>
            </w:pPr>
            <w:r w:rsidRPr="00672E24">
              <w:rPr>
                <w:szCs w:val="22"/>
              </w:rPr>
              <w:t>69</w:t>
            </w:r>
          </w:p>
        </w:tc>
        <w:tc>
          <w:tcPr>
            <w:tcW w:w="990" w:type="dxa"/>
            <w:tcBorders>
              <w:top w:val="single" w:sz="4" w:space="0" w:color="auto"/>
              <w:left w:val="single" w:sz="4" w:space="0" w:color="auto"/>
              <w:bottom w:val="single" w:sz="4" w:space="0" w:color="auto"/>
              <w:right w:val="single" w:sz="4" w:space="0" w:color="auto"/>
            </w:tcBorders>
          </w:tcPr>
          <w:p w14:paraId="7294D395" w14:textId="77777777" w:rsidR="00F11DD9" w:rsidRPr="00B511C6" w:rsidRDefault="00F11DD9" w:rsidP="00232D69">
            <w:pPr>
              <w:jc w:val="center"/>
              <w:rPr>
                <w:b/>
                <w:szCs w:val="22"/>
              </w:rPr>
            </w:pPr>
            <w:r w:rsidRPr="00B511C6">
              <w:rPr>
                <w:b/>
                <w:szCs w:val="22"/>
              </w:rPr>
              <w:t>74</w:t>
            </w:r>
          </w:p>
        </w:tc>
        <w:tc>
          <w:tcPr>
            <w:tcW w:w="1080" w:type="dxa"/>
            <w:tcBorders>
              <w:top w:val="single" w:sz="4" w:space="0" w:color="auto"/>
              <w:left w:val="single" w:sz="4" w:space="0" w:color="auto"/>
              <w:bottom w:val="single" w:sz="4" w:space="0" w:color="auto"/>
              <w:right w:val="single" w:sz="4" w:space="0" w:color="auto"/>
            </w:tcBorders>
          </w:tcPr>
          <w:p w14:paraId="5285FE1A" w14:textId="77777777" w:rsidR="00F11DD9" w:rsidRPr="00B511C6" w:rsidRDefault="00F11DD9" w:rsidP="00232D69">
            <w:pPr>
              <w:rPr>
                <w:b/>
                <w:szCs w:val="22"/>
              </w:rPr>
            </w:pPr>
            <w:r w:rsidRPr="00B511C6">
              <w:rPr>
                <w:b/>
                <w:szCs w:val="22"/>
              </w:rPr>
              <w:t>90</w:t>
            </w:r>
          </w:p>
          <w:p w14:paraId="797218C3" w14:textId="77777777" w:rsidR="00F11DD9" w:rsidRPr="00672E24" w:rsidRDefault="00F11DD9" w:rsidP="00232D69">
            <w:pPr>
              <w:rPr>
                <w:szCs w:val="22"/>
              </w:rPr>
            </w:pPr>
            <w:r w:rsidRPr="00672E24">
              <w:rPr>
                <w:szCs w:val="22"/>
              </w:rPr>
              <w:t>(100)</w:t>
            </w:r>
          </w:p>
          <w:p w14:paraId="292CF192" w14:textId="77777777" w:rsidR="00F11DD9" w:rsidRPr="00672E24" w:rsidRDefault="00F11DD9" w:rsidP="00232D69">
            <w:pPr>
              <w:rPr>
                <w:szCs w:val="22"/>
              </w:rPr>
            </w:pPr>
            <w:r w:rsidRPr="00672E24">
              <w:rPr>
                <w:szCs w:val="22"/>
              </w:rPr>
              <w:t>(120)</w:t>
            </w:r>
          </w:p>
        </w:tc>
      </w:tr>
      <w:tr w:rsidR="00F37255" w:rsidRPr="00672E24" w14:paraId="6A0A6194" w14:textId="77777777" w:rsidTr="00B639CB">
        <w:tc>
          <w:tcPr>
            <w:tcW w:w="918" w:type="dxa"/>
            <w:vMerge/>
            <w:tcBorders>
              <w:left w:val="single" w:sz="4" w:space="0" w:color="auto"/>
              <w:right w:val="single" w:sz="4" w:space="0" w:color="auto"/>
            </w:tcBorders>
          </w:tcPr>
          <w:p w14:paraId="6A3A927C" w14:textId="77777777" w:rsidR="00F11DD9" w:rsidRPr="00672E24" w:rsidRDefault="00F11DD9" w:rsidP="00232D69">
            <w:pPr>
              <w:rPr>
                <w:szCs w:val="22"/>
              </w:rPr>
            </w:pPr>
          </w:p>
        </w:tc>
        <w:tc>
          <w:tcPr>
            <w:tcW w:w="1530" w:type="dxa"/>
            <w:vMerge/>
            <w:tcBorders>
              <w:left w:val="single" w:sz="4" w:space="0" w:color="auto"/>
              <w:right w:val="single" w:sz="4" w:space="0" w:color="auto"/>
            </w:tcBorders>
          </w:tcPr>
          <w:p w14:paraId="64128E04"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36DF09AB" w14:textId="77777777" w:rsidR="00F11DD9" w:rsidRPr="00672E24" w:rsidRDefault="00F11DD9" w:rsidP="00E04A99">
            <w:pPr>
              <w:jc w:val="left"/>
              <w:rPr>
                <w:szCs w:val="22"/>
              </w:rPr>
            </w:pPr>
            <w:r w:rsidRPr="00672E24">
              <w:rPr>
                <w:szCs w:val="22"/>
              </w:rPr>
              <w:t>Number of users from HUC VOs (M.SA1</w:t>
            </w:r>
            <w:r w:rsidRPr="00672E24">
              <w:rPr>
                <w:color w:val="FF0000"/>
                <w:szCs w:val="22"/>
              </w:rPr>
              <w:t>.</w:t>
            </w:r>
            <w:r w:rsidRPr="00672E24">
              <w:rPr>
                <w:szCs w:val="22"/>
              </w:rPr>
              <w:t xml:space="preserve">VO7)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82B346" w14:textId="77777777" w:rsidR="00F11DD9" w:rsidRPr="00672E24" w:rsidRDefault="00F11DD9" w:rsidP="00232D69">
            <w:pPr>
              <w:jc w:val="center"/>
              <w:rPr>
                <w:szCs w:val="22"/>
              </w:rPr>
            </w:pPr>
            <w:r w:rsidRPr="00672E24">
              <w:rPr>
                <w:szCs w:val="22"/>
              </w:rPr>
              <w:t>11,656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2244937" w14:textId="77777777" w:rsidR="00F11DD9" w:rsidRPr="00672E24" w:rsidRDefault="00F11DD9" w:rsidP="00232D69">
            <w:pPr>
              <w:jc w:val="center"/>
              <w:rPr>
                <w:szCs w:val="22"/>
              </w:rPr>
            </w:pPr>
            <w:r w:rsidRPr="00672E24">
              <w:rPr>
                <w:szCs w:val="22"/>
              </w:rPr>
              <w:t>11,569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5199314" w14:textId="77777777" w:rsidR="00F11DD9" w:rsidRPr="00672E24" w:rsidRDefault="00F11DD9" w:rsidP="00232D69">
            <w:pPr>
              <w:jc w:val="center"/>
              <w:rPr>
                <w:szCs w:val="22"/>
              </w:rPr>
            </w:pPr>
            <w:r w:rsidRPr="00672E24">
              <w:rPr>
                <w:szCs w:val="22"/>
              </w:rPr>
              <w:t>12,085</w:t>
            </w:r>
          </w:p>
        </w:tc>
        <w:tc>
          <w:tcPr>
            <w:tcW w:w="990" w:type="dxa"/>
            <w:tcBorders>
              <w:top w:val="single" w:sz="4" w:space="0" w:color="auto"/>
              <w:left w:val="single" w:sz="4" w:space="0" w:color="auto"/>
              <w:bottom w:val="single" w:sz="4" w:space="0" w:color="auto"/>
              <w:right w:val="single" w:sz="4" w:space="0" w:color="auto"/>
            </w:tcBorders>
          </w:tcPr>
          <w:p w14:paraId="6CD6F75A" w14:textId="77777777" w:rsidR="00F11DD9" w:rsidRDefault="00F11DD9" w:rsidP="00232D69">
            <w:pPr>
              <w:jc w:val="center"/>
              <w:rPr>
                <w:szCs w:val="22"/>
              </w:rPr>
            </w:pPr>
            <w:r w:rsidRPr="00C05D0C">
              <w:rPr>
                <w:szCs w:val="22"/>
              </w:rPr>
              <w:t>11</w:t>
            </w:r>
            <w:r>
              <w:rPr>
                <w:szCs w:val="22"/>
              </w:rPr>
              <w:t>,</w:t>
            </w:r>
            <w:r w:rsidRPr="00C05D0C">
              <w:rPr>
                <w:szCs w:val="22"/>
              </w:rPr>
              <w:t>990</w:t>
            </w:r>
          </w:p>
          <w:p w14:paraId="4F9C466A" w14:textId="77777777" w:rsidR="00F600A5" w:rsidRDefault="00F600A5" w:rsidP="00232D69">
            <w:pPr>
              <w:jc w:val="center"/>
              <w:rPr>
                <w:szCs w:val="22"/>
              </w:rPr>
            </w:pPr>
            <w:r>
              <w:rPr>
                <w:szCs w:val="22"/>
              </w:rPr>
              <w:t xml:space="preserve">+ </w:t>
            </w:r>
          </w:p>
          <w:p w14:paraId="212C46C7" w14:textId="39463C8E" w:rsidR="00F600A5" w:rsidRPr="00672E24" w:rsidRDefault="00F600A5" w:rsidP="00232D69">
            <w:pPr>
              <w:jc w:val="center"/>
              <w:rPr>
                <w:szCs w:val="22"/>
              </w:rPr>
            </w:pPr>
            <w:r>
              <w:rPr>
                <w:szCs w:val="22"/>
              </w:rPr>
              <w:t xml:space="preserve">7,000 users with access to robot </w:t>
            </w:r>
            <w:proofErr w:type="spellStart"/>
            <w:r>
              <w:rPr>
                <w:szCs w:val="22"/>
              </w:rPr>
              <w:t>certificats</w:t>
            </w:r>
            <w:proofErr w:type="spellEnd"/>
          </w:p>
        </w:tc>
        <w:tc>
          <w:tcPr>
            <w:tcW w:w="1080" w:type="dxa"/>
            <w:tcBorders>
              <w:top w:val="single" w:sz="4" w:space="0" w:color="auto"/>
              <w:left w:val="single" w:sz="4" w:space="0" w:color="auto"/>
              <w:bottom w:val="single" w:sz="4" w:space="0" w:color="auto"/>
              <w:right w:val="single" w:sz="4" w:space="0" w:color="auto"/>
            </w:tcBorders>
          </w:tcPr>
          <w:p w14:paraId="3AA3F1F9" w14:textId="77777777" w:rsidR="00F11DD9" w:rsidRPr="00672E24" w:rsidRDefault="00F11DD9" w:rsidP="00232D69">
            <w:pPr>
              <w:rPr>
                <w:szCs w:val="22"/>
              </w:rPr>
            </w:pPr>
            <w:r w:rsidRPr="00672E24">
              <w:rPr>
                <w:szCs w:val="22"/>
              </w:rPr>
              <w:t>12,500</w:t>
            </w:r>
          </w:p>
          <w:p w14:paraId="3E86A158" w14:textId="77777777" w:rsidR="00F11DD9" w:rsidRPr="00672E24" w:rsidRDefault="00F11DD9" w:rsidP="00232D69">
            <w:pPr>
              <w:rPr>
                <w:szCs w:val="22"/>
              </w:rPr>
            </w:pPr>
            <w:r w:rsidRPr="00672E24">
              <w:rPr>
                <w:szCs w:val="22"/>
              </w:rPr>
              <w:t>(13,000</w:t>
            </w:r>
          </w:p>
          <w:p w14:paraId="4DE8762C" w14:textId="77777777" w:rsidR="00F11DD9" w:rsidRPr="00672E24" w:rsidRDefault="00F11DD9" w:rsidP="00232D69">
            <w:pPr>
              <w:rPr>
                <w:szCs w:val="22"/>
              </w:rPr>
            </w:pPr>
            <w:r w:rsidRPr="00672E24">
              <w:rPr>
                <w:szCs w:val="22"/>
              </w:rPr>
              <w:t>(14,000)</w:t>
            </w:r>
          </w:p>
        </w:tc>
      </w:tr>
      <w:tr w:rsidR="00F37255" w:rsidRPr="00672E24" w14:paraId="4C294BA7" w14:textId="77777777" w:rsidTr="00B639CB">
        <w:tc>
          <w:tcPr>
            <w:tcW w:w="918" w:type="dxa"/>
            <w:vMerge/>
            <w:tcBorders>
              <w:left w:val="single" w:sz="4" w:space="0" w:color="auto"/>
              <w:bottom w:val="single" w:sz="4" w:space="0" w:color="auto"/>
              <w:right w:val="single" w:sz="4" w:space="0" w:color="auto"/>
            </w:tcBorders>
          </w:tcPr>
          <w:p w14:paraId="2B4E64AD" w14:textId="77777777" w:rsidR="00F11DD9" w:rsidRPr="00672E24" w:rsidRDefault="00F11DD9" w:rsidP="00232D69">
            <w:pPr>
              <w:rPr>
                <w:szCs w:val="22"/>
              </w:rPr>
            </w:pPr>
          </w:p>
        </w:tc>
        <w:tc>
          <w:tcPr>
            <w:tcW w:w="1530" w:type="dxa"/>
            <w:vMerge/>
            <w:tcBorders>
              <w:left w:val="single" w:sz="4" w:space="0" w:color="auto"/>
              <w:bottom w:val="single" w:sz="4" w:space="0" w:color="auto"/>
              <w:right w:val="single" w:sz="4" w:space="0" w:color="auto"/>
            </w:tcBorders>
          </w:tcPr>
          <w:p w14:paraId="797908A0"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02A069FB" w14:textId="5F0E75CF" w:rsidR="00E04A99" w:rsidRPr="00E04A99" w:rsidRDefault="00E04A99" w:rsidP="00E04A99">
            <w:pPr>
              <w:jc w:val="left"/>
              <w:rPr>
                <w:b/>
                <w:szCs w:val="22"/>
              </w:rPr>
            </w:pPr>
            <w:r w:rsidRPr="00E04A99">
              <w:rPr>
                <w:b/>
                <w:szCs w:val="22"/>
              </w:rPr>
              <w:t>NEW</w:t>
            </w:r>
          </w:p>
          <w:p w14:paraId="334CE2C7" w14:textId="77777777" w:rsidR="00F11DD9" w:rsidRPr="00672E24" w:rsidRDefault="00F11DD9" w:rsidP="00E04A99">
            <w:pPr>
              <w:jc w:val="left"/>
              <w:rPr>
                <w:szCs w:val="22"/>
              </w:rPr>
            </w:pPr>
            <w:r w:rsidRPr="00672E24">
              <w:rPr>
                <w:szCs w:val="22"/>
              </w:rPr>
              <w:t xml:space="preserve">Total number </w:t>
            </w:r>
            <w:r w:rsidRPr="00672E24">
              <w:rPr>
                <w:szCs w:val="22"/>
              </w:rPr>
              <w:lastRenderedPageBreak/>
              <w:t>of High Activity VOs</w:t>
            </w:r>
          </w:p>
          <w:p w14:paraId="6355B286" w14:textId="77777777" w:rsidR="00F11DD9" w:rsidRDefault="00F11DD9" w:rsidP="00E04A99">
            <w:pPr>
              <w:jc w:val="left"/>
              <w:rPr>
                <w:szCs w:val="22"/>
              </w:rPr>
            </w:pPr>
            <w:r w:rsidRPr="00672E24">
              <w:rPr>
                <w:szCs w:val="22"/>
              </w:rPr>
              <w:t>(M.SA1.VO.5)</w:t>
            </w:r>
          </w:p>
          <w:p w14:paraId="69AE9C56" w14:textId="77777777" w:rsidR="00B639CB" w:rsidRDefault="00B639CB" w:rsidP="00E04A99">
            <w:pPr>
              <w:jc w:val="left"/>
              <w:rPr>
                <w:szCs w:val="22"/>
              </w:rPr>
            </w:pPr>
            <w:r>
              <w:rPr>
                <w:szCs w:val="22"/>
              </w:rPr>
              <w:t xml:space="preserve">* </w:t>
            </w:r>
            <w:proofErr w:type="gramStart"/>
            <w:r>
              <w:rPr>
                <w:szCs w:val="22"/>
              </w:rPr>
              <w:t>quarterly</w:t>
            </w:r>
            <w:proofErr w:type="gramEnd"/>
            <w:r>
              <w:rPr>
                <w:szCs w:val="22"/>
              </w:rPr>
              <w:t xml:space="preserve"> value</w:t>
            </w:r>
          </w:p>
          <w:p w14:paraId="27A4C17D" w14:textId="67911889" w:rsidR="00B639CB" w:rsidRPr="00672E24" w:rsidRDefault="00B639CB" w:rsidP="00E04A99">
            <w:pPr>
              <w:jc w:val="left"/>
              <w:rPr>
                <w:szCs w:val="22"/>
                <w:highlight w:val="yellow"/>
              </w:rPr>
            </w:pPr>
            <w:r>
              <w:rPr>
                <w:szCs w:val="22"/>
              </w:rPr>
              <w:t xml:space="preserve">** </w:t>
            </w:r>
            <w:proofErr w:type="gramStart"/>
            <w:r>
              <w:rPr>
                <w:szCs w:val="22"/>
              </w:rPr>
              <w:t>yearly</w:t>
            </w:r>
            <w:proofErr w:type="gramEnd"/>
            <w:r>
              <w:rPr>
                <w:szCs w:val="22"/>
              </w:rPr>
              <w:t xml:space="preserve"> value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9FA00A" w14:textId="766DDD2F" w:rsidR="00F11DD9" w:rsidRPr="00672E24" w:rsidRDefault="00F11DD9" w:rsidP="00232D69">
            <w:pPr>
              <w:jc w:val="center"/>
              <w:rPr>
                <w:szCs w:val="22"/>
              </w:rPr>
            </w:pPr>
            <w:r w:rsidRPr="00672E24">
              <w:rPr>
                <w:szCs w:val="22"/>
              </w:rPr>
              <w:lastRenderedPageBreak/>
              <w:t>53</w:t>
            </w:r>
            <w:r w:rsidR="009E7B33">
              <w:rPr>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4CB9259" w14:textId="6FCB5686" w:rsidR="00F11DD9" w:rsidRPr="00672E24" w:rsidRDefault="00F11DD9" w:rsidP="00232D69">
            <w:pPr>
              <w:jc w:val="center"/>
              <w:rPr>
                <w:szCs w:val="22"/>
              </w:rPr>
            </w:pPr>
            <w:r w:rsidRPr="00672E24">
              <w:rPr>
                <w:szCs w:val="22"/>
              </w:rPr>
              <w:t>45</w:t>
            </w:r>
            <w:r w:rsidR="009E7B33">
              <w:rPr>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0BA3DC4" w14:textId="66C335A8" w:rsidR="00F11DD9" w:rsidRPr="00672E24" w:rsidRDefault="00F11DD9" w:rsidP="00232D69">
            <w:pPr>
              <w:jc w:val="center"/>
              <w:rPr>
                <w:szCs w:val="22"/>
              </w:rPr>
            </w:pPr>
            <w:r w:rsidRPr="00672E24">
              <w:rPr>
                <w:szCs w:val="22"/>
              </w:rPr>
              <w:t>41</w:t>
            </w:r>
            <w:r w:rsidR="009E7B33">
              <w:rPr>
                <w:szCs w:val="22"/>
              </w:rPr>
              <w:t>*</w:t>
            </w:r>
          </w:p>
        </w:tc>
        <w:tc>
          <w:tcPr>
            <w:tcW w:w="990" w:type="dxa"/>
            <w:tcBorders>
              <w:top w:val="single" w:sz="4" w:space="0" w:color="auto"/>
              <w:left w:val="single" w:sz="4" w:space="0" w:color="auto"/>
              <w:bottom w:val="single" w:sz="4" w:space="0" w:color="auto"/>
              <w:right w:val="single" w:sz="4" w:space="0" w:color="auto"/>
            </w:tcBorders>
          </w:tcPr>
          <w:p w14:paraId="7AE40793" w14:textId="77777777" w:rsidR="00F11DD9" w:rsidRDefault="00F11DD9" w:rsidP="00232D69">
            <w:pPr>
              <w:jc w:val="center"/>
              <w:rPr>
                <w:szCs w:val="22"/>
              </w:rPr>
            </w:pPr>
            <w:r>
              <w:rPr>
                <w:szCs w:val="22"/>
              </w:rPr>
              <w:t>38</w:t>
            </w:r>
            <w:r w:rsidR="009E7B33">
              <w:rPr>
                <w:szCs w:val="22"/>
              </w:rPr>
              <w:t>*</w:t>
            </w:r>
          </w:p>
          <w:p w14:paraId="33E07573" w14:textId="19039408" w:rsidR="00702E65" w:rsidRPr="00672E24" w:rsidRDefault="00702E65" w:rsidP="00232D69">
            <w:pPr>
              <w:jc w:val="center"/>
              <w:rPr>
                <w:szCs w:val="22"/>
              </w:rPr>
            </w:pPr>
            <w:r>
              <w:rPr>
                <w:szCs w:val="22"/>
              </w:rPr>
              <w:t>Achieve</w:t>
            </w:r>
            <w:r>
              <w:rPr>
                <w:szCs w:val="22"/>
              </w:rPr>
              <w:lastRenderedPageBreak/>
              <w:t xml:space="preserve">d/year: </w:t>
            </w:r>
            <w:r w:rsidRPr="00702E65">
              <w:rPr>
                <w:b/>
                <w:szCs w:val="22"/>
              </w:rPr>
              <w:t>67</w:t>
            </w:r>
          </w:p>
        </w:tc>
        <w:tc>
          <w:tcPr>
            <w:tcW w:w="1080" w:type="dxa"/>
            <w:tcBorders>
              <w:top w:val="single" w:sz="4" w:space="0" w:color="auto"/>
              <w:left w:val="single" w:sz="4" w:space="0" w:color="auto"/>
              <w:bottom w:val="single" w:sz="4" w:space="0" w:color="auto"/>
              <w:right w:val="single" w:sz="4" w:space="0" w:color="auto"/>
            </w:tcBorders>
          </w:tcPr>
          <w:p w14:paraId="45069053" w14:textId="3FE2FCDB" w:rsidR="00F11DD9" w:rsidRPr="00672E24" w:rsidRDefault="00F11DD9" w:rsidP="00232D69">
            <w:pPr>
              <w:rPr>
                <w:szCs w:val="22"/>
              </w:rPr>
            </w:pPr>
            <w:r w:rsidRPr="00702E65">
              <w:rPr>
                <w:b/>
                <w:szCs w:val="22"/>
              </w:rPr>
              <w:lastRenderedPageBreak/>
              <w:t>55</w:t>
            </w:r>
            <w:r w:rsidR="009E7B33">
              <w:rPr>
                <w:szCs w:val="22"/>
              </w:rPr>
              <w:t>**</w:t>
            </w:r>
          </w:p>
          <w:p w14:paraId="27DB87EF" w14:textId="77777777" w:rsidR="00F11DD9" w:rsidRPr="00672E24" w:rsidRDefault="00F11DD9" w:rsidP="00232D69">
            <w:pPr>
              <w:rPr>
                <w:szCs w:val="22"/>
              </w:rPr>
            </w:pPr>
            <w:r w:rsidRPr="00672E24">
              <w:rPr>
                <w:szCs w:val="22"/>
              </w:rPr>
              <w:t>(60)</w:t>
            </w:r>
          </w:p>
          <w:p w14:paraId="2BFAB61D" w14:textId="77777777" w:rsidR="00F11DD9" w:rsidRPr="00672E24" w:rsidRDefault="00F11DD9" w:rsidP="00232D69">
            <w:pPr>
              <w:rPr>
                <w:szCs w:val="22"/>
              </w:rPr>
            </w:pPr>
            <w:r w:rsidRPr="00672E24">
              <w:rPr>
                <w:szCs w:val="22"/>
              </w:rPr>
              <w:lastRenderedPageBreak/>
              <w:t>(</w:t>
            </w:r>
            <w:r w:rsidRPr="009E7B33">
              <w:rPr>
                <w:b/>
                <w:szCs w:val="22"/>
              </w:rPr>
              <w:t>65</w:t>
            </w:r>
            <w:r w:rsidRPr="00672E24">
              <w:rPr>
                <w:szCs w:val="22"/>
              </w:rPr>
              <w:t>)</w:t>
            </w:r>
          </w:p>
        </w:tc>
      </w:tr>
      <w:tr w:rsidR="00F37255" w:rsidRPr="00672E24" w14:paraId="459DCE3D" w14:textId="77777777" w:rsidTr="00B639CB">
        <w:tc>
          <w:tcPr>
            <w:tcW w:w="918" w:type="dxa"/>
            <w:vMerge w:val="restart"/>
            <w:tcBorders>
              <w:top w:val="single" w:sz="4" w:space="0" w:color="auto"/>
              <w:left w:val="single" w:sz="4" w:space="0" w:color="auto"/>
              <w:right w:val="single" w:sz="4" w:space="0" w:color="auto"/>
            </w:tcBorders>
            <w:hideMark/>
          </w:tcPr>
          <w:p w14:paraId="67482CB1" w14:textId="6AB09164" w:rsidR="00F11DD9" w:rsidRPr="00672E24" w:rsidRDefault="00F11DD9" w:rsidP="00232D69">
            <w:pPr>
              <w:rPr>
                <w:szCs w:val="22"/>
              </w:rPr>
            </w:pPr>
            <w:r w:rsidRPr="00672E24">
              <w:rPr>
                <w:szCs w:val="22"/>
              </w:rPr>
              <w:lastRenderedPageBreak/>
              <w:t>PO4</w:t>
            </w:r>
          </w:p>
        </w:tc>
        <w:tc>
          <w:tcPr>
            <w:tcW w:w="1530" w:type="dxa"/>
            <w:vMerge w:val="restart"/>
            <w:tcBorders>
              <w:top w:val="single" w:sz="4" w:space="0" w:color="auto"/>
              <w:left w:val="single" w:sz="4" w:space="0" w:color="auto"/>
              <w:right w:val="single" w:sz="4" w:space="0" w:color="auto"/>
            </w:tcBorders>
            <w:hideMark/>
          </w:tcPr>
          <w:p w14:paraId="56E77923" w14:textId="77777777" w:rsidR="00F11DD9" w:rsidRPr="00672E24" w:rsidRDefault="00F11DD9" w:rsidP="00F37255">
            <w:pPr>
              <w:jc w:val="left"/>
              <w:rPr>
                <w:szCs w:val="22"/>
              </w:rPr>
            </w:pPr>
            <w:r w:rsidRPr="00672E24">
              <w:rPr>
                <w:szCs w:val="22"/>
              </w:rPr>
              <w:t>Addition of new User Communities</w:t>
            </w:r>
          </w:p>
        </w:tc>
        <w:tc>
          <w:tcPr>
            <w:tcW w:w="1543" w:type="dxa"/>
            <w:tcBorders>
              <w:top w:val="single" w:sz="4" w:space="0" w:color="auto"/>
              <w:left w:val="single" w:sz="4" w:space="0" w:color="auto"/>
              <w:bottom w:val="single" w:sz="4" w:space="0" w:color="auto"/>
              <w:right w:val="single" w:sz="4" w:space="0" w:color="auto"/>
            </w:tcBorders>
          </w:tcPr>
          <w:p w14:paraId="091F10B4" w14:textId="77777777" w:rsidR="00F11DD9" w:rsidRPr="00672E24" w:rsidRDefault="00F11DD9" w:rsidP="00E04A99">
            <w:pPr>
              <w:jc w:val="left"/>
              <w:rPr>
                <w:szCs w:val="22"/>
                <w:highlight w:val="yellow"/>
              </w:rPr>
            </w:pPr>
            <w:r w:rsidRPr="00672E24">
              <w:rPr>
                <w:szCs w:val="22"/>
              </w:rPr>
              <w:t>Number of users from non-HUC VOs (M.SA1.VO.6)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7D08CD4" w14:textId="77777777" w:rsidR="00F11DD9" w:rsidRPr="00672E24" w:rsidRDefault="00F11DD9" w:rsidP="00232D69">
            <w:pPr>
              <w:jc w:val="center"/>
              <w:rPr>
                <w:szCs w:val="22"/>
              </w:rPr>
            </w:pPr>
            <w:r w:rsidRPr="00672E24">
              <w:rPr>
                <w:szCs w:val="22"/>
              </w:rPr>
              <w:t>10,368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B766C6" w14:textId="77777777" w:rsidR="00F11DD9" w:rsidRPr="00672E24" w:rsidRDefault="00F11DD9" w:rsidP="00232D69">
            <w:pPr>
              <w:jc w:val="center"/>
              <w:rPr>
                <w:szCs w:val="22"/>
              </w:rPr>
            </w:pPr>
            <w:r w:rsidRPr="00672E24">
              <w:rPr>
                <w:szCs w:val="22"/>
              </w:rPr>
              <w:t>7,532(*)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4EE97E4" w14:textId="77777777" w:rsidR="00F11DD9" w:rsidRPr="00672E24" w:rsidRDefault="00F11DD9" w:rsidP="00232D69">
            <w:pPr>
              <w:jc w:val="center"/>
              <w:rPr>
                <w:szCs w:val="22"/>
              </w:rPr>
            </w:pPr>
            <w:r w:rsidRPr="00672E24">
              <w:rPr>
                <w:szCs w:val="22"/>
              </w:rPr>
              <w:t>8,389</w:t>
            </w:r>
          </w:p>
        </w:tc>
        <w:tc>
          <w:tcPr>
            <w:tcW w:w="990" w:type="dxa"/>
            <w:tcBorders>
              <w:top w:val="single" w:sz="4" w:space="0" w:color="auto"/>
              <w:left w:val="single" w:sz="4" w:space="0" w:color="auto"/>
              <w:bottom w:val="single" w:sz="4" w:space="0" w:color="auto"/>
              <w:right w:val="single" w:sz="4" w:space="0" w:color="auto"/>
            </w:tcBorders>
          </w:tcPr>
          <w:p w14:paraId="568DEA94" w14:textId="77777777" w:rsidR="00F11DD9" w:rsidRDefault="00F11DD9" w:rsidP="00232D69">
            <w:pPr>
              <w:jc w:val="center"/>
              <w:rPr>
                <w:szCs w:val="22"/>
              </w:rPr>
            </w:pPr>
            <w:r w:rsidRPr="006436D4">
              <w:rPr>
                <w:szCs w:val="22"/>
              </w:rPr>
              <w:t>7</w:t>
            </w:r>
            <w:r>
              <w:rPr>
                <w:szCs w:val="22"/>
              </w:rPr>
              <w:t>,</w:t>
            </w:r>
            <w:r w:rsidRPr="006436D4">
              <w:rPr>
                <w:szCs w:val="22"/>
              </w:rPr>
              <w:t>015</w:t>
            </w:r>
            <w:r w:rsidRPr="00672E24">
              <w:rPr>
                <w:szCs w:val="22"/>
              </w:rPr>
              <w:t>(*)</w:t>
            </w:r>
          </w:p>
          <w:p w14:paraId="1D6D0530" w14:textId="77777777" w:rsidR="00F600A5" w:rsidRDefault="00F600A5" w:rsidP="00232D69">
            <w:pPr>
              <w:jc w:val="center"/>
              <w:rPr>
                <w:szCs w:val="22"/>
              </w:rPr>
            </w:pPr>
            <w:r>
              <w:rPr>
                <w:szCs w:val="22"/>
              </w:rPr>
              <w:t>+</w:t>
            </w:r>
          </w:p>
          <w:p w14:paraId="7045D71F" w14:textId="37F31F06" w:rsidR="00F600A5" w:rsidRPr="00672E24" w:rsidRDefault="00F600A5" w:rsidP="00232D69">
            <w:pPr>
              <w:jc w:val="center"/>
              <w:rPr>
                <w:szCs w:val="22"/>
              </w:rPr>
            </w:pPr>
            <w:r>
              <w:rPr>
                <w:szCs w:val="22"/>
              </w:rPr>
              <w:t>5,000 users with access to robot certificates</w:t>
            </w:r>
          </w:p>
        </w:tc>
        <w:tc>
          <w:tcPr>
            <w:tcW w:w="1080" w:type="dxa"/>
            <w:tcBorders>
              <w:top w:val="single" w:sz="4" w:space="0" w:color="auto"/>
              <w:left w:val="single" w:sz="4" w:space="0" w:color="auto"/>
              <w:bottom w:val="single" w:sz="4" w:space="0" w:color="auto"/>
              <w:right w:val="single" w:sz="4" w:space="0" w:color="auto"/>
            </w:tcBorders>
          </w:tcPr>
          <w:p w14:paraId="425AC389" w14:textId="77777777" w:rsidR="00F11DD9" w:rsidRPr="00672E24" w:rsidRDefault="00F11DD9" w:rsidP="00232D69">
            <w:pPr>
              <w:rPr>
                <w:szCs w:val="22"/>
              </w:rPr>
            </w:pPr>
            <w:r w:rsidRPr="00672E24">
              <w:rPr>
                <w:szCs w:val="22"/>
              </w:rPr>
              <w:t>11,000</w:t>
            </w:r>
          </w:p>
          <w:p w14:paraId="2F0C419A" w14:textId="77777777" w:rsidR="00F11DD9" w:rsidRPr="00672E24" w:rsidRDefault="00F11DD9" w:rsidP="00232D69">
            <w:pPr>
              <w:rPr>
                <w:szCs w:val="22"/>
              </w:rPr>
            </w:pPr>
            <w:r w:rsidRPr="00672E24">
              <w:rPr>
                <w:szCs w:val="22"/>
              </w:rPr>
              <w:t>(11,500)</w:t>
            </w:r>
          </w:p>
          <w:p w14:paraId="043D7AD4" w14:textId="77777777" w:rsidR="00F11DD9" w:rsidRPr="00672E24" w:rsidRDefault="00F11DD9" w:rsidP="00232D69">
            <w:pPr>
              <w:rPr>
                <w:szCs w:val="22"/>
              </w:rPr>
            </w:pPr>
            <w:r w:rsidRPr="00672E24">
              <w:rPr>
                <w:szCs w:val="22"/>
              </w:rPr>
              <w:t>(12,000)</w:t>
            </w:r>
          </w:p>
        </w:tc>
      </w:tr>
      <w:tr w:rsidR="00F37255" w:rsidRPr="00672E24" w14:paraId="069FB395" w14:textId="77777777" w:rsidTr="00B639CB">
        <w:tc>
          <w:tcPr>
            <w:tcW w:w="918" w:type="dxa"/>
            <w:vMerge/>
            <w:tcBorders>
              <w:left w:val="single" w:sz="4" w:space="0" w:color="auto"/>
              <w:right w:val="single" w:sz="4" w:space="0" w:color="auto"/>
            </w:tcBorders>
          </w:tcPr>
          <w:p w14:paraId="51FDCEFA" w14:textId="7A6CB89B" w:rsidR="00F11DD9" w:rsidRPr="00672E24" w:rsidRDefault="00F11DD9" w:rsidP="00232D69">
            <w:pPr>
              <w:rPr>
                <w:szCs w:val="22"/>
              </w:rPr>
            </w:pPr>
          </w:p>
        </w:tc>
        <w:tc>
          <w:tcPr>
            <w:tcW w:w="1530" w:type="dxa"/>
            <w:vMerge/>
            <w:tcBorders>
              <w:left w:val="single" w:sz="4" w:space="0" w:color="auto"/>
              <w:right w:val="single" w:sz="4" w:space="0" w:color="auto"/>
            </w:tcBorders>
          </w:tcPr>
          <w:p w14:paraId="10FA3E57"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6B364A32" w14:textId="77777777" w:rsidR="00F11DD9" w:rsidRPr="00672E24" w:rsidRDefault="00F11DD9" w:rsidP="00232D69">
            <w:pPr>
              <w:rPr>
                <w:szCs w:val="22"/>
              </w:rPr>
            </w:pPr>
            <w:r w:rsidRPr="00672E24">
              <w:rPr>
                <w:szCs w:val="22"/>
              </w:rPr>
              <w:t>Public events organised (attendee days) (M.NA2.6)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CC96204" w14:textId="77777777" w:rsidR="00F11DD9" w:rsidRPr="00672E24" w:rsidRDefault="00F11DD9" w:rsidP="00232D69">
            <w:pPr>
              <w:jc w:val="center"/>
              <w:rPr>
                <w:szCs w:val="22"/>
              </w:rPr>
            </w:pPr>
            <w:r w:rsidRPr="00672E24">
              <w:rPr>
                <w:szCs w:val="22"/>
              </w:rPr>
              <w:t>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4C2050C" w14:textId="77777777" w:rsidR="00F11DD9" w:rsidRPr="00672E24" w:rsidRDefault="00F11DD9" w:rsidP="00232D69">
            <w:pPr>
              <w:jc w:val="center"/>
              <w:rPr>
                <w:szCs w:val="22"/>
              </w:rPr>
            </w:pPr>
            <w:r w:rsidRPr="00672E24">
              <w:rPr>
                <w:szCs w:val="22"/>
              </w:rPr>
              <w:t>2137</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2489625" w14:textId="77777777" w:rsidR="00F11DD9" w:rsidRPr="00672E24" w:rsidRDefault="00F11DD9" w:rsidP="00232D69">
            <w:pPr>
              <w:jc w:val="center"/>
              <w:rPr>
                <w:szCs w:val="22"/>
              </w:rPr>
            </w:pPr>
            <w:r w:rsidRPr="00672E24">
              <w:rPr>
                <w:szCs w:val="22"/>
              </w:rPr>
              <w:t>530</w:t>
            </w:r>
          </w:p>
        </w:tc>
        <w:tc>
          <w:tcPr>
            <w:tcW w:w="990" w:type="dxa"/>
            <w:tcBorders>
              <w:top w:val="single" w:sz="4" w:space="0" w:color="auto"/>
              <w:left w:val="single" w:sz="4" w:space="0" w:color="auto"/>
              <w:bottom w:val="single" w:sz="4" w:space="0" w:color="auto"/>
              <w:right w:val="single" w:sz="4" w:space="0" w:color="auto"/>
            </w:tcBorders>
          </w:tcPr>
          <w:p w14:paraId="3F611571" w14:textId="0A80665F" w:rsidR="00702E65" w:rsidRDefault="00F11DD9" w:rsidP="00702E65">
            <w:pPr>
              <w:rPr>
                <w:b/>
                <w:szCs w:val="22"/>
              </w:rPr>
            </w:pPr>
            <w:r w:rsidRPr="00B639CB">
              <w:rPr>
                <w:b/>
                <w:szCs w:val="22"/>
              </w:rPr>
              <w:t>1553</w:t>
            </w:r>
            <w:r w:rsidR="00702E65">
              <w:rPr>
                <w:b/>
                <w:szCs w:val="22"/>
              </w:rPr>
              <w:t xml:space="preserve"> Achieved/year: 4,430</w:t>
            </w:r>
          </w:p>
          <w:p w14:paraId="45B4DBCA" w14:textId="77777777" w:rsidR="00F11DD9" w:rsidRPr="00B639CB" w:rsidRDefault="00F11DD9" w:rsidP="00232D69">
            <w:pPr>
              <w:jc w:val="center"/>
              <w:rPr>
                <w:b/>
                <w:szCs w:val="22"/>
              </w:rPr>
            </w:pPr>
          </w:p>
        </w:tc>
        <w:tc>
          <w:tcPr>
            <w:tcW w:w="1080" w:type="dxa"/>
            <w:tcBorders>
              <w:top w:val="single" w:sz="4" w:space="0" w:color="auto"/>
              <w:left w:val="single" w:sz="4" w:space="0" w:color="auto"/>
              <w:bottom w:val="single" w:sz="4" w:space="0" w:color="auto"/>
              <w:right w:val="single" w:sz="4" w:space="0" w:color="auto"/>
            </w:tcBorders>
          </w:tcPr>
          <w:p w14:paraId="46609FC3" w14:textId="05F5B3C7" w:rsidR="00F11DD9" w:rsidRPr="00B639CB" w:rsidRDefault="00F11DD9" w:rsidP="00232D69">
            <w:pPr>
              <w:rPr>
                <w:b/>
                <w:szCs w:val="22"/>
              </w:rPr>
            </w:pPr>
            <w:r w:rsidRPr="00B639CB">
              <w:rPr>
                <w:b/>
                <w:szCs w:val="22"/>
              </w:rPr>
              <w:t>15,000</w:t>
            </w:r>
          </w:p>
          <w:p w14:paraId="03DDCB58" w14:textId="77777777" w:rsidR="00F11DD9" w:rsidRPr="00672E24" w:rsidRDefault="00F11DD9" w:rsidP="00232D69">
            <w:pPr>
              <w:rPr>
                <w:szCs w:val="22"/>
              </w:rPr>
            </w:pPr>
            <w:r w:rsidRPr="00672E24">
              <w:rPr>
                <w:szCs w:val="22"/>
              </w:rPr>
              <w:t>(17,000)</w:t>
            </w:r>
          </w:p>
          <w:p w14:paraId="6ECE97BA" w14:textId="77777777" w:rsidR="00F11DD9" w:rsidRPr="00672E24" w:rsidRDefault="00F11DD9" w:rsidP="00232D69">
            <w:pPr>
              <w:rPr>
                <w:szCs w:val="22"/>
              </w:rPr>
            </w:pPr>
            <w:r w:rsidRPr="00672E24">
              <w:rPr>
                <w:szCs w:val="22"/>
              </w:rPr>
              <w:t>(19,000)</w:t>
            </w:r>
          </w:p>
        </w:tc>
      </w:tr>
      <w:tr w:rsidR="00F37255" w:rsidRPr="00672E24" w14:paraId="5C3C57C0" w14:textId="77777777" w:rsidTr="00B639CB">
        <w:tc>
          <w:tcPr>
            <w:tcW w:w="918" w:type="dxa"/>
            <w:vMerge w:val="restart"/>
            <w:tcBorders>
              <w:top w:val="single" w:sz="4" w:space="0" w:color="auto"/>
              <w:left w:val="single" w:sz="4" w:space="0" w:color="auto"/>
              <w:right w:val="single" w:sz="4" w:space="0" w:color="auto"/>
            </w:tcBorders>
            <w:hideMark/>
          </w:tcPr>
          <w:p w14:paraId="37B91C18" w14:textId="6AC143D9" w:rsidR="00F11DD9" w:rsidRPr="00672E24" w:rsidRDefault="00F11DD9" w:rsidP="00232D69">
            <w:pPr>
              <w:rPr>
                <w:szCs w:val="22"/>
              </w:rPr>
            </w:pPr>
            <w:r w:rsidRPr="00672E24">
              <w:rPr>
                <w:szCs w:val="22"/>
              </w:rPr>
              <w:t>PO5</w:t>
            </w:r>
          </w:p>
        </w:tc>
        <w:tc>
          <w:tcPr>
            <w:tcW w:w="1530" w:type="dxa"/>
            <w:vMerge w:val="restart"/>
            <w:tcBorders>
              <w:top w:val="single" w:sz="4" w:space="0" w:color="auto"/>
              <w:left w:val="single" w:sz="4" w:space="0" w:color="auto"/>
              <w:right w:val="single" w:sz="4" w:space="0" w:color="auto"/>
            </w:tcBorders>
            <w:hideMark/>
          </w:tcPr>
          <w:p w14:paraId="53778AB3" w14:textId="77777777" w:rsidR="00F11DD9" w:rsidRPr="00672E24" w:rsidRDefault="00F11DD9" w:rsidP="00F37255">
            <w:pPr>
              <w:jc w:val="left"/>
              <w:rPr>
                <w:szCs w:val="22"/>
              </w:rPr>
            </w:pPr>
            <w:r w:rsidRPr="00672E24">
              <w:rPr>
                <w:szCs w:val="22"/>
              </w:rPr>
              <w:t>Transparent integration of other infrastructures</w:t>
            </w:r>
          </w:p>
        </w:tc>
        <w:tc>
          <w:tcPr>
            <w:tcW w:w="1543" w:type="dxa"/>
            <w:tcBorders>
              <w:top w:val="single" w:sz="4" w:space="0" w:color="auto"/>
              <w:left w:val="single" w:sz="4" w:space="0" w:color="auto"/>
              <w:bottom w:val="single" w:sz="4" w:space="0" w:color="auto"/>
              <w:right w:val="single" w:sz="4" w:space="0" w:color="auto"/>
            </w:tcBorders>
          </w:tcPr>
          <w:p w14:paraId="2C10E7E5" w14:textId="77777777" w:rsidR="00F11DD9" w:rsidRPr="00672E24" w:rsidRDefault="00F11DD9" w:rsidP="00232D69">
            <w:pPr>
              <w:suppressAutoHyphens w:val="0"/>
              <w:outlineLvl w:val="4"/>
              <w:rPr>
                <w:color w:val="222222"/>
                <w:szCs w:val="22"/>
                <w:shd w:val="clear" w:color="auto" w:fill="FFFFFF"/>
                <w:lang w:eastAsia="en-US"/>
              </w:rPr>
            </w:pPr>
            <w:r w:rsidRPr="00672E24">
              <w:rPr>
                <w:szCs w:val="22"/>
              </w:rPr>
              <w:t>Number of on-going Research Infrastructures/new communities being integrated (M.SA1.Integration.4)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9D0121" w14:textId="77777777" w:rsidR="00F11DD9" w:rsidRPr="00672E24" w:rsidRDefault="00F11DD9" w:rsidP="00232D69">
            <w:pPr>
              <w:jc w:val="center"/>
              <w:rPr>
                <w:szCs w:val="22"/>
              </w:rPr>
            </w:pPr>
            <w:r w:rsidRPr="00672E24">
              <w:rPr>
                <w:szCs w:val="22"/>
              </w:rPr>
              <w:t>5 (**)</w:t>
            </w:r>
          </w:p>
          <w:p w14:paraId="654106A8" w14:textId="77777777" w:rsidR="00F11DD9" w:rsidRPr="00672E24" w:rsidRDefault="00F11DD9" w:rsidP="00232D69">
            <w:pPr>
              <w:jc w:val="center"/>
              <w:rPr>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AA959AA" w14:textId="77777777" w:rsidR="00F11DD9" w:rsidRPr="00672E24" w:rsidRDefault="00F11DD9" w:rsidP="00232D69">
            <w:pPr>
              <w:jc w:val="center"/>
              <w:rPr>
                <w:szCs w:val="22"/>
              </w:rPr>
            </w:pPr>
            <w:r w:rsidRPr="00672E24">
              <w:rPr>
                <w:szCs w:val="22"/>
              </w:rPr>
              <w:t>9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DE18130" w14:textId="77777777" w:rsidR="00F11DD9" w:rsidRPr="00672E24" w:rsidRDefault="00F11DD9" w:rsidP="00232D69">
            <w:pPr>
              <w:jc w:val="center"/>
              <w:rPr>
                <w:szCs w:val="22"/>
              </w:rPr>
            </w:pPr>
            <w:r w:rsidRPr="00672E24">
              <w:rPr>
                <w:szCs w:val="22"/>
              </w:rPr>
              <w:t>10 (***)</w:t>
            </w:r>
          </w:p>
        </w:tc>
        <w:tc>
          <w:tcPr>
            <w:tcW w:w="990" w:type="dxa"/>
            <w:tcBorders>
              <w:top w:val="single" w:sz="4" w:space="0" w:color="auto"/>
              <w:left w:val="single" w:sz="4" w:space="0" w:color="auto"/>
              <w:bottom w:val="single" w:sz="4" w:space="0" w:color="auto"/>
              <w:right w:val="single" w:sz="4" w:space="0" w:color="auto"/>
            </w:tcBorders>
          </w:tcPr>
          <w:p w14:paraId="6F25CB47" w14:textId="77777777" w:rsidR="00F11DD9" w:rsidRPr="00672E24" w:rsidRDefault="00F11DD9" w:rsidP="00232D69">
            <w:pPr>
              <w:jc w:val="center"/>
              <w:rPr>
                <w:szCs w:val="22"/>
              </w:rPr>
            </w:pPr>
            <w:r w:rsidRPr="00B639CB">
              <w:rPr>
                <w:b/>
                <w:szCs w:val="22"/>
              </w:rPr>
              <w:t xml:space="preserve">11 </w:t>
            </w:r>
            <w:r w:rsidRPr="00672E24">
              <w:rPr>
                <w:szCs w:val="22"/>
              </w:rPr>
              <w:t>(***</w:t>
            </w:r>
            <w:r>
              <w:rPr>
                <w:szCs w:val="22"/>
              </w:rPr>
              <w:t>*</w:t>
            </w:r>
            <w:r w:rsidRPr="00672E24">
              <w:rPr>
                <w:szCs w:val="22"/>
              </w:rPr>
              <w:t>)</w:t>
            </w:r>
          </w:p>
        </w:tc>
        <w:tc>
          <w:tcPr>
            <w:tcW w:w="1080" w:type="dxa"/>
            <w:tcBorders>
              <w:top w:val="single" w:sz="4" w:space="0" w:color="auto"/>
              <w:left w:val="single" w:sz="4" w:space="0" w:color="auto"/>
              <w:bottom w:val="single" w:sz="4" w:space="0" w:color="auto"/>
              <w:right w:val="single" w:sz="4" w:space="0" w:color="auto"/>
            </w:tcBorders>
          </w:tcPr>
          <w:p w14:paraId="17F44F84" w14:textId="77777777" w:rsidR="00F11DD9" w:rsidRPr="00B639CB" w:rsidRDefault="00F11DD9" w:rsidP="00232D69">
            <w:pPr>
              <w:rPr>
                <w:b/>
                <w:szCs w:val="22"/>
              </w:rPr>
            </w:pPr>
            <w:r w:rsidRPr="00B639CB">
              <w:rPr>
                <w:b/>
                <w:szCs w:val="22"/>
              </w:rPr>
              <w:t>5</w:t>
            </w:r>
          </w:p>
          <w:p w14:paraId="129B4403" w14:textId="77777777" w:rsidR="00F11DD9" w:rsidRPr="00672E24" w:rsidRDefault="00F11DD9" w:rsidP="00232D69">
            <w:pPr>
              <w:rPr>
                <w:szCs w:val="22"/>
              </w:rPr>
            </w:pPr>
            <w:r w:rsidRPr="00672E24">
              <w:rPr>
                <w:szCs w:val="22"/>
              </w:rPr>
              <w:t>(7)</w:t>
            </w:r>
          </w:p>
          <w:p w14:paraId="698CDE62" w14:textId="77777777" w:rsidR="00F11DD9" w:rsidRPr="00672E24" w:rsidRDefault="00F11DD9" w:rsidP="00232D69">
            <w:pPr>
              <w:rPr>
                <w:szCs w:val="22"/>
              </w:rPr>
            </w:pPr>
            <w:r w:rsidRPr="00672E24">
              <w:rPr>
                <w:szCs w:val="22"/>
              </w:rPr>
              <w:t>(9)</w:t>
            </w:r>
          </w:p>
        </w:tc>
      </w:tr>
      <w:tr w:rsidR="00F37255" w:rsidRPr="00672E24" w14:paraId="2198E0A0" w14:textId="77777777" w:rsidTr="00B639CB">
        <w:tc>
          <w:tcPr>
            <w:tcW w:w="918" w:type="dxa"/>
            <w:vMerge/>
            <w:tcBorders>
              <w:left w:val="single" w:sz="4" w:space="0" w:color="auto"/>
              <w:bottom w:val="single" w:sz="4" w:space="0" w:color="auto"/>
              <w:right w:val="single" w:sz="4" w:space="0" w:color="auto"/>
            </w:tcBorders>
          </w:tcPr>
          <w:p w14:paraId="11FF4E26" w14:textId="77777777" w:rsidR="00F11DD9" w:rsidRPr="00672E24" w:rsidRDefault="00F11DD9" w:rsidP="00232D69">
            <w:pPr>
              <w:rPr>
                <w:szCs w:val="22"/>
              </w:rPr>
            </w:pPr>
          </w:p>
        </w:tc>
        <w:tc>
          <w:tcPr>
            <w:tcW w:w="1530" w:type="dxa"/>
            <w:vMerge/>
            <w:tcBorders>
              <w:left w:val="single" w:sz="4" w:space="0" w:color="auto"/>
              <w:bottom w:val="single" w:sz="4" w:space="0" w:color="auto"/>
              <w:right w:val="single" w:sz="4" w:space="0" w:color="auto"/>
            </w:tcBorders>
          </w:tcPr>
          <w:p w14:paraId="0A65C2C7" w14:textId="77777777" w:rsidR="00F11DD9" w:rsidRPr="00672E24" w:rsidRDefault="00F11DD9" w:rsidP="00F37255">
            <w:pPr>
              <w:jc w:val="left"/>
              <w:rPr>
                <w:szCs w:val="22"/>
              </w:rPr>
            </w:pPr>
          </w:p>
        </w:tc>
        <w:tc>
          <w:tcPr>
            <w:tcW w:w="1543" w:type="dxa"/>
            <w:tcBorders>
              <w:top w:val="single" w:sz="4" w:space="0" w:color="auto"/>
              <w:left w:val="single" w:sz="4" w:space="0" w:color="auto"/>
              <w:bottom w:val="single" w:sz="4" w:space="0" w:color="auto"/>
              <w:right w:val="single" w:sz="4" w:space="0" w:color="auto"/>
            </w:tcBorders>
          </w:tcPr>
          <w:p w14:paraId="7CEDFDE4" w14:textId="77777777" w:rsidR="00F11DD9" w:rsidRPr="00672E24" w:rsidRDefault="00F11DD9" w:rsidP="00B639CB">
            <w:pPr>
              <w:jc w:val="left"/>
              <w:rPr>
                <w:szCs w:val="22"/>
              </w:rPr>
            </w:pPr>
            <w:proofErr w:type="spellStart"/>
            <w:r w:rsidRPr="00672E24">
              <w:rPr>
                <w:szCs w:val="22"/>
              </w:rPr>
              <w:t>MoUs</w:t>
            </w:r>
            <w:proofErr w:type="spellEnd"/>
            <w:r w:rsidRPr="00672E24">
              <w:rPr>
                <w:szCs w:val="22"/>
              </w:rPr>
              <w:t xml:space="preserve"> with resource providers (M.NA2.10)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321D78" w14:textId="77777777" w:rsidR="00F11DD9" w:rsidRPr="00672E24" w:rsidRDefault="00F11DD9" w:rsidP="00232D69">
            <w:pPr>
              <w:jc w:val="center"/>
              <w:rPr>
                <w:szCs w:val="22"/>
              </w:rPr>
            </w:pPr>
            <w:r w:rsidRPr="00672E24">
              <w:rPr>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AA1785D" w14:textId="77777777" w:rsidR="00F11DD9" w:rsidRPr="00672E24" w:rsidRDefault="00F11DD9" w:rsidP="00232D69">
            <w:pPr>
              <w:jc w:val="center"/>
              <w:rPr>
                <w:szCs w:val="22"/>
              </w:rPr>
            </w:pPr>
            <w:r w:rsidRPr="00672E24">
              <w:rPr>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932D3F" w14:textId="77777777" w:rsidR="00F11DD9" w:rsidRPr="00672E24" w:rsidRDefault="00F11DD9" w:rsidP="00232D69">
            <w:pPr>
              <w:jc w:val="center"/>
              <w:rPr>
                <w:szCs w:val="22"/>
              </w:rPr>
            </w:pPr>
            <w:r w:rsidRPr="00672E24">
              <w:rPr>
                <w:szCs w:val="22"/>
              </w:rPr>
              <w:t>5</w:t>
            </w:r>
          </w:p>
        </w:tc>
        <w:tc>
          <w:tcPr>
            <w:tcW w:w="990" w:type="dxa"/>
            <w:tcBorders>
              <w:top w:val="single" w:sz="4" w:space="0" w:color="auto"/>
              <w:left w:val="single" w:sz="4" w:space="0" w:color="auto"/>
              <w:bottom w:val="single" w:sz="4" w:space="0" w:color="auto"/>
              <w:right w:val="single" w:sz="4" w:space="0" w:color="auto"/>
            </w:tcBorders>
          </w:tcPr>
          <w:p w14:paraId="7C3BC331" w14:textId="77777777" w:rsidR="00F11DD9" w:rsidRPr="0047262E" w:rsidRDefault="00F11DD9" w:rsidP="00232D69">
            <w:pPr>
              <w:jc w:val="center"/>
              <w:rPr>
                <w:b/>
                <w:szCs w:val="22"/>
              </w:rPr>
            </w:pPr>
            <w:r w:rsidRPr="0047262E">
              <w:rPr>
                <w:b/>
                <w:szCs w:val="22"/>
              </w:rPr>
              <w:t>6</w:t>
            </w:r>
          </w:p>
        </w:tc>
        <w:tc>
          <w:tcPr>
            <w:tcW w:w="1080" w:type="dxa"/>
            <w:tcBorders>
              <w:top w:val="single" w:sz="4" w:space="0" w:color="auto"/>
              <w:left w:val="single" w:sz="4" w:space="0" w:color="auto"/>
              <w:bottom w:val="single" w:sz="4" w:space="0" w:color="auto"/>
              <w:right w:val="single" w:sz="4" w:space="0" w:color="auto"/>
            </w:tcBorders>
          </w:tcPr>
          <w:p w14:paraId="1BBC3201" w14:textId="77777777" w:rsidR="00F11DD9" w:rsidRPr="0047262E" w:rsidRDefault="00F11DD9" w:rsidP="00232D69">
            <w:pPr>
              <w:rPr>
                <w:b/>
                <w:szCs w:val="22"/>
              </w:rPr>
            </w:pPr>
            <w:r w:rsidRPr="0047262E">
              <w:rPr>
                <w:b/>
                <w:szCs w:val="22"/>
              </w:rPr>
              <w:t>4</w:t>
            </w:r>
          </w:p>
          <w:p w14:paraId="1DD705F0" w14:textId="77777777" w:rsidR="00F11DD9" w:rsidRPr="00672E24" w:rsidRDefault="00F11DD9" w:rsidP="00232D69">
            <w:pPr>
              <w:rPr>
                <w:szCs w:val="22"/>
              </w:rPr>
            </w:pPr>
            <w:r w:rsidRPr="00672E24">
              <w:rPr>
                <w:szCs w:val="22"/>
              </w:rPr>
              <w:t>(5)</w:t>
            </w:r>
          </w:p>
          <w:p w14:paraId="5D0B9D28" w14:textId="77777777" w:rsidR="00F11DD9" w:rsidRPr="00672E24" w:rsidRDefault="00F11DD9" w:rsidP="00232D69">
            <w:pPr>
              <w:rPr>
                <w:szCs w:val="22"/>
              </w:rPr>
            </w:pPr>
            <w:r w:rsidRPr="00672E24">
              <w:rPr>
                <w:szCs w:val="22"/>
              </w:rPr>
              <w:t>(5)</w:t>
            </w:r>
          </w:p>
        </w:tc>
      </w:tr>
      <w:tr w:rsidR="00F37255" w:rsidRPr="00672E24" w14:paraId="758BDB7C" w14:textId="77777777" w:rsidTr="00B639CB">
        <w:tc>
          <w:tcPr>
            <w:tcW w:w="918" w:type="dxa"/>
            <w:tcBorders>
              <w:top w:val="single" w:sz="4" w:space="0" w:color="auto"/>
              <w:left w:val="single" w:sz="4" w:space="0" w:color="auto"/>
              <w:right w:val="single" w:sz="4" w:space="0" w:color="auto"/>
            </w:tcBorders>
            <w:hideMark/>
          </w:tcPr>
          <w:p w14:paraId="00EE0C7B" w14:textId="77777777" w:rsidR="00F11DD9" w:rsidRPr="00672E24" w:rsidRDefault="00F11DD9" w:rsidP="00232D69">
            <w:pPr>
              <w:rPr>
                <w:szCs w:val="22"/>
              </w:rPr>
            </w:pPr>
            <w:r w:rsidRPr="00672E24">
              <w:rPr>
                <w:szCs w:val="22"/>
              </w:rPr>
              <w:t>PO6</w:t>
            </w:r>
          </w:p>
        </w:tc>
        <w:tc>
          <w:tcPr>
            <w:tcW w:w="1530" w:type="dxa"/>
            <w:tcBorders>
              <w:top w:val="single" w:sz="4" w:space="0" w:color="auto"/>
              <w:left w:val="single" w:sz="4" w:space="0" w:color="auto"/>
              <w:right w:val="single" w:sz="4" w:space="0" w:color="auto"/>
            </w:tcBorders>
            <w:hideMark/>
          </w:tcPr>
          <w:p w14:paraId="4761808F" w14:textId="77777777" w:rsidR="00F11DD9" w:rsidRPr="00672E24" w:rsidRDefault="00F11DD9" w:rsidP="00F37255">
            <w:pPr>
              <w:jc w:val="left"/>
              <w:rPr>
                <w:szCs w:val="22"/>
              </w:rPr>
            </w:pPr>
            <w:r w:rsidRPr="00672E24">
              <w:rPr>
                <w:szCs w:val="22"/>
              </w:rPr>
              <w:t>Integration of new technologies and resources</w:t>
            </w:r>
          </w:p>
        </w:tc>
        <w:tc>
          <w:tcPr>
            <w:tcW w:w="1543" w:type="dxa"/>
            <w:tcBorders>
              <w:top w:val="single" w:sz="4" w:space="0" w:color="auto"/>
              <w:left w:val="single" w:sz="4" w:space="0" w:color="auto"/>
              <w:bottom w:val="single" w:sz="4" w:space="0" w:color="auto"/>
              <w:right w:val="single" w:sz="4" w:space="0" w:color="auto"/>
            </w:tcBorders>
          </w:tcPr>
          <w:p w14:paraId="028DB86F" w14:textId="77777777" w:rsidR="00F11DD9" w:rsidRPr="00672E24" w:rsidRDefault="00F11DD9" w:rsidP="00232D69">
            <w:pPr>
              <w:suppressAutoHyphens w:val="0"/>
              <w:outlineLvl w:val="4"/>
              <w:rPr>
                <w:szCs w:val="22"/>
                <w:lang w:eastAsia="en-US"/>
              </w:rPr>
            </w:pPr>
            <w:r w:rsidRPr="00672E24">
              <w:rPr>
                <w:color w:val="222222"/>
                <w:szCs w:val="22"/>
                <w:shd w:val="clear" w:color="auto" w:fill="FFFFFF"/>
                <w:lang w:eastAsia="en-US"/>
              </w:rPr>
              <w:t xml:space="preserve">Number of resource centres offering federated cloud services accessible to </w:t>
            </w:r>
            <w:r w:rsidRPr="00672E24">
              <w:rPr>
                <w:color w:val="222222"/>
                <w:szCs w:val="22"/>
                <w:shd w:val="clear" w:color="auto" w:fill="FFFFFF"/>
                <w:lang w:eastAsia="en-US"/>
              </w:rPr>
              <w:lastRenderedPageBreak/>
              <w:t>authorised users</w:t>
            </w:r>
          </w:p>
          <w:p w14:paraId="11E92809" w14:textId="77777777" w:rsidR="00F11DD9" w:rsidRPr="00672E24" w:rsidRDefault="00F11DD9" w:rsidP="00232D69">
            <w:pPr>
              <w:rPr>
                <w:szCs w:val="22"/>
              </w:rPr>
            </w:pPr>
            <w:r w:rsidRPr="00672E24" w:rsidDel="00D136C0">
              <w:rPr>
                <w:szCs w:val="22"/>
              </w:rPr>
              <w:t xml:space="preserve"> </w:t>
            </w:r>
            <w:r w:rsidRPr="00672E24">
              <w:rPr>
                <w:szCs w:val="22"/>
              </w:rPr>
              <w:t>(M.SA2.16)</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B18D1B" w14:textId="77777777" w:rsidR="00F11DD9" w:rsidRPr="00672E24" w:rsidRDefault="00F11DD9" w:rsidP="00232D69">
            <w:pPr>
              <w:jc w:val="center"/>
              <w:rPr>
                <w:szCs w:val="22"/>
              </w:rPr>
            </w:pPr>
            <w:r w:rsidRPr="00672E24">
              <w:rPr>
                <w:szCs w:val="22"/>
              </w:rPr>
              <w:lastRenderedPageBreak/>
              <w:t>14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7F1942" w14:textId="77777777" w:rsidR="00F11DD9" w:rsidRPr="00672E24" w:rsidRDefault="00F11DD9" w:rsidP="00232D69">
            <w:pPr>
              <w:jc w:val="center"/>
              <w:rPr>
                <w:szCs w:val="22"/>
              </w:rPr>
            </w:pPr>
            <w:r w:rsidRPr="00672E24">
              <w:rPr>
                <w:szCs w:val="22"/>
              </w:rPr>
              <w:t>19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F8A14A" w14:textId="77777777" w:rsidR="00F11DD9" w:rsidRPr="00672E24" w:rsidRDefault="00F11DD9" w:rsidP="00232D69">
            <w:pPr>
              <w:jc w:val="center"/>
              <w:rPr>
                <w:szCs w:val="22"/>
              </w:rPr>
            </w:pPr>
            <w:r w:rsidRPr="00672E24">
              <w:rPr>
                <w:szCs w:val="22"/>
              </w:rPr>
              <w:t>14</w:t>
            </w:r>
          </w:p>
        </w:tc>
        <w:tc>
          <w:tcPr>
            <w:tcW w:w="990" w:type="dxa"/>
            <w:tcBorders>
              <w:top w:val="single" w:sz="4" w:space="0" w:color="auto"/>
              <w:left w:val="single" w:sz="4" w:space="0" w:color="auto"/>
              <w:bottom w:val="single" w:sz="4" w:space="0" w:color="auto"/>
              <w:right w:val="single" w:sz="4" w:space="0" w:color="auto"/>
            </w:tcBorders>
          </w:tcPr>
          <w:p w14:paraId="29506315" w14:textId="77777777" w:rsidR="00F11DD9" w:rsidRPr="00B639CB" w:rsidRDefault="00F11DD9" w:rsidP="00232D69">
            <w:pPr>
              <w:jc w:val="center"/>
              <w:rPr>
                <w:b/>
                <w:szCs w:val="22"/>
              </w:rPr>
            </w:pPr>
            <w:r w:rsidRPr="00B639CB">
              <w:rPr>
                <w:b/>
                <w:szCs w:val="22"/>
              </w:rPr>
              <w:t>15</w:t>
            </w:r>
          </w:p>
        </w:tc>
        <w:tc>
          <w:tcPr>
            <w:tcW w:w="1080" w:type="dxa"/>
            <w:tcBorders>
              <w:top w:val="single" w:sz="4" w:space="0" w:color="auto"/>
              <w:left w:val="single" w:sz="4" w:space="0" w:color="auto"/>
              <w:bottom w:val="single" w:sz="4" w:space="0" w:color="auto"/>
              <w:right w:val="single" w:sz="4" w:space="0" w:color="auto"/>
            </w:tcBorders>
          </w:tcPr>
          <w:p w14:paraId="0BF5F63F" w14:textId="77777777" w:rsidR="00F11DD9" w:rsidRPr="00B639CB" w:rsidRDefault="00F11DD9" w:rsidP="00232D69">
            <w:pPr>
              <w:rPr>
                <w:b/>
                <w:szCs w:val="22"/>
              </w:rPr>
            </w:pPr>
            <w:r w:rsidRPr="00B639CB">
              <w:rPr>
                <w:b/>
                <w:szCs w:val="22"/>
              </w:rPr>
              <w:t>15</w:t>
            </w:r>
          </w:p>
          <w:p w14:paraId="75F48BA7" w14:textId="77777777" w:rsidR="00F11DD9" w:rsidRPr="00672E24" w:rsidRDefault="00F11DD9" w:rsidP="00232D69">
            <w:pPr>
              <w:rPr>
                <w:szCs w:val="22"/>
              </w:rPr>
            </w:pPr>
            <w:r w:rsidRPr="00672E24">
              <w:rPr>
                <w:szCs w:val="22"/>
              </w:rPr>
              <w:t>(20)</w:t>
            </w:r>
          </w:p>
          <w:p w14:paraId="419E6B6C" w14:textId="77777777" w:rsidR="00F11DD9" w:rsidRPr="00672E24" w:rsidRDefault="00F11DD9" w:rsidP="00232D69">
            <w:pPr>
              <w:rPr>
                <w:szCs w:val="22"/>
              </w:rPr>
            </w:pPr>
            <w:r w:rsidRPr="00672E24">
              <w:rPr>
                <w:szCs w:val="22"/>
              </w:rPr>
              <w:t>(25)</w:t>
            </w:r>
          </w:p>
        </w:tc>
      </w:tr>
    </w:tbl>
    <w:p w14:paraId="1170084E" w14:textId="77777777" w:rsidR="00F11DD9" w:rsidRPr="00672E24" w:rsidRDefault="00F11DD9" w:rsidP="00F11DD9">
      <w:pPr>
        <w:rPr>
          <w:rFonts w:eastAsiaTheme="majorEastAsia"/>
        </w:rPr>
      </w:pPr>
      <w:bookmarkStart w:id="43" w:name="_Toc243721300"/>
      <w:bookmarkStart w:id="44" w:name="_Toc351736086"/>
    </w:p>
    <w:p w14:paraId="11FB4D50" w14:textId="070AA037" w:rsidR="00F11DD9" w:rsidRPr="00672E24" w:rsidRDefault="00F11DD9" w:rsidP="00F11DD9">
      <w:pPr>
        <w:rPr>
          <w:szCs w:val="22"/>
        </w:rPr>
      </w:pPr>
      <w:r w:rsidRPr="00672E24">
        <w:rPr>
          <w:szCs w:val="22"/>
        </w:rPr>
        <w:t>(*) The va</w:t>
      </w:r>
      <w:r>
        <w:rPr>
          <w:szCs w:val="22"/>
        </w:rPr>
        <w:t xml:space="preserve">lue decreased in PQ13, PQ14, </w:t>
      </w:r>
      <w:r w:rsidRPr="00672E24">
        <w:rPr>
          <w:szCs w:val="22"/>
        </w:rPr>
        <w:t>PQ15</w:t>
      </w:r>
      <w:r>
        <w:rPr>
          <w:szCs w:val="22"/>
        </w:rPr>
        <w:t xml:space="preserve"> and Q16</w:t>
      </w:r>
      <w:r w:rsidRPr="00672E24">
        <w:rPr>
          <w:szCs w:val="22"/>
        </w:rPr>
        <w:t xml:space="preserve"> due an on-going campaign aiming at decommissioning inactive VOs.</w:t>
      </w:r>
      <w:r w:rsidR="00534989">
        <w:rPr>
          <w:szCs w:val="22"/>
        </w:rPr>
        <w:t xml:space="preserve"> This value </w:t>
      </w:r>
      <w:r w:rsidR="00F600A5">
        <w:rPr>
          <w:szCs w:val="22"/>
        </w:rPr>
        <w:t>needs to be incremented by 12</w:t>
      </w:r>
      <w:r w:rsidR="00534989">
        <w:rPr>
          <w:szCs w:val="22"/>
        </w:rPr>
        <w:t>,000 users (estimated value) from 40 VOs that are enabled to use robot certificates. The decommissioning of registered users from expired projects affected the non Heavy User Communities more significantly as these are typically structured around short-term projects.</w:t>
      </w:r>
    </w:p>
    <w:p w14:paraId="70D1B9A5" w14:textId="77777777" w:rsidR="00F11DD9" w:rsidRPr="00672E24" w:rsidRDefault="00F11DD9" w:rsidP="00F11DD9">
      <w:pPr>
        <w:rPr>
          <w:szCs w:val="22"/>
        </w:rPr>
      </w:pPr>
      <w:r w:rsidRPr="00672E24">
        <w:rPr>
          <w:szCs w:val="22"/>
        </w:rPr>
        <w:t>(**) DRIHM, EISCAT 3D, MAPPER, VERCE, VPH</w:t>
      </w:r>
    </w:p>
    <w:p w14:paraId="38CBE900" w14:textId="77777777" w:rsidR="00F11DD9" w:rsidRDefault="00F11DD9" w:rsidP="00F11DD9">
      <w:pPr>
        <w:rPr>
          <w:szCs w:val="22"/>
        </w:rPr>
      </w:pPr>
      <w:r>
        <w:rPr>
          <w:szCs w:val="22"/>
        </w:rPr>
        <w:t>(***</w:t>
      </w:r>
      <w:r w:rsidRPr="00672E24">
        <w:rPr>
          <w:szCs w:val="22"/>
        </w:rPr>
        <w:t xml:space="preserve">) EISCAT, CTA, DRIHM, VPH, Mapper, </w:t>
      </w:r>
      <w:proofErr w:type="spellStart"/>
      <w:r w:rsidRPr="00672E24">
        <w:rPr>
          <w:szCs w:val="22"/>
        </w:rPr>
        <w:t>LifeWatch</w:t>
      </w:r>
      <w:proofErr w:type="spellEnd"/>
      <w:r w:rsidRPr="00672E24">
        <w:rPr>
          <w:szCs w:val="22"/>
        </w:rPr>
        <w:t>, GAIA, ENVRI, DCHRP, ELIXIR</w:t>
      </w:r>
    </w:p>
    <w:p w14:paraId="01B67ACC" w14:textId="77777777" w:rsidR="00F11DD9" w:rsidRDefault="00F11DD9" w:rsidP="00F11DD9">
      <w:pPr>
        <w:rPr>
          <w:szCs w:val="22"/>
          <w:lang w:val="nl-NL"/>
        </w:rPr>
      </w:pPr>
      <w:r>
        <w:rPr>
          <w:szCs w:val="22"/>
          <w:lang w:val="nl-NL"/>
        </w:rPr>
        <w:t xml:space="preserve">(****) EISCAT, CTA, DRIHM, </w:t>
      </w:r>
      <w:proofErr w:type="spellStart"/>
      <w:r>
        <w:rPr>
          <w:szCs w:val="22"/>
          <w:lang w:val="nl-NL"/>
        </w:rPr>
        <w:t>LifeWatch</w:t>
      </w:r>
      <w:proofErr w:type="spellEnd"/>
      <w:r>
        <w:rPr>
          <w:szCs w:val="22"/>
          <w:lang w:val="nl-NL"/>
        </w:rPr>
        <w:t xml:space="preserve">, ENVRI, DCH-RP, EMSO, ICOS, VERCE, </w:t>
      </w:r>
      <w:proofErr w:type="spellStart"/>
      <w:r>
        <w:rPr>
          <w:szCs w:val="22"/>
          <w:lang w:val="nl-NL"/>
        </w:rPr>
        <w:t>WeNMR</w:t>
      </w:r>
      <w:proofErr w:type="spellEnd"/>
      <w:r>
        <w:rPr>
          <w:szCs w:val="22"/>
          <w:lang w:val="nl-NL"/>
        </w:rPr>
        <w:t>, ESA</w:t>
      </w:r>
    </w:p>
    <w:p w14:paraId="2FD6BF77" w14:textId="77777777" w:rsidR="009E7B33" w:rsidRDefault="009E7B33" w:rsidP="00F11DD9">
      <w:pPr>
        <w:rPr>
          <w:szCs w:val="22"/>
          <w:lang w:val="nl-NL"/>
        </w:rPr>
      </w:pPr>
    </w:p>
    <w:p w14:paraId="52D18C35" w14:textId="60F5C67D" w:rsidR="00534989" w:rsidRPr="00534989" w:rsidRDefault="00534989" w:rsidP="00F11DD9">
      <w:pPr>
        <w:rPr>
          <w:szCs w:val="22"/>
        </w:rPr>
      </w:pPr>
      <w:r w:rsidRPr="00534989">
        <w:rPr>
          <w:szCs w:val="22"/>
        </w:rPr>
        <w:t xml:space="preserve">The operational metrics indicate that during PY4 the infrastructure continued its stable operations. The exceeded stretch value in terms </w:t>
      </w:r>
      <w:r>
        <w:rPr>
          <w:szCs w:val="22"/>
        </w:rPr>
        <w:t>number of sites (</w:t>
      </w:r>
      <w:r w:rsidRPr="00534989">
        <w:rPr>
          <w:b/>
          <w:szCs w:val="22"/>
        </w:rPr>
        <w:t>Number of resource centres in EGI-</w:t>
      </w:r>
      <w:proofErr w:type="spellStart"/>
      <w:r w:rsidRPr="00534989">
        <w:rPr>
          <w:b/>
          <w:szCs w:val="22"/>
        </w:rPr>
        <w:t>InSPIRE</w:t>
      </w:r>
      <w:proofErr w:type="spellEnd"/>
      <w:r w:rsidRPr="00534989">
        <w:rPr>
          <w:b/>
          <w:szCs w:val="22"/>
        </w:rPr>
        <w:t xml:space="preserve"> and integrated partners</w:t>
      </w:r>
      <w:r w:rsidR="00256D01">
        <w:rPr>
          <w:szCs w:val="22"/>
        </w:rPr>
        <w:t xml:space="preserve"> and </w:t>
      </w:r>
      <w:r w:rsidR="00256D01" w:rsidRPr="00256D01">
        <w:rPr>
          <w:b/>
          <w:color w:val="222222"/>
          <w:szCs w:val="22"/>
          <w:shd w:val="clear" w:color="auto" w:fill="FFFFFF"/>
          <w:lang w:eastAsia="en-US"/>
        </w:rPr>
        <w:t>Number of resource centres offering federated cloud services accessible to authorised users</w:t>
      </w:r>
      <w:r w:rsidR="00256D01">
        <w:rPr>
          <w:szCs w:val="22"/>
        </w:rPr>
        <w:t>)</w:t>
      </w:r>
      <w:r>
        <w:rPr>
          <w:szCs w:val="22"/>
        </w:rPr>
        <w:t xml:space="preserve">, with an achieved value of 361 </w:t>
      </w:r>
      <w:proofErr w:type="spellStart"/>
      <w:r>
        <w:rPr>
          <w:szCs w:val="22"/>
        </w:rPr>
        <w:t>vs</w:t>
      </w:r>
      <w:proofErr w:type="spellEnd"/>
      <w:r>
        <w:rPr>
          <w:szCs w:val="22"/>
        </w:rPr>
        <w:t xml:space="preserve"> a stretched target of 355 is thanks to the operational integration of e-Infrastructures from the Africa-Arabian region and in particular to the rolling into production of the EGI Federated Cloud infrastructures, which, with its 15 cloud providers, completed its preparatory phase in PQ16.</w:t>
      </w:r>
    </w:p>
    <w:p w14:paraId="46F749EB" w14:textId="29494B7E" w:rsidR="00534989" w:rsidRPr="00534989" w:rsidRDefault="00534989" w:rsidP="006847BD">
      <w:pPr>
        <w:rPr>
          <w:szCs w:val="22"/>
        </w:rPr>
      </w:pPr>
      <w:r>
        <w:rPr>
          <w:szCs w:val="22"/>
        </w:rPr>
        <w:t xml:space="preserve">The new project metric </w:t>
      </w:r>
      <w:r w:rsidRPr="00534989">
        <w:rPr>
          <w:b/>
          <w:szCs w:val="22"/>
        </w:rPr>
        <w:t>Total number of High Activity VOs</w:t>
      </w:r>
      <w:r>
        <w:rPr>
          <w:szCs w:val="22"/>
        </w:rPr>
        <w:t xml:space="preserve"> exceeded its yearly target of 65 (</w:t>
      </w:r>
      <w:r w:rsidRPr="00534989">
        <w:rPr>
          <w:szCs w:val="22"/>
        </w:rPr>
        <w:t>Achieved: 67, Stretch target: 65</w:t>
      </w:r>
      <w:r>
        <w:rPr>
          <w:szCs w:val="22"/>
        </w:rPr>
        <w:t xml:space="preserve">). The high activity VOs is an indication of the number of national and international collaborations that are active users of the </w:t>
      </w:r>
      <w:r w:rsidR="006847BD">
        <w:rPr>
          <w:szCs w:val="22"/>
        </w:rPr>
        <w:t>infrastructure,</w:t>
      </w:r>
      <w:r>
        <w:rPr>
          <w:szCs w:val="22"/>
        </w:rPr>
        <w:t xml:space="preserve"> either </w:t>
      </w:r>
      <w:r w:rsidR="006847BD">
        <w:rPr>
          <w:szCs w:val="22"/>
        </w:rPr>
        <w:t xml:space="preserve">with long-term sustained computing workloads or with short terms ones (as it typically happens for the long-tail of research) with peaks of utilization over one or more weeks. As many new user communities are often added to existing VOs, what matters is that the total number is sustained over time. An increase in absolute terms is desirable, but a steady value is already good performance result. </w:t>
      </w:r>
    </w:p>
    <w:p w14:paraId="656F5FC3" w14:textId="3493CDE1" w:rsidR="006847BD" w:rsidRDefault="006847BD" w:rsidP="00086FC2">
      <w:r>
        <w:rPr>
          <w:lang w:eastAsia="en-US"/>
        </w:rPr>
        <w:t xml:space="preserve">A new metric introduced in PY4 is the </w:t>
      </w:r>
      <w:r w:rsidR="009E7B33" w:rsidRPr="006847BD">
        <w:rPr>
          <w:b/>
        </w:rPr>
        <w:t>Number of on-going Research Infrastructures/new communities being integrated</w:t>
      </w:r>
      <w:r>
        <w:t xml:space="preserve"> (</w:t>
      </w:r>
      <w:r w:rsidR="009E7B33" w:rsidRPr="006847BD">
        <w:t>Achieved: 11, Target: 5</w:t>
      </w:r>
      <w:r>
        <w:t>). This new project metric is very important to capture the performance of the user support teams in their community engagement activities. Bringing international user communities to e-Infrastructures is a lengthy process due to young status of many RIs that are part of ESFRI, to the need to approach these communities with a coordinated pan-European strategy, and due to heterogeneous set of requirements within a single collaboration.</w:t>
      </w:r>
    </w:p>
    <w:p w14:paraId="51D4A513" w14:textId="50C272D1" w:rsidR="009E7B33" w:rsidRDefault="006847BD" w:rsidP="00086FC2">
      <w:r>
        <w:t>Especially for large Research Infrastructures that are still in their design phase or just about to start the implementation phase, the success of an engagement activity cannot be measured by simply looking at accounting data. The PY4 performan</w:t>
      </w:r>
      <w:r w:rsidR="00256D01">
        <w:t>ce indicates that a lot of resources were allocated in PY4 to structurally approach Research Infrastructures of European relevance. Five of these ESFRIs are already experimenting EGI services and registered a Virtual Organization. For the remaining 6 the engagement process is still in the initial technical support stage.</w:t>
      </w:r>
    </w:p>
    <w:p w14:paraId="7BA60367" w14:textId="138C5DC0" w:rsidR="00086FC2" w:rsidRDefault="00086FC2" w:rsidP="00086FC2">
      <w:r>
        <w:t xml:space="preserve">As of PY4 the operations infrastructure is fully equipped to record the percentage of computational resources that are used from abroad by researchers of a different country, as well as to track how many resources in a different country are being made available to researchers from abroad. The </w:t>
      </w:r>
      <w:r w:rsidRPr="00086FC2">
        <w:rPr>
          <w:b/>
        </w:rPr>
        <w:t>Percentage of transnational usage</w:t>
      </w:r>
      <w:r>
        <w:rPr>
          <w:b/>
        </w:rPr>
        <w:t xml:space="preserve"> </w:t>
      </w:r>
      <w:r>
        <w:t xml:space="preserve">indicates the percentage of foreign resources (CPU normalized </w:t>
      </w:r>
      <w:r>
        <w:lastRenderedPageBreak/>
        <w:t xml:space="preserve">wall time hours) used by users of a given country aggregated across the whole of EGI. While not a project metric, it is reported </w:t>
      </w:r>
      <w:proofErr w:type="gramStart"/>
      <w:r>
        <w:t>here</w:t>
      </w:r>
      <w:proofErr w:type="gramEnd"/>
      <w:r>
        <w:t xml:space="preserve"> as it is an indicator of how EGI contributes to overcome the “insufficient European-level pooling and sharing of resources and scarcity of resources” that was identified by the EC as an issue</w:t>
      </w:r>
      <w:r>
        <w:rPr>
          <w:rStyle w:val="FootnoteReference"/>
        </w:rPr>
        <w:footnoteReference w:id="20"/>
      </w:r>
      <w:r>
        <w:t xml:space="preserve">. Values are now available from the EGI accounting portal. In the last 12 months the EGI averaged percentage amounted to the considerable value of 28% </w:t>
      </w:r>
      <w:r w:rsidR="001071AE">
        <w:t>across the whole of EGI. The resource application and allocation process and tool (e-GRANT</w:t>
      </w:r>
      <w:r w:rsidR="003F2118">
        <w:rPr>
          <w:rStyle w:val="FootnoteReference"/>
        </w:rPr>
        <w:footnoteReference w:id="21"/>
      </w:r>
      <w:r w:rsidR="001071AE">
        <w:t xml:space="preserve">) that were implemented in PY4 will contribute to increase this value to a PY5 target of </w:t>
      </w:r>
      <w:r>
        <w:t>35%</w:t>
      </w:r>
      <w:r w:rsidR="001071AE">
        <w:t>. However structural problems for pan-European procurement of resources and of the lack of mechanisms for claiming the costs of transnational access of e-Infrastructures need to be addressed to allow the current indicator to significantly increase.</w:t>
      </w:r>
      <w:r w:rsidR="00710235">
        <w:t xml:space="preserve"> The percentage of transnational usage allowed by EGI is very high in various large countries of EGI, as indicated in the map below.</w:t>
      </w:r>
    </w:p>
    <w:p w14:paraId="5FFE340D" w14:textId="77777777" w:rsidR="00A903B4" w:rsidRDefault="00A903B4" w:rsidP="00086FC2"/>
    <w:p w14:paraId="7029ED95" w14:textId="6C585237" w:rsidR="00710235" w:rsidRDefault="00A903B4" w:rsidP="00086FC2">
      <w:r>
        <w:rPr>
          <w:noProof/>
          <w:lang w:val="en-US" w:eastAsia="en-US"/>
        </w:rPr>
        <w:drawing>
          <wp:inline distT="0" distB="0" distL="0" distR="0" wp14:anchorId="1356F0BC" wp14:editId="7C40E0D5">
            <wp:extent cx="5755640" cy="4150995"/>
            <wp:effectExtent l="0" t="0" r="1016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19 at 11.19.25 AM.png"/>
                    <pic:cNvPicPr/>
                  </pic:nvPicPr>
                  <pic:blipFill>
                    <a:blip r:embed="rId26">
                      <a:extLst>
                        <a:ext uri="{28A0092B-C50C-407E-A947-70E740481C1C}">
                          <a14:useLocalDpi xmlns:a14="http://schemas.microsoft.com/office/drawing/2010/main" val="0"/>
                        </a:ext>
                      </a:extLst>
                    </a:blip>
                    <a:stretch>
                      <a:fillRect/>
                    </a:stretch>
                  </pic:blipFill>
                  <pic:spPr>
                    <a:xfrm>
                      <a:off x="0" y="0"/>
                      <a:ext cx="5755640" cy="4150995"/>
                    </a:xfrm>
                    <a:prstGeom prst="rect">
                      <a:avLst/>
                    </a:prstGeom>
                  </pic:spPr>
                </pic:pic>
              </a:graphicData>
            </a:graphic>
          </wp:inline>
        </w:drawing>
      </w:r>
    </w:p>
    <w:p w14:paraId="68C50090" w14:textId="60B8B2AC" w:rsidR="00AC667C" w:rsidRDefault="00AC667C" w:rsidP="00AC667C">
      <w:pPr>
        <w:pStyle w:val="Caption"/>
        <w:jc w:val="center"/>
      </w:pPr>
      <w:proofErr w:type="gramStart"/>
      <w:r>
        <w:t xml:space="preserve">Figure </w:t>
      </w:r>
      <w:proofErr w:type="gramEnd"/>
      <w:r w:rsidR="00660750">
        <w:fldChar w:fldCharType="begin"/>
      </w:r>
      <w:r w:rsidR="00660750">
        <w:instrText xml:space="preserve"> SEQ Figure \* ARABIC </w:instrText>
      </w:r>
      <w:r w:rsidR="00660750">
        <w:fldChar w:fldCharType="separate"/>
      </w:r>
      <w:r w:rsidR="00660750">
        <w:rPr>
          <w:noProof/>
        </w:rPr>
        <w:t>1</w:t>
      </w:r>
      <w:r w:rsidR="00660750">
        <w:rPr>
          <w:noProof/>
        </w:rPr>
        <w:fldChar w:fldCharType="end"/>
      </w:r>
      <w:proofErr w:type="gramStart"/>
      <w:r>
        <w:t>.</w:t>
      </w:r>
      <w:proofErr w:type="gramEnd"/>
      <w:r>
        <w:t xml:space="preserve"> </w:t>
      </w:r>
      <w:proofErr w:type="gramStart"/>
      <w:r>
        <w:t>Percentage of transnational resource usage in each country.</w:t>
      </w:r>
      <w:proofErr w:type="gramEnd"/>
      <w:r>
        <w:t xml:space="preserve"> The percentage indicates the relative amount of resources from abroad used by the researchers from a given country. Information is extracted from the accounting portal. Association of users to countries is based on the Certification </w:t>
      </w:r>
      <w:proofErr w:type="gramStart"/>
      <w:r>
        <w:t>Authority which</w:t>
      </w:r>
      <w:proofErr w:type="gramEnd"/>
      <w:r>
        <w:t xml:space="preserve"> released the user certificate.</w:t>
      </w:r>
    </w:p>
    <w:p w14:paraId="5F3541DC" w14:textId="77777777" w:rsidR="00710235" w:rsidRDefault="00710235" w:rsidP="00086FC2"/>
    <w:p w14:paraId="37142C6C" w14:textId="510F7BBF" w:rsidR="00585B83" w:rsidRPr="00086FC2" w:rsidRDefault="00585B83" w:rsidP="00086FC2">
      <w:r>
        <w:rPr>
          <w:szCs w:val="22"/>
        </w:rPr>
        <w:lastRenderedPageBreak/>
        <w:t xml:space="preserve">The </w:t>
      </w:r>
      <w:r w:rsidRPr="00585B83">
        <w:rPr>
          <w:b/>
          <w:szCs w:val="22"/>
        </w:rPr>
        <w:t>Number of papers from EGI Users</w:t>
      </w:r>
      <w:r>
        <w:rPr>
          <w:szCs w:val="22"/>
        </w:rPr>
        <w:t xml:space="preserve"> indicated in this table only reports on what is provided as information in the quarterly reports. </w:t>
      </w:r>
      <w:proofErr w:type="gramStart"/>
      <w:r>
        <w:rPr>
          <w:szCs w:val="22"/>
        </w:rPr>
        <w:t>A wealth of user-orientated publications are</w:t>
      </w:r>
      <w:proofErr w:type="gramEnd"/>
      <w:r>
        <w:rPr>
          <w:szCs w:val="22"/>
        </w:rPr>
        <w:t xml:space="preserve"> not counted in these. The PY1-PY4 total number of EGI papers with DOI exceeds 2,000, and the estimated value for the calendar year 2013 exceeds 400. The collaboration with </w:t>
      </w:r>
      <w:proofErr w:type="spellStart"/>
      <w:r>
        <w:rPr>
          <w:szCs w:val="22"/>
        </w:rPr>
        <w:t>OpenAIRE</w:t>
      </w:r>
      <w:proofErr w:type="spellEnd"/>
      <w:r>
        <w:rPr>
          <w:szCs w:val="22"/>
        </w:rPr>
        <w:t xml:space="preserve"> will continue in PY5 to allow for an easier tracking of papers related to e-Infrastructures. </w:t>
      </w:r>
    </w:p>
    <w:p w14:paraId="311CEA79" w14:textId="41577DA1" w:rsidR="00A87289" w:rsidRDefault="00A87289" w:rsidP="00A87289">
      <w:r>
        <w:t xml:space="preserve">By the end of PY4 </w:t>
      </w:r>
      <w:r>
        <w:t xml:space="preserve">the </w:t>
      </w:r>
      <w:r>
        <w:t>following communities are in</w:t>
      </w:r>
      <w:r>
        <w:t xml:space="preserve"> an</w:t>
      </w:r>
      <w:r>
        <w:t xml:space="preserve"> on-going process of integration: </w:t>
      </w:r>
      <w:r w:rsidRPr="002A1923">
        <w:t>EISCAT, C</w:t>
      </w:r>
      <w:r>
        <w:t xml:space="preserve">TA, </w:t>
      </w:r>
      <w:r w:rsidRPr="008C50EC">
        <w:t>DRIHM</w:t>
      </w:r>
      <w:r>
        <w:t xml:space="preserve">, </w:t>
      </w:r>
      <w:proofErr w:type="spellStart"/>
      <w:r>
        <w:t>Lifewatch</w:t>
      </w:r>
      <w:proofErr w:type="spellEnd"/>
      <w:r>
        <w:t>,</w:t>
      </w:r>
      <w:r w:rsidRPr="002A1923">
        <w:t xml:space="preserve"> ENVRI, DCH</w:t>
      </w:r>
      <w:r>
        <w:t>-</w:t>
      </w:r>
      <w:r w:rsidRPr="002A1923">
        <w:t>RP</w:t>
      </w:r>
      <w:r>
        <w:t xml:space="preserve">, EMSO, ICOS, VERCE, </w:t>
      </w:r>
      <w:proofErr w:type="spellStart"/>
      <w:r>
        <w:t>WeNMR</w:t>
      </w:r>
      <w:proofErr w:type="spellEnd"/>
      <w:r>
        <w:t xml:space="preserve"> and ESA. The increase is </w:t>
      </w:r>
      <w:r>
        <w:t>driven by the integration of</w:t>
      </w:r>
      <w:r>
        <w:t xml:space="preserve"> cloud resources into </w:t>
      </w:r>
      <w:r>
        <w:t>the production infrastructure and the variety of use cases that his service provisioning mechanism offers.</w:t>
      </w:r>
      <w:r>
        <w:t xml:space="preserve"> </w:t>
      </w:r>
    </w:p>
    <w:p w14:paraId="3D5BFD6C" w14:textId="53E7CDE6" w:rsidR="00A87289" w:rsidRDefault="00A87289" w:rsidP="00A87289">
      <w:r>
        <w:t xml:space="preserve">The status and plans regarding integration for each of the communities </w:t>
      </w:r>
      <w:r>
        <w:t>are as follows:</w:t>
      </w:r>
    </w:p>
    <w:p w14:paraId="0D15ED6E" w14:textId="77777777" w:rsidR="00A87289" w:rsidRDefault="00A87289" w:rsidP="00A87289">
      <w:pPr>
        <w:spacing w:before="60" w:after="240"/>
      </w:pPr>
      <w:proofErr w:type="spellStart"/>
      <w:r w:rsidRPr="00870220">
        <w:rPr>
          <w:b/>
        </w:rPr>
        <w:t>WeNMR</w:t>
      </w:r>
      <w:proofErr w:type="spellEnd"/>
      <w:r w:rsidRPr="008D5382">
        <w:t xml:space="preserve">: The objective of </w:t>
      </w:r>
      <w:proofErr w:type="spellStart"/>
      <w:r w:rsidRPr="008D5382">
        <w:t>WeNMR</w:t>
      </w:r>
      <w:proofErr w:type="spellEnd"/>
      <w:r w:rsidRPr="008D5382">
        <w:t xml:space="preserve"> is to optimize and extend the use of the NMR and SAXS research infrastructures through the implementation of an e-infrastructure in order to provide the user community with a platform integrating and streamlining the computational approaches necessary for NMR and SAXS data ana</w:t>
      </w:r>
      <w:r>
        <w:t>lysis and structural modelling.</w:t>
      </w:r>
    </w:p>
    <w:p w14:paraId="1D425C98" w14:textId="77777777" w:rsidR="00A87289" w:rsidRPr="008C50EC" w:rsidRDefault="00A87289" w:rsidP="00A87289">
      <w:pPr>
        <w:spacing w:before="60" w:after="240"/>
      </w:pPr>
      <w:r w:rsidRPr="00EB0BDA">
        <w:rPr>
          <w:b/>
        </w:rPr>
        <w:t>ICOS</w:t>
      </w:r>
      <w:r>
        <w:rPr>
          <w:b/>
        </w:rPr>
        <w:t xml:space="preserve"> (</w:t>
      </w:r>
      <w:r w:rsidRPr="008C50EC">
        <w:t>Natural Science</w:t>
      </w:r>
      <w:r>
        <w:rPr>
          <w:b/>
        </w:rPr>
        <w:t>)</w:t>
      </w:r>
      <w:r w:rsidRPr="008D5382">
        <w:t>: During a face-to-face meeting between the ICOS Director General and the representatives of EGI.eu and a few NGIs (CZ, FR, PL, FI) initial topics for collaboration have been discussed, and it was agreed that these will be documented in a short document that will serve as a basis of scoping jo</w:t>
      </w:r>
      <w:r>
        <w:t xml:space="preserve">int work between ICOS and EGI. </w:t>
      </w:r>
    </w:p>
    <w:p w14:paraId="15E6FF93" w14:textId="77777777" w:rsidR="00A87289" w:rsidRDefault="00A87289" w:rsidP="00A87289">
      <w:r>
        <w:rPr>
          <w:b/>
        </w:rPr>
        <w:t xml:space="preserve">CTA </w:t>
      </w:r>
      <w:r>
        <w:t>(</w:t>
      </w:r>
      <w:r w:rsidRPr="008C50EC">
        <w:t>Natural Science</w:t>
      </w:r>
      <w:r>
        <w:t xml:space="preserve">; </w:t>
      </w:r>
      <w:r w:rsidRPr="008C50EC">
        <w:t>Physical sciences</w:t>
      </w:r>
      <w:r>
        <w:t>)</w:t>
      </w:r>
      <w:r>
        <w:rPr>
          <w:b/>
        </w:rPr>
        <w:t>:</w:t>
      </w:r>
      <w:r w:rsidRPr="008D5382">
        <w:t xml:space="preserve"> Technology study for the Cherenkov Telescope Array ESFRI: The Virtual Team project was closed during </w:t>
      </w:r>
      <w:r>
        <w:t>Project Quarter 15</w:t>
      </w:r>
      <w:r>
        <w:rPr>
          <w:rStyle w:val="FootnoteReference"/>
        </w:rPr>
        <w:footnoteReference w:id="22"/>
      </w:r>
      <w:r>
        <w:t xml:space="preserve"> (PQ15)</w:t>
      </w:r>
      <w:r w:rsidRPr="008D5382">
        <w:t xml:space="preserve">. The output was a technical recommendation for CTA about the integration of the WS-PGRADE and </w:t>
      </w:r>
      <w:proofErr w:type="spellStart"/>
      <w:r w:rsidRPr="008D5382">
        <w:t>In</w:t>
      </w:r>
      <w:r>
        <w:t>SilicoLab</w:t>
      </w:r>
      <w:proofErr w:type="spellEnd"/>
      <w:r>
        <w:t xml:space="preserve"> technologies.</w:t>
      </w:r>
      <w:r w:rsidRPr="008D5382">
        <w:t xml:space="preserve"> The technological integration </w:t>
      </w:r>
      <w:r>
        <w:t>is estimated to</w:t>
      </w:r>
      <w:r w:rsidRPr="008D5382">
        <w:t xml:space="preserve"> require about 2PM effort and then the members would setup a central CTA gateway based on the integrated package. Once setup, the central CTA gateway would be promoted for the CTA community to gather applications and scientific workflows that </w:t>
      </w:r>
      <w:r>
        <w:t>can serve the broader community, and would generate more specific</w:t>
      </w:r>
      <w:r w:rsidRPr="008D5382">
        <w:t xml:space="preserve"> requirements for the ‘CTA Very High Energy gamma-ray Science Gateway’. </w:t>
      </w:r>
      <w:r>
        <w:t>The integration and development of the gateway started in April 2014 outside of the Virtual Team project, but based on the technological recommendations of the VT.</w:t>
      </w:r>
    </w:p>
    <w:p w14:paraId="192504CF" w14:textId="295C5AA7" w:rsidR="00A87289" w:rsidRPr="008D5382" w:rsidRDefault="00A87289" w:rsidP="00A87289">
      <w:pPr>
        <w:spacing w:before="60" w:after="240"/>
      </w:pPr>
      <w:r w:rsidRPr="00A36AE6">
        <w:rPr>
          <w:b/>
        </w:rPr>
        <w:t>EGI-DRIHM</w:t>
      </w:r>
      <w:r w:rsidRPr="008D5382">
        <w:t xml:space="preserve"> </w:t>
      </w:r>
      <w:r>
        <w:rPr>
          <w:b/>
        </w:rPr>
        <w:t>(</w:t>
      </w:r>
      <w:r w:rsidRPr="008C50EC">
        <w:t>Natural Science</w:t>
      </w:r>
      <w:r>
        <w:t xml:space="preserve">; </w:t>
      </w:r>
      <w:r w:rsidRPr="008C50EC">
        <w:t>Earth sciences</w:t>
      </w:r>
      <w:r>
        <w:rPr>
          <w:b/>
        </w:rPr>
        <w:t xml:space="preserve">) </w:t>
      </w:r>
      <w:r w:rsidRPr="008D5382">
        <w:t>collaboration: The collaboration was established with the DRIHM project to setup a web based science gateway for the hydrometeorology community and enable them to run simulation workflows using resources from the European Grid Infrastructure as well as from other sources, particularly PRACE and ‘local sites’. The collaboration made good progress during the year, and had successful demonstration at the DRIHM annual EC meeting, as well as at other events. The collaboration continues until the end of the D</w:t>
      </w:r>
      <w:r>
        <w:t>RIHM project, and will focus on the i</w:t>
      </w:r>
      <w:r w:rsidRPr="008D5382">
        <w:t>ntegration of Windows based simulations with the EGI Federated Cloud</w:t>
      </w:r>
      <w:r>
        <w:t>, the d</w:t>
      </w:r>
      <w:r w:rsidRPr="008D5382">
        <w:t>evelopment of new workflow applications</w:t>
      </w:r>
      <w:r>
        <w:t>, d</w:t>
      </w:r>
      <w:r w:rsidRPr="008D5382">
        <w:t>evelopment of community-specific GUIs for the workflows</w:t>
      </w:r>
      <w:r>
        <w:t xml:space="preserve">, the assessment of </w:t>
      </w:r>
      <w:r w:rsidRPr="008D5382">
        <w:t xml:space="preserve">the portability of </w:t>
      </w:r>
      <w:r>
        <w:t>the current</w:t>
      </w:r>
      <w:r w:rsidRPr="008D5382">
        <w:t xml:space="preserve"> PRACE-based models to EGI given that the PRACE allocation that DRIHM currently receives</w:t>
      </w:r>
      <w:r>
        <w:t>,</w:t>
      </w:r>
      <w:r w:rsidRPr="008D5382">
        <w:t xml:space="preserve"> will expire at the end of 2014.</w:t>
      </w:r>
    </w:p>
    <w:p w14:paraId="3C3642C8" w14:textId="77777777" w:rsidR="00A87289" w:rsidRDefault="00A87289" w:rsidP="00A87289">
      <w:pPr>
        <w:spacing w:before="60" w:after="240"/>
      </w:pPr>
      <w:proofErr w:type="spellStart"/>
      <w:r w:rsidRPr="008C50EC">
        <w:rPr>
          <w:b/>
        </w:rPr>
        <w:t>LifeWatch</w:t>
      </w:r>
      <w:proofErr w:type="spellEnd"/>
      <w:r>
        <w:rPr>
          <w:b/>
        </w:rPr>
        <w:t xml:space="preserve"> (</w:t>
      </w:r>
      <w:r>
        <w:t>Natural Science; Biodiversity conservation</w:t>
      </w:r>
      <w:r>
        <w:rPr>
          <w:b/>
        </w:rPr>
        <w:t>)</w:t>
      </w:r>
      <w:r w:rsidRPr="008D5382">
        <w:t xml:space="preserve">: EGI.eu participated in a </w:t>
      </w:r>
      <w:proofErr w:type="spellStart"/>
      <w:r w:rsidRPr="008D5382">
        <w:t>LifeWatch</w:t>
      </w:r>
      <w:proofErr w:type="spellEnd"/>
      <w:r w:rsidRPr="008D5382">
        <w:t xml:space="preserve"> ESFRI RI Operational meeting in Feb. 2014. EGI solutions were presented and </w:t>
      </w:r>
      <w:proofErr w:type="gramStart"/>
      <w:r w:rsidRPr="008D5382">
        <w:t xml:space="preserve">a set of objectives to be </w:t>
      </w:r>
      <w:r w:rsidRPr="008D5382">
        <w:lastRenderedPageBreak/>
        <w:t>implemented inside the Virtual Team framework were</w:t>
      </w:r>
      <w:proofErr w:type="gramEnd"/>
      <w:r w:rsidRPr="008D5382">
        <w:t xml:space="preserve"> delineated. It is currently under consideration of </w:t>
      </w:r>
      <w:proofErr w:type="spellStart"/>
      <w:r w:rsidRPr="008D5382">
        <w:t>LifeWatch</w:t>
      </w:r>
      <w:proofErr w:type="spellEnd"/>
      <w:r w:rsidRPr="008D5382">
        <w:t xml:space="preserve">. </w:t>
      </w:r>
    </w:p>
    <w:p w14:paraId="08ACB45F" w14:textId="77777777" w:rsidR="00A87289" w:rsidRDefault="00A87289" w:rsidP="00A87289">
      <w:pPr>
        <w:spacing w:before="60" w:after="240"/>
      </w:pPr>
      <w:r w:rsidRPr="008D5382">
        <w:t xml:space="preserve">ENVRI Study Case with </w:t>
      </w:r>
      <w:r w:rsidRPr="0066443B">
        <w:rPr>
          <w:b/>
        </w:rPr>
        <w:t>EISCAT_3D</w:t>
      </w:r>
      <w:r>
        <w:rPr>
          <w:b/>
        </w:rPr>
        <w:t xml:space="preserve"> </w:t>
      </w:r>
      <w:r>
        <w:t>(</w:t>
      </w:r>
      <w:r w:rsidRPr="008C50EC">
        <w:t>Natural Science</w:t>
      </w:r>
      <w:r>
        <w:t xml:space="preserve">; </w:t>
      </w:r>
      <w:r w:rsidRPr="008C50EC">
        <w:t>Physical sciences</w:t>
      </w:r>
      <w:r>
        <w:t>)</w:t>
      </w:r>
      <w:r w:rsidRPr="008D5382">
        <w:t xml:space="preserve">: During the reporting period the project worked with the ENVRI project to define and implement a proof of concept system for the EISCAT_3D ESFRI to help them define a big data system. </w:t>
      </w:r>
      <w:proofErr w:type="gramStart"/>
      <w:r w:rsidRPr="008D5382">
        <w:t>The proof of concept system made ~2TB historical data set from earlier observations sharable, searchable and downloadable for the community through metadata.</w:t>
      </w:r>
      <w:proofErr w:type="gramEnd"/>
      <w:r w:rsidRPr="008D5382">
        <w:t xml:space="preserve"> The proof of concept is based on the EGI Federated Cloud (as storage) and the Open Source Geospatial Catalogue as a catalogue and web frontend. The setup was successfully demonstrated to EISCAT_3D and ENVRI representatives in February 2014, and discussions about the scale-up and extension of this system for the start of the EISCAT_3D production state are currently </w:t>
      </w:r>
      <w:proofErr w:type="gramStart"/>
      <w:r w:rsidRPr="008D5382">
        <w:t>on-going</w:t>
      </w:r>
      <w:proofErr w:type="gramEnd"/>
      <w:r w:rsidRPr="008D5382">
        <w:t>.  </w:t>
      </w:r>
    </w:p>
    <w:p w14:paraId="64905F73" w14:textId="77777777" w:rsidR="00A87289" w:rsidRPr="008D5382" w:rsidRDefault="00A87289" w:rsidP="00A87289">
      <w:pPr>
        <w:spacing w:before="60" w:after="240"/>
      </w:pPr>
      <w:r w:rsidRPr="008D5382">
        <w:t xml:space="preserve">The </w:t>
      </w:r>
      <w:r w:rsidRPr="0066443B">
        <w:rPr>
          <w:b/>
        </w:rPr>
        <w:t>ENVRI</w:t>
      </w:r>
      <w:r>
        <w:rPr>
          <w:b/>
        </w:rPr>
        <w:t xml:space="preserve"> (</w:t>
      </w:r>
      <w:r w:rsidRPr="008C50EC">
        <w:t>Natural Science</w:t>
      </w:r>
      <w:r>
        <w:rPr>
          <w:b/>
        </w:rPr>
        <w:t>)</w:t>
      </w:r>
      <w:r w:rsidRPr="008D5382">
        <w:t xml:space="preserve"> target is on developing common capabilities including software and services of the environmental and e-infrastructure communities. While the ENVRI infrastructures are very diverse, they face common challenges including data capture from distributed sensors, metadata standardization, </w:t>
      </w:r>
      <w:proofErr w:type="gramStart"/>
      <w:r w:rsidRPr="008D5382">
        <w:t>management</w:t>
      </w:r>
      <w:proofErr w:type="gramEnd"/>
      <w:r w:rsidRPr="008D5382">
        <w:t xml:space="preserve"> of high volume data, workflow execution and data visualization. The common standards, deployable services and tools developed will be adopted by each infrastructure as it progresses through its construction phase. In the context of the ENVRI project, the EGI Federated Cloud will host data access and dissemination service on the Federated Cloud Storage as a Service and provide computing resources to ENVRI processing services via the EGI Federated Cloud </w:t>
      </w:r>
      <w:proofErr w:type="spellStart"/>
      <w:r w:rsidRPr="008D5382">
        <w:t>IaaS</w:t>
      </w:r>
      <w:proofErr w:type="spellEnd"/>
      <w:r w:rsidRPr="008D5382">
        <w:t xml:space="preserve"> service. The objective is to offer to the ENVRI partners a reliable, flexible and easy to use system to perform data discovery and dissemination and to support computing services.</w:t>
      </w:r>
    </w:p>
    <w:p w14:paraId="11AAAECC" w14:textId="77777777" w:rsidR="00A87289" w:rsidRPr="008D5382" w:rsidRDefault="00A87289" w:rsidP="00A87289">
      <w:pPr>
        <w:spacing w:before="60" w:after="240"/>
      </w:pPr>
      <w:r w:rsidRPr="008D5382">
        <w:t xml:space="preserve">The </w:t>
      </w:r>
      <w:r w:rsidRPr="00A36AE6">
        <w:rPr>
          <w:b/>
        </w:rPr>
        <w:t>DCH-RP</w:t>
      </w:r>
      <w:r>
        <w:rPr>
          <w:b/>
        </w:rPr>
        <w:t xml:space="preserve"> (</w:t>
      </w:r>
      <w:r w:rsidRPr="008C50EC">
        <w:t>Humanities</w:t>
      </w:r>
      <w:r>
        <w:rPr>
          <w:b/>
        </w:rPr>
        <w:t>)</w:t>
      </w:r>
      <w:r w:rsidRPr="008D5382">
        <w:t xml:space="preserve"> project is willing to run data preservation serv</w:t>
      </w:r>
      <w:r>
        <w:t>ices on the EGI Federated Cloud.</w:t>
      </w:r>
    </w:p>
    <w:p w14:paraId="5C0090CA" w14:textId="77777777" w:rsidR="00A87289" w:rsidRDefault="00A87289" w:rsidP="00A87289">
      <w:r w:rsidRPr="006844CC">
        <w:rPr>
          <w:b/>
        </w:rPr>
        <w:t>EMSO</w:t>
      </w:r>
      <w:r>
        <w:rPr>
          <w:b/>
        </w:rPr>
        <w:t xml:space="preserve"> (</w:t>
      </w:r>
      <w:r w:rsidRPr="008C50EC">
        <w:t>Natural Science</w:t>
      </w:r>
      <w:r>
        <w:rPr>
          <w:b/>
        </w:rPr>
        <w:t>)</w:t>
      </w:r>
      <w:r w:rsidRPr="008D5382">
        <w:t xml:space="preserve">: EGI.eu invited EMSO ESFRI RI managerial team for a meeting, where current ESFRI status was discussed and willingness to explore EGI services portfolio assessed. </w:t>
      </w:r>
      <w:proofErr w:type="gramStart"/>
      <w:r w:rsidRPr="008D5382">
        <w:t>A set of pertinent requirements by the ESFRI were</w:t>
      </w:r>
      <w:proofErr w:type="gramEnd"/>
      <w:r w:rsidRPr="008D5382">
        <w:t xml:space="preserve"> captured and are under discussion</w:t>
      </w:r>
      <w:r>
        <w:t>.</w:t>
      </w:r>
    </w:p>
    <w:p w14:paraId="570E93EE" w14:textId="77777777" w:rsidR="00A87289" w:rsidRDefault="00A87289" w:rsidP="00A87289">
      <w:pPr>
        <w:spacing w:before="60" w:after="240"/>
        <w:rPr>
          <w:b/>
        </w:rPr>
      </w:pPr>
    </w:p>
    <w:p w14:paraId="1CBF7691" w14:textId="77777777" w:rsidR="00A87289" w:rsidRPr="008D5382" w:rsidRDefault="00A87289" w:rsidP="00A87289">
      <w:pPr>
        <w:spacing w:before="60" w:after="240"/>
      </w:pPr>
      <w:r w:rsidRPr="00A36AE6">
        <w:rPr>
          <w:b/>
        </w:rPr>
        <w:t>VERCE</w:t>
      </w:r>
      <w:r>
        <w:rPr>
          <w:b/>
        </w:rPr>
        <w:t xml:space="preserve"> (</w:t>
      </w:r>
      <w:r w:rsidRPr="008C50EC">
        <w:t>Natural Science</w:t>
      </w:r>
      <w:r>
        <w:t xml:space="preserve">; </w:t>
      </w:r>
      <w:r w:rsidRPr="008C50EC">
        <w:t>Earth sciences</w:t>
      </w:r>
      <w:r>
        <w:rPr>
          <w:b/>
        </w:rPr>
        <w:t>)</w:t>
      </w:r>
      <w:r w:rsidRPr="008D5382">
        <w:t>: Earthquake and seismology research addresses fundamental problems in understanding the Earth's internal wave sources and properties, thereby aiding society in the management of natural hazards, energy resources, environmental changes, and national security. VERCE is supporting this effort by developing a data-intensive e-science environment to enable innovative data analysis and data modelling methods that fully exploit the increasing wealth of open data generated by the observational and monitoring systems of the global seismology community.</w:t>
      </w:r>
    </w:p>
    <w:p w14:paraId="509196C3" w14:textId="654DF470" w:rsidR="00F11DD9" w:rsidRPr="00A87289" w:rsidRDefault="00A87289" w:rsidP="00A87289">
      <w:pPr>
        <w:spacing w:before="60" w:after="240"/>
      </w:pPr>
      <w:r w:rsidRPr="00A36AE6">
        <w:rPr>
          <w:b/>
        </w:rPr>
        <w:t>European Space Agency</w:t>
      </w:r>
      <w:r>
        <w:rPr>
          <w:b/>
        </w:rPr>
        <w:t xml:space="preserve"> </w:t>
      </w:r>
      <w:r>
        <w:t>(</w:t>
      </w:r>
      <w:r w:rsidRPr="008C50EC">
        <w:t>Natural Science</w:t>
      </w:r>
      <w:r>
        <w:t xml:space="preserve">; </w:t>
      </w:r>
      <w:r w:rsidRPr="008C50EC">
        <w:t>Physical sciences</w:t>
      </w:r>
      <w:r>
        <w:t>)</w:t>
      </w:r>
      <w:r w:rsidRPr="008D5382">
        <w:t xml:space="preserve">: in the context of the Helix Nebula initiative, the European Space Agency organized a Proof of Concept using EGI Federated Cloud resources. The objective is to prove the interoperability between commercial (Helix Nebula) and academic (EGI Federated Cloud) cloud providers and to prove the possibility to provide processing </w:t>
      </w:r>
      <w:r w:rsidRPr="008D5382">
        <w:lastRenderedPageBreak/>
        <w:t xml:space="preserve">services to scientists using the Federated Cloud </w:t>
      </w:r>
      <w:proofErr w:type="spellStart"/>
      <w:r w:rsidRPr="008D5382">
        <w:t>IaaS</w:t>
      </w:r>
      <w:proofErr w:type="spellEnd"/>
      <w:r w:rsidRPr="008D5382">
        <w:t xml:space="preserve"> system. ESA target is volcano and earthquake monitoring in the context of the </w:t>
      </w:r>
      <w:proofErr w:type="spellStart"/>
      <w:r w:rsidRPr="008D5382">
        <w:t>SuperSites</w:t>
      </w:r>
      <w:proofErr w:type="spellEnd"/>
      <w:r w:rsidRPr="008D5382">
        <w:t xml:space="preserve"> Exploitation Platform project</w:t>
      </w:r>
      <w:r w:rsidRPr="008D5382">
        <w:rPr>
          <w:rStyle w:val="FootnoteReference"/>
        </w:rPr>
        <w:footnoteReference w:id="23"/>
      </w:r>
      <w:r>
        <w:t>.</w:t>
      </w:r>
    </w:p>
    <w:p w14:paraId="7C518896" w14:textId="325EB2FF" w:rsidR="00F11DD9" w:rsidRPr="00672E24" w:rsidRDefault="00086FC2" w:rsidP="00141B22">
      <w:pPr>
        <w:pStyle w:val="Heading2"/>
      </w:pPr>
      <w:bookmarkStart w:id="45" w:name="_Toc264803499"/>
      <w:r>
        <w:t>PY1-PY4 Performance</w:t>
      </w:r>
      <w:bookmarkEnd w:id="45"/>
    </w:p>
    <w:p w14:paraId="5EF1D9DA" w14:textId="77777777" w:rsidR="00F11DD9" w:rsidRPr="00672E24" w:rsidRDefault="00F11DD9" w:rsidP="00F11DD9">
      <w:pPr>
        <w:tabs>
          <w:tab w:val="left" w:pos="2096"/>
        </w:tabs>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899"/>
        <w:gridCol w:w="1260"/>
        <w:gridCol w:w="1260"/>
        <w:gridCol w:w="1170"/>
        <w:gridCol w:w="1260"/>
      </w:tblGrid>
      <w:tr w:rsidR="00C46DC1" w:rsidRPr="00672E24" w14:paraId="0523EBB8" w14:textId="77777777" w:rsidTr="00C46DC1">
        <w:tc>
          <w:tcPr>
            <w:tcW w:w="675" w:type="dxa"/>
            <w:tcBorders>
              <w:top w:val="single" w:sz="4" w:space="0" w:color="auto"/>
              <w:left w:val="single" w:sz="4" w:space="0" w:color="auto"/>
              <w:bottom w:val="single" w:sz="4" w:space="0" w:color="auto"/>
              <w:right w:val="single" w:sz="4" w:space="0" w:color="auto"/>
            </w:tcBorders>
          </w:tcPr>
          <w:p w14:paraId="7F3F67AB" w14:textId="77777777" w:rsidR="00C46DC1" w:rsidRPr="00672E24" w:rsidRDefault="00C46DC1" w:rsidP="00232D69">
            <w:r w:rsidRPr="00672E24">
              <w:t>No</w:t>
            </w:r>
          </w:p>
        </w:tc>
        <w:tc>
          <w:tcPr>
            <w:tcW w:w="1134" w:type="dxa"/>
            <w:tcBorders>
              <w:top w:val="single" w:sz="4" w:space="0" w:color="auto"/>
              <w:left w:val="single" w:sz="4" w:space="0" w:color="auto"/>
              <w:bottom w:val="single" w:sz="4" w:space="0" w:color="auto"/>
              <w:right w:val="single" w:sz="4" w:space="0" w:color="auto"/>
            </w:tcBorders>
          </w:tcPr>
          <w:p w14:paraId="3E790568" w14:textId="77777777" w:rsidR="00C46DC1" w:rsidRPr="00672E24" w:rsidRDefault="00C46DC1" w:rsidP="00232D69">
            <w:r w:rsidRPr="00672E24">
              <w:t>Objective Summary</w:t>
            </w:r>
          </w:p>
        </w:tc>
        <w:tc>
          <w:tcPr>
            <w:tcW w:w="1899" w:type="dxa"/>
            <w:tcBorders>
              <w:top w:val="single" w:sz="4" w:space="0" w:color="auto"/>
              <w:left w:val="single" w:sz="4" w:space="0" w:color="auto"/>
              <w:bottom w:val="single" w:sz="4" w:space="0" w:color="auto"/>
              <w:right w:val="single" w:sz="4" w:space="0" w:color="auto"/>
            </w:tcBorders>
          </w:tcPr>
          <w:p w14:paraId="43D12B0B" w14:textId="77777777" w:rsidR="00C46DC1" w:rsidRPr="00672E24" w:rsidRDefault="00C46DC1" w:rsidP="00232D69">
            <w:r w:rsidRPr="00672E24">
              <w:t>Metrics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B9B0776" w14:textId="77777777" w:rsidR="00C46DC1" w:rsidRDefault="00C46DC1" w:rsidP="00232D69">
            <w:pPr>
              <w:jc w:val="center"/>
            </w:pPr>
            <w:r w:rsidRPr="00672E24">
              <w:t>Achieved</w:t>
            </w:r>
            <w:r>
              <w:t>/</w:t>
            </w:r>
          </w:p>
          <w:p w14:paraId="543F8C34" w14:textId="357A17AE" w:rsidR="00C46DC1" w:rsidRPr="00672E24" w:rsidRDefault="00C46DC1" w:rsidP="00232D69">
            <w:pPr>
              <w:jc w:val="center"/>
            </w:pPr>
            <w:r>
              <w:t>Target</w:t>
            </w:r>
            <w:r w:rsidRPr="00672E24">
              <w:t xml:space="preserve"> </w:t>
            </w:r>
            <w:r w:rsidRPr="00672E24">
              <w:br/>
              <w:t>PY1 (PQ4)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EB3193" w14:textId="77777777" w:rsidR="00C46DC1" w:rsidRDefault="00C46DC1" w:rsidP="00C46DC1">
            <w:pPr>
              <w:jc w:val="center"/>
            </w:pPr>
            <w:r w:rsidRPr="00672E24">
              <w:t>Achieved</w:t>
            </w:r>
            <w:r>
              <w:t>/</w:t>
            </w:r>
          </w:p>
          <w:p w14:paraId="29904727" w14:textId="04D99332" w:rsidR="00C46DC1" w:rsidRPr="00672E24" w:rsidRDefault="00C46DC1" w:rsidP="00C46DC1">
            <w:pPr>
              <w:jc w:val="center"/>
            </w:pPr>
            <w:r>
              <w:t>Target</w:t>
            </w:r>
            <w:r w:rsidRPr="00672E24">
              <w:t xml:space="preserve"> </w:t>
            </w:r>
            <w:r w:rsidRPr="00672E24">
              <w:br/>
              <w:t>PY2</w:t>
            </w:r>
            <w:r>
              <w:t xml:space="preserve"> </w:t>
            </w:r>
            <w:r w:rsidRPr="00672E24">
              <w:t>(PQ8)</w:t>
            </w:r>
          </w:p>
        </w:tc>
        <w:tc>
          <w:tcPr>
            <w:tcW w:w="1170" w:type="dxa"/>
            <w:tcBorders>
              <w:top w:val="single" w:sz="4" w:space="0" w:color="auto"/>
              <w:left w:val="single" w:sz="4" w:space="0" w:color="auto"/>
              <w:bottom w:val="single" w:sz="4" w:space="0" w:color="auto"/>
              <w:right w:val="single" w:sz="4" w:space="0" w:color="auto"/>
            </w:tcBorders>
          </w:tcPr>
          <w:p w14:paraId="29F0A0E2" w14:textId="77777777" w:rsidR="00C46DC1" w:rsidRDefault="00C46DC1" w:rsidP="00C46DC1">
            <w:pPr>
              <w:jc w:val="center"/>
            </w:pPr>
            <w:r w:rsidRPr="003F2118">
              <w:t>Achieved/</w:t>
            </w:r>
          </w:p>
          <w:p w14:paraId="72EF0AA5" w14:textId="5D0AF99C" w:rsidR="00C46DC1" w:rsidRPr="00C46DC1" w:rsidRDefault="00C46DC1" w:rsidP="00C46DC1">
            <w:pPr>
              <w:jc w:val="center"/>
            </w:pPr>
            <w:r w:rsidRPr="003F2118">
              <w:t xml:space="preserve">Target </w:t>
            </w:r>
            <w:proofErr w:type="gramStart"/>
            <w:r w:rsidRPr="003F2118">
              <w:t>PY3(</w:t>
            </w:r>
            <w:proofErr w:type="gramEnd"/>
            <w:r w:rsidRPr="003F2118">
              <w:t>PQ12</w:t>
            </w:r>
            <w:r w:rsidRPr="00672E24">
              <w:rPr>
                <w:b/>
              </w:rPr>
              <w:t>)</w:t>
            </w:r>
          </w:p>
        </w:tc>
        <w:tc>
          <w:tcPr>
            <w:tcW w:w="1260" w:type="dxa"/>
            <w:tcBorders>
              <w:top w:val="single" w:sz="4" w:space="0" w:color="auto"/>
              <w:left w:val="single" w:sz="4" w:space="0" w:color="auto"/>
              <w:bottom w:val="single" w:sz="4" w:space="0" w:color="auto"/>
              <w:right w:val="single" w:sz="4" w:space="0" w:color="auto"/>
            </w:tcBorders>
          </w:tcPr>
          <w:p w14:paraId="3B71976F" w14:textId="0ADE542F" w:rsidR="00C46DC1" w:rsidRPr="00672E24" w:rsidRDefault="00C46DC1" w:rsidP="00232D69">
            <w:pPr>
              <w:jc w:val="center"/>
              <w:rPr>
                <w:b/>
              </w:rPr>
            </w:pPr>
            <w:r w:rsidRPr="00672E24">
              <w:rPr>
                <w:b/>
              </w:rPr>
              <w:t>Achieved</w:t>
            </w:r>
            <w:r>
              <w:rPr>
                <w:b/>
              </w:rPr>
              <w:t>/Target</w:t>
            </w:r>
            <w:r w:rsidRPr="00672E24">
              <w:rPr>
                <w:b/>
              </w:rPr>
              <w:t xml:space="preserve"> PY4</w:t>
            </w:r>
          </w:p>
          <w:p w14:paraId="0FCB4BB4" w14:textId="77777777" w:rsidR="00C46DC1" w:rsidRPr="00672E24" w:rsidRDefault="00C46DC1" w:rsidP="00232D69">
            <w:pPr>
              <w:jc w:val="center"/>
              <w:rPr>
                <w:b/>
              </w:rPr>
            </w:pPr>
            <w:r w:rsidRPr="00672E24">
              <w:rPr>
                <w:b/>
              </w:rPr>
              <w:t>(PQ16)</w:t>
            </w:r>
          </w:p>
        </w:tc>
      </w:tr>
      <w:tr w:rsidR="00C46DC1" w:rsidRPr="00672E24" w14:paraId="416E53E8" w14:textId="77777777" w:rsidTr="00C46DC1">
        <w:tc>
          <w:tcPr>
            <w:tcW w:w="675" w:type="dxa"/>
            <w:vMerge w:val="restart"/>
            <w:tcBorders>
              <w:top w:val="single" w:sz="4" w:space="0" w:color="auto"/>
              <w:left w:val="single" w:sz="4" w:space="0" w:color="auto"/>
              <w:right w:val="single" w:sz="4" w:space="0" w:color="auto"/>
            </w:tcBorders>
          </w:tcPr>
          <w:p w14:paraId="4E16B594" w14:textId="77777777" w:rsidR="00C46DC1" w:rsidRPr="00672E24" w:rsidRDefault="00C46DC1" w:rsidP="00232D69">
            <w:r w:rsidRPr="00672E24">
              <w:t>PO1</w:t>
            </w:r>
          </w:p>
        </w:tc>
        <w:tc>
          <w:tcPr>
            <w:tcW w:w="1134" w:type="dxa"/>
            <w:vMerge w:val="restart"/>
            <w:tcBorders>
              <w:top w:val="single" w:sz="4" w:space="0" w:color="auto"/>
              <w:left w:val="single" w:sz="4" w:space="0" w:color="auto"/>
              <w:right w:val="single" w:sz="4" w:space="0" w:color="auto"/>
            </w:tcBorders>
          </w:tcPr>
          <w:p w14:paraId="5840D065" w14:textId="77777777" w:rsidR="00C46DC1" w:rsidRPr="00672E24" w:rsidRDefault="00C46DC1" w:rsidP="00232D69">
            <w:r w:rsidRPr="00672E24">
              <w:t>Expansion of a nationally based production infrastructure</w:t>
            </w:r>
          </w:p>
        </w:tc>
        <w:tc>
          <w:tcPr>
            <w:tcW w:w="1899" w:type="dxa"/>
            <w:tcBorders>
              <w:top w:val="single" w:sz="4" w:space="0" w:color="auto"/>
              <w:left w:val="single" w:sz="4" w:space="0" w:color="auto"/>
              <w:bottom w:val="single" w:sz="4" w:space="0" w:color="auto"/>
              <w:right w:val="single" w:sz="4" w:space="0" w:color="auto"/>
            </w:tcBorders>
          </w:tcPr>
          <w:p w14:paraId="4987A688" w14:textId="77777777" w:rsidR="00C46DC1" w:rsidRPr="00672E24" w:rsidRDefault="00C46DC1" w:rsidP="00C46DC1">
            <w:pPr>
              <w:jc w:val="left"/>
            </w:pPr>
            <w:r w:rsidRPr="00672E24">
              <w:t>Number of resource centres in EGI-</w:t>
            </w:r>
            <w:proofErr w:type="spellStart"/>
            <w:r w:rsidRPr="00672E24">
              <w:t>InSPIRE</w:t>
            </w:r>
            <w:proofErr w:type="spellEnd"/>
            <w:r w:rsidRPr="00672E24">
              <w:t xml:space="preserve"> and integrated partners (M.SA1.Size.1)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2F67F33" w14:textId="77777777" w:rsidR="00C46DC1" w:rsidRDefault="00C46DC1" w:rsidP="00232D69">
            <w:r w:rsidRPr="00672E24">
              <w:t>344</w:t>
            </w:r>
            <w:r>
              <w:t>/</w:t>
            </w:r>
          </w:p>
          <w:p w14:paraId="1EEBD3B8" w14:textId="157A8F63" w:rsidR="00C46DC1" w:rsidRPr="00672E24" w:rsidRDefault="00C46DC1" w:rsidP="00232D69">
            <w:r>
              <w:t>300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9DB83DC" w14:textId="77777777" w:rsidR="00C46DC1" w:rsidRDefault="00C46DC1" w:rsidP="00232D69">
            <w:r w:rsidRPr="00672E24">
              <w:t>347</w:t>
            </w:r>
            <w:r>
              <w:t>/</w:t>
            </w:r>
          </w:p>
          <w:p w14:paraId="428CAEC5" w14:textId="155E5FEC" w:rsidR="00C46DC1" w:rsidRPr="00672E24" w:rsidRDefault="00C46DC1" w:rsidP="00232D69">
            <w:r>
              <w:t>330</w:t>
            </w:r>
          </w:p>
        </w:tc>
        <w:tc>
          <w:tcPr>
            <w:tcW w:w="1170" w:type="dxa"/>
            <w:tcBorders>
              <w:top w:val="single" w:sz="4" w:space="0" w:color="auto"/>
              <w:left w:val="single" w:sz="4" w:space="0" w:color="auto"/>
              <w:bottom w:val="single" w:sz="4" w:space="0" w:color="auto"/>
              <w:right w:val="single" w:sz="4" w:space="0" w:color="auto"/>
            </w:tcBorders>
          </w:tcPr>
          <w:p w14:paraId="2B5F6713" w14:textId="77777777" w:rsidR="00C46DC1" w:rsidRDefault="00C46DC1" w:rsidP="003F2118">
            <w:r w:rsidRPr="00672E24">
              <w:t>347</w:t>
            </w:r>
            <w:r>
              <w:t>/</w:t>
            </w:r>
          </w:p>
          <w:p w14:paraId="43AF2D66" w14:textId="06020E9C" w:rsidR="00C46DC1" w:rsidRPr="00672E24" w:rsidRDefault="00C46DC1" w:rsidP="003F2118">
            <w:r w:rsidRPr="00672E24">
              <w:t>350</w:t>
            </w:r>
            <w:r w:rsidRPr="00672E24">
              <w:br/>
              <w:t>(355)</w:t>
            </w:r>
          </w:p>
          <w:p w14:paraId="00AC10E2" w14:textId="326D6F9B" w:rsidR="00C46DC1" w:rsidRPr="00672E24" w:rsidRDefault="00C46DC1" w:rsidP="003F2118">
            <w:r w:rsidRPr="00672E24">
              <w:t>(355)</w:t>
            </w:r>
          </w:p>
        </w:tc>
        <w:tc>
          <w:tcPr>
            <w:tcW w:w="1260" w:type="dxa"/>
            <w:tcBorders>
              <w:top w:val="single" w:sz="4" w:space="0" w:color="auto"/>
              <w:left w:val="single" w:sz="4" w:space="0" w:color="auto"/>
              <w:bottom w:val="single" w:sz="4" w:space="0" w:color="auto"/>
              <w:right w:val="single" w:sz="4" w:space="0" w:color="auto"/>
            </w:tcBorders>
          </w:tcPr>
          <w:p w14:paraId="0E5035AA" w14:textId="77777777" w:rsidR="00C46DC1" w:rsidRDefault="00C46DC1" w:rsidP="00232D69">
            <w:r>
              <w:t>361/</w:t>
            </w:r>
          </w:p>
          <w:p w14:paraId="2875D358" w14:textId="77777777" w:rsidR="00C46DC1" w:rsidRPr="00672E24" w:rsidRDefault="00C46DC1" w:rsidP="00C46DC1">
            <w:r w:rsidRPr="00672E24">
              <w:t>345</w:t>
            </w:r>
          </w:p>
          <w:p w14:paraId="4B3998D5" w14:textId="77777777" w:rsidR="00C46DC1" w:rsidRPr="00672E24" w:rsidRDefault="00C46DC1" w:rsidP="00C46DC1">
            <w:r w:rsidRPr="00672E24">
              <w:t>(350)</w:t>
            </w:r>
          </w:p>
          <w:p w14:paraId="7F53804F" w14:textId="7BA8F041" w:rsidR="00C46DC1" w:rsidRPr="00672E24" w:rsidRDefault="00C46DC1" w:rsidP="00C46DC1">
            <w:r w:rsidRPr="00672E24">
              <w:t>(355)</w:t>
            </w:r>
          </w:p>
        </w:tc>
      </w:tr>
      <w:tr w:rsidR="00C46DC1" w:rsidRPr="00672E24" w14:paraId="7285DF17" w14:textId="77777777" w:rsidTr="00C46DC1">
        <w:tc>
          <w:tcPr>
            <w:tcW w:w="675" w:type="dxa"/>
            <w:vMerge/>
            <w:tcBorders>
              <w:left w:val="single" w:sz="4" w:space="0" w:color="auto"/>
              <w:right w:val="single" w:sz="4" w:space="0" w:color="auto"/>
            </w:tcBorders>
          </w:tcPr>
          <w:p w14:paraId="4095B2D7" w14:textId="77777777" w:rsidR="00C46DC1" w:rsidRPr="00672E24" w:rsidRDefault="00C46DC1" w:rsidP="00232D69"/>
        </w:tc>
        <w:tc>
          <w:tcPr>
            <w:tcW w:w="1134" w:type="dxa"/>
            <w:vMerge/>
            <w:tcBorders>
              <w:left w:val="single" w:sz="4" w:space="0" w:color="auto"/>
              <w:right w:val="single" w:sz="4" w:space="0" w:color="auto"/>
            </w:tcBorders>
          </w:tcPr>
          <w:p w14:paraId="49FAA77D"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2FF847E5" w14:textId="77777777" w:rsidR="00C46DC1" w:rsidRPr="00672E24" w:rsidRDefault="00C46DC1" w:rsidP="00C46DC1">
            <w:pPr>
              <w:jc w:val="left"/>
            </w:pPr>
            <w:r w:rsidRPr="00672E24">
              <w:t>Number of job slots available in EGI-</w:t>
            </w:r>
            <w:proofErr w:type="spellStart"/>
            <w:r w:rsidRPr="00672E24">
              <w:t>InSPIRE</w:t>
            </w:r>
            <w:proofErr w:type="spellEnd"/>
            <w:r w:rsidRPr="00672E24">
              <w:t xml:space="preserve"> and integrated partners (M.SA1.Size.2)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CCD016" w14:textId="77777777" w:rsidR="00C46DC1" w:rsidRDefault="00C46DC1" w:rsidP="00232D69">
            <w:r w:rsidRPr="00672E24">
              <w:t>239,895</w:t>
            </w:r>
            <w:r>
              <w:t>/</w:t>
            </w:r>
          </w:p>
          <w:p w14:paraId="7D607187" w14:textId="7157D54C" w:rsidR="00C46DC1" w:rsidRPr="00672E24" w:rsidRDefault="00C46DC1" w:rsidP="00232D69">
            <w:r>
              <w:t>200,000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092A1C5" w14:textId="77777777" w:rsidR="00C46DC1" w:rsidRDefault="00C46DC1" w:rsidP="00232D69">
            <w:r w:rsidRPr="00672E24">
              <w:t>290,300</w:t>
            </w:r>
            <w:r>
              <w:t>/</w:t>
            </w:r>
          </w:p>
          <w:p w14:paraId="7ACCBE31" w14:textId="7454F5E1" w:rsidR="00C46DC1" w:rsidRPr="00672E24" w:rsidRDefault="00C46DC1" w:rsidP="00232D69">
            <w:r>
              <w:t>250,000</w:t>
            </w:r>
          </w:p>
        </w:tc>
        <w:tc>
          <w:tcPr>
            <w:tcW w:w="1170" w:type="dxa"/>
            <w:tcBorders>
              <w:top w:val="single" w:sz="4" w:space="0" w:color="auto"/>
              <w:left w:val="single" w:sz="4" w:space="0" w:color="auto"/>
              <w:bottom w:val="single" w:sz="4" w:space="0" w:color="auto"/>
              <w:right w:val="single" w:sz="4" w:space="0" w:color="auto"/>
            </w:tcBorders>
          </w:tcPr>
          <w:p w14:paraId="7A53ED30" w14:textId="77777777" w:rsidR="00C46DC1" w:rsidRDefault="00C46DC1" w:rsidP="00232D69">
            <w:r w:rsidRPr="00672E24">
              <w:t>361,287</w:t>
            </w:r>
            <w:r>
              <w:t>/</w:t>
            </w:r>
          </w:p>
          <w:p w14:paraId="399298D7" w14:textId="77777777" w:rsidR="00C46DC1" w:rsidRPr="00672E24" w:rsidRDefault="00C46DC1" w:rsidP="00F600A5">
            <w:r w:rsidRPr="00672E24">
              <w:t>300,000</w:t>
            </w:r>
          </w:p>
          <w:p w14:paraId="47FE4633" w14:textId="77777777" w:rsidR="00C46DC1" w:rsidRPr="00672E24" w:rsidRDefault="00C46DC1" w:rsidP="00F600A5">
            <w:r w:rsidRPr="00672E24">
              <w:t>(325,000)</w:t>
            </w:r>
          </w:p>
          <w:p w14:paraId="01EEF5FE" w14:textId="00D7E10E" w:rsidR="00C46DC1" w:rsidRPr="00672E24" w:rsidRDefault="00C46DC1" w:rsidP="00F600A5">
            <w:r w:rsidRPr="00672E24">
              <w:t>(333,000)</w:t>
            </w:r>
          </w:p>
        </w:tc>
        <w:tc>
          <w:tcPr>
            <w:tcW w:w="1260" w:type="dxa"/>
            <w:tcBorders>
              <w:top w:val="single" w:sz="4" w:space="0" w:color="auto"/>
              <w:left w:val="single" w:sz="4" w:space="0" w:color="auto"/>
              <w:bottom w:val="single" w:sz="4" w:space="0" w:color="auto"/>
              <w:right w:val="single" w:sz="4" w:space="0" w:color="auto"/>
            </w:tcBorders>
          </w:tcPr>
          <w:p w14:paraId="1B15D564" w14:textId="5D40C57F" w:rsidR="00C46DC1" w:rsidRDefault="00585B83" w:rsidP="00232D69">
            <w:r>
              <w:t>487,577</w:t>
            </w:r>
            <w:r w:rsidR="00C46DC1">
              <w:t>/</w:t>
            </w:r>
          </w:p>
          <w:p w14:paraId="31CDF123" w14:textId="77777777" w:rsidR="00C46DC1" w:rsidRPr="00672E24" w:rsidRDefault="00C46DC1" w:rsidP="00C46DC1">
            <w:r w:rsidRPr="00672E24">
              <w:t>400,000 (425,000)</w:t>
            </w:r>
          </w:p>
          <w:p w14:paraId="7234E6C4" w14:textId="44A88E67" w:rsidR="00C46DC1" w:rsidRPr="00672E24" w:rsidRDefault="00C46DC1" w:rsidP="00C46DC1">
            <w:r w:rsidRPr="00672E24">
              <w:t>(450,000)</w:t>
            </w:r>
          </w:p>
        </w:tc>
      </w:tr>
      <w:tr w:rsidR="00C46DC1" w:rsidRPr="00672E24" w14:paraId="62AFE217" w14:textId="77777777" w:rsidTr="00C46DC1">
        <w:tc>
          <w:tcPr>
            <w:tcW w:w="675" w:type="dxa"/>
            <w:vMerge/>
            <w:tcBorders>
              <w:left w:val="single" w:sz="4" w:space="0" w:color="auto"/>
              <w:right w:val="single" w:sz="4" w:space="0" w:color="auto"/>
            </w:tcBorders>
          </w:tcPr>
          <w:p w14:paraId="14CC7928" w14:textId="2FA826D6" w:rsidR="00C46DC1" w:rsidRPr="00672E24" w:rsidRDefault="00C46DC1" w:rsidP="00232D69"/>
        </w:tc>
        <w:tc>
          <w:tcPr>
            <w:tcW w:w="1134" w:type="dxa"/>
            <w:vMerge/>
            <w:tcBorders>
              <w:left w:val="single" w:sz="4" w:space="0" w:color="auto"/>
              <w:right w:val="single" w:sz="4" w:space="0" w:color="auto"/>
            </w:tcBorders>
          </w:tcPr>
          <w:p w14:paraId="0350BA7E"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4B0F27C6" w14:textId="77777777" w:rsidR="00C46DC1" w:rsidRPr="00672E24" w:rsidRDefault="00C46DC1" w:rsidP="00C46DC1">
            <w:pPr>
              <w:jc w:val="left"/>
            </w:pPr>
            <w:r w:rsidRPr="00672E24">
              <w:t>Reliability of resource centre functional services (M.SA1.Operation.5)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9EC7BC" w14:textId="77777777" w:rsidR="00C46DC1" w:rsidRDefault="00C46DC1" w:rsidP="00232D69">
            <w:r w:rsidRPr="00672E24">
              <w:t>94.6%</w:t>
            </w:r>
            <w:r>
              <w:t>/</w:t>
            </w:r>
          </w:p>
          <w:p w14:paraId="01619A5E" w14:textId="53614C57" w:rsidR="00C46DC1" w:rsidRPr="00672E24" w:rsidRDefault="00C46DC1" w:rsidP="00232D69">
            <w:r>
              <w:t>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69A77B" w14:textId="77777777" w:rsidR="00C46DC1" w:rsidRDefault="00C46DC1" w:rsidP="00232D69">
            <w:r w:rsidRPr="00672E24">
              <w:t>94.8%</w:t>
            </w:r>
            <w:r>
              <w:t>/</w:t>
            </w:r>
          </w:p>
          <w:p w14:paraId="7554F9F6" w14:textId="424B0581" w:rsidR="00C46DC1" w:rsidRPr="00672E24" w:rsidRDefault="00C46DC1" w:rsidP="00232D69">
            <w:r>
              <w:t>91%</w:t>
            </w:r>
          </w:p>
        </w:tc>
        <w:tc>
          <w:tcPr>
            <w:tcW w:w="1170" w:type="dxa"/>
            <w:tcBorders>
              <w:top w:val="single" w:sz="4" w:space="0" w:color="auto"/>
              <w:left w:val="single" w:sz="4" w:space="0" w:color="auto"/>
              <w:bottom w:val="single" w:sz="4" w:space="0" w:color="auto"/>
              <w:right w:val="single" w:sz="4" w:space="0" w:color="auto"/>
            </w:tcBorders>
          </w:tcPr>
          <w:p w14:paraId="0916CD1C" w14:textId="609A748A" w:rsidR="00C46DC1" w:rsidRDefault="00C46DC1" w:rsidP="00F600A5">
            <w:r w:rsidRPr="00672E24">
              <w:t>96.9%</w:t>
            </w:r>
            <w:r>
              <w:t>/</w:t>
            </w:r>
          </w:p>
          <w:p w14:paraId="04A92BA1" w14:textId="4AC7732D" w:rsidR="00C46DC1" w:rsidRPr="00672E24" w:rsidRDefault="00C46DC1" w:rsidP="00F600A5">
            <w:r w:rsidRPr="00672E24">
              <w:t>95%</w:t>
            </w:r>
          </w:p>
          <w:p w14:paraId="68FB8518" w14:textId="77777777" w:rsidR="00C46DC1" w:rsidRPr="00672E24" w:rsidRDefault="00C46DC1" w:rsidP="00F600A5">
            <w:r w:rsidRPr="00672E24">
              <w:t>(96%)</w:t>
            </w:r>
          </w:p>
          <w:p w14:paraId="74E19758" w14:textId="142DE01C" w:rsidR="00C46DC1" w:rsidRDefault="00C46DC1" w:rsidP="00F600A5">
            <w:r w:rsidRPr="00672E24">
              <w:t>(97%)</w:t>
            </w:r>
          </w:p>
          <w:p w14:paraId="6D78C0E3" w14:textId="77777777" w:rsidR="00C46DC1" w:rsidRPr="00672E24" w:rsidRDefault="00C46DC1" w:rsidP="00232D69"/>
        </w:tc>
        <w:tc>
          <w:tcPr>
            <w:tcW w:w="1260" w:type="dxa"/>
            <w:tcBorders>
              <w:top w:val="single" w:sz="4" w:space="0" w:color="auto"/>
              <w:left w:val="single" w:sz="4" w:space="0" w:color="auto"/>
              <w:bottom w:val="single" w:sz="4" w:space="0" w:color="auto"/>
              <w:right w:val="single" w:sz="4" w:space="0" w:color="auto"/>
            </w:tcBorders>
          </w:tcPr>
          <w:p w14:paraId="116BD239" w14:textId="77777777" w:rsidR="00C46DC1" w:rsidRDefault="00C46DC1" w:rsidP="00232D69">
            <w:r w:rsidRPr="00A12E2B">
              <w:t>96.42%</w:t>
            </w:r>
            <w:r>
              <w:t>/</w:t>
            </w:r>
          </w:p>
          <w:p w14:paraId="19E6808F" w14:textId="77777777" w:rsidR="00C46DC1" w:rsidRPr="00672E24" w:rsidRDefault="00C46DC1" w:rsidP="00C46DC1">
            <w:r w:rsidRPr="00672E24">
              <w:t>97/97.5%</w:t>
            </w:r>
          </w:p>
          <w:p w14:paraId="3ADEA399" w14:textId="77777777" w:rsidR="00C46DC1" w:rsidRPr="00672E24" w:rsidRDefault="00C46DC1" w:rsidP="00C46DC1">
            <w:r w:rsidRPr="00672E24">
              <w:t>(97.5/98%)</w:t>
            </w:r>
          </w:p>
          <w:p w14:paraId="73175F4C" w14:textId="0A370086" w:rsidR="00C46DC1" w:rsidRPr="00A12E2B" w:rsidRDefault="00C46DC1" w:rsidP="00C46DC1">
            <w:r w:rsidRPr="00672E24">
              <w:t>(98/98.5%)</w:t>
            </w:r>
          </w:p>
        </w:tc>
      </w:tr>
      <w:tr w:rsidR="00C46DC1" w:rsidRPr="00672E24" w14:paraId="302B2728" w14:textId="77777777" w:rsidTr="00C46DC1">
        <w:tc>
          <w:tcPr>
            <w:tcW w:w="675" w:type="dxa"/>
            <w:vMerge/>
            <w:tcBorders>
              <w:left w:val="single" w:sz="4" w:space="0" w:color="auto"/>
              <w:right w:val="single" w:sz="4" w:space="0" w:color="auto"/>
            </w:tcBorders>
          </w:tcPr>
          <w:p w14:paraId="10817363" w14:textId="706C8F26" w:rsidR="00C46DC1" w:rsidRPr="00672E24" w:rsidRDefault="00C46DC1" w:rsidP="00232D69"/>
        </w:tc>
        <w:tc>
          <w:tcPr>
            <w:tcW w:w="1134" w:type="dxa"/>
            <w:vMerge/>
            <w:tcBorders>
              <w:left w:val="single" w:sz="4" w:space="0" w:color="auto"/>
              <w:right w:val="single" w:sz="4" w:space="0" w:color="auto"/>
            </w:tcBorders>
          </w:tcPr>
          <w:p w14:paraId="51344713"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5D9780E3" w14:textId="77777777" w:rsidR="00C46DC1" w:rsidRPr="00672E24" w:rsidRDefault="00C46DC1" w:rsidP="00C46DC1">
            <w:pPr>
              <w:jc w:val="left"/>
            </w:pPr>
            <w:r w:rsidRPr="00672E24">
              <w:t>Reliability of NGI functional services (MSA1.Operations.4)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7EAEC76" w14:textId="77777777" w:rsidR="00C46DC1" w:rsidRPr="00672E24" w:rsidRDefault="00C46DC1" w:rsidP="00232D69">
            <w:r w:rsidRPr="00672E24">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BCBE4F" w14:textId="77777777" w:rsidR="00C46DC1" w:rsidRPr="00672E24" w:rsidRDefault="00C46DC1" w:rsidP="00232D69">
            <w:r w:rsidRPr="00672E24">
              <w:t>N/A</w:t>
            </w:r>
          </w:p>
        </w:tc>
        <w:tc>
          <w:tcPr>
            <w:tcW w:w="1170" w:type="dxa"/>
            <w:tcBorders>
              <w:top w:val="single" w:sz="4" w:space="0" w:color="auto"/>
              <w:left w:val="single" w:sz="4" w:space="0" w:color="auto"/>
              <w:bottom w:val="single" w:sz="4" w:space="0" w:color="auto"/>
              <w:right w:val="single" w:sz="4" w:space="0" w:color="auto"/>
            </w:tcBorders>
          </w:tcPr>
          <w:p w14:paraId="3EFB4559" w14:textId="77777777" w:rsidR="00C46DC1" w:rsidRDefault="00C46DC1" w:rsidP="00232D69">
            <w:r w:rsidRPr="00672E24">
              <w:t>99.5%</w:t>
            </w:r>
            <w:r>
              <w:t>/</w:t>
            </w:r>
          </w:p>
          <w:p w14:paraId="10B6CAF8" w14:textId="77777777" w:rsidR="00C46DC1" w:rsidRPr="00672E24" w:rsidRDefault="00C46DC1" w:rsidP="00F600A5">
            <w:r w:rsidRPr="00672E24">
              <w:t>97%</w:t>
            </w:r>
          </w:p>
          <w:p w14:paraId="4F95347B" w14:textId="77777777" w:rsidR="00C46DC1" w:rsidRPr="00672E24" w:rsidRDefault="00C46DC1" w:rsidP="00F600A5">
            <w:r w:rsidRPr="00672E24">
              <w:t>(98.5%)</w:t>
            </w:r>
          </w:p>
          <w:p w14:paraId="54B4DC6D" w14:textId="2A0B28DA" w:rsidR="00C46DC1" w:rsidRPr="00672E24" w:rsidRDefault="00C46DC1" w:rsidP="00F600A5">
            <w:r w:rsidRPr="00672E24">
              <w:t>(99%)</w:t>
            </w:r>
          </w:p>
        </w:tc>
        <w:tc>
          <w:tcPr>
            <w:tcW w:w="1260" w:type="dxa"/>
            <w:tcBorders>
              <w:top w:val="single" w:sz="4" w:space="0" w:color="auto"/>
              <w:left w:val="single" w:sz="4" w:space="0" w:color="auto"/>
              <w:bottom w:val="single" w:sz="4" w:space="0" w:color="auto"/>
              <w:right w:val="single" w:sz="4" w:space="0" w:color="auto"/>
            </w:tcBorders>
          </w:tcPr>
          <w:p w14:paraId="7B1BC348" w14:textId="77777777" w:rsidR="00C46DC1" w:rsidRDefault="00C46DC1" w:rsidP="00232D69">
            <w:r w:rsidRPr="00A12E2B">
              <w:t>99.63%</w:t>
            </w:r>
            <w:r>
              <w:t>/</w:t>
            </w:r>
          </w:p>
          <w:p w14:paraId="171D37C6" w14:textId="77777777" w:rsidR="00C46DC1" w:rsidRPr="00672E24" w:rsidRDefault="00C46DC1" w:rsidP="00C46DC1">
            <w:r w:rsidRPr="00672E24">
              <w:t>99.6/99.8%</w:t>
            </w:r>
          </w:p>
          <w:p w14:paraId="56F1584E" w14:textId="77777777" w:rsidR="00C46DC1" w:rsidRPr="00672E24" w:rsidRDefault="00C46DC1" w:rsidP="00C46DC1">
            <w:r w:rsidRPr="00672E24">
              <w:t>(99.65/99.85%)</w:t>
            </w:r>
          </w:p>
          <w:p w14:paraId="1351475B" w14:textId="03D59D14" w:rsidR="00C46DC1" w:rsidRPr="00A12E2B" w:rsidRDefault="00C46DC1" w:rsidP="00C46DC1">
            <w:r w:rsidRPr="00672E24">
              <w:t>(99.67/99.87%)</w:t>
            </w:r>
          </w:p>
        </w:tc>
      </w:tr>
      <w:tr w:rsidR="00C46DC1" w:rsidRPr="00672E24" w14:paraId="7659056A" w14:textId="77777777" w:rsidTr="00C46DC1">
        <w:tc>
          <w:tcPr>
            <w:tcW w:w="675" w:type="dxa"/>
            <w:vMerge/>
            <w:tcBorders>
              <w:left w:val="single" w:sz="4" w:space="0" w:color="auto"/>
              <w:right w:val="single" w:sz="4" w:space="0" w:color="auto"/>
            </w:tcBorders>
          </w:tcPr>
          <w:p w14:paraId="0289ECBF" w14:textId="731FA09B" w:rsidR="00C46DC1" w:rsidRPr="00672E24" w:rsidRDefault="00C46DC1" w:rsidP="00232D69"/>
        </w:tc>
        <w:tc>
          <w:tcPr>
            <w:tcW w:w="1134" w:type="dxa"/>
            <w:vMerge/>
            <w:tcBorders>
              <w:left w:val="single" w:sz="4" w:space="0" w:color="auto"/>
              <w:right w:val="single" w:sz="4" w:space="0" w:color="auto"/>
            </w:tcBorders>
          </w:tcPr>
          <w:p w14:paraId="004C0C3F"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007E6A7D" w14:textId="77777777" w:rsidR="00C46DC1" w:rsidRPr="00672E24" w:rsidRDefault="00C46DC1" w:rsidP="00C46DC1">
            <w:pPr>
              <w:jc w:val="left"/>
            </w:pPr>
            <w:r w:rsidRPr="00672E24">
              <w:t>Reliability of critical operations tools (MSA1.Operations.6a)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707880" w14:textId="77777777" w:rsidR="00C46DC1" w:rsidRPr="00672E24" w:rsidRDefault="00C46DC1" w:rsidP="00232D69">
            <w:r w:rsidRPr="00672E24">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9FB12F3" w14:textId="77777777" w:rsidR="00C46DC1" w:rsidRPr="00672E24" w:rsidRDefault="00C46DC1" w:rsidP="00232D69">
            <w:r w:rsidRPr="00672E24">
              <w:t>N/A</w:t>
            </w:r>
          </w:p>
        </w:tc>
        <w:tc>
          <w:tcPr>
            <w:tcW w:w="1170" w:type="dxa"/>
            <w:tcBorders>
              <w:top w:val="single" w:sz="4" w:space="0" w:color="auto"/>
              <w:left w:val="single" w:sz="4" w:space="0" w:color="auto"/>
              <w:bottom w:val="single" w:sz="4" w:space="0" w:color="auto"/>
              <w:right w:val="single" w:sz="4" w:space="0" w:color="auto"/>
            </w:tcBorders>
          </w:tcPr>
          <w:p w14:paraId="2075C141" w14:textId="77777777" w:rsidR="00C46DC1" w:rsidRDefault="00C46DC1" w:rsidP="00F600A5">
            <w:r w:rsidRPr="00672E24">
              <w:t>99.9%</w:t>
            </w:r>
            <w:r>
              <w:t>/</w:t>
            </w:r>
          </w:p>
          <w:p w14:paraId="6FE9E452" w14:textId="60839C66" w:rsidR="00C46DC1" w:rsidRPr="00672E24" w:rsidRDefault="00C46DC1" w:rsidP="00F600A5">
            <w:r w:rsidRPr="00672E24">
              <w:t>97%</w:t>
            </w:r>
          </w:p>
          <w:p w14:paraId="7AE923E8" w14:textId="77777777" w:rsidR="00C46DC1" w:rsidRPr="00672E24" w:rsidRDefault="00C46DC1" w:rsidP="00F600A5">
            <w:r w:rsidRPr="00672E24">
              <w:t>(98.5%)</w:t>
            </w:r>
          </w:p>
          <w:p w14:paraId="2189D363" w14:textId="5D1380E0" w:rsidR="00C46DC1" w:rsidRPr="00672E24" w:rsidRDefault="00C46DC1" w:rsidP="00F600A5">
            <w:r w:rsidRPr="00672E24">
              <w:t>(99%)</w:t>
            </w:r>
          </w:p>
        </w:tc>
        <w:tc>
          <w:tcPr>
            <w:tcW w:w="1260" w:type="dxa"/>
            <w:tcBorders>
              <w:top w:val="single" w:sz="4" w:space="0" w:color="auto"/>
              <w:left w:val="single" w:sz="4" w:space="0" w:color="auto"/>
              <w:bottom w:val="single" w:sz="4" w:space="0" w:color="auto"/>
              <w:right w:val="single" w:sz="4" w:space="0" w:color="auto"/>
            </w:tcBorders>
          </w:tcPr>
          <w:p w14:paraId="34F7BB98" w14:textId="77777777" w:rsidR="00C46DC1" w:rsidRDefault="00C46DC1" w:rsidP="00232D69">
            <w:r w:rsidRPr="00A12E2B">
              <w:t>99.10%</w:t>
            </w:r>
            <w:r>
              <w:t>/</w:t>
            </w:r>
          </w:p>
          <w:p w14:paraId="454F5DED" w14:textId="77777777" w:rsidR="00C46DC1" w:rsidRPr="00672E24" w:rsidRDefault="00C46DC1" w:rsidP="00C46DC1">
            <w:r w:rsidRPr="00672E24">
              <w:t>99.6/99.8%</w:t>
            </w:r>
          </w:p>
          <w:p w14:paraId="10D31A21" w14:textId="77777777" w:rsidR="00C46DC1" w:rsidRPr="00672E24" w:rsidRDefault="00C46DC1" w:rsidP="00C46DC1">
            <w:r w:rsidRPr="00672E24">
              <w:t>(99.65/99.85%)</w:t>
            </w:r>
          </w:p>
          <w:p w14:paraId="61EA58AE" w14:textId="0D9E0CFA" w:rsidR="00C46DC1" w:rsidRPr="00A12E2B" w:rsidRDefault="00C46DC1" w:rsidP="00C46DC1">
            <w:r w:rsidRPr="00672E24">
              <w:t>(99.67/99.87%)</w:t>
            </w:r>
          </w:p>
        </w:tc>
      </w:tr>
      <w:tr w:rsidR="00C46DC1" w:rsidRPr="00672E24" w14:paraId="2AAC2C5B" w14:textId="77777777" w:rsidTr="00C46DC1">
        <w:tc>
          <w:tcPr>
            <w:tcW w:w="675" w:type="dxa"/>
            <w:vMerge/>
            <w:tcBorders>
              <w:left w:val="single" w:sz="4" w:space="0" w:color="auto"/>
              <w:right w:val="single" w:sz="4" w:space="0" w:color="auto"/>
            </w:tcBorders>
          </w:tcPr>
          <w:p w14:paraId="5031BD86" w14:textId="1EE479F5" w:rsidR="00C46DC1" w:rsidRPr="00672E24" w:rsidRDefault="00C46DC1" w:rsidP="00232D69"/>
        </w:tc>
        <w:tc>
          <w:tcPr>
            <w:tcW w:w="1134" w:type="dxa"/>
            <w:vMerge/>
            <w:tcBorders>
              <w:left w:val="single" w:sz="4" w:space="0" w:color="auto"/>
              <w:right w:val="single" w:sz="4" w:space="0" w:color="auto"/>
            </w:tcBorders>
          </w:tcPr>
          <w:p w14:paraId="1F40AE00"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0F5FF432" w14:textId="77777777" w:rsidR="00C46DC1" w:rsidRPr="00672E24" w:rsidRDefault="00C46DC1" w:rsidP="00C46DC1">
            <w:pPr>
              <w:jc w:val="left"/>
            </w:pPr>
            <w:r w:rsidRPr="00672E24">
              <w:t xml:space="preserve">EGI monthly averaged VO </w:t>
            </w:r>
            <w:r w:rsidRPr="00672E24">
              <w:lastRenderedPageBreak/>
              <w:t>availability and reliability (M.SA1.Operation.7)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4DD1607" w14:textId="77777777" w:rsidR="00C46DC1" w:rsidRPr="00672E24" w:rsidRDefault="00C46DC1" w:rsidP="00232D69">
            <w:r w:rsidRPr="00672E24">
              <w:lastRenderedPageBreak/>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AA4F11" w14:textId="77777777" w:rsidR="00C46DC1" w:rsidRPr="00672E24" w:rsidRDefault="00C46DC1" w:rsidP="00232D69">
            <w:r w:rsidRPr="00672E24">
              <w:t>N/A</w:t>
            </w:r>
          </w:p>
        </w:tc>
        <w:tc>
          <w:tcPr>
            <w:tcW w:w="1170" w:type="dxa"/>
            <w:tcBorders>
              <w:top w:val="single" w:sz="4" w:space="0" w:color="auto"/>
              <w:left w:val="single" w:sz="4" w:space="0" w:color="auto"/>
              <w:bottom w:val="single" w:sz="4" w:space="0" w:color="auto"/>
              <w:right w:val="single" w:sz="4" w:space="0" w:color="auto"/>
            </w:tcBorders>
          </w:tcPr>
          <w:p w14:paraId="5EDD4B3F" w14:textId="77777777" w:rsidR="00C46DC1" w:rsidRPr="00672E24" w:rsidRDefault="00C46DC1" w:rsidP="00232D69">
            <w:r w:rsidRPr="00672E24">
              <w:t>N/A</w:t>
            </w:r>
          </w:p>
        </w:tc>
        <w:tc>
          <w:tcPr>
            <w:tcW w:w="1260" w:type="dxa"/>
            <w:tcBorders>
              <w:top w:val="single" w:sz="4" w:space="0" w:color="auto"/>
              <w:left w:val="single" w:sz="4" w:space="0" w:color="auto"/>
              <w:bottom w:val="single" w:sz="4" w:space="0" w:color="auto"/>
              <w:right w:val="single" w:sz="4" w:space="0" w:color="auto"/>
            </w:tcBorders>
          </w:tcPr>
          <w:p w14:paraId="03649403" w14:textId="77777777" w:rsidR="00C46DC1" w:rsidRDefault="00C46DC1" w:rsidP="00232D69">
            <w:r w:rsidRPr="00A12E2B">
              <w:t>97.89%</w:t>
            </w:r>
            <w:r>
              <w:t>/</w:t>
            </w:r>
          </w:p>
          <w:p w14:paraId="0E73371F" w14:textId="77777777" w:rsidR="00C46DC1" w:rsidRPr="00672E24" w:rsidRDefault="00C46DC1" w:rsidP="00C46DC1">
            <w:r w:rsidRPr="00672E24">
              <w:lastRenderedPageBreak/>
              <w:t>98%/99%</w:t>
            </w:r>
          </w:p>
          <w:p w14:paraId="7516603F" w14:textId="77777777" w:rsidR="00C46DC1" w:rsidRPr="00672E24" w:rsidRDefault="00C46DC1" w:rsidP="00C46DC1">
            <w:r w:rsidRPr="00672E24">
              <w:t>(98.5/99.0%)</w:t>
            </w:r>
          </w:p>
          <w:p w14:paraId="71B793C0" w14:textId="767755BB" w:rsidR="00C46DC1" w:rsidRPr="00A12E2B" w:rsidRDefault="00C46DC1" w:rsidP="00C46DC1">
            <w:r w:rsidRPr="00672E24">
              <w:t>(98.7/99.2%)</w:t>
            </w:r>
          </w:p>
        </w:tc>
      </w:tr>
      <w:tr w:rsidR="00C46DC1" w:rsidRPr="00672E24" w14:paraId="52907342" w14:textId="77777777" w:rsidTr="00C46DC1">
        <w:tc>
          <w:tcPr>
            <w:tcW w:w="675" w:type="dxa"/>
            <w:vMerge w:val="restart"/>
            <w:tcBorders>
              <w:top w:val="single" w:sz="4" w:space="0" w:color="auto"/>
              <w:left w:val="single" w:sz="4" w:space="0" w:color="auto"/>
              <w:right w:val="single" w:sz="4" w:space="0" w:color="auto"/>
            </w:tcBorders>
          </w:tcPr>
          <w:p w14:paraId="2A2E5F6C" w14:textId="448EEB9D" w:rsidR="00C46DC1" w:rsidRPr="00672E24" w:rsidRDefault="00C46DC1" w:rsidP="00232D69">
            <w:r w:rsidRPr="00672E24">
              <w:lastRenderedPageBreak/>
              <w:t>PO2</w:t>
            </w:r>
          </w:p>
        </w:tc>
        <w:tc>
          <w:tcPr>
            <w:tcW w:w="1134" w:type="dxa"/>
            <w:vMerge w:val="restart"/>
            <w:tcBorders>
              <w:top w:val="single" w:sz="4" w:space="0" w:color="auto"/>
              <w:left w:val="single" w:sz="4" w:space="0" w:color="auto"/>
              <w:right w:val="single" w:sz="4" w:space="0" w:color="auto"/>
            </w:tcBorders>
          </w:tcPr>
          <w:p w14:paraId="500F8D32" w14:textId="77777777" w:rsidR="00C46DC1" w:rsidRPr="00672E24" w:rsidRDefault="00C46DC1" w:rsidP="00232D69">
            <w:r w:rsidRPr="00672E24">
              <w:t>Support of European researchers and international collaborators through VRCs</w:t>
            </w:r>
          </w:p>
        </w:tc>
        <w:tc>
          <w:tcPr>
            <w:tcW w:w="1899" w:type="dxa"/>
            <w:tcBorders>
              <w:top w:val="single" w:sz="4" w:space="0" w:color="auto"/>
              <w:left w:val="single" w:sz="4" w:space="0" w:color="auto"/>
              <w:bottom w:val="single" w:sz="4" w:space="0" w:color="auto"/>
              <w:right w:val="single" w:sz="4" w:space="0" w:color="auto"/>
            </w:tcBorders>
          </w:tcPr>
          <w:p w14:paraId="7FA8A4A1" w14:textId="77777777" w:rsidR="00C46DC1" w:rsidRPr="00672E24" w:rsidRDefault="00C46DC1" w:rsidP="00C46DC1">
            <w:pPr>
              <w:jc w:val="left"/>
            </w:pPr>
            <w:r w:rsidRPr="00672E24">
              <w:t>Number of papers from EGI Users (M.NA2.5)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50B8304" w14:textId="76A8876B" w:rsidR="00C46DC1" w:rsidRPr="00672E24" w:rsidRDefault="00C46DC1" w:rsidP="00232D69">
            <w:r w:rsidRPr="00672E24">
              <w:t>161</w:t>
            </w:r>
            <w:r>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31F0E63" w14:textId="77777777" w:rsidR="00C46DC1" w:rsidRDefault="00C46DC1" w:rsidP="00232D69">
            <w:r w:rsidRPr="00672E24">
              <w:t>82</w:t>
            </w:r>
            <w:r>
              <w:t>/</w:t>
            </w:r>
          </w:p>
          <w:p w14:paraId="2C868231" w14:textId="6977D4B6" w:rsidR="00C46DC1" w:rsidRPr="00672E24" w:rsidRDefault="00C46DC1" w:rsidP="00232D69">
            <w:r>
              <w:t>60</w:t>
            </w:r>
          </w:p>
        </w:tc>
        <w:tc>
          <w:tcPr>
            <w:tcW w:w="1170" w:type="dxa"/>
            <w:tcBorders>
              <w:top w:val="single" w:sz="4" w:space="0" w:color="auto"/>
              <w:left w:val="single" w:sz="4" w:space="0" w:color="auto"/>
              <w:bottom w:val="single" w:sz="4" w:space="0" w:color="auto"/>
              <w:right w:val="single" w:sz="4" w:space="0" w:color="auto"/>
            </w:tcBorders>
          </w:tcPr>
          <w:p w14:paraId="42474007" w14:textId="77777777" w:rsidR="00C46DC1" w:rsidRDefault="00C46DC1" w:rsidP="00F600A5">
            <w:r w:rsidRPr="00672E24">
              <w:t>72</w:t>
            </w:r>
            <w:r>
              <w:t>/</w:t>
            </w:r>
          </w:p>
          <w:p w14:paraId="5D0F0560" w14:textId="42702F4C" w:rsidR="00C46DC1" w:rsidRPr="00672E24" w:rsidRDefault="00C46DC1" w:rsidP="00F600A5">
            <w:r w:rsidRPr="00672E24">
              <w:t>70</w:t>
            </w:r>
          </w:p>
          <w:p w14:paraId="244E0F37" w14:textId="77777777" w:rsidR="00C46DC1" w:rsidRPr="00672E24" w:rsidRDefault="00C46DC1" w:rsidP="00F600A5">
            <w:r w:rsidRPr="00672E24">
              <w:t>(80)</w:t>
            </w:r>
          </w:p>
          <w:p w14:paraId="50440C7B" w14:textId="61AA7490" w:rsidR="00C46DC1" w:rsidRDefault="00C46DC1" w:rsidP="00F600A5">
            <w:r w:rsidRPr="00672E24">
              <w:t>(90)</w:t>
            </w:r>
          </w:p>
          <w:p w14:paraId="6C1F4D49" w14:textId="77777777" w:rsidR="00C46DC1" w:rsidRPr="00672E24" w:rsidRDefault="00C46DC1" w:rsidP="00232D69"/>
        </w:tc>
        <w:tc>
          <w:tcPr>
            <w:tcW w:w="1260" w:type="dxa"/>
            <w:tcBorders>
              <w:top w:val="single" w:sz="4" w:space="0" w:color="auto"/>
              <w:left w:val="single" w:sz="4" w:space="0" w:color="auto"/>
              <w:bottom w:val="single" w:sz="4" w:space="0" w:color="auto"/>
              <w:right w:val="single" w:sz="4" w:space="0" w:color="auto"/>
            </w:tcBorders>
          </w:tcPr>
          <w:p w14:paraId="7C8862E8" w14:textId="77777777" w:rsidR="00585B83" w:rsidRDefault="00585B83" w:rsidP="00232D69">
            <w:r>
              <w:t>82</w:t>
            </w:r>
            <w:r w:rsidR="00C46DC1">
              <w:t>/</w:t>
            </w:r>
          </w:p>
          <w:p w14:paraId="5B20E915" w14:textId="17475ABD" w:rsidR="00C46DC1" w:rsidRDefault="00585B83" w:rsidP="00232D69">
            <w:r>
              <w:t>70</w:t>
            </w:r>
          </w:p>
          <w:p w14:paraId="6795FB4B" w14:textId="77777777" w:rsidR="00C46DC1" w:rsidRPr="00672E24" w:rsidRDefault="00C46DC1" w:rsidP="00C46DC1">
            <w:r w:rsidRPr="00672E24">
              <w:t>(80)</w:t>
            </w:r>
          </w:p>
          <w:p w14:paraId="31E5A8FB" w14:textId="7FD6627B" w:rsidR="00C46DC1" w:rsidRPr="00672E24" w:rsidRDefault="00C46DC1" w:rsidP="00C46DC1">
            <w:r w:rsidRPr="00672E24">
              <w:t>(90)</w:t>
            </w:r>
          </w:p>
        </w:tc>
      </w:tr>
      <w:tr w:rsidR="00C46DC1" w:rsidRPr="00672E24" w14:paraId="1931C88E" w14:textId="77777777" w:rsidTr="00C46DC1">
        <w:tc>
          <w:tcPr>
            <w:tcW w:w="675" w:type="dxa"/>
            <w:vMerge/>
            <w:tcBorders>
              <w:left w:val="single" w:sz="4" w:space="0" w:color="auto"/>
              <w:right w:val="single" w:sz="4" w:space="0" w:color="auto"/>
            </w:tcBorders>
          </w:tcPr>
          <w:p w14:paraId="0AA28F29" w14:textId="189AB81A" w:rsidR="00C46DC1" w:rsidRPr="00672E24" w:rsidRDefault="00C46DC1" w:rsidP="00232D69"/>
        </w:tc>
        <w:tc>
          <w:tcPr>
            <w:tcW w:w="1134" w:type="dxa"/>
            <w:vMerge/>
            <w:tcBorders>
              <w:left w:val="single" w:sz="4" w:space="0" w:color="auto"/>
              <w:right w:val="single" w:sz="4" w:space="0" w:color="auto"/>
            </w:tcBorders>
          </w:tcPr>
          <w:p w14:paraId="195AC5C1"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4A6136E2" w14:textId="77777777" w:rsidR="00C46DC1" w:rsidRPr="00672E24" w:rsidRDefault="00C46DC1" w:rsidP="00C46DC1">
            <w:pPr>
              <w:jc w:val="left"/>
            </w:pPr>
            <w:r w:rsidRPr="00672E24">
              <w:t>Number of jobs done a day (M.SA1.Usage.1)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6BA85AA" w14:textId="77777777" w:rsidR="00C46DC1" w:rsidRDefault="00C46DC1" w:rsidP="00232D69">
            <w:r w:rsidRPr="00672E24">
              <w:t>960,053</w:t>
            </w:r>
            <w:r>
              <w:t>/</w:t>
            </w:r>
          </w:p>
          <w:p w14:paraId="5FC6ED3F" w14:textId="4CA69F5A" w:rsidR="00C46DC1" w:rsidRPr="00672E24" w:rsidRDefault="00C46DC1" w:rsidP="00232D69">
            <w:r>
              <w:t>500,000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52847C6" w14:textId="77777777" w:rsidR="00C46DC1" w:rsidRDefault="00C46DC1" w:rsidP="00232D69">
            <w:r w:rsidRPr="00672E24">
              <w:t>1,264,922</w:t>
            </w:r>
            <w:r>
              <w:t>/</w:t>
            </w:r>
          </w:p>
          <w:p w14:paraId="276065F9" w14:textId="655641DB" w:rsidR="00C46DC1" w:rsidRPr="00672E24" w:rsidRDefault="00C46DC1" w:rsidP="00232D69">
            <w:r>
              <w:t>525,000</w:t>
            </w:r>
          </w:p>
        </w:tc>
        <w:tc>
          <w:tcPr>
            <w:tcW w:w="1170" w:type="dxa"/>
            <w:tcBorders>
              <w:top w:val="single" w:sz="4" w:space="0" w:color="auto"/>
              <w:left w:val="single" w:sz="4" w:space="0" w:color="auto"/>
              <w:bottom w:val="single" w:sz="4" w:space="0" w:color="auto"/>
              <w:right w:val="single" w:sz="4" w:space="0" w:color="auto"/>
            </w:tcBorders>
          </w:tcPr>
          <w:p w14:paraId="6346B25E" w14:textId="77777777" w:rsidR="00C46DC1" w:rsidRDefault="00C46DC1" w:rsidP="00232D69">
            <w:r w:rsidRPr="00672E24">
              <w:t>1.43</w:t>
            </w:r>
            <w:r>
              <w:t>/</w:t>
            </w:r>
          </w:p>
          <w:p w14:paraId="30819030" w14:textId="77777777" w:rsidR="00C46DC1" w:rsidRPr="00672E24" w:rsidRDefault="00C46DC1" w:rsidP="00F600A5">
            <w:r w:rsidRPr="00672E24">
              <w:t>1.2M</w:t>
            </w:r>
          </w:p>
          <w:p w14:paraId="75855188" w14:textId="77777777" w:rsidR="00C46DC1" w:rsidRPr="00672E24" w:rsidRDefault="00C46DC1" w:rsidP="00F600A5">
            <w:r w:rsidRPr="00672E24">
              <w:t>(1.4M)</w:t>
            </w:r>
          </w:p>
          <w:p w14:paraId="6570729C" w14:textId="1695D548" w:rsidR="00C46DC1" w:rsidRPr="00672E24" w:rsidRDefault="00C46DC1" w:rsidP="00F600A5">
            <w:r w:rsidRPr="00672E24">
              <w:t>(1.5M)</w:t>
            </w:r>
          </w:p>
        </w:tc>
        <w:tc>
          <w:tcPr>
            <w:tcW w:w="1260" w:type="dxa"/>
            <w:tcBorders>
              <w:top w:val="single" w:sz="4" w:space="0" w:color="auto"/>
              <w:left w:val="single" w:sz="4" w:space="0" w:color="auto"/>
              <w:bottom w:val="single" w:sz="4" w:space="0" w:color="auto"/>
              <w:right w:val="single" w:sz="4" w:space="0" w:color="auto"/>
            </w:tcBorders>
          </w:tcPr>
          <w:p w14:paraId="5E8CFAA6" w14:textId="77777777" w:rsidR="00C46DC1" w:rsidRDefault="00C46DC1" w:rsidP="00232D69">
            <w:r>
              <w:t>1.6M/</w:t>
            </w:r>
          </w:p>
          <w:p w14:paraId="7C47F92D" w14:textId="77777777" w:rsidR="00C46DC1" w:rsidRPr="00672E24" w:rsidRDefault="00C46DC1" w:rsidP="00C46DC1">
            <w:r w:rsidRPr="00672E24">
              <w:t>1.6 M</w:t>
            </w:r>
          </w:p>
          <w:p w14:paraId="702F39FE" w14:textId="77777777" w:rsidR="00C46DC1" w:rsidRPr="00672E24" w:rsidRDefault="00C46DC1" w:rsidP="00C46DC1">
            <w:r w:rsidRPr="00672E24">
              <w:t>(1.8 M)</w:t>
            </w:r>
          </w:p>
          <w:p w14:paraId="0D01CD68" w14:textId="5ED0AED9" w:rsidR="00C46DC1" w:rsidRPr="00672E24" w:rsidRDefault="00C46DC1" w:rsidP="00C46DC1">
            <w:r w:rsidRPr="00672E24">
              <w:t>(2.0 M)</w:t>
            </w:r>
          </w:p>
        </w:tc>
      </w:tr>
      <w:tr w:rsidR="00C46DC1" w:rsidRPr="00672E24" w14:paraId="49450FF1" w14:textId="77777777" w:rsidTr="00C46DC1">
        <w:tc>
          <w:tcPr>
            <w:tcW w:w="675" w:type="dxa"/>
            <w:vMerge w:val="restart"/>
            <w:tcBorders>
              <w:top w:val="single" w:sz="4" w:space="0" w:color="auto"/>
              <w:left w:val="single" w:sz="4" w:space="0" w:color="auto"/>
              <w:right w:val="single" w:sz="4" w:space="0" w:color="auto"/>
            </w:tcBorders>
          </w:tcPr>
          <w:p w14:paraId="25E7A4C9" w14:textId="617896C8" w:rsidR="00C46DC1" w:rsidRPr="00672E24" w:rsidRDefault="00C46DC1" w:rsidP="00232D69">
            <w:r w:rsidRPr="00672E24">
              <w:t>PO3</w:t>
            </w:r>
          </w:p>
        </w:tc>
        <w:tc>
          <w:tcPr>
            <w:tcW w:w="1134" w:type="dxa"/>
            <w:vMerge w:val="restart"/>
            <w:tcBorders>
              <w:top w:val="single" w:sz="4" w:space="0" w:color="auto"/>
              <w:left w:val="single" w:sz="4" w:space="0" w:color="auto"/>
              <w:right w:val="single" w:sz="4" w:space="0" w:color="auto"/>
            </w:tcBorders>
          </w:tcPr>
          <w:p w14:paraId="42A98B83" w14:textId="77777777" w:rsidR="00C46DC1" w:rsidRPr="00672E24" w:rsidRDefault="00C46DC1" w:rsidP="00232D69">
            <w:r w:rsidRPr="00672E24">
              <w:t>Sustainable support for Heavy User Communities</w:t>
            </w:r>
          </w:p>
        </w:tc>
        <w:tc>
          <w:tcPr>
            <w:tcW w:w="1899" w:type="dxa"/>
            <w:tcBorders>
              <w:top w:val="single" w:sz="4" w:space="0" w:color="auto"/>
              <w:left w:val="single" w:sz="4" w:space="0" w:color="auto"/>
              <w:bottom w:val="single" w:sz="4" w:space="0" w:color="auto"/>
              <w:right w:val="single" w:sz="4" w:space="0" w:color="auto"/>
            </w:tcBorders>
          </w:tcPr>
          <w:p w14:paraId="7D59E7EB" w14:textId="77777777" w:rsidR="00C46DC1" w:rsidRPr="00672E24" w:rsidRDefault="00C46DC1" w:rsidP="00C46DC1">
            <w:pPr>
              <w:jc w:val="left"/>
            </w:pPr>
            <w:r w:rsidRPr="00672E24">
              <w:t>Number of sites with MPI (M.SA1.Integration.2)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F3C1C4F" w14:textId="77777777" w:rsidR="00C46DC1" w:rsidRDefault="00C46DC1" w:rsidP="00232D69">
            <w:r w:rsidRPr="00672E24">
              <w:t>96</w:t>
            </w:r>
            <w:r>
              <w:t>/</w:t>
            </w:r>
          </w:p>
          <w:p w14:paraId="477F3852" w14:textId="3016C9A8" w:rsidR="00C46DC1" w:rsidRPr="00672E24" w:rsidRDefault="00C46DC1" w:rsidP="00232D69">
            <w:r>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2960FA" w14:textId="77777777" w:rsidR="00C46DC1" w:rsidRDefault="00C46DC1" w:rsidP="00232D69">
            <w:r w:rsidRPr="00672E24">
              <w:t>108</w:t>
            </w:r>
            <w:r>
              <w:t>/</w:t>
            </w:r>
          </w:p>
          <w:p w14:paraId="08658220" w14:textId="037A1850" w:rsidR="00C46DC1" w:rsidRPr="00672E24" w:rsidRDefault="00C46DC1" w:rsidP="00232D69">
            <w:r>
              <w:t>100</w:t>
            </w:r>
          </w:p>
        </w:tc>
        <w:tc>
          <w:tcPr>
            <w:tcW w:w="1170" w:type="dxa"/>
            <w:tcBorders>
              <w:top w:val="single" w:sz="4" w:space="0" w:color="auto"/>
              <w:left w:val="single" w:sz="4" w:space="0" w:color="auto"/>
              <w:bottom w:val="single" w:sz="4" w:space="0" w:color="auto"/>
              <w:right w:val="single" w:sz="4" w:space="0" w:color="auto"/>
            </w:tcBorders>
          </w:tcPr>
          <w:p w14:paraId="0D23DCD6" w14:textId="77777777" w:rsidR="00C46DC1" w:rsidRDefault="00C46DC1" w:rsidP="00232D69">
            <w:r w:rsidRPr="00672E24">
              <w:t>77</w:t>
            </w:r>
            <w:r>
              <w:t>/</w:t>
            </w:r>
          </w:p>
          <w:p w14:paraId="01F3E93D" w14:textId="77777777" w:rsidR="00C46DC1" w:rsidRPr="00672E24" w:rsidRDefault="00C46DC1" w:rsidP="00F600A5">
            <w:r w:rsidRPr="00672E24">
              <w:t>120</w:t>
            </w:r>
          </w:p>
          <w:p w14:paraId="054783E8" w14:textId="77777777" w:rsidR="00C46DC1" w:rsidRPr="00672E24" w:rsidRDefault="00C46DC1" w:rsidP="00F600A5">
            <w:r w:rsidRPr="00672E24">
              <w:t>(130)</w:t>
            </w:r>
          </w:p>
          <w:p w14:paraId="599DFF01" w14:textId="239C1E59" w:rsidR="00C46DC1" w:rsidRPr="00672E24" w:rsidRDefault="00C46DC1" w:rsidP="00F600A5">
            <w:r w:rsidRPr="00672E24">
              <w:t>(140)</w:t>
            </w:r>
          </w:p>
        </w:tc>
        <w:tc>
          <w:tcPr>
            <w:tcW w:w="1260" w:type="dxa"/>
            <w:tcBorders>
              <w:top w:val="single" w:sz="4" w:space="0" w:color="auto"/>
              <w:left w:val="single" w:sz="4" w:space="0" w:color="auto"/>
              <w:bottom w:val="single" w:sz="4" w:space="0" w:color="auto"/>
              <w:right w:val="single" w:sz="4" w:space="0" w:color="auto"/>
            </w:tcBorders>
          </w:tcPr>
          <w:p w14:paraId="28ED8A7A" w14:textId="77777777" w:rsidR="00C46DC1" w:rsidRDefault="00C46DC1" w:rsidP="00C46DC1">
            <w:r>
              <w:t>74/</w:t>
            </w:r>
          </w:p>
          <w:p w14:paraId="7877666D" w14:textId="3BE639F8" w:rsidR="00C46DC1" w:rsidRPr="00672E24" w:rsidRDefault="00C46DC1" w:rsidP="00C46DC1">
            <w:r w:rsidRPr="00672E24">
              <w:t>90</w:t>
            </w:r>
          </w:p>
          <w:p w14:paraId="17A15591" w14:textId="77777777" w:rsidR="00C46DC1" w:rsidRPr="00672E24" w:rsidRDefault="00C46DC1" w:rsidP="00C46DC1">
            <w:r w:rsidRPr="00672E24">
              <w:t>(100)</w:t>
            </w:r>
          </w:p>
          <w:p w14:paraId="06D09221" w14:textId="235C59CB" w:rsidR="00C46DC1" w:rsidRDefault="00C46DC1" w:rsidP="00C46DC1">
            <w:r w:rsidRPr="00672E24">
              <w:t>(120)</w:t>
            </w:r>
          </w:p>
          <w:p w14:paraId="79BC563B" w14:textId="77777777" w:rsidR="00C46DC1" w:rsidRPr="00672E24" w:rsidRDefault="00C46DC1" w:rsidP="00232D69"/>
        </w:tc>
      </w:tr>
      <w:tr w:rsidR="00C46DC1" w:rsidRPr="00672E24" w14:paraId="68196908" w14:textId="77777777" w:rsidTr="00C46DC1">
        <w:tc>
          <w:tcPr>
            <w:tcW w:w="675" w:type="dxa"/>
            <w:vMerge/>
            <w:tcBorders>
              <w:left w:val="single" w:sz="4" w:space="0" w:color="auto"/>
              <w:right w:val="single" w:sz="4" w:space="0" w:color="auto"/>
            </w:tcBorders>
          </w:tcPr>
          <w:p w14:paraId="798169CA" w14:textId="0A82A08F" w:rsidR="00C46DC1" w:rsidRPr="00672E24" w:rsidRDefault="00C46DC1" w:rsidP="00232D69"/>
        </w:tc>
        <w:tc>
          <w:tcPr>
            <w:tcW w:w="1134" w:type="dxa"/>
            <w:vMerge/>
            <w:tcBorders>
              <w:left w:val="single" w:sz="4" w:space="0" w:color="auto"/>
              <w:right w:val="single" w:sz="4" w:space="0" w:color="auto"/>
            </w:tcBorders>
          </w:tcPr>
          <w:p w14:paraId="74C45108"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2A659A6A" w14:textId="77777777" w:rsidR="00C46DC1" w:rsidRPr="00672E24" w:rsidRDefault="00C46DC1" w:rsidP="00C46DC1">
            <w:pPr>
              <w:jc w:val="left"/>
            </w:pPr>
            <w:r w:rsidRPr="00672E24">
              <w:t>Number of users from HUC VOs (M.SA1.VO.7)</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5430C64" w14:textId="77777777" w:rsidR="00C46DC1" w:rsidRDefault="00C46DC1" w:rsidP="00232D69">
            <w:r w:rsidRPr="00672E24">
              <w:t>7,103</w:t>
            </w:r>
            <w:r>
              <w:t>/</w:t>
            </w:r>
          </w:p>
          <w:p w14:paraId="6AD35F09" w14:textId="283F5AC8" w:rsidR="00C46DC1" w:rsidRPr="00672E24" w:rsidRDefault="00C46DC1" w:rsidP="00232D69">
            <w:r>
              <w:t>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035F18" w14:textId="77777777" w:rsidR="00C46DC1" w:rsidRDefault="00C46DC1" w:rsidP="00232D69">
            <w:r w:rsidRPr="00672E24">
              <w:t>10,856</w:t>
            </w:r>
            <w:r>
              <w:t>/</w:t>
            </w:r>
          </w:p>
          <w:p w14:paraId="5DC3A9CA" w14:textId="62641819" w:rsidR="00C46DC1" w:rsidRPr="00672E24" w:rsidRDefault="00C46DC1" w:rsidP="00232D69">
            <w:r>
              <w:t>5,500</w:t>
            </w:r>
          </w:p>
        </w:tc>
        <w:tc>
          <w:tcPr>
            <w:tcW w:w="1170" w:type="dxa"/>
            <w:tcBorders>
              <w:top w:val="single" w:sz="4" w:space="0" w:color="auto"/>
              <w:left w:val="single" w:sz="4" w:space="0" w:color="auto"/>
              <w:bottom w:val="single" w:sz="4" w:space="0" w:color="auto"/>
              <w:right w:val="single" w:sz="4" w:space="0" w:color="auto"/>
            </w:tcBorders>
          </w:tcPr>
          <w:p w14:paraId="3744F63E" w14:textId="77777777" w:rsidR="00C46DC1" w:rsidRDefault="00C46DC1" w:rsidP="00232D69">
            <w:r w:rsidRPr="00672E24">
              <w:t>11,595</w:t>
            </w:r>
            <w:r>
              <w:t>/</w:t>
            </w:r>
          </w:p>
          <w:p w14:paraId="681AC014" w14:textId="77777777" w:rsidR="00C46DC1" w:rsidRPr="00672E24" w:rsidRDefault="00C46DC1" w:rsidP="00F600A5">
            <w:r w:rsidRPr="00672E24">
              <w:t>12,000</w:t>
            </w:r>
          </w:p>
          <w:p w14:paraId="6547A850" w14:textId="77777777" w:rsidR="00C46DC1" w:rsidRPr="00672E24" w:rsidRDefault="00C46DC1" w:rsidP="00F600A5">
            <w:r w:rsidRPr="00672E24">
              <w:t>(15,000)</w:t>
            </w:r>
          </w:p>
          <w:p w14:paraId="7AE461B0" w14:textId="0910F83B" w:rsidR="00C46DC1" w:rsidRPr="00672E24" w:rsidRDefault="00C46DC1" w:rsidP="00F600A5">
            <w:r w:rsidRPr="00672E24">
              <w:t>(17,000)</w:t>
            </w:r>
          </w:p>
        </w:tc>
        <w:tc>
          <w:tcPr>
            <w:tcW w:w="1260" w:type="dxa"/>
            <w:tcBorders>
              <w:top w:val="single" w:sz="4" w:space="0" w:color="auto"/>
              <w:left w:val="single" w:sz="4" w:space="0" w:color="auto"/>
              <w:bottom w:val="single" w:sz="4" w:space="0" w:color="auto"/>
              <w:right w:val="single" w:sz="4" w:space="0" w:color="auto"/>
            </w:tcBorders>
          </w:tcPr>
          <w:p w14:paraId="0A4ABC29" w14:textId="4F9684FD" w:rsidR="00C46DC1" w:rsidRDefault="00C46DC1" w:rsidP="00232D69">
            <w:r w:rsidRPr="009F6262">
              <w:t>11,990</w:t>
            </w:r>
            <w:r w:rsidR="00585B83">
              <w:t>+7,000</w:t>
            </w:r>
            <w:r>
              <w:t>/</w:t>
            </w:r>
          </w:p>
          <w:p w14:paraId="017542BA" w14:textId="77777777" w:rsidR="00C46DC1" w:rsidRPr="00672E24" w:rsidRDefault="00C46DC1" w:rsidP="00C46DC1">
            <w:r w:rsidRPr="00672E24">
              <w:t>12,500</w:t>
            </w:r>
          </w:p>
          <w:p w14:paraId="0A8D98E3" w14:textId="77777777" w:rsidR="00C46DC1" w:rsidRPr="00672E24" w:rsidRDefault="00C46DC1" w:rsidP="00C46DC1">
            <w:r w:rsidRPr="00672E24">
              <w:t>(13,000</w:t>
            </w:r>
          </w:p>
          <w:p w14:paraId="46092691" w14:textId="752F0299" w:rsidR="00C46DC1" w:rsidRPr="009F6262" w:rsidRDefault="00C46DC1" w:rsidP="00C46DC1">
            <w:r w:rsidRPr="00672E24">
              <w:t>(14,000)</w:t>
            </w:r>
          </w:p>
        </w:tc>
      </w:tr>
      <w:tr w:rsidR="00C46DC1" w:rsidRPr="00672E24" w14:paraId="7A1CA379" w14:textId="77777777" w:rsidTr="00C46DC1">
        <w:tc>
          <w:tcPr>
            <w:tcW w:w="675" w:type="dxa"/>
            <w:vMerge/>
            <w:tcBorders>
              <w:left w:val="single" w:sz="4" w:space="0" w:color="auto"/>
              <w:bottom w:val="single" w:sz="4" w:space="0" w:color="auto"/>
              <w:right w:val="single" w:sz="4" w:space="0" w:color="auto"/>
            </w:tcBorders>
          </w:tcPr>
          <w:p w14:paraId="31DF4860" w14:textId="702114EF" w:rsidR="00C46DC1" w:rsidRPr="00672E24" w:rsidRDefault="00C46DC1" w:rsidP="00232D69"/>
        </w:tc>
        <w:tc>
          <w:tcPr>
            <w:tcW w:w="1134" w:type="dxa"/>
            <w:vMerge/>
            <w:tcBorders>
              <w:left w:val="single" w:sz="4" w:space="0" w:color="auto"/>
              <w:bottom w:val="single" w:sz="4" w:space="0" w:color="auto"/>
              <w:right w:val="single" w:sz="4" w:space="0" w:color="auto"/>
            </w:tcBorders>
          </w:tcPr>
          <w:p w14:paraId="5DE85700"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355E89D2" w14:textId="77777777" w:rsidR="00C46DC1" w:rsidRPr="00672E24" w:rsidRDefault="00C46DC1" w:rsidP="00C46DC1">
            <w:pPr>
              <w:jc w:val="left"/>
            </w:pPr>
            <w:r w:rsidRPr="00672E24">
              <w:t>Total number of High Activity VOs</w:t>
            </w:r>
          </w:p>
          <w:p w14:paraId="06DA0992" w14:textId="77777777" w:rsidR="00C46DC1" w:rsidRPr="00672E24" w:rsidRDefault="00C46DC1" w:rsidP="00C46DC1">
            <w:pPr>
              <w:jc w:val="left"/>
            </w:pPr>
            <w:r w:rsidRPr="00672E24">
              <w:t>(M.SA1.VO.5)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FA3493" w14:textId="77777777" w:rsidR="00C46DC1" w:rsidRPr="00672E24" w:rsidRDefault="00C46DC1" w:rsidP="00232D69">
            <w:r w:rsidRPr="00672E24">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9731DA" w14:textId="77777777" w:rsidR="00C46DC1" w:rsidRPr="00672E24" w:rsidRDefault="00C46DC1" w:rsidP="00232D69">
            <w:r w:rsidRPr="00672E24">
              <w:t>N/A</w:t>
            </w:r>
          </w:p>
        </w:tc>
        <w:tc>
          <w:tcPr>
            <w:tcW w:w="1170" w:type="dxa"/>
            <w:tcBorders>
              <w:top w:val="single" w:sz="4" w:space="0" w:color="auto"/>
              <w:left w:val="single" w:sz="4" w:space="0" w:color="auto"/>
              <w:bottom w:val="single" w:sz="4" w:space="0" w:color="auto"/>
              <w:right w:val="single" w:sz="4" w:space="0" w:color="auto"/>
            </w:tcBorders>
          </w:tcPr>
          <w:p w14:paraId="54633E83" w14:textId="77777777" w:rsidR="00C46DC1" w:rsidRPr="00672E24" w:rsidRDefault="00C46DC1" w:rsidP="00232D69">
            <w:r w:rsidRPr="00672E24">
              <w:t>N/A</w:t>
            </w:r>
          </w:p>
        </w:tc>
        <w:tc>
          <w:tcPr>
            <w:tcW w:w="1260" w:type="dxa"/>
            <w:tcBorders>
              <w:top w:val="single" w:sz="4" w:space="0" w:color="auto"/>
              <w:left w:val="single" w:sz="4" w:space="0" w:color="auto"/>
              <w:bottom w:val="single" w:sz="4" w:space="0" w:color="auto"/>
              <w:right w:val="single" w:sz="4" w:space="0" w:color="auto"/>
            </w:tcBorders>
          </w:tcPr>
          <w:p w14:paraId="27838D86" w14:textId="77777777" w:rsidR="00C46DC1" w:rsidRDefault="00C46DC1" w:rsidP="00232D69">
            <w:r>
              <w:t>38/</w:t>
            </w:r>
          </w:p>
          <w:p w14:paraId="1E9F1E80" w14:textId="77777777" w:rsidR="00C46DC1" w:rsidRPr="00672E24" w:rsidRDefault="00C46DC1" w:rsidP="00C46DC1">
            <w:r w:rsidRPr="00672E24">
              <w:t>55</w:t>
            </w:r>
          </w:p>
          <w:p w14:paraId="5961E75F" w14:textId="77777777" w:rsidR="00C46DC1" w:rsidRPr="00672E24" w:rsidRDefault="00C46DC1" w:rsidP="00C46DC1">
            <w:r w:rsidRPr="00672E24">
              <w:t>(60)</w:t>
            </w:r>
          </w:p>
          <w:p w14:paraId="4B5AEC00" w14:textId="1BF5FD4F" w:rsidR="00C46DC1" w:rsidRPr="00672E24" w:rsidRDefault="00C46DC1" w:rsidP="00C46DC1">
            <w:r w:rsidRPr="00672E24">
              <w:t>(65)</w:t>
            </w:r>
          </w:p>
        </w:tc>
      </w:tr>
      <w:tr w:rsidR="00C46DC1" w:rsidRPr="00672E24" w14:paraId="621DEEA2" w14:textId="77777777" w:rsidTr="00C46DC1">
        <w:tc>
          <w:tcPr>
            <w:tcW w:w="675" w:type="dxa"/>
            <w:vMerge w:val="restart"/>
            <w:tcBorders>
              <w:top w:val="single" w:sz="4" w:space="0" w:color="auto"/>
              <w:left w:val="single" w:sz="4" w:space="0" w:color="auto"/>
              <w:right w:val="single" w:sz="4" w:space="0" w:color="auto"/>
            </w:tcBorders>
          </w:tcPr>
          <w:p w14:paraId="37B8533E" w14:textId="7CD91921" w:rsidR="00C46DC1" w:rsidRPr="00672E24" w:rsidRDefault="00C46DC1" w:rsidP="00232D69">
            <w:r w:rsidRPr="00672E24">
              <w:t>PO4</w:t>
            </w:r>
          </w:p>
        </w:tc>
        <w:tc>
          <w:tcPr>
            <w:tcW w:w="1134" w:type="dxa"/>
            <w:vMerge w:val="restart"/>
            <w:tcBorders>
              <w:top w:val="single" w:sz="4" w:space="0" w:color="auto"/>
              <w:left w:val="single" w:sz="4" w:space="0" w:color="auto"/>
              <w:right w:val="single" w:sz="4" w:space="0" w:color="auto"/>
            </w:tcBorders>
          </w:tcPr>
          <w:p w14:paraId="355E35C9" w14:textId="77777777" w:rsidR="00C46DC1" w:rsidRPr="00672E24" w:rsidRDefault="00C46DC1" w:rsidP="00232D69">
            <w:r w:rsidRPr="00672E24">
              <w:t>Addition of new User Communities</w:t>
            </w:r>
          </w:p>
        </w:tc>
        <w:tc>
          <w:tcPr>
            <w:tcW w:w="1899" w:type="dxa"/>
            <w:tcBorders>
              <w:top w:val="single" w:sz="4" w:space="0" w:color="auto"/>
              <w:left w:val="single" w:sz="4" w:space="0" w:color="auto"/>
              <w:bottom w:val="single" w:sz="4" w:space="0" w:color="auto"/>
              <w:right w:val="single" w:sz="4" w:space="0" w:color="auto"/>
            </w:tcBorders>
          </w:tcPr>
          <w:p w14:paraId="7A4225B3" w14:textId="77777777" w:rsidR="00C46DC1" w:rsidRPr="00672E24" w:rsidRDefault="00C46DC1" w:rsidP="00C46DC1">
            <w:pPr>
              <w:jc w:val="left"/>
            </w:pPr>
            <w:r w:rsidRPr="00672E24">
              <w:t>Peak number of cores from desktop grids (M.SA1.Integration.3)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FB22218" w14:textId="77777777" w:rsidR="00C46DC1" w:rsidRPr="00672E24" w:rsidRDefault="00C46DC1" w:rsidP="00232D69">
            <w:r w:rsidRPr="00672E24">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6712AF0" w14:textId="77777777" w:rsidR="00C46DC1" w:rsidRPr="00672E24" w:rsidRDefault="00C46DC1" w:rsidP="00232D69">
            <w:r w:rsidRPr="00672E24">
              <w:t>N/A</w:t>
            </w:r>
          </w:p>
        </w:tc>
        <w:tc>
          <w:tcPr>
            <w:tcW w:w="1170" w:type="dxa"/>
            <w:tcBorders>
              <w:top w:val="single" w:sz="4" w:space="0" w:color="auto"/>
              <w:left w:val="single" w:sz="4" w:space="0" w:color="auto"/>
              <w:bottom w:val="single" w:sz="4" w:space="0" w:color="auto"/>
              <w:right w:val="single" w:sz="4" w:space="0" w:color="auto"/>
            </w:tcBorders>
          </w:tcPr>
          <w:p w14:paraId="6B0FA9E0" w14:textId="77777777" w:rsidR="00C46DC1" w:rsidRDefault="00C46DC1" w:rsidP="00232D69">
            <w:r w:rsidRPr="00672E24">
              <w:t>6,450</w:t>
            </w:r>
            <w:r>
              <w:t>/</w:t>
            </w:r>
          </w:p>
          <w:p w14:paraId="6FF073B6" w14:textId="77777777" w:rsidR="00C46DC1" w:rsidRPr="00672E24" w:rsidRDefault="00C46DC1" w:rsidP="00F600A5">
            <w:r w:rsidRPr="00672E24">
              <w:t>1,000</w:t>
            </w:r>
          </w:p>
          <w:p w14:paraId="76941316" w14:textId="77777777" w:rsidR="00C46DC1" w:rsidRPr="00672E24" w:rsidRDefault="00C46DC1" w:rsidP="00F600A5">
            <w:r w:rsidRPr="00672E24">
              <w:t>(5,000)</w:t>
            </w:r>
          </w:p>
          <w:p w14:paraId="58C26099" w14:textId="29AD2A81" w:rsidR="00C46DC1" w:rsidRPr="00672E24" w:rsidRDefault="00C46DC1" w:rsidP="00F600A5">
            <w:r w:rsidRPr="00672E24">
              <w:t>(7,500)</w:t>
            </w:r>
          </w:p>
        </w:tc>
        <w:tc>
          <w:tcPr>
            <w:tcW w:w="1260" w:type="dxa"/>
            <w:tcBorders>
              <w:top w:val="single" w:sz="4" w:space="0" w:color="auto"/>
              <w:left w:val="single" w:sz="4" w:space="0" w:color="auto"/>
              <w:bottom w:val="single" w:sz="4" w:space="0" w:color="auto"/>
              <w:right w:val="single" w:sz="4" w:space="0" w:color="auto"/>
            </w:tcBorders>
          </w:tcPr>
          <w:p w14:paraId="1B6DE604" w14:textId="77777777" w:rsidR="00C46DC1" w:rsidRPr="00672E24" w:rsidRDefault="00C46DC1" w:rsidP="00232D69">
            <w:r w:rsidRPr="00672E24">
              <w:t>N/A</w:t>
            </w:r>
          </w:p>
        </w:tc>
      </w:tr>
      <w:tr w:rsidR="00C46DC1" w:rsidRPr="00672E24" w14:paraId="76AF54B5" w14:textId="77777777" w:rsidTr="00C46DC1">
        <w:tc>
          <w:tcPr>
            <w:tcW w:w="675" w:type="dxa"/>
            <w:vMerge/>
            <w:tcBorders>
              <w:left w:val="single" w:sz="4" w:space="0" w:color="auto"/>
              <w:right w:val="single" w:sz="4" w:space="0" w:color="auto"/>
            </w:tcBorders>
          </w:tcPr>
          <w:p w14:paraId="3158AC1F" w14:textId="52F4EA4A" w:rsidR="00C46DC1" w:rsidRPr="00672E24" w:rsidRDefault="00C46DC1" w:rsidP="00232D69"/>
        </w:tc>
        <w:tc>
          <w:tcPr>
            <w:tcW w:w="1134" w:type="dxa"/>
            <w:vMerge/>
            <w:tcBorders>
              <w:left w:val="single" w:sz="4" w:space="0" w:color="auto"/>
              <w:right w:val="single" w:sz="4" w:space="0" w:color="auto"/>
            </w:tcBorders>
          </w:tcPr>
          <w:p w14:paraId="31CFF0FD"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115CD794" w14:textId="77777777" w:rsidR="00C46DC1" w:rsidRPr="00672E24" w:rsidRDefault="00C46DC1" w:rsidP="00C46DC1">
            <w:pPr>
              <w:jc w:val="left"/>
            </w:pPr>
            <w:r w:rsidRPr="00672E24">
              <w:t>Number of users from non-HUC VOs (M.SA1.VO 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18A6747" w14:textId="45E4063B" w:rsidR="00C46DC1" w:rsidRDefault="00C46DC1" w:rsidP="00232D69">
            <w:r w:rsidRPr="00672E24">
              <w:t>4</w:t>
            </w:r>
            <w:r>
              <w:t>,</w:t>
            </w:r>
            <w:r w:rsidRPr="00672E24">
              <w:t>075</w:t>
            </w:r>
            <w:r>
              <w:t>/</w:t>
            </w:r>
          </w:p>
          <w:p w14:paraId="5A96321C" w14:textId="57CFDB00" w:rsidR="00C46DC1" w:rsidRPr="00672E24" w:rsidRDefault="00C46DC1" w:rsidP="00232D69">
            <w:r>
              <w:t>5,000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FD6501" w14:textId="77777777" w:rsidR="00C46DC1" w:rsidRDefault="00C46DC1" w:rsidP="00232D69">
            <w:r w:rsidRPr="00672E24">
              <w:t>8,518</w:t>
            </w:r>
            <w:r>
              <w:t>/</w:t>
            </w:r>
          </w:p>
          <w:p w14:paraId="40389BEC" w14:textId="78189CBE" w:rsidR="00C46DC1" w:rsidRPr="00672E24" w:rsidRDefault="00C46DC1" w:rsidP="00232D69">
            <w:r>
              <w:t>1,000</w:t>
            </w:r>
          </w:p>
        </w:tc>
        <w:tc>
          <w:tcPr>
            <w:tcW w:w="1170" w:type="dxa"/>
            <w:tcBorders>
              <w:top w:val="single" w:sz="4" w:space="0" w:color="auto"/>
              <w:left w:val="single" w:sz="4" w:space="0" w:color="auto"/>
              <w:bottom w:val="single" w:sz="4" w:space="0" w:color="auto"/>
              <w:right w:val="single" w:sz="4" w:space="0" w:color="auto"/>
            </w:tcBorders>
          </w:tcPr>
          <w:p w14:paraId="64D35FE2" w14:textId="77777777" w:rsidR="00C46DC1" w:rsidRDefault="00C46DC1" w:rsidP="00F600A5">
            <w:r w:rsidRPr="00672E24">
              <w:t>10</w:t>
            </w:r>
            <w:r>
              <w:t>,</w:t>
            </w:r>
            <w:r w:rsidRPr="00672E24">
              <w:t>602</w:t>
            </w:r>
            <w:r>
              <w:t>/</w:t>
            </w:r>
          </w:p>
          <w:p w14:paraId="7760A606" w14:textId="1C1242D0" w:rsidR="00C46DC1" w:rsidRPr="00672E24" w:rsidRDefault="00C46DC1" w:rsidP="00F600A5">
            <w:r w:rsidRPr="00672E24">
              <w:t>10,000</w:t>
            </w:r>
          </w:p>
          <w:p w14:paraId="51CE26BF" w14:textId="77777777" w:rsidR="00C46DC1" w:rsidRPr="00672E24" w:rsidRDefault="00C46DC1" w:rsidP="00F600A5">
            <w:r w:rsidRPr="00672E24">
              <w:t>(12,000)</w:t>
            </w:r>
          </w:p>
          <w:p w14:paraId="1DB7CA6E" w14:textId="6CB13CE2" w:rsidR="00C46DC1" w:rsidRPr="00672E24" w:rsidRDefault="00C46DC1" w:rsidP="00F600A5">
            <w:r w:rsidRPr="00672E24">
              <w:t>(13,000</w:t>
            </w:r>
          </w:p>
        </w:tc>
        <w:tc>
          <w:tcPr>
            <w:tcW w:w="1260" w:type="dxa"/>
            <w:tcBorders>
              <w:top w:val="single" w:sz="4" w:space="0" w:color="auto"/>
              <w:left w:val="single" w:sz="4" w:space="0" w:color="auto"/>
              <w:bottom w:val="single" w:sz="4" w:space="0" w:color="auto"/>
              <w:right w:val="single" w:sz="4" w:space="0" w:color="auto"/>
            </w:tcBorders>
          </w:tcPr>
          <w:p w14:paraId="4703725A" w14:textId="207B664C" w:rsidR="00C46DC1" w:rsidRDefault="00C46DC1" w:rsidP="00232D69">
            <w:r>
              <w:t>7,015</w:t>
            </w:r>
            <w:r w:rsidR="00585B83">
              <w:t>+5,000</w:t>
            </w:r>
            <w:r>
              <w:t>/</w:t>
            </w:r>
          </w:p>
          <w:p w14:paraId="66055DC6" w14:textId="77777777" w:rsidR="00C46DC1" w:rsidRPr="00672E24" w:rsidRDefault="00C46DC1" w:rsidP="00C46DC1">
            <w:r w:rsidRPr="00672E24">
              <w:t>11,000</w:t>
            </w:r>
          </w:p>
          <w:p w14:paraId="76EB731B" w14:textId="77777777" w:rsidR="00C46DC1" w:rsidRPr="00672E24" w:rsidRDefault="00C46DC1" w:rsidP="00C46DC1">
            <w:r w:rsidRPr="00672E24">
              <w:t>(11,500)</w:t>
            </w:r>
          </w:p>
          <w:p w14:paraId="3A9B6646" w14:textId="41ABCE84" w:rsidR="00C46DC1" w:rsidRPr="00672E24" w:rsidRDefault="00C46DC1" w:rsidP="00C46DC1">
            <w:r w:rsidRPr="00672E24">
              <w:t>(12,000)</w:t>
            </w:r>
          </w:p>
        </w:tc>
      </w:tr>
      <w:tr w:rsidR="00C46DC1" w:rsidRPr="00672E24" w14:paraId="6C7C3426" w14:textId="77777777" w:rsidTr="00C46DC1">
        <w:tc>
          <w:tcPr>
            <w:tcW w:w="675" w:type="dxa"/>
            <w:vMerge/>
            <w:tcBorders>
              <w:left w:val="single" w:sz="4" w:space="0" w:color="auto"/>
              <w:bottom w:val="single" w:sz="4" w:space="0" w:color="auto"/>
              <w:right w:val="single" w:sz="4" w:space="0" w:color="auto"/>
            </w:tcBorders>
          </w:tcPr>
          <w:p w14:paraId="3F519652" w14:textId="6A46B871" w:rsidR="00C46DC1" w:rsidRPr="00672E24" w:rsidRDefault="00C46DC1" w:rsidP="00232D69"/>
        </w:tc>
        <w:tc>
          <w:tcPr>
            <w:tcW w:w="1134" w:type="dxa"/>
            <w:vMerge/>
            <w:tcBorders>
              <w:left w:val="single" w:sz="4" w:space="0" w:color="auto"/>
              <w:bottom w:val="single" w:sz="4" w:space="0" w:color="auto"/>
              <w:right w:val="single" w:sz="4" w:space="0" w:color="auto"/>
            </w:tcBorders>
          </w:tcPr>
          <w:p w14:paraId="3800974A"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09B8C103" w14:textId="77777777" w:rsidR="00C46DC1" w:rsidRPr="00672E24" w:rsidRDefault="00C46DC1" w:rsidP="00C46DC1">
            <w:pPr>
              <w:jc w:val="left"/>
            </w:pPr>
            <w:r w:rsidRPr="00672E24">
              <w:t>Public events organised (attendee days) (M.NA2.6)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117979" w14:textId="77777777" w:rsidR="00C46DC1" w:rsidRDefault="00C46DC1" w:rsidP="00232D69">
            <w:r w:rsidRPr="00672E24">
              <w:t>10,123</w:t>
            </w:r>
            <w:r>
              <w:t>/</w:t>
            </w:r>
          </w:p>
          <w:p w14:paraId="6905EFC3" w14:textId="065F6C6A" w:rsidR="00C46DC1" w:rsidRPr="00672E24" w:rsidRDefault="00C46DC1" w:rsidP="00232D69">
            <w:r>
              <w:t>1,500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422CDE" w14:textId="77777777" w:rsidR="00C46DC1" w:rsidRDefault="00C46DC1" w:rsidP="00232D69">
            <w:r w:rsidRPr="00672E24">
              <w:t>11,795</w:t>
            </w:r>
            <w:r>
              <w:t>/</w:t>
            </w:r>
          </w:p>
          <w:p w14:paraId="61F1C1F7" w14:textId="7CC0269F" w:rsidR="00C46DC1" w:rsidRPr="00672E24" w:rsidRDefault="00C46DC1" w:rsidP="00232D69">
            <w:r>
              <w:t>2,000</w:t>
            </w:r>
          </w:p>
        </w:tc>
        <w:tc>
          <w:tcPr>
            <w:tcW w:w="1170" w:type="dxa"/>
            <w:tcBorders>
              <w:top w:val="single" w:sz="4" w:space="0" w:color="auto"/>
              <w:left w:val="single" w:sz="4" w:space="0" w:color="auto"/>
              <w:bottom w:val="single" w:sz="4" w:space="0" w:color="auto"/>
              <w:right w:val="single" w:sz="4" w:space="0" w:color="auto"/>
            </w:tcBorders>
          </w:tcPr>
          <w:p w14:paraId="66799F96" w14:textId="0399D3A6" w:rsidR="00C46DC1" w:rsidRDefault="00C46DC1" w:rsidP="00232D69">
            <w:r w:rsidRPr="00672E24">
              <w:t>8</w:t>
            </w:r>
            <w:r>
              <w:t>,</w:t>
            </w:r>
            <w:r w:rsidRPr="00672E24">
              <w:t>877</w:t>
            </w:r>
            <w:r>
              <w:t>/</w:t>
            </w:r>
          </w:p>
          <w:p w14:paraId="0F06559F" w14:textId="77777777" w:rsidR="00C46DC1" w:rsidRPr="00672E24" w:rsidRDefault="00C46DC1" w:rsidP="00F600A5">
            <w:r w:rsidRPr="00672E24">
              <w:t>15,000</w:t>
            </w:r>
          </w:p>
          <w:p w14:paraId="010F7EB8" w14:textId="77777777" w:rsidR="00C46DC1" w:rsidRPr="00672E24" w:rsidRDefault="00C46DC1" w:rsidP="00F600A5">
            <w:r w:rsidRPr="00672E24">
              <w:t>(17,000)</w:t>
            </w:r>
          </w:p>
          <w:p w14:paraId="15939EAF" w14:textId="4A7D1709" w:rsidR="00C46DC1" w:rsidRPr="00672E24" w:rsidRDefault="00C46DC1" w:rsidP="00F600A5">
            <w:r w:rsidRPr="00672E24">
              <w:t>(19,000)</w:t>
            </w:r>
          </w:p>
        </w:tc>
        <w:tc>
          <w:tcPr>
            <w:tcW w:w="1260" w:type="dxa"/>
            <w:tcBorders>
              <w:top w:val="single" w:sz="4" w:space="0" w:color="auto"/>
              <w:left w:val="single" w:sz="4" w:space="0" w:color="auto"/>
              <w:bottom w:val="single" w:sz="4" w:space="0" w:color="auto"/>
              <w:right w:val="single" w:sz="4" w:space="0" w:color="auto"/>
            </w:tcBorders>
          </w:tcPr>
          <w:p w14:paraId="301E116F" w14:textId="77777777" w:rsidR="004E2F7E" w:rsidRDefault="00C46DC1" w:rsidP="00232D69">
            <w:r w:rsidRPr="004E2F7E">
              <w:t>1</w:t>
            </w:r>
            <w:r w:rsidR="00585B83" w:rsidRPr="004E2F7E">
              <w:t>,</w:t>
            </w:r>
            <w:r w:rsidRPr="004E2F7E">
              <w:t>553</w:t>
            </w:r>
            <w:r w:rsidR="004E2F7E" w:rsidRPr="004E2F7E">
              <w:t xml:space="preserve"> in QR16</w:t>
            </w:r>
          </w:p>
          <w:p w14:paraId="771E7398" w14:textId="72D603D6" w:rsidR="00C46DC1" w:rsidRDefault="004E2F7E" w:rsidP="00232D69">
            <w:r>
              <w:t>4,430</w:t>
            </w:r>
            <w:r w:rsidR="00C46DC1">
              <w:t>/</w:t>
            </w:r>
          </w:p>
          <w:p w14:paraId="03C6F4FC" w14:textId="77777777" w:rsidR="00C46DC1" w:rsidRPr="00672E24" w:rsidRDefault="00C46DC1" w:rsidP="00C46DC1">
            <w:r w:rsidRPr="00672E24">
              <w:t>15,000</w:t>
            </w:r>
          </w:p>
          <w:p w14:paraId="02B1266A" w14:textId="77777777" w:rsidR="00C46DC1" w:rsidRPr="00672E24" w:rsidRDefault="00C46DC1" w:rsidP="00C46DC1">
            <w:r w:rsidRPr="00672E24">
              <w:t>(17,000)</w:t>
            </w:r>
          </w:p>
          <w:p w14:paraId="2A3FCBDA" w14:textId="611B7331" w:rsidR="00C46DC1" w:rsidRPr="00672E24" w:rsidRDefault="00C46DC1" w:rsidP="00C46DC1">
            <w:r w:rsidRPr="00672E24">
              <w:t>(19,000)</w:t>
            </w:r>
          </w:p>
        </w:tc>
      </w:tr>
      <w:tr w:rsidR="00C46DC1" w:rsidRPr="00672E24" w14:paraId="5BDBAC51" w14:textId="77777777" w:rsidTr="00C46DC1">
        <w:tc>
          <w:tcPr>
            <w:tcW w:w="675" w:type="dxa"/>
            <w:vMerge w:val="restart"/>
            <w:tcBorders>
              <w:top w:val="single" w:sz="4" w:space="0" w:color="auto"/>
              <w:left w:val="single" w:sz="4" w:space="0" w:color="auto"/>
              <w:right w:val="single" w:sz="4" w:space="0" w:color="auto"/>
            </w:tcBorders>
          </w:tcPr>
          <w:p w14:paraId="73E97A5B" w14:textId="0C8F9131" w:rsidR="00C46DC1" w:rsidRPr="00672E24" w:rsidRDefault="00C46DC1" w:rsidP="00232D69">
            <w:r w:rsidRPr="00672E24">
              <w:t>PO5</w:t>
            </w:r>
          </w:p>
        </w:tc>
        <w:tc>
          <w:tcPr>
            <w:tcW w:w="1134" w:type="dxa"/>
            <w:vMerge w:val="restart"/>
            <w:tcBorders>
              <w:top w:val="single" w:sz="4" w:space="0" w:color="auto"/>
              <w:left w:val="single" w:sz="4" w:space="0" w:color="auto"/>
              <w:right w:val="single" w:sz="4" w:space="0" w:color="auto"/>
            </w:tcBorders>
          </w:tcPr>
          <w:p w14:paraId="5F07EC45" w14:textId="77777777" w:rsidR="00C46DC1" w:rsidRPr="00672E24" w:rsidRDefault="00C46DC1" w:rsidP="00232D69">
            <w:r w:rsidRPr="00672E24">
              <w:t>Transparent integration of other infrastructures</w:t>
            </w:r>
          </w:p>
        </w:tc>
        <w:tc>
          <w:tcPr>
            <w:tcW w:w="1899" w:type="dxa"/>
            <w:tcBorders>
              <w:top w:val="single" w:sz="4" w:space="0" w:color="auto"/>
              <w:left w:val="single" w:sz="4" w:space="0" w:color="auto"/>
              <w:bottom w:val="single" w:sz="4" w:space="0" w:color="auto"/>
              <w:right w:val="single" w:sz="4" w:space="0" w:color="auto"/>
            </w:tcBorders>
          </w:tcPr>
          <w:p w14:paraId="4DFFEC9B" w14:textId="77777777" w:rsidR="00C46DC1" w:rsidRPr="00672E24" w:rsidRDefault="00C46DC1" w:rsidP="00C46DC1">
            <w:pPr>
              <w:jc w:val="left"/>
            </w:pPr>
            <w:r w:rsidRPr="00672E24">
              <w:t>Number of on-going Research Infrastructures/new communities being integrated (M.SA1.Integration.4)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5AB2F78" w14:textId="77777777" w:rsidR="00C46DC1" w:rsidRPr="00672E24" w:rsidRDefault="00C46DC1" w:rsidP="00232D69">
            <w:r w:rsidRPr="00672E24">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D15927F" w14:textId="77777777" w:rsidR="00C46DC1" w:rsidRPr="00672E24" w:rsidRDefault="00C46DC1" w:rsidP="00232D69">
            <w:r w:rsidRPr="00672E24">
              <w:t>N/A</w:t>
            </w:r>
          </w:p>
        </w:tc>
        <w:tc>
          <w:tcPr>
            <w:tcW w:w="1170" w:type="dxa"/>
            <w:tcBorders>
              <w:top w:val="single" w:sz="4" w:space="0" w:color="auto"/>
              <w:left w:val="single" w:sz="4" w:space="0" w:color="auto"/>
              <w:bottom w:val="single" w:sz="4" w:space="0" w:color="auto"/>
              <w:right w:val="single" w:sz="4" w:space="0" w:color="auto"/>
            </w:tcBorders>
          </w:tcPr>
          <w:p w14:paraId="45CEFA90" w14:textId="77777777" w:rsidR="00C46DC1" w:rsidRPr="00672E24" w:rsidRDefault="00C46DC1" w:rsidP="00232D69">
            <w:r w:rsidRPr="00672E24">
              <w:t>N/A</w:t>
            </w:r>
          </w:p>
        </w:tc>
        <w:tc>
          <w:tcPr>
            <w:tcW w:w="1260" w:type="dxa"/>
            <w:tcBorders>
              <w:top w:val="single" w:sz="4" w:space="0" w:color="auto"/>
              <w:left w:val="single" w:sz="4" w:space="0" w:color="auto"/>
              <w:bottom w:val="single" w:sz="4" w:space="0" w:color="auto"/>
              <w:right w:val="single" w:sz="4" w:space="0" w:color="auto"/>
            </w:tcBorders>
          </w:tcPr>
          <w:p w14:paraId="751F11F7" w14:textId="77777777" w:rsidR="00C46DC1" w:rsidRDefault="00C46DC1" w:rsidP="00232D69">
            <w:r>
              <w:t>11/</w:t>
            </w:r>
          </w:p>
          <w:p w14:paraId="1DED12A1" w14:textId="77777777" w:rsidR="00C46DC1" w:rsidRPr="00672E24" w:rsidRDefault="00C46DC1" w:rsidP="00C46DC1">
            <w:r w:rsidRPr="00672E24">
              <w:t>5</w:t>
            </w:r>
          </w:p>
          <w:p w14:paraId="2AF0714C" w14:textId="77777777" w:rsidR="00C46DC1" w:rsidRPr="00672E24" w:rsidRDefault="00C46DC1" w:rsidP="00C46DC1">
            <w:r w:rsidRPr="00672E24">
              <w:t>(7)</w:t>
            </w:r>
          </w:p>
          <w:p w14:paraId="65373D09" w14:textId="77777777" w:rsidR="00C46DC1" w:rsidRDefault="00C46DC1" w:rsidP="00C46DC1">
            <w:r w:rsidRPr="00672E24">
              <w:t>(9)</w:t>
            </w:r>
            <w:r>
              <w:t>/</w:t>
            </w:r>
          </w:p>
          <w:p w14:paraId="7F1ECE42" w14:textId="132D669A" w:rsidR="00C46DC1" w:rsidRPr="00672E24" w:rsidRDefault="00C46DC1" w:rsidP="00C46DC1">
            <w:r>
              <w:t>NA</w:t>
            </w:r>
          </w:p>
        </w:tc>
      </w:tr>
      <w:tr w:rsidR="00C46DC1" w:rsidRPr="00672E24" w14:paraId="4733B613" w14:textId="77777777" w:rsidTr="00C46DC1">
        <w:tc>
          <w:tcPr>
            <w:tcW w:w="675" w:type="dxa"/>
            <w:vMerge/>
            <w:tcBorders>
              <w:left w:val="single" w:sz="4" w:space="0" w:color="auto"/>
              <w:bottom w:val="single" w:sz="4" w:space="0" w:color="auto"/>
              <w:right w:val="single" w:sz="4" w:space="0" w:color="auto"/>
            </w:tcBorders>
          </w:tcPr>
          <w:p w14:paraId="156E8076" w14:textId="4401288A" w:rsidR="00C46DC1" w:rsidRPr="00672E24" w:rsidRDefault="00C46DC1" w:rsidP="00232D69"/>
        </w:tc>
        <w:tc>
          <w:tcPr>
            <w:tcW w:w="1134" w:type="dxa"/>
            <w:vMerge/>
            <w:tcBorders>
              <w:left w:val="single" w:sz="4" w:space="0" w:color="auto"/>
              <w:bottom w:val="single" w:sz="4" w:space="0" w:color="auto"/>
              <w:right w:val="single" w:sz="4" w:space="0" w:color="auto"/>
            </w:tcBorders>
          </w:tcPr>
          <w:p w14:paraId="4B42EAF6"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613CACC4" w14:textId="77777777" w:rsidR="00C46DC1" w:rsidRPr="00672E24" w:rsidRDefault="00C46DC1" w:rsidP="00C46DC1">
            <w:pPr>
              <w:jc w:val="left"/>
            </w:pPr>
            <w:proofErr w:type="spellStart"/>
            <w:r w:rsidRPr="00672E24">
              <w:t>MoUs</w:t>
            </w:r>
            <w:proofErr w:type="spellEnd"/>
            <w:r w:rsidRPr="00672E24">
              <w:t xml:space="preserve"> with resource providers (M.NA2.10)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5CECCD1" w14:textId="77777777" w:rsidR="00C46DC1" w:rsidRDefault="00C46DC1" w:rsidP="00232D69">
            <w:r w:rsidRPr="00672E24">
              <w:t>1</w:t>
            </w:r>
            <w:r>
              <w:t>/</w:t>
            </w:r>
          </w:p>
          <w:p w14:paraId="39206EA3" w14:textId="39942B25" w:rsidR="00C46DC1" w:rsidRPr="00672E24" w:rsidRDefault="00C46DC1" w:rsidP="00232D69">
            <w: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430E95" w14:textId="2127FABE" w:rsidR="00C46DC1" w:rsidRPr="00672E24" w:rsidRDefault="00C46DC1" w:rsidP="00232D69">
            <w:r w:rsidRPr="00672E24">
              <w:t>3</w:t>
            </w:r>
            <w:r>
              <w:t>/5</w:t>
            </w:r>
          </w:p>
        </w:tc>
        <w:tc>
          <w:tcPr>
            <w:tcW w:w="1170" w:type="dxa"/>
            <w:tcBorders>
              <w:top w:val="single" w:sz="4" w:space="0" w:color="auto"/>
              <w:left w:val="single" w:sz="4" w:space="0" w:color="auto"/>
              <w:bottom w:val="single" w:sz="4" w:space="0" w:color="auto"/>
              <w:right w:val="single" w:sz="4" w:space="0" w:color="auto"/>
            </w:tcBorders>
          </w:tcPr>
          <w:p w14:paraId="3F8DF2AE" w14:textId="77777777" w:rsidR="00C46DC1" w:rsidRDefault="00C46DC1" w:rsidP="00232D69">
            <w:r w:rsidRPr="00672E24">
              <w:t>3</w:t>
            </w:r>
            <w:r>
              <w:t>/</w:t>
            </w:r>
          </w:p>
          <w:p w14:paraId="74A6E8DA" w14:textId="77777777" w:rsidR="00C46DC1" w:rsidRPr="00672E24" w:rsidRDefault="00C46DC1" w:rsidP="00F600A5">
            <w:r w:rsidRPr="00672E24">
              <w:t>4</w:t>
            </w:r>
          </w:p>
          <w:p w14:paraId="423FE802" w14:textId="77777777" w:rsidR="00C46DC1" w:rsidRPr="00672E24" w:rsidRDefault="00C46DC1" w:rsidP="00F600A5">
            <w:r w:rsidRPr="00672E24">
              <w:t>(5)</w:t>
            </w:r>
          </w:p>
          <w:p w14:paraId="015DE9CD" w14:textId="28B47576" w:rsidR="00C46DC1" w:rsidRDefault="00C46DC1" w:rsidP="00F600A5">
            <w:r w:rsidRPr="00672E24">
              <w:t>(5)</w:t>
            </w:r>
          </w:p>
          <w:p w14:paraId="1C16373A" w14:textId="77777777" w:rsidR="00C46DC1" w:rsidRPr="00672E24" w:rsidRDefault="00C46DC1" w:rsidP="00232D69"/>
        </w:tc>
        <w:tc>
          <w:tcPr>
            <w:tcW w:w="1260" w:type="dxa"/>
            <w:tcBorders>
              <w:top w:val="single" w:sz="4" w:space="0" w:color="auto"/>
              <w:left w:val="single" w:sz="4" w:space="0" w:color="auto"/>
              <w:bottom w:val="single" w:sz="4" w:space="0" w:color="auto"/>
              <w:right w:val="single" w:sz="4" w:space="0" w:color="auto"/>
            </w:tcBorders>
          </w:tcPr>
          <w:p w14:paraId="4FC5DDBD" w14:textId="77777777" w:rsidR="00C46DC1" w:rsidRDefault="00C46DC1" w:rsidP="00232D69">
            <w:r w:rsidRPr="007B384C">
              <w:t>6</w:t>
            </w:r>
            <w:r>
              <w:t>/</w:t>
            </w:r>
          </w:p>
          <w:p w14:paraId="28740B0E" w14:textId="77777777" w:rsidR="00C46DC1" w:rsidRPr="00672E24" w:rsidRDefault="00C46DC1" w:rsidP="00C46DC1">
            <w:r w:rsidRPr="00672E24">
              <w:t>4</w:t>
            </w:r>
          </w:p>
          <w:p w14:paraId="06D8E8CA" w14:textId="77777777" w:rsidR="00C46DC1" w:rsidRPr="00672E24" w:rsidRDefault="00C46DC1" w:rsidP="00C46DC1">
            <w:r w:rsidRPr="00672E24">
              <w:t>(5)</w:t>
            </w:r>
          </w:p>
          <w:p w14:paraId="671C63F6" w14:textId="4A67328C" w:rsidR="00C46DC1" w:rsidRPr="00672E24" w:rsidRDefault="00C46DC1" w:rsidP="00C46DC1">
            <w:r w:rsidRPr="00672E24">
              <w:t>(5)</w:t>
            </w:r>
          </w:p>
        </w:tc>
      </w:tr>
      <w:tr w:rsidR="00C46DC1" w:rsidRPr="00672E24" w14:paraId="324E2242" w14:textId="77777777" w:rsidTr="00C46DC1">
        <w:tc>
          <w:tcPr>
            <w:tcW w:w="675" w:type="dxa"/>
            <w:vMerge w:val="restart"/>
            <w:tcBorders>
              <w:top w:val="single" w:sz="4" w:space="0" w:color="auto"/>
              <w:left w:val="single" w:sz="4" w:space="0" w:color="auto"/>
              <w:right w:val="single" w:sz="4" w:space="0" w:color="auto"/>
            </w:tcBorders>
          </w:tcPr>
          <w:p w14:paraId="25DCCB59" w14:textId="74D8738C" w:rsidR="00C46DC1" w:rsidRPr="00672E24" w:rsidRDefault="00C46DC1" w:rsidP="00232D69">
            <w:r w:rsidRPr="00672E24">
              <w:t>PO6</w:t>
            </w:r>
          </w:p>
        </w:tc>
        <w:tc>
          <w:tcPr>
            <w:tcW w:w="1134" w:type="dxa"/>
            <w:vMerge w:val="restart"/>
            <w:tcBorders>
              <w:top w:val="single" w:sz="4" w:space="0" w:color="auto"/>
              <w:left w:val="single" w:sz="4" w:space="0" w:color="auto"/>
              <w:right w:val="single" w:sz="4" w:space="0" w:color="auto"/>
            </w:tcBorders>
          </w:tcPr>
          <w:p w14:paraId="2271E402" w14:textId="77777777" w:rsidR="00C46DC1" w:rsidRPr="00672E24" w:rsidRDefault="00C46DC1" w:rsidP="00232D69">
            <w:r w:rsidRPr="00672E24">
              <w:t>Integration of new technologies and resources</w:t>
            </w:r>
          </w:p>
        </w:tc>
        <w:tc>
          <w:tcPr>
            <w:tcW w:w="1899" w:type="dxa"/>
            <w:tcBorders>
              <w:top w:val="single" w:sz="4" w:space="0" w:color="auto"/>
              <w:left w:val="single" w:sz="4" w:space="0" w:color="auto"/>
              <w:bottom w:val="single" w:sz="4" w:space="0" w:color="auto"/>
              <w:right w:val="single" w:sz="4" w:space="0" w:color="auto"/>
            </w:tcBorders>
          </w:tcPr>
          <w:p w14:paraId="0644EFEE" w14:textId="77777777" w:rsidR="00C46DC1" w:rsidRPr="00672E24" w:rsidRDefault="00C46DC1" w:rsidP="00C46DC1">
            <w:pPr>
              <w:jc w:val="left"/>
            </w:pPr>
            <w:r w:rsidRPr="00672E24">
              <w:t>Number of HPC resources (M.SA1.Integration.1)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447ED48" w14:textId="77777777" w:rsidR="00C46DC1" w:rsidRDefault="00C46DC1" w:rsidP="00232D69">
            <w:r w:rsidRPr="00672E24">
              <w:t>49</w:t>
            </w:r>
            <w:r>
              <w:t>/</w:t>
            </w:r>
          </w:p>
          <w:p w14:paraId="4B1A993F" w14:textId="56669788" w:rsidR="00C46DC1" w:rsidRPr="00672E24" w:rsidRDefault="00C46DC1" w:rsidP="00232D69">
            <w: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96AA21" w14:textId="77777777" w:rsidR="00C46DC1" w:rsidRDefault="00C46DC1" w:rsidP="00232D69">
            <w:r w:rsidRPr="00672E24">
              <w:t>39</w:t>
            </w:r>
            <w:r>
              <w:t>/</w:t>
            </w:r>
          </w:p>
          <w:p w14:paraId="04DDBFAF" w14:textId="1909A44F" w:rsidR="00C46DC1" w:rsidRPr="00672E24" w:rsidRDefault="00C46DC1" w:rsidP="00232D69">
            <w:r>
              <w:t>3</w:t>
            </w:r>
          </w:p>
        </w:tc>
        <w:tc>
          <w:tcPr>
            <w:tcW w:w="1170" w:type="dxa"/>
            <w:tcBorders>
              <w:top w:val="single" w:sz="4" w:space="0" w:color="auto"/>
              <w:left w:val="single" w:sz="4" w:space="0" w:color="auto"/>
              <w:bottom w:val="single" w:sz="4" w:space="0" w:color="auto"/>
              <w:right w:val="single" w:sz="4" w:space="0" w:color="auto"/>
            </w:tcBorders>
          </w:tcPr>
          <w:p w14:paraId="2E0AF673" w14:textId="77777777" w:rsidR="00C46DC1" w:rsidRDefault="00C46DC1" w:rsidP="00232D69">
            <w:r w:rsidRPr="00672E24">
              <w:t>44</w:t>
            </w:r>
            <w:r>
              <w:t>/</w:t>
            </w:r>
          </w:p>
          <w:p w14:paraId="46300A52" w14:textId="77777777" w:rsidR="00C46DC1" w:rsidRPr="00672E24" w:rsidRDefault="00C46DC1" w:rsidP="00F600A5">
            <w:r w:rsidRPr="00672E24">
              <w:t>50</w:t>
            </w:r>
          </w:p>
          <w:p w14:paraId="3C08B9F1" w14:textId="77777777" w:rsidR="00C46DC1" w:rsidRPr="00672E24" w:rsidRDefault="00C46DC1" w:rsidP="00F600A5">
            <w:r w:rsidRPr="00672E24">
              <w:t>(50)</w:t>
            </w:r>
          </w:p>
          <w:p w14:paraId="3AB83A53" w14:textId="35D21756" w:rsidR="00C46DC1" w:rsidRPr="00672E24" w:rsidRDefault="00C46DC1" w:rsidP="00F600A5">
            <w:r w:rsidRPr="00672E24">
              <w:t>(50)</w:t>
            </w:r>
          </w:p>
        </w:tc>
        <w:tc>
          <w:tcPr>
            <w:tcW w:w="1260" w:type="dxa"/>
            <w:tcBorders>
              <w:top w:val="single" w:sz="4" w:space="0" w:color="auto"/>
              <w:left w:val="single" w:sz="4" w:space="0" w:color="auto"/>
              <w:bottom w:val="single" w:sz="4" w:space="0" w:color="auto"/>
              <w:right w:val="single" w:sz="4" w:space="0" w:color="auto"/>
            </w:tcBorders>
          </w:tcPr>
          <w:p w14:paraId="17625471" w14:textId="77777777" w:rsidR="00C46DC1" w:rsidRPr="00672E24" w:rsidRDefault="00C46DC1" w:rsidP="00232D69">
            <w:r w:rsidRPr="00672E24">
              <w:t>N/A</w:t>
            </w:r>
          </w:p>
        </w:tc>
      </w:tr>
      <w:tr w:rsidR="00C46DC1" w:rsidRPr="00672E24" w14:paraId="441413FC" w14:textId="77777777" w:rsidTr="00C46DC1">
        <w:tc>
          <w:tcPr>
            <w:tcW w:w="675" w:type="dxa"/>
            <w:vMerge/>
            <w:tcBorders>
              <w:left w:val="single" w:sz="4" w:space="0" w:color="auto"/>
              <w:right w:val="single" w:sz="4" w:space="0" w:color="auto"/>
            </w:tcBorders>
          </w:tcPr>
          <w:p w14:paraId="7A850215" w14:textId="759D77A9" w:rsidR="00C46DC1" w:rsidRPr="00672E24" w:rsidRDefault="00C46DC1" w:rsidP="00232D69"/>
        </w:tc>
        <w:tc>
          <w:tcPr>
            <w:tcW w:w="1134" w:type="dxa"/>
            <w:vMerge/>
            <w:tcBorders>
              <w:left w:val="single" w:sz="4" w:space="0" w:color="auto"/>
              <w:right w:val="single" w:sz="4" w:space="0" w:color="auto"/>
            </w:tcBorders>
          </w:tcPr>
          <w:p w14:paraId="5BADE41A" w14:textId="77777777" w:rsidR="00C46DC1" w:rsidRPr="00672E24" w:rsidRDefault="00C46DC1" w:rsidP="00232D69"/>
        </w:tc>
        <w:tc>
          <w:tcPr>
            <w:tcW w:w="1899" w:type="dxa"/>
            <w:tcBorders>
              <w:top w:val="single" w:sz="4" w:space="0" w:color="auto"/>
              <w:left w:val="single" w:sz="4" w:space="0" w:color="auto"/>
              <w:bottom w:val="single" w:sz="4" w:space="0" w:color="auto"/>
              <w:right w:val="single" w:sz="4" w:space="0" w:color="auto"/>
            </w:tcBorders>
          </w:tcPr>
          <w:p w14:paraId="391498AE" w14:textId="77777777" w:rsidR="00C46DC1" w:rsidRPr="00672E24" w:rsidRDefault="00C46DC1" w:rsidP="00C46DC1">
            <w:pPr>
              <w:jc w:val="left"/>
            </w:pPr>
            <w:r w:rsidRPr="00672E24">
              <w:t>Number of resource centres part of the EGI Federated Cloud (M.SA2.16)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D014F9" w14:textId="77777777" w:rsidR="00C46DC1" w:rsidRDefault="00C46DC1" w:rsidP="00232D69">
            <w:r w:rsidRPr="00672E24">
              <w:t>1</w:t>
            </w:r>
            <w:r>
              <w:t>/</w:t>
            </w:r>
          </w:p>
          <w:p w14:paraId="2BFDDE52" w14:textId="21C162C2" w:rsidR="00C46DC1" w:rsidRPr="00672E24" w:rsidRDefault="00C46DC1" w:rsidP="00232D69">
            <w: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1F128F7" w14:textId="77777777" w:rsidR="00C46DC1" w:rsidRDefault="00C46DC1" w:rsidP="00232D69">
            <w:r w:rsidRPr="00672E24">
              <w:t>7</w:t>
            </w:r>
            <w:r>
              <w:t>/</w:t>
            </w:r>
          </w:p>
          <w:p w14:paraId="443F7EDD" w14:textId="3BBD6366" w:rsidR="00C46DC1" w:rsidRPr="00672E24" w:rsidRDefault="00C46DC1" w:rsidP="00232D69">
            <w:r>
              <w:t>1</w:t>
            </w:r>
          </w:p>
        </w:tc>
        <w:tc>
          <w:tcPr>
            <w:tcW w:w="1170" w:type="dxa"/>
            <w:tcBorders>
              <w:top w:val="single" w:sz="4" w:space="0" w:color="auto"/>
              <w:left w:val="single" w:sz="4" w:space="0" w:color="auto"/>
              <w:bottom w:val="single" w:sz="4" w:space="0" w:color="auto"/>
              <w:right w:val="single" w:sz="4" w:space="0" w:color="auto"/>
            </w:tcBorders>
          </w:tcPr>
          <w:p w14:paraId="57D60E57" w14:textId="77777777" w:rsidR="00C46DC1" w:rsidRDefault="00C46DC1" w:rsidP="00232D69">
            <w:r w:rsidRPr="00672E24">
              <w:t>14</w:t>
            </w:r>
            <w:r>
              <w:t>/</w:t>
            </w:r>
          </w:p>
          <w:p w14:paraId="7A37405A" w14:textId="77777777" w:rsidR="00C46DC1" w:rsidRPr="00672E24" w:rsidRDefault="00C46DC1" w:rsidP="00F600A5">
            <w:r w:rsidRPr="00672E24">
              <w:t>10</w:t>
            </w:r>
          </w:p>
          <w:p w14:paraId="34ACC451" w14:textId="77777777" w:rsidR="00C46DC1" w:rsidRPr="00672E24" w:rsidRDefault="00C46DC1" w:rsidP="00F600A5">
            <w:r w:rsidRPr="00672E24">
              <w:t>(15)</w:t>
            </w:r>
          </w:p>
          <w:p w14:paraId="15C29EC8" w14:textId="62F42892" w:rsidR="00C46DC1" w:rsidRPr="00672E24" w:rsidRDefault="00C46DC1" w:rsidP="00F600A5">
            <w:r w:rsidRPr="00672E24">
              <w:t>(20)</w:t>
            </w:r>
          </w:p>
        </w:tc>
        <w:tc>
          <w:tcPr>
            <w:tcW w:w="1260" w:type="dxa"/>
            <w:tcBorders>
              <w:top w:val="single" w:sz="4" w:space="0" w:color="auto"/>
              <w:left w:val="single" w:sz="4" w:space="0" w:color="auto"/>
              <w:bottom w:val="single" w:sz="4" w:space="0" w:color="auto"/>
              <w:right w:val="single" w:sz="4" w:space="0" w:color="auto"/>
            </w:tcBorders>
          </w:tcPr>
          <w:p w14:paraId="740B024B" w14:textId="77777777" w:rsidR="00C46DC1" w:rsidRDefault="00C46DC1" w:rsidP="00232D69">
            <w:r>
              <w:t>15/</w:t>
            </w:r>
          </w:p>
          <w:p w14:paraId="2BCACA50" w14:textId="77777777" w:rsidR="00C46DC1" w:rsidRPr="00672E24" w:rsidRDefault="00C46DC1" w:rsidP="00C46DC1">
            <w:r w:rsidRPr="00672E24">
              <w:t>15</w:t>
            </w:r>
          </w:p>
          <w:p w14:paraId="1DC0213A" w14:textId="77777777" w:rsidR="00C46DC1" w:rsidRPr="00672E24" w:rsidRDefault="00C46DC1" w:rsidP="00C46DC1">
            <w:r w:rsidRPr="00672E24">
              <w:t>(20)</w:t>
            </w:r>
          </w:p>
          <w:p w14:paraId="447B2A57" w14:textId="6EC77074" w:rsidR="00C46DC1" w:rsidRPr="00672E24" w:rsidRDefault="00C46DC1" w:rsidP="00C46DC1">
            <w:r w:rsidRPr="00672E24">
              <w:t>(25)</w:t>
            </w:r>
          </w:p>
        </w:tc>
      </w:tr>
    </w:tbl>
    <w:p w14:paraId="4EBB8AF9" w14:textId="6563E47D" w:rsidR="00086FC2" w:rsidRDefault="00086FC2" w:rsidP="00F11DD9">
      <w:pPr>
        <w:rPr>
          <w:rFonts w:eastAsiaTheme="majorEastAsia"/>
        </w:rPr>
      </w:pPr>
    </w:p>
    <w:p w14:paraId="58B3E8EE" w14:textId="77777777" w:rsidR="00086FC2" w:rsidRPr="003B5602" w:rsidRDefault="00086FC2" w:rsidP="00086FC2">
      <w:r>
        <w:t xml:space="preserve">During the past four year, EGI established </w:t>
      </w:r>
      <w:r>
        <w:rPr>
          <w:lang w:val="en-US"/>
        </w:rPr>
        <w:t>41 multi-national and</w:t>
      </w:r>
      <w:r w:rsidRPr="00F96C53">
        <w:rPr>
          <w:lang w:val="en-US"/>
        </w:rPr>
        <w:t xml:space="preserve"> 26 national V</w:t>
      </w:r>
      <w:r>
        <w:rPr>
          <w:lang w:val="en-US"/>
        </w:rPr>
        <w:t xml:space="preserve">irtual </w:t>
      </w:r>
      <w:r w:rsidRPr="00F96C53">
        <w:rPr>
          <w:lang w:val="en-US"/>
        </w:rPr>
        <w:t>O</w:t>
      </w:r>
      <w:r>
        <w:rPr>
          <w:lang w:val="en-US"/>
        </w:rPr>
        <w:t>rganizations (VO</w:t>
      </w:r>
      <w:r w:rsidRPr="00F96C53">
        <w:rPr>
          <w:lang w:val="en-US"/>
        </w:rPr>
        <w:t>s</w:t>
      </w:r>
      <w:r>
        <w:rPr>
          <w:lang w:val="en-US"/>
        </w:rPr>
        <w:t xml:space="preserve">), of which five </w:t>
      </w:r>
      <w:r>
        <w:t>V</w:t>
      </w:r>
      <w:proofErr w:type="spellStart"/>
      <w:r w:rsidRPr="00F96C53">
        <w:rPr>
          <w:lang w:val="en-US"/>
        </w:rPr>
        <w:t>Os</w:t>
      </w:r>
      <w:proofErr w:type="spellEnd"/>
      <w:r w:rsidRPr="00F96C53">
        <w:rPr>
          <w:lang w:val="en-US"/>
        </w:rPr>
        <w:t xml:space="preserve"> </w:t>
      </w:r>
      <w:r>
        <w:rPr>
          <w:lang w:val="en-US"/>
        </w:rPr>
        <w:t>are related to</w:t>
      </w:r>
      <w:r w:rsidRPr="00F96C53">
        <w:rPr>
          <w:lang w:val="en-US"/>
        </w:rPr>
        <w:t xml:space="preserve"> </w:t>
      </w:r>
      <w:r>
        <w:rPr>
          <w:lang w:val="en-US"/>
        </w:rPr>
        <w:t xml:space="preserve">Research Infrastructures of the </w:t>
      </w:r>
      <w:r w:rsidRPr="00F96C53">
        <w:rPr>
          <w:lang w:val="en-US"/>
        </w:rPr>
        <w:t xml:space="preserve">ESFRI </w:t>
      </w:r>
      <w:r>
        <w:rPr>
          <w:lang w:val="en-US"/>
        </w:rPr>
        <w:t xml:space="preserve">to support </w:t>
      </w:r>
      <w:proofErr w:type="gramStart"/>
      <w:r>
        <w:rPr>
          <w:lang w:val="en-US"/>
        </w:rPr>
        <w:t>infrastructure testing</w:t>
      </w:r>
      <w:proofErr w:type="gramEnd"/>
      <w:r>
        <w:rPr>
          <w:lang w:val="en-US"/>
        </w:rPr>
        <w:t xml:space="preserve"> activities. The new VOs consumed 62 M CPU hours</w:t>
      </w:r>
      <w:r w:rsidRPr="00F96C53">
        <w:rPr>
          <w:lang w:val="en-US"/>
        </w:rPr>
        <w:t xml:space="preserve"> in total</w:t>
      </w:r>
      <w:r>
        <w:rPr>
          <w:lang w:val="en-US"/>
        </w:rPr>
        <w:t xml:space="preserve">, </w:t>
      </w:r>
      <w:r w:rsidRPr="00F96C53">
        <w:rPr>
          <w:lang w:val="en-US"/>
        </w:rPr>
        <w:t>attracted 680 power users (</w:t>
      </w:r>
      <w:r>
        <w:rPr>
          <w:lang w:val="en-US"/>
        </w:rPr>
        <w:t xml:space="preserve">with </w:t>
      </w:r>
      <w:r w:rsidRPr="00F96C53">
        <w:rPr>
          <w:lang w:val="en-US"/>
        </w:rPr>
        <w:t>personal certificate)</w:t>
      </w:r>
      <w:r>
        <w:t xml:space="preserve"> and </w:t>
      </w:r>
      <w:r>
        <w:rPr>
          <w:lang w:val="en-US"/>
        </w:rPr>
        <w:t>80 user communities based on robot certificates. These statistics only reflect the final outcome of the engagement strategy.</w:t>
      </w:r>
    </w:p>
    <w:p w14:paraId="08FBD226" w14:textId="77777777" w:rsidR="00086FC2" w:rsidRDefault="00086FC2" w:rsidP="00086FC2">
      <w:pPr>
        <w:rPr>
          <w:lang w:val="en-US"/>
        </w:rPr>
      </w:pPr>
      <w:r w:rsidRPr="00F96C53">
        <w:rPr>
          <w:lang w:val="en-US"/>
        </w:rPr>
        <w:t xml:space="preserve">251 new software </w:t>
      </w:r>
      <w:r>
        <w:rPr>
          <w:lang w:val="en-US"/>
        </w:rPr>
        <w:t>appliances were registered</w:t>
      </w:r>
      <w:r w:rsidRPr="00F96C53">
        <w:rPr>
          <w:lang w:val="en-US"/>
        </w:rPr>
        <w:t xml:space="preserve"> in the Applications Database</w:t>
      </w:r>
      <w:r>
        <w:rPr>
          <w:lang w:val="en-US"/>
        </w:rPr>
        <w:t xml:space="preserve">. Eight Virtual Team </w:t>
      </w:r>
      <w:r w:rsidRPr="00F96C53">
        <w:rPr>
          <w:lang w:val="en-US"/>
        </w:rPr>
        <w:t xml:space="preserve">projects </w:t>
      </w:r>
      <w:r>
        <w:rPr>
          <w:lang w:val="en-US"/>
        </w:rPr>
        <w:t xml:space="preserve">were established </w:t>
      </w:r>
      <w:r w:rsidRPr="00F96C53">
        <w:rPr>
          <w:lang w:val="en-US"/>
        </w:rPr>
        <w:t>for 8 multi-national scientific communities</w:t>
      </w:r>
      <w:r>
        <w:rPr>
          <w:lang w:val="en-US"/>
        </w:rPr>
        <w:t>.</w:t>
      </w:r>
    </w:p>
    <w:p w14:paraId="3FB9AD8F" w14:textId="77777777" w:rsidR="00086FC2" w:rsidRDefault="00086FC2" w:rsidP="00086FC2">
      <w:pPr>
        <w:rPr>
          <w:lang w:val="en-US"/>
        </w:rPr>
      </w:pPr>
      <w:r>
        <w:rPr>
          <w:lang w:val="en-US"/>
        </w:rPr>
        <w:t xml:space="preserve">More that 2000 peer reviewed scientific publications were made possible by the services of the EGI Collaboration. </w:t>
      </w:r>
    </w:p>
    <w:p w14:paraId="514411CD" w14:textId="77777777" w:rsidR="00086FC2" w:rsidRPr="0034344D" w:rsidRDefault="00086FC2" w:rsidP="00086FC2">
      <w:pPr>
        <w:rPr>
          <w:lang w:val="en-US"/>
        </w:rPr>
      </w:pPr>
      <w:r>
        <w:rPr>
          <w:lang w:val="en-US"/>
        </w:rPr>
        <w:t xml:space="preserve">Of the existing VOs, several increased their usage </w:t>
      </w:r>
      <w:r>
        <w:t>class during PY1-PY4 from low usage to high usage. Support activities VOs and Natural Sciences have been the disciplines with more VOs who increased their activities in the past four years. Support activities VOs mainly increased from Low Usage to Medium Usage, while all Natural Sciences VOs increase to High Usage.</w:t>
      </w:r>
    </w:p>
    <w:p w14:paraId="3B6BD0EC" w14:textId="77777777" w:rsidR="00086FC2" w:rsidRDefault="00086FC2" w:rsidP="00086FC2">
      <w:pPr>
        <w:keepNext/>
        <w:jc w:val="center"/>
      </w:pPr>
      <w:r>
        <w:rPr>
          <w:noProof/>
          <w:lang w:val="en-US" w:eastAsia="en-US"/>
        </w:rPr>
        <w:lastRenderedPageBreak/>
        <w:drawing>
          <wp:inline distT="0" distB="0" distL="0" distR="0" wp14:anchorId="46106718" wp14:editId="7E4FCF78">
            <wp:extent cx="3819300" cy="22976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increase.png"/>
                    <pic:cNvPicPr/>
                  </pic:nvPicPr>
                  <pic:blipFill>
                    <a:blip r:embed="rId27">
                      <a:extLst>
                        <a:ext uri="{28A0092B-C50C-407E-A947-70E740481C1C}">
                          <a14:useLocalDpi xmlns:a14="http://schemas.microsoft.com/office/drawing/2010/main" val="0"/>
                        </a:ext>
                      </a:extLst>
                    </a:blip>
                    <a:stretch>
                      <a:fillRect/>
                    </a:stretch>
                  </pic:blipFill>
                  <pic:spPr>
                    <a:xfrm>
                      <a:off x="0" y="0"/>
                      <a:ext cx="3819748" cy="2297937"/>
                    </a:xfrm>
                    <a:prstGeom prst="rect">
                      <a:avLst/>
                    </a:prstGeom>
                  </pic:spPr>
                </pic:pic>
              </a:graphicData>
            </a:graphic>
          </wp:inline>
        </w:drawing>
      </w:r>
    </w:p>
    <w:p w14:paraId="323AB358" w14:textId="77777777" w:rsidR="00086FC2" w:rsidRDefault="00086FC2" w:rsidP="00141B22">
      <w:pPr>
        <w:pStyle w:val="Caption"/>
        <w:jc w:val="center"/>
        <w:outlineLvl w:val="0"/>
      </w:pPr>
      <w:bookmarkStart w:id="46" w:name="_Ref264653634"/>
      <w:proofErr w:type="gramStart"/>
      <w:r>
        <w:t xml:space="preserve">Figure </w:t>
      </w:r>
      <w:proofErr w:type="gramEnd"/>
      <w:r w:rsidR="00660750">
        <w:fldChar w:fldCharType="begin"/>
      </w:r>
      <w:r w:rsidR="00660750">
        <w:instrText xml:space="preserve"> SEQ Figure \* ARABIC </w:instrText>
      </w:r>
      <w:r w:rsidR="00660750">
        <w:fldChar w:fldCharType="separate"/>
      </w:r>
      <w:r w:rsidR="00660750">
        <w:rPr>
          <w:noProof/>
        </w:rPr>
        <w:t>2</w:t>
      </w:r>
      <w:r w:rsidR="00660750">
        <w:rPr>
          <w:noProof/>
        </w:rPr>
        <w:fldChar w:fldCharType="end"/>
      </w:r>
      <w:bookmarkEnd w:id="46"/>
      <w:proofErr w:type="gramStart"/>
      <w:r>
        <w:t>.</w:t>
      </w:r>
      <w:proofErr w:type="gramEnd"/>
      <w:r>
        <w:t xml:space="preserve"> Distribution across disciplines of the VOs that increase the usage</w:t>
      </w:r>
    </w:p>
    <w:p w14:paraId="10FF06FF" w14:textId="77777777" w:rsidR="00086FC2" w:rsidRDefault="00086FC2" w:rsidP="00086FC2"/>
    <w:p w14:paraId="22BC17D1" w14:textId="77777777" w:rsidR="00086FC2" w:rsidRDefault="00086FC2" w:rsidP="00086FC2">
      <w:r>
        <w:br w:type="page"/>
      </w:r>
    </w:p>
    <w:p w14:paraId="24EA62BA" w14:textId="77777777" w:rsidR="00086FC2" w:rsidRDefault="00086FC2" w:rsidP="00086FC2"/>
    <w:p w14:paraId="4EDA3D15" w14:textId="77777777" w:rsidR="00086FC2" w:rsidRDefault="00086FC2" w:rsidP="00086FC2">
      <w:r>
        <w:rPr>
          <w:noProof/>
          <w:lang w:val="en-US" w:eastAsia="en-US"/>
        </w:rPr>
        <w:drawing>
          <wp:inline distT="0" distB="0" distL="0" distR="0" wp14:anchorId="56D720EF" wp14:editId="161751DC">
            <wp:extent cx="5722822" cy="28040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ge-otehr.png"/>
                    <pic:cNvPicPr/>
                  </pic:nvPicPr>
                  <pic:blipFill>
                    <a:blip r:embed="rId28">
                      <a:extLst>
                        <a:ext uri="{28A0092B-C50C-407E-A947-70E740481C1C}">
                          <a14:useLocalDpi xmlns:a14="http://schemas.microsoft.com/office/drawing/2010/main" val="0"/>
                        </a:ext>
                      </a:extLst>
                    </a:blip>
                    <a:stretch>
                      <a:fillRect/>
                    </a:stretch>
                  </pic:blipFill>
                  <pic:spPr>
                    <a:xfrm>
                      <a:off x="0" y="0"/>
                      <a:ext cx="5723866" cy="2804518"/>
                    </a:xfrm>
                    <a:prstGeom prst="rect">
                      <a:avLst/>
                    </a:prstGeom>
                  </pic:spPr>
                </pic:pic>
              </a:graphicData>
            </a:graphic>
          </wp:inline>
        </w:drawing>
      </w:r>
    </w:p>
    <w:p w14:paraId="25661B5C" w14:textId="77777777" w:rsidR="00086FC2" w:rsidRDefault="00086FC2" w:rsidP="00086FC2">
      <w:pPr>
        <w:jc w:val="center"/>
      </w:pPr>
      <w:r>
        <w:t>(</w:t>
      </w:r>
      <w:proofErr w:type="gramStart"/>
      <w:r>
        <w:t>a</w:t>
      </w:r>
      <w:proofErr w:type="gramEnd"/>
      <w:r>
        <w:t>)</w:t>
      </w:r>
    </w:p>
    <w:p w14:paraId="59344BE5" w14:textId="77777777" w:rsidR="00086FC2" w:rsidRDefault="00086FC2" w:rsidP="00086FC2">
      <w:pPr>
        <w:keepNext/>
      </w:pPr>
      <w:r>
        <w:rPr>
          <w:noProof/>
          <w:lang w:val="en-US" w:eastAsia="en-US"/>
        </w:rPr>
        <w:drawing>
          <wp:inline distT="0" distB="0" distL="0" distR="0" wp14:anchorId="17AC2104" wp14:editId="417B63DB">
            <wp:extent cx="5718122" cy="28206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ge-physics.png"/>
                    <pic:cNvPicPr/>
                  </pic:nvPicPr>
                  <pic:blipFill>
                    <a:blip r:embed="rId29">
                      <a:extLst>
                        <a:ext uri="{28A0092B-C50C-407E-A947-70E740481C1C}">
                          <a14:useLocalDpi xmlns:a14="http://schemas.microsoft.com/office/drawing/2010/main" val="0"/>
                        </a:ext>
                      </a:extLst>
                    </a:blip>
                    <a:stretch>
                      <a:fillRect/>
                    </a:stretch>
                  </pic:blipFill>
                  <pic:spPr>
                    <a:xfrm>
                      <a:off x="0" y="0"/>
                      <a:ext cx="5720249" cy="2821662"/>
                    </a:xfrm>
                    <a:prstGeom prst="rect">
                      <a:avLst/>
                    </a:prstGeom>
                  </pic:spPr>
                </pic:pic>
              </a:graphicData>
            </a:graphic>
          </wp:inline>
        </w:drawing>
      </w:r>
    </w:p>
    <w:p w14:paraId="4650883A" w14:textId="77777777" w:rsidR="00086FC2" w:rsidRDefault="00086FC2" w:rsidP="00086FC2">
      <w:pPr>
        <w:pStyle w:val="Caption"/>
      </w:pPr>
      <w:bookmarkStart w:id="47" w:name="_Ref264711155"/>
      <w:r>
        <w:t xml:space="preserve">Figure </w:t>
      </w:r>
      <w:r w:rsidR="00660750">
        <w:fldChar w:fldCharType="begin"/>
      </w:r>
      <w:r w:rsidR="00660750">
        <w:instrText xml:space="preserve"> SEQ Figure \* ARABIC </w:instrText>
      </w:r>
      <w:r w:rsidR="00660750">
        <w:fldChar w:fldCharType="separate"/>
      </w:r>
      <w:r w:rsidR="00660750">
        <w:rPr>
          <w:noProof/>
        </w:rPr>
        <w:t>3</w:t>
      </w:r>
      <w:r w:rsidR="00660750">
        <w:rPr>
          <w:noProof/>
        </w:rPr>
        <w:fldChar w:fldCharType="end"/>
      </w:r>
      <w:bookmarkEnd w:id="47"/>
      <w:r>
        <w:t>, computing resources usage, grouped per discipline (a and b). Physical sciences are shown separately (b).</w:t>
      </w:r>
    </w:p>
    <w:p w14:paraId="0BCF6480" w14:textId="1E07B62D" w:rsidR="00086FC2" w:rsidRDefault="00086FC2" w:rsidP="00086FC2">
      <w:pPr>
        <w:rPr>
          <w:rFonts w:eastAsiaTheme="majorEastAsia"/>
        </w:rPr>
      </w:pPr>
      <w:r>
        <w:fldChar w:fldCharType="begin"/>
      </w:r>
      <w:r>
        <w:instrText xml:space="preserve"> REF _Ref264711155 \h </w:instrText>
      </w:r>
      <w:r>
        <w:fldChar w:fldCharType="separate"/>
      </w:r>
      <w:r w:rsidR="00660750">
        <w:t xml:space="preserve">Figure </w:t>
      </w:r>
      <w:r w:rsidR="00660750">
        <w:rPr>
          <w:noProof/>
        </w:rPr>
        <w:t>3</w:t>
      </w:r>
      <w:r>
        <w:fldChar w:fldCharType="end"/>
      </w:r>
      <w:r>
        <w:t xml:space="preserve"> shows the resource usage, </w:t>
      </w:r>
      <w:r w:rsidR="009711C1">
        <w:t>grouping by disciplines. Since Physical S</w:t>
      </w:r>
      <w:r>
        <w:t xml:space="preserve">ciences </w:t>
      </w:r>
      <w:proofErr w:type="gramStart"/>
      <w:r>
        <w:t>is</w:t>
      </w:r>
      <w:proofErr w:type="gramEnd"/>
      <w:r>
        <w:t xml:space="preserve"> bigger in scale than the other disciplines, it has been separated in a different chart. (b) Increase in usage has been constant through the years, during PY2 some disciplines reduced the usage, but this has been compensated during PY3 and PY4 with sizeable increases in usage in most of the disciplines, with big relative increases in all of the non-physical disciplines. Biological sciences and medical sciences are those that experienced the higher relative increase, stimulated by the outreaching activities in these areas also facilitated by the participation to the </w:t>
      </w:r>
      <w:proofErr w:type="spellStart"/>
      <w:r>
        <w:t>BioMedBridges</w:t>
      </w:r>
      <w:proofErr w:type="spellEnd"/>
      <w:r>
        <w:t xml:space="preserve"> ESFRI cluster project, and the </w:t>
      </w:r>
      <w:r>
        <w:lastRenderedPageBreak/>
        <w:t>presence of a well internally organized Virtual Research Community: the “</w:t>
      </w:r>
      <w:proofErr w:type="spellStart"/>
      <w:r>
        <w:t>LifeScience</w:t>
      </w:r>
      <w:proofErr w:type="spellEnd"/>
      <w:r>
        <w:t xml:space="preserve"> Grid Community”</w:t>
      </w:r>
      <w:r>
        <w:rPr>
          <w:rStyle w:val="FootnoteReference"/>
        </w:rPr>
        <w:footnoteReference w:id="24"/>
      </w:r>
      <w:r>
        <w:t>. This increase in usage is not reflected in new VOs since in many cases users join existing VOs that are already widely supported by EGI resource centres</w:t>
      </w:r>
    </w:p>
    <w:p w14:paraId="2E4F4783" w14:textId="77777777" w:rsidR="00086FC2" w:rsidRDefault="00086FC2" w:rsidP="00F11DD9">
      <w:pPr>
        <w:rPr>
          <w:rFonts w:eastAsiaTheme="majorEastAsia"/>
        </w:rPr>
      </w:pPr>
    </w:p>
    <w:p w14:paraId="32772B3B" w14:textId="28E4B19E" w:rsidR="00086FC2" w:rsidRDefault="009711C1" w:rsidP="00141B22">
      <w:pPr>
        <w:pStyle w:val="Heading2"/>
        <w:rPr>
          <w:rFonts w:eastAsiaTheme="majorEastAsia"/>
        </w:rPr>
      </w:pPr>
      <w:bookmarkStart w:id="48" w:name="_Toc264803500"/>
      <w:r>
        <w:rPr>
          <w:rFonts w:eastAsiaTheme="majorEastAsia"/>
        </w:rPr>
        <w:t>Activity Metrics</w:t>
      </w:r>
      <w:bookmarkEnd w:id="48"/>
    </w:p>
    <w:p w14:paraId="514F9638" w14:textId="77777777" w:rsidR="00F11DD9" w:rsidRPr="00672E24" w:rsidRDefault="00F11DD9" w:rsidP="00F11DD9">
      <w:r w:rsidRPr="00672E24">
        <w:rPr>
          <w:rFonts w:eastAsiaTheme="majorEastAsia"/>
        </w:rPr>
        <w:t>Activity metrics</w:t>
      </w:r>
      <w:bookmarkEnd w:id="43"/>
      <w:bookmarkEnd w:id="44"/>
      <w:r w:rsidRPr="00672E24">
        <w:rPr>
          <w:rFonts w:eastAsiaTheme="majorEastAsia"/>
        </w:rPr>
        <w:t xml:space="preserve"> for each quarter are </w:t>
      </w:r>
      <w:r w:rsidRPr="00672E24">
        <w:t xml:space="preserve">available from the EGI Metrics Portal: </w:t>
      </w:r>
    </w:p>
    <w:p w14:paraId="7542BCDB" w14:textId="77777777" w:rsidR="00F11DD9" w:rsidRPr="00672E24" w:rsidRDefault="00660750" w:rsidP="00141B22">
      <w:pPr>
        <w:pStyle w:val="ListParagraph"/>
        <w:numPr>
          <w:ilvl w:val="0"/>
          <w:numId w:val="17"/>
        </w:numPr>
        <w:contextualSpacing w:val="0"/>
        <w:outlineLvl w:val="0"/>
      </w:pPr>
      <w:hyperlink r:id="rId30" w:history="1">
        <w:r w:rsidR="00F11DD9" w:rsidRPr="00672E24">
          <w:rPr>
            <w:rStyle w:val="Hyperlink"/>
          </w:rPr>
          <w:t>http://metrics.egi.eu/quarterly_report/QR13/</w:t>
        </w:r>
      </w:hyperlink>
    </w:p>
    <w:p w14:paraId="1C540796" w14:textId="77777777" w:rsidR="00F11DD9" w:rsidRPr="00672E24" w:rsidRDefault="00660750" w:rsidP="00B435DF">
      <w:pPr>
        <w:pStyle w:val="ListParagraph"/>
        <w:numPr>
          <w:ilvl w:val="0"/>
          <w:numId w:val="17"/>
        </w:numPr>
        <w:contextualSpacing w:val="0"/>
      </w:pPr>
      <w:hyperlink r:id="rId31" w:history="1">
        <w:r w:rsidR="00F11DD9" w:rsidRPr="00672E24">
          <w:rPr>
            <w:rStyle w:val="Hyperlink"/>
          </w:rPr>
          <w:t>http://metrics.egi.eu/quarterly_report/QR14/</w:t>
        </w:r>
      </w:hyperlink>
    </w:p>
    <w:p w14:paraId="0ABC8EF8" w14:textId="77777777" w:rsidR="009711C1" w:rsidRPr="009711C1" w:rsidRDefault="00660750" w:rsidP="00B435DF">
      <w:pPr>
        <w:pStyle w:val="ListParagraph"/>
        <w:numPr>
          <w:ilvl w:val="0"/>
          <w:numId w:val="17"/>
        </w:numPr>
        <w:contextualSpacing w:val="0"/>
        <w:rPr>
          <w:rStyle w:val="Hyperlink"/>
          <w:color w:val="auto"/>
          <w:u w:val="none"/>
        </w:rPr>
      </w:pPr>
      <w:hyperlink r:id="rId32" w:history="1">
        <w:r w:rsidR="00F11DD9" w:rsidRPr="00672E24">
          <w:rPr>
            <w:rStyle w:val="Hyperlink"/>
          </w:rPr>
          <w:t>http://metrics.egi.eu/quarterly_report/QR15/</w:t>
        </w:r>
      </w:hyperlink>
    </w:p>
    <w:p w14:paraId="5E94EFBA" w14:textId="7EC57716" w:rsidR="00BD3A29" w:rsidRDefault="00660750" w:rsidP="00B435DF">
      <w:pPr>
        <w:pStyle w:val="ListParagraph"/>
        <w:numPr>
          <w:ilvl w:val="0"/>
          <w:numId w:val="17"/>
        </w:numPr>
        <w:contextualSpacing w:val="0"/>
      </w:pPr>
      <w:hyperlink r:id="rId33" w:history="1">
        <w:r w:rsidR="00F11DD9" w:rsidRPr="00672E24">
          <w:rPr>
            <w:rStyle w:val="Hyperlink"/>
          </w:rPr>
          <w:t>http://metrics.egi.eu/quarterly_report/QR16/</w:t>
        </w:r>
      </w:hyperlink>
    </w:p>
    <w:p w14:paraId="12BD8957" w14:textId="77777777" w:rsidR="005E7DDD" w:rsidRDefault="005E7DDD" w:rsidP="00BD3A29"/>
    <w:p w14:paraId="0C4A8F1F" w14:textId="0BD628FB" w:rsidR="007344A0" w:rsidRPr="00B5413A" w:rsidRDefault="007344A0" w:rsidP="007344A0">
      <w:pPr>
        <w:jc w:val="left"/>
        <w:rPr>
          <w:i/>
        </w:rPr>
      </w:pPr>
      <w:r>
        <w:rPr>
          <w:rStyle w:val="Hyperlink"/>
          <w:i/>
          <w:color w:val="auto"/>
          <w:u w:val="none"/>
        </w:rPr>
        <w:t xml:space="preserve">Plans for Year </w:t>
      </w:r>
      <w:r w:rsidR="00660F19">
        <w:rPr>
          <w:rStyle w:val="Hyperlink"/>
          <w:i/>
          <w:color w:val="auto"/>
          <w:u w:val="none"/>
        </w:rPr>
        <w:t>Five</w:t>
      </w:r>
      <w:r w:rsidRPr="00B5413A">
        <w:rPr>
          <w:rStyle w:val="Hyperlink"/>
          <w:i/>
          <w:color w:val="auto"/>
          <w:u w:val="none"/>
        </w:rPr>
        <w:t>:</w:t>
      </w:r>
    </w:p>
    <w:p w14:paraId="23615ACD" w14:textId="787693A1" w:rsidR="007344A0" w:rsidRDefault="007344A0" w:rsidP="00BD3A29">
      <w:r>
        <w:t>The project metrics will continue to be collected during the final year of the EGI-InSPIRE project and used to track the progress of the project’s objectives. At the end of the project and assessment of the effectiveness of these metrics will be made to inform any future activitie</w:t>
      </w:r>
      <w:r w:rsidR="009711C1">
        <w:t>s</w:t>
      </w:r>
      <w:r>
        <w:t>.</w:t>
      </w:r>
    </w:p>
    <w:p w14:paraId="68E52956" w14:textId="77777777" w:rsidR="0024604D" w:rsidRDefault="007344A0" w:rsidP="00141B22">
      <w:pPr>
        <w:pStyle w:val="Heading1"/>
      </w:pPr>
      <w:bookmarkStart w:id="49" w:name="_Toc264803501"/>
      <w:r>
        <w:lastRenderedPageBreak/>
        <w:t xml:space="preserve">EGI </w:t>
      </w:r>
      <w:r w:rsidR="0024604D">
        <w:t>Strateg</w:t>
      </w:r>
      <w:r>
        <w:t>ic</w:t>
      </w:r>
      <w:r w:rsidR="0024604D">
        <w:t xml:space="preserve"> Metrics</w:t>
      </w:r>
      <w:bookmarkEnd w:id="49"/>
    </w:p>
    <w:p w14:paraId="780A8571" w14:textId="7400E03E" w:rsidR="009711C1" w:rsidRDefault="00B43F22" w:rsidP="008078B1">
      <w:r>
        <w:t>I</w:t>
      </w:r>
      <w:r w:rsidR="00A21B1E">
        <w:t xml:space="preserve">n the </w:t>
      </w:r>
      <w:r>
        <w:t>last edition of this document (D1.11</w:t>
      </w:r>
      <w:r w:rsidR="009711C1">
        <w:rPr>
          <w:rStyle w:val="FootnoteReference"/>
        </w:rPr>
        <w:footnoteReference w:id="25"/>
      </w:r>
      <w:r>
        <w:t xml:space="preserve">), we presented a full definition of a balanced scorecard that links the EGI vision, mission and core values to strategic objectives, which implementation can be tracked through a number of key performance indicators. </w:t>
      </w:r>
    </w:p>
    <w:p w14:paraId="1E26EB78" w14:textId="46AE26ED" w:rsidR="00B43F22" w:rsidRDefault="00864B49" w:rsidP="008078B1">
      <w:r>
        <w:t xml:space="preserve">The balanced scorecard </w:t>
      </w:r>
      <w:r w:rsidR="002E751B">
        <w:t>is recognised to be a valid</w:t>
      </w:r>
      <w:r>
        <w:t xml:space="preserve"> measurement system, strategic management system and communication tool. </w:t>
      </w:r>
      <w:r w:rsidR="00B43F22">
        <w:t>During the third EGI-</w:t>
      </w:r>
      <w:proofErr w:type="spellStart"/>
      <w:r w:rsidR="00B43F22">
        <w:t>InSPIRE</w:t>
      </w:r>
      <w:proofErr w:type="spellEnd"/>
      <w:r w:rsidR="00B43F22">
        <w:t xml:space="preserve"> review, EC reviewers raised concerns on the suitability of the tool for not-for-profit organisations where stakeholders extend beyond shareholders.</w:t>
      </w:r>
      <w:r w:rsidR="00B43F22" w:rsidRPr="00B43F22">
        <w:t xml:space="preserve"> </w:t>
      </w:r>
      <w:r w:rsidR="00B43F22">
        <w:t>According to our investigations, the fourth-generation balanced scorecard offers the flexibility to adapt to non-profit organisations</w:t>
      </w:r>
      <w:r w:rsidR="00B43F22">
        <w:rPr>
          <w:rStyle w:val="FootnoteReference"/>
        </w:rPr>
        <w:footnoteReference w:id="26"/>
      </w:r>
      <w:r w:rsidR="00B43F22">
        <w:t xml:space="preserve"> by increasing the number of perspectives that tackle the different layers of stakeholders (from researchers to funding agencies). Nevertheless, we acknowledge that the tool needs to be further evolved in its adoption and more deeply embedded in the strategic decision-making process. Over the last year, both the EGI strategy and the sustainability analysis evolved, therefore this tool needs to be updated accordingly. </w:t>
      </w:r>
    </w:p>
    <w:p w14:paraId="3A82E41D" w14:textId="2D840DB0" w:rsidR="00BF5AC7" w:rsidRDefault="00B43F22" w:rsidP="00BF5AC7">
      <w:pPr>
        <w:spacing w:line="276" w:lineRule="auto"/>
        <w:rPr>
          <w:b/>
        </w:rPr>
      </w:pPr>
      <w:r>
        <w:t>The fourth-generation balanced scorecard starts by defining a strategy map, which is a multi-layered diagram grouping the strategic objectives by perspectives that are naturally linked by a cause-effect relationship</w:t>
      </w:r>
      <w:r w:rsidR="00864B49">
        <w:t xml:space="preserve"> and connected to the EGI vision/mission and core values</w:t>
      </w:r>
      <w:r>
        <w:t>.</w:t>
      </w:r>
      <w:r w:rsidR="00864B49">
        <w:t xml:space="preserve"> </w:t>
      </w:r>
      <w:r w:rsidR="00835DCD">
        <w:t>T</w:t>
      </w:r>
      <w:r w:rsidR="00E96B64">
        <w:t xml:space="preserve">he </w:t>
      </w:r>
      <w:r w:rsidR="008078B1">
        <w:t xml:space="preserve">perspectives </w:t>
      </w:r>
      <w:r w:rsidR="00E96B64">
        <w:t xml:space="preserve">selected </w:t>
      </w:r>
      <w:r w:rsidR="00864B49">
        <w:t xml:space="preserve">for the balanced scorecard </w:t>
      </w:r>
      <w:r w:rsidR="00BF5AC7">
        <w:t>and the related questions are:</w:t>
      </w:r>
      <w:r w:rsidR="00BF5AC7" w:rsidRPr="00BF5AC7">
        <w:rPr>
          <w:b/>
        </w:rPr>
        <w:t xml:space="preserve"> </w:t>
      </w:r>
    </w:p>
    <w:p w14:paraId="2237DF2B" w14:textId="77777777" w:rsidR="00BF5AC7" w:rsidRDefault="00BF5AC7" w:rsidP="00B435DF">
      <w:pPr>
        <w:pStyle w:val="ListParagraph"/>
        <w:numPr>
          <w:ilvl w:val="0"/>
          <w:numId w:val="12"/>
        </w:numPr>
        <w:spacing w:line="276" w:lineRule="auto"/>
      </w:pPr>
      <w:r w:rsidRPr="00BF5AC7">
        <w:rPr>
          <w:b/>
        </w:rPr>
        <w:t>Learning &amp; Growth:</w:t>
      </w:r>
      <w:r w:rsidRPr="00B9632B">
        <w:t xml:space="preserve"> </w:t>
      </w:r>
      <w:r>
        <w:t>“</w:t>
      </w:r>
      <w:r w:rsidRPr="00B9632B">
        <w:t xml:space="preserve">how </w:t>
      </w:r>
      <w:r>
        <w:t xml:space="preserve">EGI must </w:t>
      </w:r>
      <w:r w:rsidRPr="00B9632B">
        <w:t>learn, grow and develop as an organisation</w:t>
      </w:r>
      <w:r>
        <w:t>”</w:t>
      </w:r>
    </w:p>
    <w:p w14:paraId="641CCCB6" w14:textId="54792DCB" w:rsidR="00BF5AC7" w:rsidRDefault="00BF5AC7" w:rsidP="00B435DF">
      <w:pPr>
        <w:pStyle w:val="ListParagraph"/>
        <w:numPr>
          <w:ilvl w:val="0"/>
          <w:numId w:val="12"/>
        </w:numPr>
        <w:spacing w:line="276" w:lineRule="auto"/>
      </w:pPr>
      <w:r w:rsidRPr="00BF5AC7">
        <w:rPr>
          <w:b/>
        </w:rPr>
        <w:t>Processes:</w:t>
      </w:r>
      <w:r>
        <w:t xml:space="preserve"> “</w:t>
      </w:r>
      <w:r w:rsidRPr="00B9632B">
        <w:t>to satisfy our beneficiaries and funders, what</w:t>
      </w:r>
      <w:r>
        <w:t xml:space="preserve"> must we focus on and excel at?”</w:t>
      </w:r>
    </w:p>
    <w:p w14:paraId="4C38AE64" w14:textId="3FE6410D" w:rsidR="00BF5AC7" w:rsidRDefault="00BF5AC7" w:rsidP="00B435DF">
      <w:pPr>
        <w:pStyle w:val="ListParagraph"/>
        <w:numPr>
          <w:ilvl w:val="0"/>
          <w:numId w:val="12"/>
        </w:numPr>
        <w:spacing w:line="276" w:lineRule="auto"/>
        <w:contextualSpacing w:val="0"/>
      </w:pPr>
      <w:r w:rsidRPr="00BF5AC7">
        <w:rPr>
          <w:b/>
        </w:rPr>
        <w:t>Direct beneficiaries:</w:t>
      </w:r>
      <w:r>
        <w:t xml:space="preserve"> “w</w:t>
      </w:r>
      <w:r w:rsidRPr="00B9632B">
        <w:t>hat do our direct beneficiaries want?</w:t>
      </w:r>
      <w:r>
        <w:t>”</w:t>
      </w:r>
      <w:r w:rsidRPr="00B9632B">
        <w:t xml:space="preserve"> </w:t>
      </w:r>
    </w:p>
    <w:p w14:paraId="358719BB" w14:textId="77777777" w:rsidR="00BF5AC7" w:rsidRPr="00B9632B" w:rsidRDefault="00BF5AC7" w:rsidP="00B435DF">
      <w:pPr>
        <w:pStyle w:val="ListParagraph"/>
        <w:numPr>
          <w:ilvl w:val="0"/>
          <w:numId w:val="12"/>
        </w:numPr>
        <w:spacing w:line="276" w:lineRule="auto"/>
        <w:contextualSpacing w:val="0"/>
      </w:pPr>
      <w:r w:rsidRPr="00DD1FD3">
        <w:rPr>
          <w:b/>
        </w:rPr>
        <w:t>Funders:</w:t>
      </w:r>
      <w:r w:rsidRPr="00B9632B">
        <w:t xml:space="preserve"> </w:t>
      </w:r>
      <w:r>
        <w:t>“</w:t>
      </w:r>
      <w:r w:rsidRPr="00B9632B">
        <w:t>what do our funders want in return for funds?</w:t>
      </w:r>
      <w:r>
        <w:t>”</w:t>
      </w:r>
    </w:p>
    <w:p w14:paraId="1AF2E7E3" w14:textId="77777777" w:rsidR="00BF5AC7" w:rsidRPr="00B9632B" w:rsidRDefault="00BF5AC7" w:rsidP="00B435DF">
      <w:pPr>
        <w:pStyle w:val="ListParagraph"/>
        <w:numPr>
          <w:ilvl w:val="0"/>
          <w:numId w:val="12"/>
        </w:numPr>
        <w:spacing w:line="276" w:lineRule="auto"/>
        <w:contextualSpacing w:val="0"/>
      </w:pPr>
      <w:r w:rsidRPr="00DD1FD3">
        <w:rPr>
          <w:b/>
        </w:rPr>
        <w:t>Income:</w:t>
      </w:r>
      <w:r>
        <w:t xml:space="preserve"> “</w:t>
      </w:r>
      <w:r w:rsidRPr="00B9632B">
        <w:t>if we succeed, what will our income look like?</w:t>
      </w:r>
      <w:r>
        <w:t>”</w:t>
      </w:r>
    </w:p>
    <w:p w14:paraId="06035681" w14:textId="77777777" w:rsidR="002E751B" w:rsidRDefault="002E751B" w:rsidP="008078B1"/>
    <w:p w14:paraId="2D57949C" w14:textId="77777777" w:rsidR="00EF06BD" w:rsidRDefault="002E751B" w:rsidP="002E751B">
      <w:r w:rsidRPr="00660F19">
        <w:t>The previous version of the balanced scorecard was linked to the EGI strategy document ‘Seeking New Horizon – EGI’s Role in 2020’ (https://documents.egi.eu/document/1098).</w:t>
      </w:r>
      <w:r w:rsidRPr="00EF06BD">
        <w:rPr>
          <w:b/>
        </w:rPr>
        <w:t xml:space="preserve"> In September 2013, the EGI strategy has been updated (</w:t>
      </w:r>
      <w:hyperlink r:id="rId34" w:history="1">
        <w:r w:rsidRPr="00EF06BD">
          <w:rPr>
            <w:rStyle w:val="Hyperlink"/>
            <w:b/>
          </w:rPr>
          <w:t>http://go.egi.eu/vision</w:t>
        </w:r>
      </w:hyperlink>
      <w:r w:rsidRPr="00EF06BD">
        <w:rPr>
          <w:b/>
        </w:rPr>
        <w:t>), while in April 2014 the vision and mission statements have been further</w:t>
      </w:r>
      <w:r w:rsidR="006B1BA3" w:rsidRPr="00EF06BD">
        <w:rPr>
          <w:b/>
        </w:rPr>
        <w:t xml:space="preserve"> revised (see D1.15 and D2.25) and the update of the strategic objectives are under formulation.</w:t>
      </w:r>
      <w:r w:rsidR="006B1BA3">
        <w:t xml:space="preserve"> </w:t>
      </w:r>
    </w:p>
    <w:p w14:paraId="19A3C1C9" w14:textId="13ECF1B4" w:rsidR="006B1BA3" w:rsidRDefault="006B1BA3" w:rsidP="002E751B">
      <w:r>
        <w:t xml:space="preserve">For this reason and due to the need of optimising efforts in light of the reduced manpower in the strategy and policy team, </w:t>
      </w:r>
      <w:r w:rsidRPr="00EF06BD">
        <w:rPr>
          <w:b/>
        </w:rPr>
        <w:t>this document present a preliminary update of the balanced scorecard with a new strategy map, new strategic objectives and key performance indicator definition.</w:t>
      </w:r>
      <w:r>
        <w:t xml:space="preserve"> The BSC and the definition of the data dictionary for the various metrics will be further developed during project year 5, when the new EGI strategy will consolidate. </w:t>
      </w:r>
    </w:p>
    <w:p w14:paraId="1153DA68" w14:textId="04012F61" w:rsidR="002E751B" w:rsidRDefault="006B1BA3" w:rsidP="006B1BA3">
      <w:r>
        <w:t xml:space="preserve">With regards to the impact of EGI to the Europe 2020 vision </w:t>
      </w:r>
      <w:r w:rsidR="002E751B">
        <w:t>(EU2020)</w:t>
      </w:r>
      <w:r w:rsidR="002E751B">
        <w:rPr>
          <w:rStyle w:val="FootnoteReference"/>
        </w:rPr>
        <w:footnoteReference w:id="27"/>
      </w:r>
      <w:r>
        <w:t xml:space="preserve">, it should be considered that </w:t>
      </w:r>
      <w:r w:rsidR="002E751B" w:rsidRPr="00987FBC">
        <w:t xml:space="preserve">the two important key flagship initiatives are the Digital Agenda for Europe (DAE) and the Innovation Union (IU). EGI plays an important role in achieving </w:t>
      </w:r>
      <w:r w:rsidR="002E751B">
        <w:t>a number</w:t>
      </w:r>
      <w:r w:rsidR="002E751B" w:rsidRPr="00987FBC">
        <w:t xml:space="preserve"> of the key actions defined in these </w:t>
      </w:r>
      <w:r w:rsidR="002E751B" w:rsidRPr="00987FBC">
        <w:lastRenderedPageBreak/>
        <w:t xml:space="preserve">initiatives. </w:t>
      </w:r>
      <w:r w:rsidR="002E751B">
        <w:t xml:space="preserve">The contribution </w:t>
      </w:r>
      <w:r>
        <w:t xml:space="preserve">of EGI </w:t>
      </w:r>
      <w:r w:rsidR="002E751B">
        <w:t xml:space="preserve">to the Europe 2020 will be captured </w:t>
      </w:r>
      <w:r>
        <w:t xml:space="preserve">with a dedicated measurement framework available at the following link </w:t>
      </w:r>
      <w:r w:rsidR="002E751B" w:rsidRPr="002E751B">
        <w:t>https://wiki.egi.eu/wiki/EU2020</w:t>
      </w:r>
      <w:r>
        <w:t>.</w:t>
      </w:r>
    </w:p>
    <w:p w14:paraId="47DE9C90" w14:textId="77777777" w:rsidR="00BF5AC7" w:rsidRDefault="00BF5AC7" w:rsidP="008078B1"/>
    <w:p w14:paraId="4A90BB7E" w14:textId="022820BA" w:rsidR="000D044D" w:rsidRDefault="008078B1" w:rsidP="008078B1">
      <w:r>
        <w:t xml:space="preserve">Figure 1 presents the EGI Strategy Map with the objectives that have been </w:t>
      </w:r>
      <w:r w:rsidR="00BF5AC7">
        <w:t>revised according to the latest results of the strategic conversations</w:t>
      </w:r>
      <w:r>
        <w:t>.</w:t>
      </w:r>
      <w:r w:rsidR="00BF5AC7">
        <w:t xml:space="preserve"> This is still work in progress and the cause-effect relationships will be added during PY5.</w:t>
      </w:r>
    </w:p>
    <w:p w14:paraId="2D75AAEA" w14:textId="77777777" w:rsidR="00001B40" w:rsidRDefault="00001B40" w:rsidP="00001B40"/>
    <w:p w14:paraId="7B6A12B4" w14:textId="45ECBBB6" w:rsidR="00001B40" w:rsidRDefault="00BF5AC7" w:rsidP="00001B40">
      <w:r>
        <w:rPr>
          <w:noProof/>
          <w:lang w:val="en-US" w:eastAsia="en-US"/>
        </w:rPr>
        <w:drawing>
          <wp:inline distT="0" distB="0" distL="0" distR="0" wp14:anchorId="064FABCD" wp14:editId="3DCEE9D1">
            <wp:extent cx="5755640" cy="4276090"/>
            <wp:effectExtent l="0" t="0" r="1016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png"/>
                    <pic:cNvPicPr/>
                  </pic:nvPicPr>
                  <pic:blipFill>
                    <a:blip r:embed="rId35">
                      <a:extLst>
                        <a:ext uri="{28A0092B-C50C-407E-A947-70E740481C1C}">
                          <a14:useLocalDpi xmlns:a14="http://schemas.microsoft.com/office/drawing/2010/main" val="0"/>
                        </a:ext>
                      </a:extLst>
                    </a:blip>
                    <a:stretch>
                      <a:fillRect/>
                    </a:stretch>
                  </pic:blipFill>
                  <pic:spPr>
                    <a:xfrm>
                      <a:off x="0" y="0"/>
                      <a:ext cx="5755640" cy="4276090"/>
                    </a:xfrm>
                    <a:prstGeom prst="rect">
                      <a:avLst/>
                    </a:prstGeom>
                  </pic:spPr>
                </pic:pic>
              </a:graphicData>
            </a:graphic>
          </wp:inline>
        </w:drawing>
      </w:r>
    </w:p>
    <w:p w14:paraId="2F5C797B" w14:textId="77777777" w:rsidR="00001B40" w:rsidRPr="00923697" w:rsidRDefault="00001B40" w:rsidP="00141B22">
      <w:pPr>
        <w:jc w:val="center"/>
        <w:outlineLvl w:val="0"/>
        <w:rPr>
          <w:b/>
        </w:rPr>
      </w:pPr>
      <w:r w:rsidRPr="00923697">
        <w:rPr>
          <w:b/>
        </w:rPr>
        <w:t xml:space="preserve">Figure </w:t>
      </w:r>
      <w:r w:rsidR="000858A8" w:rsidRPr="00923697">
        <w:rPr>
          <w:b/>
        </w:rPr>
        <w:fldChar w:fldCharType="begin"/>
      </w:r>
      <w:r w:rsidRPr="00923697">
        <w:rPr>
          <w:b/>
        </w:rPr>
        <w:instrText xml:space="preserve"> SEQ Figure \* ARABIC </w:instrText>
      </w:r>
      <w:r w:rsidR="000858A8" w:rsidRPr="00923697">
        <w:rPr>
          <w:b/>
        </w:rPr>
        <w:fldChar w:fldCharType="separate"/>
      </w:r>
      <w:r w:rsidR="00660750">
        <w:rPr>
          <w:b/>
          <w:noProof/>
        </w:rPr>
        <w:t>4</w:t>
      </w:r>
      <w:r w:rsidR="000858A8" w:rsidRPr="00923697">
        <w:rPr>
          <w:b/>
          <w:noProof/>
        </w:rPr>
        <w:fldChar w:fldCharType="end"/>
      </w:r>
      <w:r w:rsidRPr="00923697">
        <w:rPr>
          <w:b/>
        </w:rPr>
        <w:t xml:space="preserve"> - EGI Strategy Map</w:t>
      </w:r>
    </w:p>
    <w:p w14:paraId="09AD215A" w14:textId="77777777" w:rsidR="00001B40" w:rsidRDefault="00001B40" w:rsidP="00001B40"/>
    <w:p w14:paraId="0208205C" w14:textId="5E3E2C86" w:rsidR="007344A0" w:rsidRDefault="00BF5AC7" w:rsidP="008078B1">
      <w:r>
        <w:t xml:space="preserve">Table 3 presents the balanced scorecard where the various strategic objectives identified in the strategy map are described and have a number of key performance indicators associated. </w:t>
      </w:r>
      <w:r w:rsidR="007B79BC">
        <w:t>Base and stretch target as well as baseline values will be added in PY5.</w:t>
      </w:r>
    </w:p>
    <w:p w14:paraId="769E54BA" w14:textId="77777777" w:rsidR="00864B49" w:rsidRDefault="00864B49" w:rsidP="00864B49"/>
    <w:p w14:paraId="0CDB5A84" w14:textId="77777777" w:rsidR="00864B49" w:rsidRDefault="00864B49" w:rsidP="008078B1"/>
    <w:p w14:paraId="0CCE0D3E" w14:textId="77777777" w:rsidR="007344A0" w:rsidRDefault="007344A0" w:rsidP="008078B1"/>
    <w:p w14:paraId="57DEB042" w14:textId="77777777" w:rsidR="00001B40" w:rsidRDefault="00001B40" w:rsidP="00001B40">
      <w:pPr>
        <w:jc w:val="center"/>
        <w:rPr>
          <w:rFonts w:ascii="Calibri" w:hAnsi="Calibri" w:cs="Calibri"/>
          <w:b/>
          <w:i/>
          <w:vanish/>
        </w:rPr>
        <w:sectPr w:rsidR="00001B40">
          <w:pgSz w:w="11900" w:h="16840"/>
          <w:pgMar w:top="1418" w:right="1418" w:bottom="1418" w:left="1418" w:header="708" w:footer="708" w:gutter="0"/>
          <w:cols w:space="708"/>
        </w:sectPr>
      </w:pPr>
    </w:p>
    <w:p w14:paraId="087E1E01" w14:textId="77777777" w:rsidR="00001B40" w:rsidRDefault="00001B40" w:rsidP="00141B22">
      <w:pPr>
        <w:pStyle w:val="Caption"/>
        <w:keepNext/>
        <w:outlineLvl w:val="0"/>
      </w:pPr>
      <w:r>
        <w:lastRenderedPageBreak/>
        <w:t xml:space="preserve">Table </w:t>
      </w:r>
      <w:r w:rsidR="005E35AD">
        <w:t>3</w:t>
      </w:r>
      <w:r>
        <w:t xml:space="preserve"> EGI Balanced </w:t>
      </w:r>
      <w:proofErr w:type="gramStart"/>
      <w:r>
        <w:t>Scorecard</w:t>
      </w:r>
      <w:proofErr w:type="gramEnd"/>
    </w:p>
    <w:tbl>
      <w:tblPr>
        <w:tblW w:w="12758"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069"/>
        <w:gridCol w:w="58"/>
        <w:gridCol w:w="5103"/>
        <w:gridCol w:w="5528"/>
      </w:tblGrid>
      <w:tr w:rsidR="007B79BC" w:rsidRPr="00A21B1E" w14:paraId="583CCCDE"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6951B798" w14:textId="77777777" w:rsidR="007B79BC" w:rsidRPr="00A21B1E" w:rsidRDefault="007B79BC" w:rsidP="00F77A53">
            <w:pPr>
              <w:rPr>
                <w:bCs/>
                <w:sz w:val="20"/>
              </w:rPr>
            </w:pPr>
            <w:r w:rsidRPr="00A21B1E">
              <w:rPr>
                <w:bCs/>
                <w:sz w:val="20"/>
              </w:rPr>
              <w:t>Objectives</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7EFD3B00" w14:textId="77777777" w:rsidR="007B79BC" w:rsidRPr="00A21B1E" w:rsidRDefault="007B79BC" w:rsidP="00F77A53">
            <w:pPr>
              <w:rPr>
                <w:sz w:val="20"/>
              </w:rPr>
            </w:pPr>
            <w:r w:rsidRPr="00A21B1E">
              <w:rPr>
                <w:sz w:val="20"/>
              </w:rPr>
              <w:t>Objective Description</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53CD67B5" w14:textId="77777777" w:rsidR="007B79BC" w:rsidRPr="00A21B1E" w:rsidRDefault="007B79BC" w:rsidP="00F77A53">
            <w:pPr>
              <w:rPr>
                <w:sz w:val="20"/>
              </w:rPr>
            </w:pPr>
            <w:r w:rsidRPr="00A21B1E">
              <w:rPr>
                <w:sz w:val="20"/>
              </w:rPr>
              <w:t>Performance measures</w:t>
            </w:r>
          </w:p>
        </w:tc>
      </w:tr>
      <w:tr w:rsidR="007B79BC" w:rsidRPr="00A21B1E" w14:paraId="36C46ADF" w14:textId="77777777" w:rsidTr="007B79BC">
        <w:trPr>
          <w:cantSplit/>
        </w:trPr>
        <w:tc>
          <w:tcPr>
            <w:tcW w:w="7230" w:type="dxa"/>
            <w:gridSpan w:val="3"/>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2F8C57DC" w14:textId="77777777" w:rsidR="007B79BC" w:rsidRPr="00A21B1E" w:rsidRDefault="007B79BC" w:rsidP="00F77A53">
            <w:pPr>
              <w:rPr>
                <w:sz w:val="20"/>
              </w:rPr>
            </w:pPr>
            <w:r w:rsidRPr="00A21B1E">
              <w:rPr>
                <w:b/>
                <w:bCs/>
              </w:rPr>
              <w:t>Perspective: Learning &amp; Growth</w:t>
            </w:r>
          </w:p>
        </w:tc>
        <w:tc>
          <w:tcPr>
            <w:tcW w:w="5528" w:type="dxa"/>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36136C63" w14:textId="77777777" w:rsidR="007B79BC" w:rsidRPr="00A21B1E" w:rsidRDefault="007B79BC" w:rsidP="00F77A53">
            <w:pPr>
              <w:rPr>
                <w:sz w:val="20"/>
              </w:rPr>
            </w:pPr>
          </w:p>
        </w:tc>
      </w:tr>
      <w:tr w:rsidR="007B79BC" w:rsidRPr="00A21B1E" w14:paraId="1819C03E"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2844C069" w14:textId="77777777" w:rsidR="007B79BC" w:rsidRPr="00A21B1E" w:rsidRDefault="007B79BC" w:rsidP="0087725F">
            <w:pPr>
              <w:jc w:val="left"/>
              <w:rPr>
                <w:b/>
                <w:bCs/>
                <w:szCs w:val="22"/>
              </w:rPr>
            </w:pPr>
            <w:r w:rsidRPr="00A21B1E">
              <w:rPr>
                <w:bCs/>
                <w:szCs w:val="22"/>
              </w:rPr>
              <w:t>1. Develop expertise in technical and engagement areas</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709635FD" w14:textId="77777777" w:rsidR="007B79BC" w:rsidRPr="00A21B1E" w:rsidRDefault="007B79BC" w:rsidP="0087725F">
            <w:pPr>
              <w:outlineLvl w:val="4"/>
              <w:rPr>
                <w:szCs w:val="22"/>
              </w:rPr>
            </w:pPr>
            <w:r w:rsidRPr="00A21B1E">
              <w:rPr>
                <w:szCs w:val="22"/>
              </w:rPr>
              <w:t>Develop the human capital within the EGI ecosystem. This should have a positive impact on the technical effectiveness and capacity of the EGI ecosystem, the support that can be offered locally to all stakeholders, and the outreach capacity to scientists in different scientific disciplines.</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4DA20D71" w14:textId="4AF5BE25" w:rsidR="007B79BC" w:rsidRPr="00A21B1E" w:rsidRDefault="007B79BC" w:rsidP="00B656B6">
            <w:pPr>
              <w:pStyle w:val="ColorfulList-Accent11"/>
              <w:suppressAutoHyphens w:val="0"/>
              <w:spacing w:before="0" w:after="0"/>
              <w:ind w:left="0"/>
              <w:jc w:val="left"/>
              <w:outlineLvl w:val="4"/>
              <w:rPr>
                <w:szCs w:val="22"/>
              </w:rPr>
            </w:pPr>
            <w:r w:rsidRPr="00CF57DD">
              <w:rPr>
                <w:b/>
                <w:szCs w:val="22"/>
              </w:rPr>
              <w:t>1.1</w:t>
            </w:r>
            <w:r>
              <w:rPr>
                <w:szCs w:val="22"/>
              </w:rPr>
              <w:t xml:space="preserve"> Number of NGI-</w:t>
            </w:r>
            <w:r w:rsidRPr="00A21B1E">
              <w:rPr>
                <w:szCs w:val="22"/>
              </w:rPr>
              <w:t>supported training/tutorial attendee</w:t>
            </w:r>
            <w:r>
              <w:rPr>
                <w:szCs w:val="22"/>
              </w:rPr>
              <w:t>-</w:t>
            </w:r>
            <w:r w:rsidRPr="00A21B1E">
              <w:rPr>
                <w:szCs w:val="22"/>
              </w:rPr>
              <w:t>days undertaken at NGI events a year.</w:t>
            </w:r>
          </w:p>
          <w:p w14:paraId="2AB6E2D0" w14:textId="020A6D27" w:rsidR="007B79BC" w:rsidRPr="00A21B1E" w:rsidRDefault="007B79BC" w:rsidP="00B656B6">
            <w:pPr>
              <w:pStyle w:val="ColorfulList-Accent11"/>
              <w:suppressAutoHyphens w:val="0"/>
              <w:spacing w:before="0" w:after="0"/>
              <w:ind w:left="0"/>
              <w:jc w:val="left"/>
              <w:outlineLvl w:val="4"/>
              <w:rPr>
                <w:szCs w:val="22"/>
              </w:rPr>
            </w:pPr>
            <w:r w:rsidRPr="00CF57DD">
              <w:rPr>
                <w:b/>
                <w:szCs w:val="22"/>
              </w:rPr>
              <w:t>1.2</w:t>
            </w:r>
            <w:r>
              <w:rPr>
                <w:szCs w:val="22"/>
              </w:rPr>
              <w:t xml:space="preserve"> Number of NGI-</w:t>
            </w:r>
            <w:r w:rsidRPr="00A21B1E">
              <w:rPr>
                <w:szCs w:val="22"/>
              </w:rPr>
              <w:t>suppo</w:t>
            </w:r>
            <w:r>
              <w:rPr>
                <w:szCs w:val="22"/>
              </w:rPr>
              <w:t>rted training/tutorial attendee-</w:t>
            </w:r>
            <w:r w:rsidRPr="00A21B1E">
              <w:rPr>
                <w:szCs w:val="22"/>
              </w:rPr>
              <w:t>days undertaken through EGI Forums and dedicated events a year.</w:t>
            </w:r>
          </w:p>
          <w:p w14:paraId="6A0ED3D1" w14:textId="09095DBD" w:rsidR="007B79BC" w:rsidRPr="00A21B1E" w:rsidRDefault="007B79BC" w:rsidP="00793C2E">
            <w:pPr>
              <w:pStyle w:val="ColorfulList-Accent11"/>
              <w:suppressAutoHyphens w:val="0"/>
              <w:spacing w:before="0" w:after="0"/>
              <w:ind w:left="0"/>
              <w:jc w:val="left"/>
              <w:outlineLvl w:val="4"/>
              <w:rPr>
                <w:szCs w:val="22"/>
              </w:rPr>
            </w:pPr>
            <w:r w:rsidRPr="00CF57DD">
              <w:rPr>
                <w:b/>
                <w:szCs w:val="22"/>
              </w:rPr>
              <w:t>1.3</w:t>
            </w:r>
            <w:r w:rsidRPr="00A21B1E">
              <w:rPr>
                <w:szCs w:val="22"/>
              </w:rPr>
              <w:t xml:space="preserve"> Number of </w:t>
            </w:r>
            <w:r>
              <w:rPr>
                <w:szCs w:val="22"/>
              </w:rPr>
              <w:t>projects for creating VTs (or similar activities) meant to address technical challenges of the scientific community</w:t>
            </w:r>
            <w:r w:rsidRPr="00A21B1E">
              <w:rPr>
                <w:szCs w:val="22"/>
              </w:rPr>
              <w:t>.</w:t>
            </w:r>
          </w:p>
        </w:tc>
      </w:tr>
      <w:tr w:rsidR="007B79BC" w:rsidRPr="00A21B1E" w14:paraId="047C6C81" w14:textId="77777777" w:rsidTr="007B79BC">
        <w:trPr>
          <w:cantSplit/>
        </w:trPr>
        <w:tc>
          <w:tcPr>
            <w:tcW w:w="2069" w:type="dxa"/>
            <w:shd w:val="clear" w:color="auto" w:fill="auto"/>
          </w:tcPr>
          <w:p w14:paraId="2EF0BDA0" w14:textId="77777777" w:rsidR="007B79BC" w:rsidRPr="00A21B1E" w:rsidRDefault="007B79BC" w:rsidP="00F77A53">
            <w:pPr>
              <w:jc w:val="left"/>
              <w:rPr>
                <w:b/>
                <w:bCs/>
                <w:szCs w:val="22"/>
              </w:rPr>
            </w:pPr>
            <w:r w:rsidRPr="00A21B1E">
              <w:rPr>
                <w:bCs/>
                <w:szCs w:val="22"/>
              </w:rPr>
              <w:t>2. Strengthen strategic partnerships</w:t>
            </w:r>
          </w:p>
        </w:tc>
        <w:tc>
          <w:tcPr>
            <w:tcW w:w="5161" w:type="dxa"/>
            <w:gridSpan w:val="2"/>
            <w:shd w:val="clear" w:color="auto" w:fill="auto"/>
          </w:tcPr>
          <w:p w14:paraId="64A77851" w14:textId="77777777" w:rsidR="007B79BC" w:rsidRPr="00A21B1E" w:rsidRDefault="007B79BC" w:rsidP="00FD1630">
            <w:pPr>
              <w:outlineLvl w:val="4"/>
              <w:rPr>
                <w:szCs w:val="22"/>
              </w:rPr>
            </w:pPr>
            <w:r w:rsidRPr="00A21B1E">
              <w:rPr>
                <w:szCs w:val="22"/>
              </w:rPr>
              <w:t xml:space="preserve">Develop strategic relationships with </w:t>
            </w:r>
            <w:r>
              <w:rPr>
                <w:szCs w:val="22"/>
              </w:rPr>
              <w:t xml:space="preserve">peer-infrastructures and with </w:t>
            </w:r>
            <w:r w:rsidRPr="00A21B1E">
              <w:rPr>
                <w:szCs w:val="22"/>
              </w:rPr>
              <w:t>organisations</w:t>
            </w:r>
            <w:r>
              <w:rPr>
                <w:szCs w:val="22"/>
              </w:rPr>
              <w:t xml:space="preserve"> </w:t>
            </w:r>
            <w:r w:rsidRPr="00A21B1E">
              <w:rPr>
                <w:szCs w:val="22"/>
              </w:rPr>
              <w:t>/</w:t>
            </w:r>
            <w:r>
              <w:rPr>
                <w:szCs w:val="22"/>
              </w:rPr>
              <w:t xml:space="preserve"> </w:t>
            </w:r>
            <w:r w:rsidRPr="00A21B1E">
              <w:rPr>
                <w:szCs w:val="22"/>
              </w:rPr>
              <w:t>projects that can contribute or expand the EGI ecosystem (e.g., broaden technology offer, consulting on IT service management, engaging with developing regions, strategic partnerships)</w:t>
            </w:r>
          </w:p>
        </w:tc>
        <w:tc>
          <w:tcPr>
            <w:tcW w:w="5528" w:type="dxa"/>
            <w:shd w:val="clear" w:color="auto" w:fill="auto"/>
          </w:tcPr>
          <w:p w14:paraId="07BFA96D" w14:textId="77777777" w:rsidR="007B79BC" w:rsidRPr="00A21B1E" w:rsidRDefault="007B79BC" w:rsidP="00B656B6">
            <w:pPr>
              <w:rPr>
                <w:szCs w:val="22"/>
              </w:rPr>
            </w:pPr>
            <w:r w:rsidRPr="00CF57DD">
              <w:rPr>
                <w:b/>
                <w:szCs w:val="22"/>
              </w:rPr>
              <w:t>2.1</w:t>
            </w:r>
            <w:r w:rsidRPr="00A21B1E">
              <w:rPr>
                <w:szCs w:val="22"/>
              </w:rPr>
              <w:t xml:space="preserve"> </w:t>
            </w:r>
            <w:r w:rsidRPr="00A21B1E">
              <w:t xml:space="preserve">Number of pilot projects for collaboration with peer-infrastructure (such as PRACE, </w:t>
            </w:r>
            <w:r w:rsidRPr="00A21B1E">
              <w:rPr>
                <w:szCs w:val="22"/>
              </w:rPr>
              <w:t>EUDAT</w:t>
            </w:r>
            <w:r w:rsidRPr="00A21B1E">
              <w:t>) (i.e. in areas such as file transfer and access across e-infrastructures for different disciplines)</w:t>
            </w:r>
          </w:p>
          <w:p w14:paraId="2DCBBF54" w14:textId="77777777" w:rsidR="007B79BC" w:rsidRDefault="007B79BC" w:rsidP="00B656B6">
            <w:r w:rsidRPr="00CF57DD">
              <w:rPr>
                <w:b/>
                <w:szCs w:val="22"/>
              </w:rPr>
              <w:t>2.2</w:t>
            </w:r>
            <w:r w:rsidRPr="00A21B1E">
              <w:rPr>
                <w:szCs w:val="22"/>
              </w:rPr>
              <w:t xml:space="preserve"> Number </w:t>
            </w:r>
            <w:r w:rsidRPr="00A21B1E">
              <w:t>of external partners that actively contribute to EGI through defined agreements</w:t>
            </w:r>
          </w:p>
          <w:p w14:paraId="6E2D37DA" w14:textId="77777777" w:rsidR="007B79BC" w:rsidRPr="00A21B1E" w:rsidRDefault="007B79BC" w:rsidP="00B656B6">
            <w:pPr>
              <w:rPr>
                <w:szCs w:val="22"/>
              </w:rPr>
            </w:pPr>
          </w:p>
        </w:tc>
      </w:tr>
      <w:tr w:rsidR="007B79BC" w:rsidRPr="00A21B1E" w14:paraId="0318D42F"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345B532D" w14:textId="77777777" w:rsidR="007B79BC" w:rsidRPr="00A21B1E" w:rsidRDefault="007B79BC" w:rsidP="00F77A53">
            <w:pPr>
              <w:jc w:val="left"/>
              <w:rPr>
                <w:b/>
                <w:bCs/>
                <w:szCs w:val="22"/>
              </w:rPr>
            </w:pPr>
            <w:r w:rsidRPr="00A21B1E">
              <w:rPr>
                <w:bCs/>
                <w:szCs w:val="22"/>
              </w:rPr>
              <w:lastRenderedPageBreak/>
              <w:t>3.Strengthen governance</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676521BA" w14:textId="77777777" w:rsidR="007B79BC" w:rsidRDefault="007B79BC" w:rsidP="00CF57DD">
            <w:pPr>
              <w:outlineLvl w:val="4"/>
              <w:rPr>
                <w:szCs w:val="22"/>
              </w:rPr>
            </w:pPr>
            <w:r w:rsidRPr="00A21B1E">
              <w:rPr>
                <w:szCs w:val="22"/>
              </w:rPr>
              <w:t>Align the EGI governance to sustain the development of an open ecosystem</w:t>
            </w:r>
            <w:r w:rsidRPr="00A21B1E">
              <w:t xml:space="preserve"> that looks forward to H2020</w:t>
            </w:r>
            <w:r w:rsidRPr="00A21B1E">
              <w:rPr>
                <w:szCs w:val="22"/>
              </w:rPr>
              <w:t>, and to make governance more inclusive, flexible (takes into account changes that members have undergone in the last years) and decisive</w:t>
            </w:r>
            <w:r>
              <w:rPr>
                <w:szCs w:val="22"/>
              </w:rPr>
              <w:t>, which</w:t>
            </w:r>
            <w:r w:rsidRPr="00A21B1E">
              <w:rPr>
                <w:szCs w:val="22"/>
              </w:rPr>
              <w:t xml:space="preserve"> should be achieved by increasing the diversity of the stakeholders.</w:t>
            </w:r>
          </w:p>
          <w:p w14:paraId="7C77BC6C" w14:textId="77777777" w:rsidR="007B79BC" w:rsidRDefault="007B79BC" w:rsidP="00CF57DD">
            <w:pPr>
              <w:outlineLvl w:val="4"/>
              <w:rPr>
                <w:szCs w:val="22"/>
              </w:rPr>
            </w:pPr>
          </w:p>
          <w:p w14:paraId="1884834F" w14:textId="77777777" w:rsidR="007B79BC" w:rsidRDefault="007B79BC" w:rsidP="00CF57DD">
            <w:pPr>
              <w:outlineLvl w:val="4"/>
              <w:rPr>
                <w:szCs w:val="22"/>
              </w:rPr>
            </w:pPr>
          </w:p>
          <w:p w14:paraId="2EAE1BC8" w14:textId="77777777" w:rsidR="007B79BC" w:rsidRDefault="007B79BC" w:rsidP="00CF57DD">
            <w:pPr>
              <w:outlineLvl w:val="4"/>
              <w:rPr>
                <w:szCs w:val="22"/>
              </w:rPr>
            </w:pPr>
          </w:p>
          <w:p w14:paraId="686C9654" w14:textId="77777777" w:rsidR="007B79BC" w:rsidRDefault="007B79BC" w:rsidP="00CF57DD">
            <w:pPr>
              <w:outlineLvl w:val="4"/>
              <w:rPr>
                <w:szCs w:val="22"/>
              </w:rPr>
            </w:pPr>
          </w:p>
          <w:p w14:paraId="1E149173" w14:textId="5F695816" w:rsidR="007B79BC" w:rsidRPr="00A21B1E" w:rsidRDefault="007B79BC" w:rsidP="00CF57DD">
            <w:pPr>
              <w:outlineLvl w:val="4"/>
              <w:rPr>
                <w:szCs w:val="22"/>
              </w:rPr>
            </w:pP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6543DD05" w14:textId="77777777" w:rsidR="007B79BC" w:rsidRPr="00A21B1E" w:rsidRDefault="007B79BC" w:rsidP="00B656B6">
            <w:r w:rsidRPr="00CF57DD">
              <w:rPr>
                <w:b/>
              </w:rPr>
              <w:t>3.1</w:t>
            </w:r>
            <w:r>
              <w:t xml:space="preserve"> Number of different stakeholders represented in the EGI Council</w:t>
            </w:r>
          </w:p>
        </w:tc>
      </w:tr>
      <w:tr w:rsidR="007B79BC" w:rsidRPr="00A21B1E" w14:paraId="44362140" w14:textId="77777777" w:rsidTr="007B79BC">
        <w:trPr>
          <w:cantSplit/>
        </w:trPr>
        <w:tc>
          <w:tcPr>
            <w:tcW w:w="7230" w:type="dxa"/>
            <w:gridSpan w:val="3"/>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6A90C7B8" w14:textId="77777777" w:rsidR="007B79BC" w:rsidRPr="00A21B1E" w:rsidRDefault="007B79BC" w:rsidP="00D843D4">
            <w:pPr>
              <w:outlineLvl w:val="4"/>
              <w:rPr>
                <w:szCs w:val="22"/>
              </w:rPr>
            </w:pPr>
            <w:r w:rsidRPr="00A21B1E">
              <w:rPr>
                <w:szCs w:val="22"/>
              </w:rPr>
              <w:t>Perspective: Processes</w:t>
            </w:r>
          </w:p>
        </w:tc>
        <w:tc>
          <w:tcPr>
            <w:tcW w:w="5528" w:type="dxa"/>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4F4AC3F9" w14:textId="77777777" w:rsidR="007B79BC" w:rsidRPr="00A21B1E" w:rsidDel="00D96353" w:rsidRDefault="007B79BC" w:rsidP="00B656B6"/>
        </w:tc>
      </w:tr>
      <w:tr w:rsidR="007B79BC" w:rsidRPr="00A21B1E" w14:paraId="5608525A"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6BA67A60" w14:textId="77777777" w:rsidR="007B79BC" w:rsidRPr="00A21B1E" w:rsidRDefault="007B79BC" w:rsidP="00F77A53">
            <w:pPr>
              <w:jc w:val="left"/>
              <w:rPr>
                <w:bCs/>
                <w:szCs w:val="22"/>
              </w:rPr>
            </w:pPr>
            <w:r w:rsidRPr="00A21B1E">
              <w:rPr>
                <w:bCs/>
                <w:szCs w:val="22"/>
              </w:rPr>
              <w:t>4. Develop EGI as an open ICT ecosystem</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6CB1A4D1" w14:textId="2163ADE2" w:rsidR="007B79BC" w:rsidRPr="00A21B1E" w:rsidRDefault="007B79BC" w:rsidP="00B90320">
            <w:pPr>
              <w:outlineLvl w:val="4"/>
              <w:rPr>
                <w:szCs w:val="22"/>
              </w:rPr>
            </w:pPr>
            <w:r>
              <w:rPr>
                <w:szCs w:val="22"/>
              </w:rPr>
              <w:t>With an open</w:t>
            </w:r>
            <w:r w:rsidRPr="00A21B1E">
              <w:rPr>
                <w:szCs w:val="22"/>
              </w:rPr>
              <w:t xml:space="preserve"> </w:t>
            </w:r>
            <w:r>
              <w:rPr>
                <w:szCs w:val="22"/>
              </w:rPr>
              <w:t>ICT ecosystem</w:t>
            </w:r>
            <w:r w:rsidRPr="00A21B1E">
              <w:rPr>
                <w:szCs w:val="22"/>
              </w:rPr>
              <w:t xml:space="preserve"> (including well-defined roles, processes and interfaces) the confidence of external actors to build on top of the EGI platforms should improve healthy competition and expanding the ecosystem.</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0DDF3819" w14:textId="28D00A14" w:rsidR="007B79BC" w:rsidRDefault="007B79BC" w:rsidP="00F77A53">
            <w:pPr>
              <w:pStyle w:val="ColorfulList-Accent11"/>
              <w:suppressAutoHyphens w:val="0"/>
              <w:spacing w:before="0" w:after="0"/>
              <w:ind w:left="0"/>
              <w:jc w:val="left"/>
              <w:rPr>
                <w:szCs w:val="22"/>
              </w:rPr>
            </w:pPr>
            <w:r w:rsidRPr="00CF57DD">
              <w:rPr>
                <w:b/>
                <w:szCs w:val="22"/>
              </w:rPr>
              <w:t>4.1</w:t>
            </w:r>
            <w:r>
              <w:rPr>
                <w:szCs w:val="22"/>
              </w:rPr>
              <w:t xml:space="preserve"> Percentage of user-facing services offering an open standard API</w:t>
            </w:r>
          </w:p>
          <w:p w14:paraId="760CCE26" w14:textId="0ED67218" w:rsidR="007B79BC" w:rsidRDefault="007B79BC" w:rsidP="00F77A53">
            <w:pPr>
              <w:pStyle w:val="ColorfulList-Accent11"/>
              <w:suppressAutoHyphens w:val="0"/>
              <w:spacing w:before="0" w:after="0"/>
              <w:ind w:left="0"/>
              <w:jc w:val="left"/>
              <w:rPr>
                <w:szCs w:val="22"/>
              </w:rPr>
            </w:pPr>
            <w:r w:rsidRPr="00CF57DD">
              <w:rPr>
                <w:b/>
                <w:szCs w:val="22"/>
              </w:rPr>
              <w:t>4.2</w:t>
            </w:r>
            <w:r>
              <w:rPr>
                <w:szCs w:val="22"/>
              </w:rPr>
              <w:t xml:space="preserve"> </w:t>
            </w:r>
            <w:r w:rsidRPr="008A7ABC">
              <w:rPr>
                <w:szCs w:val="22"/>
              </w:rPr>
              <w:t>Number of applications and platforms that are integrated with EGI computing services</w:t>
            </w:r>
          </w:p>
          <w:p w14:paraId="62013767" w14:textId="77777777" w:rsidR="007B79BC" w:rsidRDefault="007B79BC" w:rsidP="008A7ABC">
            <w:pPr>
              <w:pStyle w:val="ColorfulList-Accent11"/>
              <w:suppressAutoHyphens w:val="0"/>
              <w:spacing w:before="0" w:after="0"/>
              <w:ind w:left="0"/>
              <w:jc w:val="left"/>
              <w:rPr>
                <w:szCs w:val="22"/>
              </w:rPr>
            </w:pPr>
          </w:p>
          <w:p w14:paraId="644D7B1E" w14:textId="77777777" w:rsidR="007B79BC" w:rsidRDefault="007B79BC" w:rsidP="00F77A53">
            <w:pPr>
              <w:pStyle w:val="ColorfulList-Accent11"/>
              <w:suppressAutoHyphens w:val="0"/>
              <w:spacing w:before="0" w:after="0"/>
              <w:ind w:left="0"/>
              <w:jc w:val="left"/>
              <w:rPr>
                <w:szCs w:val="22"/>
              </w:rPr>
            </w:pPr>
          </w:p>
          <w:p w14:paraId="4698FAA7" w14:textId="77777777" w:rsidR="007B79BC" w:rsidRPr="00A21B1E" w:rsidRDefault="007B79BC" w:rsidP="008A7ABC">
            <w:pPr>
              <w:pStyle w:val="ColorfulList-Accent11"/>
              <w:suppressAutoHyphens w:val="0"/>
              <w:spacing w:before="0" w:after="0"/>
              <w:ind w:left="0"/>
              <w:jc w:val="left"/>
              <w:rPr>
                <w:szCs w:val="22"/>
              </w:rPr>
            </w:pPr>
          </w:p>
        </w:tc>
      </w:tr>
      <w:tr w:rsidR="007B79BC" w:rsidRPr="00A21B1E" w14:paraId="50483F45" w14:textId="77777777" w:rsidTr="007B79BC">
        <w:trPr>
          <w:cantSplit/>
        </w:trPr>
        <w:tc>
          <w:tcPr>
            <w:tcW w:w="2069" w:type="dxa"/>
            <w:shd w:val="clear" w:color="auto" w:fill="auto"/>
          </w:tcPr>
          <w:p w14:paraId="184C1C91" w14:textId="77777777" w:rsidR="007B79BC" w:rsidRPr="00A21B1E" w:rsidRDefault="007B79BC" w:rsidP="00FD1630">
            <w:pPr>
              <w:jc w:val="left"/>
              <w:outlineLvl w:val="4"/>
              <w:rPr>
                <w:szCs w:val="22"/>
              </w:rPr>
            </w:pPr>
            <w:r w:rsidRPr="00A21B1E">
              <w:rPr>
                <w:szCs w:val="22"/>
              </w:rPr>
              <w:lastRenderedPageBreak/>
              <w:t>5. Integrate new physical resources</w:t>
            </w:r>
          </w:p>
          <w:p w14:paraId="3AF0A04C" w14:textId="77777777" w:rsidR="007B79BC" w:rsidRPr="00A21B1E" w:rsidRDefault="007B79BC" w:rsidP="00F77A53">
            <w:pPr>
              <w:jc w:val="left"/>
              <w:rPr>
                <w:b/>
                <w:bCs/>
                <w:szCs w:val="22"/>
              </w:rPr>
            </w:pPr>
          </w:p>
        </w:tc>
        <w:tc>
          <w:tcPr>
            <w:tcW w:w="5161" w:type="dxa"/>
            <w:gridSpan w:val="2"/>
            <w:shd w:val="clear" w:color="auto" w:fill="auto"/>
          </w:tcPr>
          <w:p w14:paraId="3C42513C" w14:textId="53E3AC01" w:rsidR="007B79BC" w:rsidRPr="00A21B1E" w:rsidRDefault="007B79BC" w:rsidP="00B90320">
            <w:pPr>
              <w:outlineLvl w:val="4"/>
              <w:rPr>
                <w:szCs w:val="22"/>
              </w:rPr>
            </w:pPr>
            <w:r w:rsidRPr="00A21B1E">
              <w:rPr>
                <w:szCs w:val="22"/>
              </w:rPr>
              <w:t xml:space="preserve">Expand the installed physical capacity of EGI </w:t>
            </w:r>
          </w:p>
        </w:tc>
        <w:tc>
          <w:tcPr>
            <w:tcW w:w="5528" w:type="dxa"/>
            <w:shd w:val="clear" w:color="auto" w:fill="auto"/>
          </w:tcPr>
          <w:p w14:paraId="664D6C08" w14:textId="62B9ECDE" w:rsidR="007B79BC" w:rsidRDefault="007B79BC" w:rsidP="00CF57DD">
            <w:pPr>
              <w:suppressAutoHyphens w:val="0"/>
              <w:spacing w:before="0" w:after="0"/>
              <w:contextualSpacing/>
              <w:jc w:val="left"/>
              <w:outlineLvl w:val="4"/>
              <w:rPr>
                <w:szCs w:val="22"/>
              </w:rPr>
            </w:pPr>
            <w:r w:rsidRPr="00CF57DD">
              <w:rPr>
                <w:b/>
                <w:szCs w:val="22"/>
              </w:rPr>
              <w:t>5.1</w:t>
            </w:r>
            <w:r w:rsidRPr="00A21B1E">
              <w:rPr>
                <w:szCs w:val="22"/>
              </w:rPr>
              <w:t xml:space="preserve"> Total number of job slots (LCPUs) available in EGI</w:t>
            </w:r>
          </w:p>
          <w:p w14:paraId="25E5648D" w14:textId="77777777" w:rsidR="007B79BC" w:rsidRDefault="007B79BC" w:rsidP="00CF57DD">
            <w:pPr>
              <w:suppressAutoHyphens w:val="0"/>
              <w:spacing w:before="0" w:after="0"/>
              <w:contextualSpacing/>
              <w:jc w:val="left"/>
              <w:outlineLvl w:val="4"/>
              <w:rPr>
                <w:szCs w:val="22"/>
              </w:rPr>
            </w:pPr>
          </w:p>
          <w:p w14:paraId="730A480E" w14:textId="77777777" w:rsidR="007B79BC" w:rsidRPr="00A21B1E" w:rsidRDefault="007B79BC" w:rsidP="00CF57DD">
            <w:pPr>
              <w:suppressAutoHyphens w:val="0"/>
              <w:spacing w:before="0" w:after="0"/>
              <w:contextualSpacing/>
              <w:jc w:val="left"/>
              <w:outlineLvl w:val="4"/>
              <w:rPr>
                <w:szCs w:val="22"/>
              </w:rPr>
            </w:pPr>
          </w:p>
          <w:p w14:paraId="15551044" w14:textId="3053CA85" w:rsidR="007B79BC" w:rsidRPr="00A21B1E" w:rsidRDefault="007B79BC" w:rsidP="00CF57DD">
            <w:pPr>
              <w:suppressAutoHyphens w:val="0"/>
              <w:spacing w:before="0" w:after="0"/>
              <w:contextualSpacing/>
              <w:jc w:val="left"/>
              <w:outlineLvl w:val="4"/>
              <w:rPr>
                <w:szCs w:val="22"/>
              </w:rPr>
            </w:pPr>
            <w:r w:rsidRPr="00CF57DD">
              <w:rPr>
                <w:b/>
                <w:szCs w:val="22"/>
              </w:rPr>
              <w:t>5.2</w:t>
            </w:r>
            <w:r w:rsidRPr="00A21B1E">
              <w:rPr>
                <w:szCs w:val="22"/>
              </w:rPr>
              <w:t xml:space="preserve"> Installed disk capacity (PB) in EGI</w:t>
            </w:r>
          </w:p>
          <w:p w14:paraId="6C7B27BC" w14:textId="77777777" w:rsidR="007B79BC" w:rsidRDefault="007B79BC" w:rsidP="00FD1630">
            <w:pPr>
              <w:suppressAutoHyphens w:val="0"/>
              <w:spacing w:before="0" w:after="0"/>
              <w:contextualSpacing/>
              <w:jc w:val="left"/>
              <w:outlineLvl w:val="4"/>
              <w:rPr>
                <w:b/>
                <w:szCs w:val="22"/>
              </w:rPr>
            </w:pPr>
          </w:p>
          <w:p w14:paraId="4BB051CE" w14:textId="77777777" w:rsidR="007B79BC" w:rsidRDefault="007B79BC" w:rsidP="00FD1630">
            <w:pPr>
              <w:suppressAutoHyphens w:val="0"/>
              <w:spacing w:before="0" w:after="0"/>
              <w:contextualSpacing/>
              <w:jc w:val="left"/>
              <w:outlineLvl w:val="4"/>
              <w:rPr>
                <w:b/>
                <w:szCs w:val="22"/>
              </w:rPr>
            </w:pPr>
          </w:p>
          <w:p w14:paraId="463F2513" w14:textId="77777777" w:rsidR="007B79BC" w:rsidRDefault="007B79BC" w:rsidP="00FD1630">
            <w:pPr>
              <w:suppressAutoHyphens w:val="0"/>
              <w:spacing w:before="0" w:after="0"/>
              <w:contextualSpacing/>
              <w:jc w:val="left"/>
              <w:outlineLvl w:val="4"/>
              <w:rPr>
                <w:b/>
                <w:szCs w:val="22"/>
              </w:rPr>
            </w:pPr>
          </w:p>
          <w:p w14:paraId="4CC43F60" w14:textId="77777777" w:rsidR="007B79BC" w:rsidRPr="00A21B1E" w:rsidRDefault="007B79BC" w:rsidP="00FD1630">
            <w:pPr>
              <w:suppressAutoHyphens w:val="0"/>
              <w:spacing w:before="0" w:after="0"/>
              <w:contextualSpacing/>
              <w:jc w:val="left"/>
              <w:outlineLvl w:val="4"/>
              <w:rPr>
                <w:szCs w:val="22"/>
              </w:rPr>
            </w:pPr>
            <w:r w:rsidRPr="00CF57DD">
              <w:rPr>
                <w:b/>
                <w:szCs w:val="22"/>
              </w:rPr>
              <w:t>5.3</w:t>
            </w:r>
            <w:r w:rsidRPr="00A21B1E">
              <w:rPr>
                <w:szCs w:val="22"/>
              </w:rPr>
              <w:t xml:space="preserve"> Installed tape capacity (PB) in EGI</w:t>
            </w:r>
          </w:p>
        </w:tc>
      </w:tr>
      <w:tr w:rsidR="007B79BC" w:rsidRPr="00A21B1E" w14:paraId="60F88379"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7EB01DA5" w14:textId="77777777" w:rsidR="007B79BC" w:rsidRPr="00A21B1E" w:rsidRDefault="007B79BC" w:rsidP="00F77A53">
            <w:pPr>
              <w:jc w:val="left"/>
              <w:rPr>
                <w:b/>
                <w:bCs/>
                <w:szCs w:val="22"/>
              </w:rPr>
            </w:pPr>
            <w:r w:rsidRPr="00A21B1E">
              <w:rPr>
                <w:szCs w:val="22"/>
              </w:rPr>
              <w:t>6. Integrate new technologies</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456E2C24" w14:textId="77777777" w:rsidR="007B79BC" w:rsidRPr="00A21B1E" w:rsidRDefault="007B79BC" w:rsidP="00FD1630">
            <w:pPr>
              <w:outlineLvl w:val="4"/>
              <w:rPr>
                <w:szCs w:val="22"/>
              </w:rPr>
            </w:pPr>
            <w:r w:rsidRPr="00A21B1E">
              <w:rPr>
                <w:szCs w:val="22"/>
              </w:rPr>
              <w:t>Integrate new functional services into EGI’s Operational Infrastructure in order to increase the diversity and therefore the attractiveness of EGI to more research communities.</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2EA03BD1" w14:textId="77777777" w:rsidR="007B79BC" w:rsidRDefault="007B79BC" w:rsidP="00ED5BAA">
            <w:pPr>
              <w:suppressAutoHyphens w:val="0"/>
              <w:spacing w:before="0" w:after="0"/>
              <w:jc w:val="left"/>
              <w:outlineLvl w:val="4"/>
              <w:rPr>
                <w:szCs w:val="22"/>
              </w:rPr>
            </w:pPr>
            <w:r w:rsidRPr="00CF57DD">
              <w:rPr>
                <w:b/>
                <w:szCs w:val="22"/>
              </w:rPr>
              <w:t>6.1</w:t>
            </w:r>
            <w:r w:rsidRPr="00A21B1E">
              <w:rPr>
                <w:szCs w:val="22"/>
              </w:rPr>
              <w:t xml:space="preserve"> Number of different operational service types in EGI as recorded in GOCDB.</w:t>
            </w:r>
          </w:p>
          <w:p w14:paraId="5423997D" w14:textId="77777777" w:rsidR="007B79BC" w:rsidRDefault="007B79BC" w:rsidP="00ED5BAA">
            <w:pPr>
              <w:suppressAutoHyphens w:val="0"/>
              <w:spacing w:before="0" w:after="0"/>
              <w:jc w:val="left"/>
              <w:outlineLvl w:val="4"/>
              <w:rPr>
                <w:szCs w:val="22"/>
              </w:rPr>
            </w:pPr>
          </w:p>
          <w:p w14:paraId="53430DFB" w14:textId="301DF757" w:rsidR="007B79BC" w:rsidRPr="00ED5BAA" w:rsidRDefault="007B79BC" w:rsidP="00B90320">
            <w:pPr>
              <w:suppressAutoHyphens w:val="0"/>
              <w:spacing w:before="0" w:after="0"/>
              <w:jc w:val="left"/>
              <w:outlineLvl w:val="4"/>
              <w:rPr>
                <w:szCs w:val="22"/>
              </w:rPr>
            </w:pPr>
            <w:r w:rsidRPr="00CF57DD">
              <w:rPr>
                <w:b/>
                <w:szCs w:val="22"/>
              </w:rPr>
              <w:t>6.2</w:t>
            </w:r>
            <w:r>
              <w:rPr>
                <w:szCs w:val="22"/>
              </w:rPr>
              <w:t xml:space="preserve"> </w:t>
            </w:r>
            <w:r w:rsidRPr="00ED5BAA">
              <w:rPr>
                <w:szCs w:val="22"/>
              </w:rPr>
              <w:t>Number of resource centres offering federated cloud services accessible to authorised users  (See M.SA2.16)</w:t>
            </w:r>
          </w:p>
        </w:tc>
      </w:tr>
      <w:tr w:rsidR="007B79BC" w:rsidRPr="00A21B1E" w14:paraId="6202FC55" w14:textId="77777777" w:rsidTr="007B79BC">
        <w:trPr>
          <w:cantSplit/>
        </w:trPr>
        <w:tc>
          <w:tcPr>
            <w:tcW w:w="2069" w:type="dxa"/>
            <w:shd w:val="clear" w:color="auto" w:fill="auto"/>
          </w:tcPr>
          <w:p w14:paraId="38D8AF45" w14:textId="77777777" w:rsidR="007B79BC" w:rsidRPr="00A21B1E" w:rsidRDefault="007B79BC" w:rsidP="00E47E43">
            <w:pPr>
              <w:jc w:val="left"/>
              <w:rPr>
                <w:b/>
                <w:bCs/>
                <w:szCs w:val="22"/>
              </w:rPr>
            </w:pPr>
            <w:r w:rsidRPr="00A21B1E">
              <w:rPr>
                <w:bCs/>
                <w:szCs w:val="22"/>
              </w:rPr>
              <w:t xml:space="preserve">7. Improve </w:t>
            </w:r>
            <w:r>
              <w:rPr>
                <w:bCs/>
                <w:szCs w:val="22"/>
              </w:rPr>
              <w:t>user engagement</w:t>
            </w:r>
          </w:p>
        </w:tc>
        <w:tc>
          <w:tcPr>
            <w:tcW w:w="5161" w:type="dxa"/>
            <w:gridSpan w:val="2"/>
            <w:shd w:val="clear" w:color="auto" w:fill="auto"/>
          </w:tcPr>
          <w:p w14:paraId="6BC8BCA3" w14:textId="77777777" w:rsidR="007B79BC" w:rsidRPr="00A21B1E" w:rsidRDefault="007B79BC" w:rsidP="00FD1630">
            <w:pPr>
              <w:outlineLvl w:val="4"/>
              <w:rPr>
                <w:szCs w:val="22"/>
              </w:rPr>
            </w:pPr>
            <w:r w:rsidRPr="00A21B1E">
              <w:rPr>
                <w:szCs w:val="22"/>
              </w:rPr>
              <w:t>Strengthen local outreach to existing and new research communities to increase awareness of EGI.</w:t>
            </w:r>
          </w:p>
          <w:p w14:paraId="0EF99980" w14:textId="77777777" w:rsidR="007B79BC" w:rsidRPr="00A21B1E" w:rsidRDefault="007B79BC" w:rsidP="00F77A53">
            <w:pPr>
              <w:rPr>
                <w:szCs w:val="22"/>
              </w:rPr>
            </w:pPr>
          </w:p>
        </w:tc>
        <w:tc>
          <w:tcPr>
            <w:tcW w:w="5528" w:type="dxa"/>
            <w:shd w:val="clear" w:color="auto" w:fill="auto"/>
          </w:tcPr>
          <w:p w14:paraId="188286B7" w14:textId="77777777" w:rsidR="007B79BC" w:rsidRDefault="007B79BC" w:rsidP="00FD1630">
            <w:pPr>
              <w:suppressAutoHyphens w:val="0"/>
              <w:spacing w:before="0" w:after="0"/>
              <w:jc w:val="left"/>
              <w:outlineLvl w:val="4"/>
              <w:rPr>
                <w:szCs w:val="22"/>
              </w:rPr>
            </w:pPr>
            <w:r w:rsidRPr="00CF57DD">
              <w:rPr>
                <w:b/>
                <w:szCs w:val="22"/>
              </w:rPr>
              <w:t>7.1</w:t>
            </w:r>
            <w:r>
              <w:rPr>
                <w:szCs w:val="22"/>
              </w:rPr>
              <w:t xml:space="preserve"> </w:t>
            </w:r>
            <w:r w:rsidRPr="00E47E43">
              <w:rPr>
                <w:szCs w:val="22"/>
              </w:rPr>
              <w:t>Number of international virtual research communities that use EGI services</w:t>
            </w:r>
          </w:p>
          <w:p w14:paraId="0F958B6F" w14:textId="77777777" w:rsidR="007B79BC" w:rsidRDefault="007B79BC" w:rsidP="00FD1630">
            <w:pPr>
              <w:suppressAutoHyphens w:val="0"/>
              <w:spacing w:before="0" w:after="0"/>
              <w:jc w:val="left"/>
              <w:outlineLvl w:val="4"/>
              <w:rPr>
                <w:szCs w:val="22"/>
              </w:rPr>
            </w:pPr>
          </w:p>
          <w:p w14:paraId="27161E2F" w14:textId="087AAC8A" w:rsidR="007B79BC" w:rsidRDefault="007B79BC" w:rsidP="00B90320">
            <w:pPr>
              <w:suppressAutoHyphens w:val="0"/>
              <w:spacing w:before="0" w:after="0"/>
              <w:jc w:val="left"/>
              <w:outlineLvl w:val="4"/>
              <w:rPr>
                <w:szCs w:val="22"/>
              </w:rPr>
            </w:pPr>
            <w:r w:rsidRPr="00CF57DD">
              <w:rPr>
                <w:b/>
                <w:szCs w:val="22"/>
              </w:rPr>
              <w:t>7.2</w:t>
            </w:r>
            <w:r>
              <w:rPr>
                <w:szCs w:val="22"/>
              </w:rPr>
              <w:t xml:space="preserve"> Number of active VT projects (or similar activities operating as such) meant for addressing technical outreach issues (in the future it will also include Competence Centres)</w:t>
            </w:r>
          </w:p>
          <w:p w14:paraId="7712CB81" w14:textId="77777777" w:rsidR="007B79BC" w:rsidRDefault="007B79BC" w:rsidP="00FD1630">
            <w:pPr>
              <w:suppressAutoHyphens w:val="0"/>
              <w:spacing w:before="0" w:after="0"/>
              <w:jc w:val="left"/>
              <w:outlineLvl w:val="4"/>
              <w:rPr>
                <w:szCs w:val="22"/>
              </w:rPr>
            </w:pPr>
          </w:p>
          <w:p w14:paraId="02636635" w14:textId="541F24B7" w:rsidR="007B79BC" w:rsidRPr="00A21B1E" w:rsidRDefault="007B79BC" w:rsidP="00793C2E">
            <w:pPr>
              <w:pStyle w:val="ColorfulList-Accent11"/>
              <w:suppressAutoHyphens w:val="0"/>
              <w:spacing w:before="0" w:after="0"/>
              <w:ind w:left="0"/>
              <w:jc w:val="left"/>
              <w:outlineLvl w:val="4"/>
              <w:rPr>
                <w:szCs w:val="22"/>
              </w:rPr>
            </w:pPr>
            <w:r w:rsidRPr="00CF57DD">
              <w:rPr>
                <w:b/>
                <w:szCs w:val="22"/>
              </w:rPr>
              <w:t>7.3</w:t>
            </w:r>
            <w:r w:rsidRPr="00A21B1E">
              <w:rPr>
                <w:szCs w:val="22"/>
              </w:rPr>
              <w:t xml:space="preserve"> Number of discipline-specific events in which EGI champio</w:t>
            </w:r>
            <w:r>
              <w:rPr>
                <w:szCs w:val="22"/>
              </w:rPr>
              <w:t>ns participate to introduce EGI</w:t>
            </w:r>
          </w:p>
        </w:tc>
      </w:tr>
      <w:tr w:rsidR="007B79BC" w:rsidRPr="00A21B1E" w14:paraId="6CCDEF09"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279727F7" w14:textId="77777777" w:rsidR="007B79BC" w:rsidRPr="00A21B1E" w:rsidRDefault="007B79BC" w:rsidP="00F77A53">
            <w:pPr>
              <w:jc w:val="left"/>
              <w:rPr>
                <w:b/>
                <w:bCs/>
                <w:szCs w:val="22"/>
              </w:rPr>
            </w:pPr>
            <w:r w:rsidRPr="00A21B1E">
              <w:rPr>
                <w:bCs/>
                <w:szCs w:val="22"/>
              </w:rPr>
              <w:lastRenderedPageBreak/>
              <w:t xml:space="preserve">8. Improve operational efficiency and effectiveness </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6CE4F576" w14:textId="77777777" w:rsidR="007B79BC" w:rsidRPr="00A21B1E" w:rsidRDefault="007B79BC" w:rsidP="00FD1630">
            <w:pPr>
              <w:outlineLvl w:val="4"/>
              <w:rPr>
                <w:szCs w:val="22"/>
              </w:rPr>
            </w:pPr>
            <w:r w:rsidRPr="00A21B1E">
              <w:rPr>
                <w:szCs w:val="22"/>
              </w:rPr>
              <w:t xml:space="preserve">Improve the reliability and the delivery of the operational infrastructure through improvements in the operational tools and associated processes. </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26A99BB1" w14:textId="77777777" w:rsidR="007B79BC" w:rsidRPr="00A21B1E" w:rsidRDefault="007B79BC" w:rsidP="00F77A53">
            <w:pPr>
              <w:pStyle w:val="ColorfulList-Accent11"/>
              <w:numPr>
                <w:ilvl w:val="4"/>
                <w:numId w:val="3"/>
              </w:numPr>
              <w:suppressAutoHyphens w:val="0"/>
              <w:spacing w:before="0" w:after="0"/>
              <w:ind w:left="0"/>
              <w:jc w:val="left"/>
              <w:outlineLvl w:val="4"/>
              <w:rPr>
                <w:szCs w:val="22"/>
              </w:rPr>
            </w:pPr>
            <w:r w:rsidRPr="00CF57DD">
              <w:rPr>
                <w:b/>
                <w:szCs w:val="22"/>
              </w:rPr>
              <w:t>8.1</w:t>
            </w:r>
            <w:r w:rsidRPr="00A21B1E">
              <w:rPr>
                <w:szCs w:val="22"/>
              </w:rPr>
              <w:t xml:space="preserve"> Number of EGI Global Services meeting published OLAs</w:t>
            </w:r>
          </w:p>
          <w:p w14:paraId="53C69776" w14:textId="77777777" w:rsidR="007B79BC" w:rsidRPr="00A21B1E" w:rsidRDefault="007B79BC" w:rsidP="00F77A53">
            <w:pPr>
              <w:pStyle w:val="ColorfulList-Accent11"/>
              <w:suppressAutoHyphens w:val="0"/>
              <w:spacing w:before="0" w:after="0"/>
              <w:ind w:left="0"/>
              <w:jc w:val="left"/>
              <w:rPr>
                <w:szCs w:val="22"/>
              </w:rPr>
            </w:pPr>
          </w:p>
          <w:p w14:paraId="418A536A" w14:textId="77777777" w:rsidR="007B79BC" w:rsidRDefault="007B79BC" w:rsidP="00F77A53">
            <w:pPr>
              <w:pStyle w:val="ColorfulList-Accent11"/>
              <w:numPr>
                <w:ilvl w:val="4"/>
                <w:numId w:val="3"/>
              </w:numPr>
              <w:suppressAutoHyphens w:val="0"/>
              <w:spacing w:before="0" w:after="0"/>
              <w:ind w:left="0"/>
              <w:jc w:val="left"/>
              <w:outlineLvl w:val="4"/>
              <w:rPr>
                <w:szCs w:val="22"/>
              </w:rPr>
            </w:pPr>
            <w:r w:rsidRPr="00CF57DD">
              <w:rPr>
                <w:b/>
                <w:szCs w:val="22"/>
              </w:rPr>
              <w:t>8.2</w:t>
            </w:r>
            <w:r w:rsidRPr="00A21B1E">
              <w:rPr>
                <w:szCs w:val="22"/>
              </w:rPr>
              <w:t xml:space="preserve"> Number of resource centres meeting the Resource Centre OLA.</w:t>
            </w:r>
          </w:p>
          <w:p w14:paraId="72AEEECF" w14:textId="77777777" w:rsidR="007B79BC" w:rsidRDefault="007B79BC" w:rsidP="00B90320">
            <w:pPr>
              <w:pStyle w:val="ColorfulList-Accent11"/>
              <w:suppressAutoHyphens w:val="0"/>
              <w:spacing w:before="0" w:after="0"/>
              <w:ind w:left="0"/>
              <w:jc w:val="left"/>
              <w:outlineLvl w:val="4"/>
              <w:rPr>
                <w:szCs w:val="22"/>
              </w:rPr>
            </w:pPr>
          </w:p>
          <w:p w14:paraId="04AD729F" w14:textId="2F2137EA" w:rsidR="007B79BC" w:rsidRPr="00A21B1E" w:rsidRDefault="007B79BC" w:rsidP="00793C2E">
            <w:pPr>
              <w:pStyle w:val="ColorfulList-Accent11"/>
              <w:numPr>
                <w:ilvl w:val="4"/>
                <w:numId w:val="3"/>
              </w:numPr>
              <w:suppressAutoHyphens w:val="0"/>
              <w:spacing w:before="0" w:after="0"/>
              <w:ind w:left="0"/>
              <w:jc w:val="left"/>
              <w:outlineLvl w:val="4"/>
              <w:rPr>
                <w:szCs w:val="22"/>
              </w:rPr>
            </w:pPr>
            <w:r w:rsidRPr="00CF57DD">
              <w:rPr>
                <w:b/>
                <w:szCs w:val="22"/>
              </w:rPr>
              <w:t>8.3</w:t>
            </w:r>
            <w:r>
              <w:rPr>
                <w:szCs w:val="22"/>
              </w:rPr>
              <w:t xml:space="preserve"> Number of service providers that adopted </w:t>
            </w:r>
            <w:proofErr w:type="spellStart"/>
            <w:r>
              <w:rPr>
                <w:szCs w:val="22"/>
              </w:rPr>
              <w:t>FitSM</w:t>
            </w:r>
            <w:proofErr w:type="spellEnd"/>
            <w:r>
              <w:rPr>
                <w:szCs w:val="22"/>
              </w:rPr>
              <w:t xml:space="preserve"> and achieved maturity level 3</w:t>
            </w:r>
          </w:p>
        </w:tc>
      </w:tr>
      <w:tr w:rsidR="007B79BC" w:rsidRPr="00A21B1E" w14:paraId="71366472" w14:textId="77777777" w:rsidTr="007B79BC">
        <w:trPr>
          <w:cantSplit/>
        </w:trPr>
        <w:tc>
          <w:tcPr>
            <w:tcW w:w="7230" w:type="dxa"/>
            <w:gridSpan w:val="3"/>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3358256E" w14:textId="77777777" w:rsidR="007B79BC" w:rsidRPr="00A21B1E" w:rsidRDefault="007B79BC" w:rsidP="00FD1630">
            <w:pPr>
              <w:outlineLvl w:val="4"/>
              <w:rPr>
                <w:szCs w:val="22"/>
              </w:rPr>
            </w:pPr>
            <w:r w:rsidRPr="00A21B1E">
              <w:rPr>
                <w:szCs w:val="22"/>
              </w:rPr>
              <w:t>Perspective: Beneficiaries</w:t>
            </w:r>
          </w:p>
        </w:tc>
        <w:tc>
          <w:tcPr>
            <w:tcW w:w="5528" w:type="dxa"/>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57A0BBDC" w14:textId="77777777" w:rsidR="007B79BC" w:rsidRPr="00A21B1E" w:rsidRDefault="007B79BC" w:rsidP="00F77A53">
            <w:pPr>
              <w:pStyle w:val="ColorfulList-Accent11"/>
              <w:numPr>
                <w:ilvl w:val="4"/>
                <w:numId w:val="3"/>
              </w:numPr>
              <w:suppressAutoHyphens w:val="0"/>
              <w:spacing w:before="0" w:after="0"/>
              <w:ind w:left="0"/>
              <w:jc w:val="left"/>
              <w:outlineLvl w:val="4"/>
              <w:rPr>
                <w:szCs w:val="22"/>
              </w:rPr>
            </w:pPr>
          </w:p>
        </w:tc>
      </w:tr>
      <w:tr w:rsidR="007B79BC" w:rsidRPr="00A21B1E" w14:paraId="2AB20115" w14:textId="77777777" w:rsidTr="007B79BC">
        <w:trPr>
          <w:cantSplit/>
        </w:trPr>
        <w:tc>
          <w:tcPr>
            <w:tcW w:w="2127" w:type="dxa"/>
            <w:gridSpan w:val="2"/>
            <w:tcBorders>
              <w:top w:val="single" w:sz="8" w:space="0" w:color="4BACC6"/>
              <w:left w:val="single" w:sz="8" w:space="0" w:color="4BACC6"/>
              <w:bottom w:val="single" w:sz="8" w:space="0" w:color="4BACC6"/>
              <w:right w:val="single" w:sz="8" w:space="0" w:color="4BACC6"/>
            </w:tcBorders>
            <w:shd w:val="clear" w:color="auto" w:fill="auto"/>
          </w:tcPr>
          <w:p w14:paraId="4EB86BB7" w14:textId="2A06D682" w:rsidR="007B79BC" w:rsidRPr="00A21B1E" w:rsidRDefault="007B79BC" w:rsidP="007B51CE">
            <w:pPr>
              <w:jc w:val="left"/>
              <w:rPr>
                <w:b/>
                <w:bCs/>
                <w:szCs w:val="22"/>
              </w:rPr>
            </w:pPr>
            <w:r w:rsidRPr="00A21B1E">
              <w:rPr>
                <w:bCs/>
                <w:szCs w:val="22"/>
              </w:rPr>
              <w:t xml:space="preserve">9. Easy and reliable </w:t>
            </w:r>
            <w:r>
              <w:rPr>
                <w:bCs/>
                <w:szCs w:val="22"/>
              </w:rPr>
              <w:t xml:space="preserve">transnational </w:t>
            </w:r>
            <w:r w:rsidRPr="00A21B1E">
              <w:rPr>
                <w:bCs/>
                <w:szCs w:val="22"/>
              </w:rPr>
              <w:t>access to the services that meet the needs of researchers</w:t>
            </w:r>
            <w:r>
              <w:rPr>
                <w:bCs/>
                <w:szCs w:val="22"/>
              </w:rPr>
              <w:t xml:space="preserve"> </w:t>
            </w:r>
          </w:p>
        </w:tc>
        <w:tc>
          <w:tcPr>
            <w:tcW w:w="5103" w:type="dxa"/>
            <w:tcBorders>
              <w:top w:val="single" w:sz="8" w:space="0" w:color="4BACC6"/>
              <w:left w:val="single" w:sz="8" w:space="0" w:color="4BACC6"/>
              <w:bottom w:val="single" w:sz="8" w:space="0" w:color="4BACC6"/>
              <w:right w:val="single" w:sz="8" w:space="0" w:color="4BACC6"/>
            </w:tcBorders>
            <w:shd w:val="clear" w:color="auto" w:fill="auto"/>
          </w:tcPr>
          <w:p w14:paraId="14092087" w14:textId="792A2FED" w:rsidR="007B79BC" w:rsidRPr="00A21B1E" w:rsidRDefault="007B79BC" w:rsidP="00946647">
            <w:pPr>
              <w:outlineLvl w:val="4"/>
              <w:rPr>
                <w:szCs w:val="22"/>
              </w:rPr>
            </w:pPr>
            <w:r>
              <w:rPr>
                <w:szCs w:val="22"/>
              </w:rPr>
              <w:t>Researchers expect services that meet their needs, have a good degree of usability and reliability. The transnational access is also an essential feature for the ERA.</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3D3194BD" w14:textId="77777777" w:rsidR="007B79BC" w:rsidRDefault="007B79BC" w:rsidP="006E0BC7">
            <w:r w:rsidRPr="00CF57DD">
              <w:rPr>
                <w:b/>
              </w:rPr>
              <w:t>9.1</w:t>
            </w:r>
            <w:r w:rsidRPr="00A21B1E">
              <w:t xml:space="preserve"> Number of researchers using EGI’s resources (either directly or through affiliated services – i.e. portals or integrated research infrastructures)</w:t>
            </w:r>
          </w:p>
          <w:p w14:paraId="3223EB41" w14:textId="77777777" w:rsidR="007B79BC" w:rsidRDefault="007B79BC" w:rsidP="006E0BC7"/>
          <w:p w14:paraId="0574435F" w14:textId="4C1981A5" w:rsidR="007B79BC" w:rsidRDefault="007B79BC" w:rsidP="00F42B69">
            <w:r w:rsidRPr="00CF57DD">
              <w:rPr>
                <w:b/>
              </w:rPr>
              <w:t>9.2</w:t>
            </w:r>
            <w:r w:rsidRPr="00D1415E">
              <w:t xml:space="preserve"> Percentage of transnational usage</w:t>
            </w:r>
            <w:r>
              <w:t xml:space="preserve"> (i.e., foreign resources used by users of a given country aggregated across the whole EGI)</w:t>
            </w:r>
          </w:p>
          <w:p w14:paraId="5849500D" w14:textId="77777777" w:rsidR="007B79BC" w:rsidRDefault="007B79BC" w:rsidP="00F42B69"/>
          <w:p w14:paraId="641E96C8" w14:textId="77777777" w:rsidR="007B79BC" w:rsidRDefault="007B79BC" w:rsidP="00F42B69">
            <w:r w:rsidRPr="00CF57DD">
              <w:rPr>
                <w:b/>
              </w:rPr>
              <w:t>9.3</w:t>
            </w:r>
            <w:r>
              <w:t xml:space="preserve"> Reliability of EGI services</w:t>
            </w:r>
          </w:p>
          <w:p w14:paraId="048B5EBD" w14:textId="77777777" w:rsidR="007B79BC" w:rsidRDefault="007B79BC" w:rsidP="00F42B69"/>
          <w:p w14:paraId="3CAA2F14" w14:textId="271A931D" w:rsidR="007B79BC" w:rsidRPr="00A21B1E" w:rsidRDefault="007B79BC" w:rsidP="00F42B69">
            <w:r w:rsidRPr="00CF57DD">
              <w:rPr>
                <w:b/>
              </w:rPr>
              <w:t>9.4</w:t>
            </w:r>
            <w:r>
              <w:t xml:space="preserve"> Net Promoter Score (NPS)</w:t>
            </w:r>
          </w:p>
        </w:tc>
      </w:tr>
      <w:tr w:rsidR="007B79BC" w:rsidRPr="00A21B1E" w14:paraId="02CD61DA" w14:textId="77777777" w:rsidTr="007B79BC">
        <w:trPr>
          <w:cantSplit/>
        </w:trPr>
        <w:tc>
          <w:tcPr>
            <w:tcW w:w="2127" w:type="dxa"/>
            <w:gridSpan w:val="2"/>
            <w:shd w:val="clear" w:color="auto" w:fill="auto"/>
          </w:tcPr>
          <w:p w14:paraId="09E047CB" w14:textId="56427CD6" w:rsidR="007B79BC" w:rsidRPr="00A21B1E" w:rsidRDefault="007B79BC" w:rsidP="007552B9">
            <w:pPr>
              <w:jc w:val="left"/>
              <w:rPr>
                <w:b/>
                <w:bCs/>
                <w:szCs w:val="22"/>
              </w:rPr>
            </w:pPr>
            <w:r w:rsidRPr="00A21B1E">
              <w:rPr>
                <w:bCs/>
                <w:szCs w:val="22"/>
              </w:rPr>
              <w:t xml:space="preserve">10. </w:t>
            </w:r>
            <w:r>
              <w:rPr>
                <w:bCs/>
                <w:szCs w:val="22"/>
              </w:rPr>
              <w:t>Ability</w:t>
            </w:r>
            <w:r w:rsidRPr="00A21B1E">
              <w:rPr>
                <w:bCs/>
                <w:szCs w:val="22"/>
              </w:rPr>
              <w:t xml:space="preserve"> </w:t>
            </w:r>
            <w:r>
              <w:rPr>
                <w:bCs/>
                <w:szCs w:val="22"/>
              </w:rPr>
              <w:t>to</w:t>
            </w:r>
            <w:r w:rsidRPr="00A21B1E">
              <w:rPr>
                <w:bCs/>
                <w:szCs w:val="22"/>
              </w:rPr>
              <w:t xml:space="preserve"> shar</w:t>
            </w:r>
            <w:r>
              <w:rPr>
                <w:bCs/>
                <w:szCs w:val="22"/>
              </w:rPr>
              <w:t>e</w:t>
            </w:r>
            <w:r w:rsidRPr="00A21B1E">
              <w:rPr>
                <w:bCs/>
                <w:szCs w:val="22"/>
              </w:rPr>
              <w:t xml:space="preserve"> and re-use </w:t>
            </w:r>
            <w:r>
              <w:rPr>
                <w:bCs/>
                <w:szCs w:val="22"/>
              </w:rPr>
              <w:t>research outputs</w:t>
            </w:r>
          </w:p>
        </w:tc>
        <w:tc>
          <w:tcPr>
            <w:tcW w:w="5103" w:type="dxa"/>
            <w:shd w:val="clear" w:color="auto" w:fill="auto"/>
          </w:tcPr>
          <w:p w14:paraId="7C2EDCF5" w14:textId="765F8E84" w:rsidR="007B79BC" w:rsidRPr="00A21B1E" w:rsidRDefault="007B79BC" w:rsidP="00401F2B">
            <w:pPr>
              <w:outlineLvl w:val="4"/>
              <w:rPr>
                <w:szCs w:val="22"/>
              </w:rPr>
            </w:pPr>
            <w:r>
              <w:rPr>
                <w:szCs w:val="22"/>
              </w:rPr>
              <w:t>Ability</w:t>
            </w:r>
            <w:r w:rsidRPr="00A21B1E">
              <w:rPr>
                <w:szCs w:val="22"/>
              </w:rPr>
              <w:t xml:space="preserve"> </w:t>
            </w:r>
            <w:r>
              <w:rPr>
                <w:szCs w:val="22"/>
              </w:rPr>
              <w:t>to</w:t>
            </w:r>
            <w:r w:rsidRPr="00A21B1E">
              <w:rPr>
                <w:szCs w:val="22"/>
              </w:rPr>
              <w:t xml:space="preserve"> </w:t>
            </w:r>
            <w:r>
              <w:rPr>
                <w:szCs w:val="22"/>
              </w:rPr>
              <w:t xml:space="preserve">share and </w:t>
            </w:r>
            <w:r w:rsidRPr="00A21B1E">
              <w:rPr>
                <w:szCs w:val="22"/>
              </w:rPr>
              <w:t xml:space="preserve">reuse of </w:t>
            </w:r>
            <w:r>
              <w:rPr>
                <w:szCs w:val="22"/>
              </w:rPr>
              <w:t>research outputs</w:t>
            </w:r>
            <w:r w:rsidRPr="00A21B1E">
              <w:rPr>
                <w:szCs w:val="22"/>
              </w:rPr>
              <w:t xml:space="preserve"> developed within the EGI ecosystem </w:t>
            </w:r>
          </w:p>
        </w:tc>
        <w:tc>
          <w:tcPr>
            <w:tcW w:w="5528" w:type="dxa"/>
            <w:shd w:val="clear" w:color="auto" w:fill="auto"/>
          </w:tcPr>
          <w:p w14:paraId="2CDF9545" w14:textId="7187C6BD" w:rsidR="007B79BC" w:rsidRPr="00A21B1E" w:rsidRDefault="007B79BC" w:rsidP="00F77A53">
            <w:pPr>
              <w:pStyle w:val="ColorfulList-Accent11"/>
              <w:numPr>
                <w:ilvl w:val="4"/>
                <w:numId w:val="3"/>
              </w:numPr>
              <w:suppressAutoHyphens w:val="0"/>
              <w:spacing w:before="0" w:after="0"/>
              <w:ind w:left="0"/>
              <w:jc w:val="left"/>
              <w:outlineLvl w:val="4"/>
              <w:rPr>
                <w:szCs w:val="22"/>
              </w:rPr>
            </w:pPr>
            <w:r w:rsidRPr="00CF57DD">
              <w:rPr>
                <w:b/>
                <w:szCs w:val="22"/>
              </w:rPr>
              <w:t>10.1</w:t>
            </w:r>
            <w:r w:rsidRPr="00A21B1E">
              <w:rPr>
                <w:szCs w:val="22"/>
              </w:rPr>
              <w:t xml:space="preserve"> Number of software items registered in the EGI </w:t>
            </w:r>
            <w:proofErr w:type="spellStart"/>
            <w:r w:rsidRPr="00A21B1E">
              <w:rPr>
                <w:szCs w:val="22"/>
              </w:rPr>
              <w:t>AppDB</w:t>
            </w:r>
            <w:proofErr w:type="spellEnd"/>
            <w:r>
              <w:rPr>
                <w:szCs w:val="22"/>
              </w:rPr>
              <w:t xml:space="preserve"> (applications, virtual machine images, etc.)</w:t>
            </w:r>
          </w:p>
          <w:p w14:paraId="33592F80" w14:textId="77777777" w:rsidR="007B79BC" w:rsidRDefault="007B79BC" w:rsidP="00F77A53">
            <w:pPr>
              <w:pStyle w:val="ColorfulList-Accent11"/>
              <w:suppressAutoHyphens w:val="0"/>
              <w:spacing w:before="0" w:after="0"/>
              <w:ind w:left="0"/>
              <w:jc w:val="left"/>
              <w:rPr>
                <w:szCs w:val="22"/>
              </w:rPr>
            </w:pPr>
          </w:p>
          <w:p w14:paraId="07540013" w14:textId="59261F95" w:rsidR="007B79BC" w:rsidRDefault="007B79BC" w:rsidP="00CF57DD">
            <w:pPr>
              <w:pStyle w:val="ColorfulList-Accent11"/>
              <w:suppressAutoHyphens w:val="0"/>
              <w:spacing w:before="0" w:after="0"/>
              <w:ind w:left="0"/>
              <w:jc w:val="left"/>
              <w:rPr>
                <w:szCs w:val="22"/>
              </w:rPr>
            </w:pPr>
            <w:r w:rsidRPr="00CF57DD">
              <w:rPr>
                <w:b/>
                <w:szCs w:val="22"/>
              </w:rPr>
              <w:t>10.2</w:t>
            </w:r>
            <w:r>
              <w:rPr>
                <w:szCs w:val="22"/>
              </w:rPr>
              <w:t xml:space="preserve"> Number of scientific publications registered in </w:t>
            </w:r>
            <w:proofErr w:type="spellStart"/>
            <w:r>
              <w:rPr>
                <w:szCs w:val="22"/>
              </w:rPr>
              <w:t>OpenAIRE</w:t>
            </w:r>
            <w:proofErr w:type="spellEnd"/>
            <w:r>
              <w:rPr>
                <w:szCs w:val="22"/>
              </w:rPr>
              <w:t xml:space="preserve"> and linked to EGI</w:t>
            </w:r>
          </w:p>
          <w:p w14:paraId="472A8626" w14:textId="4AEB5769" w:rsidR="007B79BC" w:rsidRPr="00A21B1E" w:rsidRDefault="007B79BC" w:rsidP="00FD1630">
            <w:pPr>
              <w:suppressAutoHyphens w:val="0"/>
              <w:spacing w:before="0" w:after="0"/>
              <w:contextualSpacing/>
              <w:jc w:val="left"/>
              <w:outlineLvl w:val="4"/>
              <w:rPr>
                <w:szCs w:val="22"/>
              </w:rPr>
            </w:pPr>
          </w:p>
        </w:tc>
      </w:tr>
      <w:tr w:rsidR="007B79BC" w:rsidRPr="00A21B1E" w14:paraId="7AEDF82E" w14:textId="77777777" w:rsidTr="007B79BC">
        <w:trPr>
          <w:cantSplit/>
        </w:trPr>
        <w:tc>
          <w:tcPr>
            <w:tcW w:w="2127" w:type="dxa"/>
            <w:gridSpan w:val="2"/>
            <w:shd w:val="clear" w:color="auto" w:fill="auto"/>
          </w:tcPr>
          <w:p w14:paraId="2C4D6877" w14:textId="68EAFEB0" w:rsidR="007B79BC" w:rsidRDefault="007B79BC" w:rsidP="00F77A53">
            <w:pPr>
              <w:jc w:val="left"/>
              <w:rPr>
                <w:bCs/>
                <w:szCs w:val="22"/>
              </w:rPr>
            </w:pPr>
            <w:r w:rsidRPr="00A21B1E">
              <w:rPr>
                <w:bCs/>
                <w:szCs w:val="22"/>
              </w:rPr>
              <w:lastRenderedPageBreak/>
              <w:t>11. Support the uniform operation of resource centres</w:t>
            </w:r>
          </w:p>
          <w:p w14:paraId="1C2F9D3F" w14:textId="7126D0DA" w:rsidR="007B79BC" w:rsidRPr="00A21B1E" w:rsidRDefault="007B79BC" w:rsidP="00F77A53">
            <w:pPr>
              <w:jc w:val="left"/>
              <w:rPr>
                <w:bCs/>
                <w:szCs w:val="22"/>
              </w:rPr>
            </w:pPr>
          </w:p>
        </w:tc>
        <w:tc>
          <w:tcPr>
            <w:tcW w:w="5103" w:type="dxa"/>
            <w:shd w:val="clear" w:color="auto" w:fill="auto"/>
          </w:tcPr>
          <w:p w14:paraId="69B04471" w14:textId="02D4B148" w:rsidR="007B79BC" w:rsidRPr="00CF57DD" w:rsidRDefault="007B79BC" w:rsidP="00F77A53">
            <w:pPr>
              <w:pStyle w:val="ColorfulList-Accent11"/>
              <w:suppressAutoHyphens w:val="0"/>
              <w:spacing w:before="0" w:after="0"/>
              <w:ind w:left="0"/>
              <w:jc w:val="left"/>
              <w:rPr>
                <w:bCs/>
                <w:szCs w:val="22"/>
              </w:rPr>
            </w:pPr>
            <w:r w:rsidRPr="00A21B1E">
              <w:rPr>
                <w:bCs/>
                <w:szCs w:val="22"/>
              </w:rPr>
              <w:t>Resource centres providing uniform operation and consistent access to services is a fundamental aspect of a transnational infrastructure.</w:t>
            </w:r>
          </w:p>
        </w:tc>
        <w:tc>
          <w:tcPr>
            <w:tcW w:w="5528" w:type="dxa"/>
            <w:shd w:val="clear" w:color="auto" w:fill="auto"/>
          </w:tcPr>
          <w:p w14:paraId="2A3E89A1" w14:textId="77777777" w:rsidR="007B79BC" w:rsidRPr="00A21B1E" w:rsidRDefault="007B79BC" w:rsidP="00F77A53">
            <w:pPr>
              <w:pStyle w:val="ColorfulList-Accent11"/>
              <w:suppressAutoHyphens w:val="0"/>
              <w:spacing w:before="0" w:after="0"/>
              <w:ind w:left="0"/>
              <w:jc w:val="left"/>
              <w:rPr>
                <w:szCs w:val="22"/>
              </w:rPr>
            </w:pPr>
            <w:r w:rsidRPr="00CF57DD">
              <w:rPr>
                <w:b/>
                <w:szCs w:val="22"/>
              </w:rPr>
              <w:t>11.1</w:t>
            </w:r>
            <w:r w:rsidRPr="00A21B1E">
              <w:rPr>
                <w:szCs w:val="22"/>
              </w:rPr>
              <w:t xml:space="preserve"> Number of resource centres that run services for international VOs.</w:t>
            </w:r>
          </w:p>
          <w:p w14:paraId="6B34EFF8" w14:textId="77777777" w:rsidR="007B79BC" w:rsidRDefault="007B79BC" w:rsidP="00F77A53">
            <w:pPr>
              <w:pStyle w:val="ColorfulList-Accent11"/>
              <w:suppressAutoHyphens w:val="0"/>
              <w:spacing w:before="0" w:after="0"/>
              <w:ind w:left="360"/>
              <w:jc w:val="left"/>
              <w:rPr>
                <w:szCs w:val="22"/>
              </w:rPr>
            </w:pPr>
          </w:p>
          <w:p w14:paraId="68E6E158" w14:textId="77777777" w:rsidR="007B79BC" w:rsidRDefault="007B79BC" w:rsidP="00F77A53">
            <w:pPr>
              <w:pStyle w:val="ColorfulList-Accent11"/>
              <w:suppressAutoHyphens w:val="0"/>
              <w:spacing w:before="0" w:after="0"/>
              <w:ind w:left="360"/>
              <w:jc w:val="left"/>
              <w:rPr>
                <w:szCs w:val="22"/>
              </w:rPr>
            </w:pPr>
          </w:p>
          <w:p w14:paraId="3C32B284" w14:textId="77777777" w:rsidR="007B79BC" w:rsidRPr="00A21B1E" w:rsidDel="003278CC" w:rsidRDefault="007B79BC" w:rsidP="00F77A53">
            <w:pPr>
              <w:pStyle w:val="ColorfulList-Accent11"/>
              <w:suppressAutoHyphens w:val="0"/>
              <w:spacing w:before="0" w:after="0"/>
              <w:ind w:left="360"/>
              <w:jc w:val="left"/>
              <w:rPr>
                <w:szCs w:val="22"/>
              </w:rPr>
            </w:pPr>
          </w:p>
        </w:tc>
      </w:tr>
      <w:tr w:rsidR="007B79BC" w:rsidRPr="00A21B1E" w14:paraId="0EE30EC4" w14:textId="77777777" w:rsidTr="007B79BC">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1656FEB7" w14:textId="77777777" w:rsidR="007B79BC" w:rsidRPr="00A21B1E" w:rsidRDefault="007B79BC" w:rsidP="00F77A53">
            <w:pPr>
              <w:rPr>
                <w:szCs w:val="22"/>
              </w:rPr>
            </w:pPr>
            <w:r w:rsidRPr="00A21B1E">
              <w:rPr>
                <w:szCs w:val="22"/>
              </w:rPr>
              <w:t>Perspective: Funders</w:t>
            </w:r>
          </w:p>
        </w:tc>
      </w:tr>
      <w:tr w:rsidR="007B79BC" w:rsidRPr="00A21B1E" w14:paraId="64726FF7" w14:textId="77777777" w:rsidTr="007B79BC">
        <w:trPr>
          <w:cantSplit/>
        </w:trPr>
        <w:tc>
          <w:tcPr>
            <w:tcW w:w="2069" w:type="dxa"/>
            <w:shd w:val="clear" w:color="auto" w:fill="auto"/>
          </w:tcPr>
          <w:p w14:paraId="37BA21B7" w14:textId="77777777" w:rsidR="007B79BC" w:rsidRPr="00A21B1E" w:rsidRDefault="007B79BC" w:rsidP="00F77A53">
            <w:pPr>
              <w:jc w:val="left"/>
              <w:rPr>
                <w:b/>
                <w:bCs/>
                <w:szCs w:val="22"/>
              </w:rPr>
            </w:pPr>
            <w:r w:rsidRPr="00A21B1E">
              <w:rPr>
                <w:bCs/>
                <w:szCs w:val="22"/>
              </w:rPr>
              <w:t>12. Contribute to EU2020 priorities</w:t>
            </w:r>
          </w:p>
        </w:tc>
        <w:tc>
          <w:tcPr>
            <w:tcW w:w="5161" w:type="dxa"/>
            <w:gridSpan w:val="2"/>
            <w:shd w:val="clear" w:color="auto" w:fill="auto"/>
          </w:tcPr>
          <w:p w14:paraId="7AAC2FE9" w14:textId="77777777" w:rsidR="007B79BC" w:rsidRPr="00A21B1E" w:rsidRDefault="007B79BC" w:rsidP="0005146B">
            <w:r w:rsidRPr="00A21B1E">
              <w:t>EGI shows a clear impact on enabling the Digital ERA and other key EU strategic objectives for 2020</w:t>
            </w:r>
            <w:r>
              <w:t xml:space="preserve"> (e.g., pooling of resources, open access, open standards, international collaborations)</w:t>
            </w:r>
          </w:p>
        </w:tc>
        <w:tc>
          <w:tcPr>
            <w:tcW w:w="5528" w:type="dxa"/>
            <w:shd w:val="clear" w:color="auto" w:fill="auto"/>
          </w:tcPr>
          <w:p w14:paraId="3AB6F3F5" w14:textId="77777777" w:rsidR="007B79BC" w:rsidRDefault="007B79BC" w:rsidP="003639ED">
            <w:r w:rsidRPr="0096743B">
              <w:rPr>
                <w:b/>
              </w:rPr>
              <w:t>12.1</w:t>
            </w:r>
            <w:r w:rsidRPr="00A21B1E">
              <w:t xml:space="preserve"> Number of scientific </w:t>
            </w:r>
            <w:r>
              <w:t>publications</w:t>
            </w:r>
            <w:r w:rsidRPr="00A21B1E">
              <w:t xml:space="preserve"> produced using E</w:t>
            </w:r>
            <w:r>
              <w:t>GI services</w:t>
            </w:r>
          </w:p>
          <w:p w14:paraId="1692F527" w14:textId="77777777" w:rsidR="007B79BC" w:rsidRDefault="007B79BC" w:rsidP="00BC1730">
            <w:r w:rsidRPr="0096743B">
              <w:rPr>
                <w:b/>
              </w:rPr>
              <w:t>12.2</w:t>
            </w:r>
            <w:r>
              <w:t xml:space="preserve"> </w:t>
            </w:r>
            <w:r w:rsidRPr="00A21B1E">
              <w:t xml:space="preserve">Number of scientific </w:t>
            </w:r>
            <w:r>
              <w:t>publications</w:t>
            </w:r>
            <w:r w:rsidRPr="00A21B1E">
              <w:t xml:space="preserve"> produced using E</w:t>
            </w:r>
            <w:r>
              <w:t>GI services and published as open access</w:t>
            </w:r>
          </w:p>
          <w:p w14:paraId="12D9C7F8" w14:textId="77777777" w:rsidR="007B79BC" w:rsidRDefault="007B79BC" w:rsidP="00BC1730">
            <w:r w:rsidRPr="0096743B">
              <w:rPr>
                <w:b/>
              </w:rPr>
              <w:t>12.3</w:t>
            </w:r>
            <w:r>
              <w:t xml:space="preserve"> </w:t>
            </w:r>
            <w:r w:rsidRPr="00BC1730">
              <w:t>Number of international virtual research communities that use EGI services</w:t>
            </w:r>
          </w:p>
          <w:p w14:paraId="47D91F5A" w14:textId="77777777" w:rsidR="007B79BC" w:rsidRDefault="007B79BC" w:rsidP="0005146B">
            <w:r w:rsidRPr="0096743B">
              <w:rPr>
                <w:b/>
              </w:rPr>
              <w:t>12.4</w:t>
            </w:r>
            <w:r>
              <w:t xml:space="preserve"> </w:t>
            </w:r>
            <w:r w:rsidRPr="00BC1730">
              <w:t>Number of user-facing services from the EGI service portfolio based on open standards</w:t>
            </w:r>
          </w:p>
          <w:p w14:paraId="356250F5" w14:textId="66F8AA47" w:rsidR="007B79BC" w:rsidRDefault="007B79BC" w:rsidP="0005146B">
            <w:r w:rsidRPr="0096743B">
              <w:rPr>
                <w:b/>
              </w:rPr>
              <w:t>12.5</w:t>
            </w:r>
            <w:r>
              <w:t xml:space="preserve"> </w:t>
            </w:r>
            <w:r w:rsidRPr="00BC1730">
              <w:t>Number of European countries part of the EGI infrastructure</w:t>
            </w:r>
          </w:p>
          <w:p w14:paraId="7078EBE8" w14:textId="30679D3D" w:rsidR="007B79BC" w:rsidRPr="00A21B1E" w:rsidRDefault="007B79BC" w:rsidP="0005146B">
            <w:r w:rsidRPr="0096743B">
              <w:rPr>
                <w:b/>
              </w:rPr>
              <w:t>12.6</w:t>
            </w:r>
            <w:r w:rsidRPr="00A21B1E">
              <w:t xml:space="preserve"> Percentage utilisation through EGI provisioned services by EGI VOs of the job slot</w:t>
            </w:r>
            <w:r>
              <w:t>s (LCPUs) capacity made availabl</w:t>
            </w:r>
            <w:r w:rsidRPr="00A21B1E">
              <w:t>e for their use</w:t>
            </w:r>
          </w:p>
        </w:tc>
      </w:tr>
      <w:tr w:rsidR="007B79BC" w:rsidRPr="00A21B1E" w14:paraId="6456E609"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153E4F98" w14:textId="77777777" w:rsidR="007B79BC" w:rsidRPr="00A21B1E" w:rsidRDefault="007B79BC" w:rsidP="00F77A53">
            <w:pPr>
              <w:jc w:val="left"/>
              <w:rPr>
                <w:b/>
                <w:bCs/>
                <w:szCs w:val="22"/>
              </w:rPr>
            </w:pPr>
            <w:r w:rsidRPr="00A21B1E">
              <w:rPr>
                <w:bCs/>
                <w:szCs w:val="22"/>
              </w:rPr>
              <w:t>13. Contribute to national priorities</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12802D2C" w14:textId="77777777" w:rsidR="007B79BC" w:rsidRPr="00A21B1E" w:rsidRDefault="007B79BC" w:rsidP="0005146B">
            <w:r w:rsidRPr="00A21B1E">
              <w:t xml:space="preserve">NGIs, by collaborating with EGI, shows a clear impact on contributing to their national priorities </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0C15F267" w14:textId="1E94DD39" w:rsidR="007B79BC" w:rsidRPr="00A21B1E" w:rsidRDefault="007B79BC" w:rsidP="0005146B">
            <w:r w:rsidRPr="0096743B">
              <w:rPr>
                <w:b/>
              </w:rPr>
              <w:t>13.1</w:t>
            </w:r>
            <w:r w:rsidRPr="00A21B1E">
              <w:t xml:space="preserve"> Number of NGIs able to demonstrate strong engagement and integration with the ‘owner’ or funder of their national activities.</w:t>
            </w:r>
          </w:p>
          <w:p w14:paraId="4100FEA8" w14:textId="77777777" w:rsidR="007B79BC" w:rsidRPr="00A21B1E" w:rsidRDefault="007B79BC" w:rsidP="0005146B">
            <w:r w:rsidRPr="0096743B">
              <w:rPr>
                <w:b/>
              </w:rPr>
              <w:t>13.2</w:t>
            </w:r>
            <w:r w:rsidRPr="00A21B1E">
              <w:t xml:space="preserve"> Number of NGIs that are recognised in their national e-Infrastructure strategies or plans.</w:t>
            </w:r>
          </w:p>
        </w:tc>
      </w:tr>
      <w:tr w:rsidR="007B79BC" w:rsidRPr="00A21B1E" w14:paraId="26EC9401" w14:textId="77777777" w:rsidTr="007B79BC">
        <w:trPr>
          <w:cantSplit/>
        </w:trPr>
        <w:tc>
          <w:tcPr>
            <w:tcW w:w="12758" w:type="dxa"/>
            <w:gridSpan w:val="4"/>
            <w:shd w:val="clear" w:color="auto" w:fill="D2EAF1"/>
          </w:tcPr>
          <w:p w14:paraId="6FF92786" w14:textId="77777777" w:rsidR="007B79BC" w:rsidRPr="00A21B1E" w:rsidRDefault="007B79BC" w:rsidP="00F77A53">
            <w:pPr>
              <w:rPr>
                <w:szCs w:val="22"/>
              </w:rPr>
            </w:pPr>
            <w:r w:rsidRPr="00A21B1E">
              <w:rPr>
                <w:szCs w:val="22"/>
              </w:rPr>
              <w:lastRenderedPageBreak/>
              <w:t>Perspective: Income</w:t>
            </w:r>
          </w:p>
        </w:tc>
      </w:tr>
      <w:tr w:rsidR="007B79BC" w:rsidRPr="00A21B1E" w14:paraId="1623DB66"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5CF6B42B" w14:textId="16849C30" w:rsidR="007B79BC" w:rsidRPr="00A21B1E" w:rsidRDefault="007B79BC" w:rsidP="0066162A">
            <w:pPr>
              <w:jc w:val="left"/>
              <w:rPr>
                <w:b/>
                <w:bCs/>
                <w:szCs w:val="22"/>
              </w:rPr>
            </w:pPr>
            <w:r>
              <w:rPr>
                <w:bCs/>
                <w:szCs w:val="22"/>
              </w:rPr>
              <w:t>14</w:t>
            </w:r>
            <w:r w:rsidRPr="00A21B1E">
              <w:rPr>
                <w:bCs/>
                <w:szCs w:val="22"/>
              </w:rPr>
              <w:t>. Achieve funding</w:t>
            </w:r>
            <w:r>
              <w:rPr>
                <w:bCs/>
                <w:szCs w:val="22"/>
              </w:rPr>
              <w:t xml:space="preserve"> for innovation </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7F6AAC3C" w14:textId="77777777" w:rsidR="007B79BC" w:rsidRPr="00A21B1E" w:rsidRDefault="007B79BC" w:rsidP="0066162A">
            <w:pPr>
              <w:outlineLvl w:val="4"/>
              <w:rPr>
                <w:szCs w:val="22"/>
              </w:rPr>
            </w:pPr>
            <w:r w:rsidRPr="00A21B1E">
              <w:rPr>
                <w:szCs w:val="22"/>
              </w:rPr>
              <w:t xml:space="preserve">The EGI ecosystem is able to attract funding for </w:t>
            </w:r>
            <w:r>
              <w:rPr>
                <w:szCs w:val="22"/>
              </w:rPr>
              <w:t>innovation of EGI services for the researchers.</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3A5E791A" w14:textId="61C52D90" w:rsidR="007B79BC" w:rsidRDefault="007B79BC" w:rsidP="00F16889">
            <w:pPr>
              <w:pStyle w:val="ColorfulList-Accent11"/>
              <w:numPr>
                <w:ilvl w:val="4"/>
                <w:numId w:val="3"/>
              </w:numPr>
              <w:suppressAutoHyphens w:val="0"/>
              <w:spacing w:before="0" w:after="0"/>
              <w:ind w:left="0"/>
              <w:jc w:val="left"/>
              <w:outlineLvl w:val="4"/>
              <w:rPr>
                <w:szCs w:val="22"/>
              </w:rPr>
            </w:pPr>
            <w:r>
              <w:rPr>
                <w:b/>
                <w:szCs w:val="22"/>
              </w:rPr>
              <w:t>14</w:t>
            </w:r>
            <w:r w:rsidRPr="0096743B">
              <w:rPr>
                <w:b/>
                <w:szCs w:val="22"/>
              </w:rPr>
              <w:t>.1</w:t>
            </w:r>
            <w:r w:rsidRPr="00A21B1E">
              <w:rPr>
                <w:szCs w:val="22"/>
              </w:rPr>
              <w:t xml:space="preserve"> </w:t>
            </w:r>
            <w:r>
              <w:rPr>
                <w:szCs w:val="22"/>
              </w:rPr>
              <w:t>Number of</w:t>
            </w:r>
            <w:r w:rsidRPr="00A21B1E">
              <w:rPr>
                <w:szCs w:val="22"/>
              </w:rPr>
              <w:t xml:space="preserve"> European </w:t>
            </w:r>
            <w:r>
              <w:rPr>
                <w:szCs w:val="22"/>
              </w:rPr>
              <w:t>funded projects in which EGI.eu participate that are supporting innovation</w:t>
            </w:r>
          </w:p>
          <w:p w14:paraId="5558A54C" w14:textId="7CDDAA3B" w:rsidR="007B79BC" w:rsidRPr="00A21B1E" w:rsidRDefault="007B79BC" w:rsidP="00F16889">
            <w:pPr>
              <w:pStyle w:val="ColorfulList-Accent11"/>
              <w:numPr>
                <w:ilvl w:val="4"/>
                <w:numId w:val="3"/>
              </w:numPr>
              <w:suppressAutoHyphens w:val="0"/>
              <w:spacing w:before="0" w:after="0"/>
              <w:ind w:left="0"/>
              <w:jc w:val="left"/>
              <w:outlineLvl w:val="4"/>
              <w:rPr>
                <w:szCs w:val="22"/>
              </w:rPr>
            </w:pPr>
            <w:r>
              <w:rPr>
                <w:b/>
                <w:szCs w:val="22"/>
              </w:rPr>
              <w:t>14</w:t>
            </w:r>
            <w:r w:rsidRPr="0096743B">
              <w:rPr>
                <w:b/>
                <w:szCs w:val="22"/>
              </w:rPr>
              <w:t>.2</w:t>
            </w:r>
            <w:r w:rsidRPr="00A21B1E">
              <w:rPr>
                <w:szCs w:val="22"/>
              </w:rPr>
              <w:t xml:space="preserve"> </w:t>
            </w:r>
            <w:r>
              <w:rPr>
                <w:szCs w:val="22"/>
              </w:rPr>
              <w:t xml:space="preserve">Amount of money from </w:t>
            </w:r>
            <w:r w:rsidRPr="00A21B1E">
              <w:rPr>
                <w:szCs w:val="22"/>
              </w:rPr>
              <w:t xml:space="preserve">European </w:t>
            </w:r>
            <w:r>
              <w:rPr>
                <w:szCs w:val="22"/>
              </w:rPr>
              <w:t>funded projects in which EGI.eu participate that are supporting innovation</w:t>
            </w:r>
          </w:p>
        </w:tc>
      </w:tr>
      <w:tr w:rsidR="007B79BC" w:rsidRPr="00C34F03" w14:paraId="5EC9FD5A" w14:textId="77777777" w:rsidTr="007B79BC">
        <w:trPr>
          <w:cantSplit/>
        </w:trPr>
        <w:tc>
          <w:tcPr>
            <w:tcW w:w="2069" w:type="dxa"/>
            <w:shd w:val="clear" w:color="auto" w:fill="auto"/>
          </w:tcPr>
          <w:p w14:paraId="78A49D96" w14:textId="37934811" w:rsidR="007B79BC" w:rsidRPr="00A21B1E" w:rsidRDefault="007B79BC" w:rsidP="00AC017C">
            <w:pPr>
              <w:jc w:val="left"/>
              <w:rPr>
                <w:b/>
                <w:bCs/>
                <w:szCs w:val="22"/>
              </w:rPr>
            </w:pPr>
            <w:r>
              <w:rPr>
                <w:bCs/>
                <w:szCs w:val="22"/>
              </w:rPr>
              <w:t>15</w:t>
            </w:r>
            <w:r w:rsidRPr="00A21B1E">
              <w:rPr>
                <w:bCs/>
                <w:szCs w:val="22"/>
              </w:rPr>
              <w:t xml:space="preserve">. Achieve </w:t>
            </w:r>
            <w:r>
              <w:rPr>
                <w:bCs/>
                <w:szCs w:val="22"/>
              </w:rPr>
              <w:t>long-term</w:t>
            </w:r>
            <w:r w:rsidRPr="00A21B1E">
              <w:rPr>
                <w:bCs/>
                <w:szCs w:val="22"/>
              </w:rPr>
              <w:t xml:space="preserve"> funding for </w:t>
            </w:r>
            <w:r>
              <w:rPr>
                <w:bCs/>
                <w:szCs w:val="22"/>
              </w:rPr>
              <w:t>EGI core services</w:t>
            </w:r>
          </w:p>
        </w:tc>
        <w:tc>
          <w:tcPr>
            <w:tcW w:w="5161" w:type="dxa"/>
            <w:gridSpan w:val="2"/>
            <w:shd w:val="clear" w:color="auto" w:fill="auto"/>
          </w:tcPr>
          <w:p w14:paraId="5E3E72E9" w14:textId="77777777" w:rsidR="007B79BC" w:rsidRPr="00A21B1E" w:rsidRDefault="007B79BC" w:rsidP="00AC017C">
            <w:pPr>
              <w:outlineLvl w:val="4"/>
              <w:rPr>
                <w:szCs w:val="22"/>
              </w:rPr>
            </w:pPr>
            <w:r>
              <w:rPr>
                <w:szCs w:val="22"/>
              </w:rPr>
              <w:t>Achieve long-term funding for</w:t>
            </w:r>
            <w:r w:rsidRPr="00A21B1E">
              <w:rPr>
                <w:szCs w:val="22"/>
              </w:rPr>
              <w:t xml:space="preserve"> </w:t>
            </w:r>
            <w:r>
              <w:rPr>
                <w:szCs w:val="22"/>
              </w:rPr>
              <w:t xml:space="preserve">EGI core services that are needed to </w:t>
            </w:r>
            <w:r w:rsidRPr="00A21B1E">
              <w:rPr>
                <w:szCs w:val="22"/>
              </w:rPr>
              <w:t>ensure the integrated operation and coordination of the production infrastructure</w:t>
            </w:r>
            <w:r>
              <w:rPr>
                <w:szCs w:val="22"/>
              </w:rPr>
              <w:t xml:space="preserve">. The funding mix comes from different sources. </w:t>
            </w:r>
          </w:p>
        </w:tc>
        <w:tc>
          <w:tcPr>
            <w:tcW w:w="5528" w:type="dxa"/>
            <w:shd w:val="clear" w:color="auto" w:fill="auto"/>
          </w:tcPr>
          <w:p w14:paraId="1CCB3262" w14:textId="4B7BD054" w:rsidR="007B79BC" w:rsidRPr="00A21B1E" w:rsidRDefault="007B79BC" w:rsidP="00A23CA7">
            <w:pPr>
              <w:pStyle w:val="ColorfulList-Accent11"/>
              <w:numPr>
                <w:ilvl w:val="4"/>
                <w:numId w:val="3"/>
              </w:numPr>
              <w:suppressAutoHyphens w:val="0"/>
              <w:spacing w:before="0" w:after="0"/>
              <w:ind w:left="0"/>
              <w:jc w:val="left"/>
              <w:outlineLvl w:val="4"/>
              <w:rPr>
                <w:szCs w:val="22"/>
              </w:rPr>
            </w:pPr>
            <w:r w:rsidRPr="0096743B">
              <w:rPr>
                <w:b/>
                <w:szCs w:val="22"/>
              </w:rPr>
              <w:t>15.1</w:t>
            </w:r>
            <w:r w:rsidRPr="00A21B1E">
              <w:rPr>
                <w:szCs w:val="22"/>
              </w:rPr>
              <w:t xml:space="preserve"> </w:t>
            </w:r>
            <w:r>
              <w:rPr>
                <w:szCs w:val="22"/>
              </w:rPr>
              <w:t>Number of years for which funding for continued operations of EGI global services have been secured</w:t>
            </w:r>
          </w:p>
          <w:p w14:paraId="3A5895FF" w14:textId="17E0C7AC" w:rsidR="007B79BC" w:rsidRPr="00A21B1E" w:rsidRDefault="007B79BC" w:rsidP="00A23CA7">
            <w:pPr>
              <w:pStyle w:val="ColorfulList-Accent11"/>
              <w:suppressAutoHyphens w:val="0"/>
              <w:spacing w:before="0" w:after="0"/>
              <w:ind w:left="0"/>
              <w:jc w:val="left"/>
              <w:rPr>
                <w:szCs w:val="22"/>
              </w:rPr>
            </w:pPr>
            <w:r w:rsidRPr="0096743B">
              <w:rPr>
                <w:b/>
                <w:szCs w:val="22"/>
              </w:rPr>
              <w:t>15.2</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EGI.eu membership fee</w:t>
            </w:r>
            <w:r w:rsidRPr="00A21B1E">
              <w:rPr>
                <w:szCs w:val="22"/>
              </w:rPr>
              <w:t xml:space="preserve"> </w:t>
            </w:r>
            <w:r>
              <w:rPr>
                <w:szCs w:val="22"/>
              </w:rPr>
              <w:t xml:space="preserve">covering </w:t>
            </w:r>
            <w:r w:rsidRPr="00A21B1E">
              <w:rPr>
                <w:szCs w:val="22"/>
              </w:rPr>
              <w:t>the</w:t>
            </w:r>
            <w:r>
              <w:rPr>
                <w:szCs w:val="22"/>
              </w:rPr>
              <w:t xml:space="preserve"> critical part of</w:t>
            </w:r>
            <w:r w:rsidRPr="00A21B1E">
              <w:rPr>
                <w:szCs w:val="22"/>
              </w:rPr>
              <w:t xml:space="preserve"> EGI Global services </w:t>
            </w:r>
          </w:p>
          <w:p w14:paraId="737F1A8B" w14:textId="5A54F9DB" w:rsidR="007B79BC" w:rsidRDefault="007B79BC" w:rsidP="00F77A53">
            <w:pPr>
              <w:pStyle w:val="ColorfulList-Accent11"/>
              <w:suppressAutoHyphens w:val="0"/>
              <w:spacing w:before="0" w:after="0"/>
              <w:ind w:left="0"/>
              <w:jc w:val="left"/>
              <w:rPr>
                <w:szCs w:val="22"/>
              </w:rPr>
            </w:pPr>
            <w:r w:rsidRPr="0096743B">
              <w:rPr>
                <w:b/>
                <w:szCs w:val="22"/>
              </w:rPr>
              <w:t>15.3</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EGI.eu membership fee</w:t>
            </w:r>
            <w:r w:rsidRPr="00A21B1E">
              <w:rPr>
                <w:szCs w:val="22"/>
              </w:rPr>
              <w:t xml:space="preserve"> </w:t>
            </w:r>
            <w:r>
              <w:rPr>
                <w:szCs w:val="22"/>
              </w:rPr>
              <w:t xml:space="preserve">covering </w:t>
            </w:r>
            <w:r w:rsidRPr="00A21B1E">
              <w:rPr>
                <w:szCs w:val="22"/>
              </w:rPr>
              <w:t>the EGI Global services</w:t>
            </w:r>
          </w:p>
          <w:p w14:paraId="04A6A504" w14:textId="7719311E" w:rsidR="007B79BC" w:rsidRPr="00A21B1E" w:rsidRDefault="007B79BC" w:rsidP="007B79BC">
            <w:pPr>
              <w:pStyle w:val="ColorfulList-Accent11"/>
              <w:suppressAutoHyphens w:val="0"/>
              <w:spacing w:before="0" w:after="0"/>
              <w:ind w:left="0"/>
              <w:jc w:val="left"/>
              <w:rPr>
                <w:szCs w:val="22"/>
              </w:rPr>
            </w:pPr>
            <w:r w:rsidRPr="0096743B">
              <w:rPr>
                <w:b/>
                <w:szCs w:val="22"/>
              </w:rPr>
              <w:t>15.4</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 xml:space="preserve">other sources (e.g., EC, user communities) covering </w:t>
            </w:r>
            <w:r w:rsidRPr="00A21B1E">
              <w:rPr>
                <w:szCs w:val="22"/>
              </w:rPr>
              <w:t xml:space="preserve">the EGI Global services </w:t>
            </w:r>
          </w:p>
        </w:tc>
      </w:tr>
      <w:tr w:rsidR="007B79BC" w:rsidRPr="00C34F03" w14:paraId="67E0CED4" w14:textId="77777777" w:rsidTr="007B79BC">
        <w:trPr>
          <w:cantSplit/>
        </w:trPr>
        <w:tc>
          <w:tcPr>
            <w:tcW w:w="2069" w:type="dxa"/>
            <w:shd w:val="clear" w:color="auto" w:fill="auto"/>
          </w:tcPr>
          <w:p w14:paraId="060955A4" w14:textId="0ABF831C" w:rsidR="007B79BC" w:rsidRPr="00A21B1E" w:rsidRDefault="007B79BC" w:rsidP="00AC017C">
            <w:pPr>
              <w:jc w:val="left"/>
              <w:rPr>
                <w:bCs/>
                <w:szCs w:val="22"/>
              </w:rPr>
            </w:pPr>
            <w:r>
              <w:rPr>
                <w:bCs/>
                <w:szCs w:val="22"/>
              </w:rPr>
              <w:t>16. Achieve income from direct charge for services</w:t>
            </w:r>
          </w:p>
        </w:tc>
        <w:tc>
          <w:tcPr>
            <w:tcW w:w="5161" w:type="dxa"/>
            <w:gridSpan w:val="2"/>
            <w:shd w:val="clear" w:color="auto" w:fill="auto"/>
          </w:tcPr>
          <w:p w14:paraId="2F27364B" w14:textId="77777777" w:rsidR="007B79BC" w:rsidRDefault="007B79BC" w:rsidP="00386056">
            <w:pPr>
              <w:outlineLvl w:val="4"/>
              <w:rPr>
                <w:szCs w:val="22"/>
              </w:rPr>
            </w:pPr>
            <w:r>
              <w:rPr>
                <w:szCs w:val="22"/>
              </w:rPr>
              <w:t>Achieve income for direct charge of services to users or their funding agencies (e.g. cloud or grid services, consultancy).</w:t>
            </w:r>
          </w:p>
        </w:tc>
        <w:tc>
          <w:tcPr>
            <w:tcW w:w="5528" w:type="dxa"/>
            <w:shd w:val="clear" w:color="auto" w:fill="auto"/>
          </w:tcPr>
          <w:p w14:paraId="0E5A9A30" w14:textId="01593521" w:rsidR="007B79BC" w:rsidRPr="00A21B1E" w:rsidRDefault="007B79BC" w:rsidP="00F16889">
            <w:pPr>
              <w:pStyle w:val="ColorfulList-Accent11"/>
              <w:suppressAutoHyphens w:val="0"/>
              <w:spacing w:before="0" w:after="0"/>
              <w:ind w:left="0"/>
              <w:jc w:val="left"/>
              <w:outlineLvl w:val="4"/>
              <w:rPr>
                <w:szCs w:val="22"/>
              </w:rPr>
            </w:pPr>
            <w:r w:rsidRPr="0096743B">
              <w:rPr>
                <w:b/>
                <w:szCs w:val="22"/>
              </w:rPr>
              <w:t>16.1</w:t>
            </w:r>
            <w:r>
              <w:rPr>
                <w:szCs w:val="22"/>
              </w:rPr>
              <w:t xml:space="preserve"> Income from pay-for-use services provided by EGI</w:t>
            </w:r>
          </w:p>
        </w:tc>
      </w:tr>
    </w:tbl>
    <w:p w14:paraId="366B89D6" w14:textId="77777777" w:rsidR="003615BE" w:rsidRDefault="003615BE" w:rsidP="00001B40">
      <w:pPr>
        <w:tabs>
          <w:tab w:val="num" w:pos="720"/>
        </w:tabs>
        <w:suppressAutoHyphens w:val="0"/>
        <w:spacing w:before="0" w:after="0"/>
        <w:jc w:val="left"/>
        <w:rPr>
          <w:shd w:val="solid" w:color="FFFF00" w:fill="FFFF00"/>
        </w:rPr>
      </w:pPr>
    </w:p>
    <w:p w14:paraId="78E1CD35" w14:textId="77777777" w:rsidR="007344A0" w:rsidRPr="00C34F03" w:rsidRDefault="007344A0" w:rsidP="00001B40">
      <w:pPr>
        <w:tabs>
          <w:tab w:val="num" w:pos="720"/>
        </w:tabs>
        <w:suppressAutoHyphens w:val="0"/>
        <w:spacing w:before="0" w:after="0"/>
        <w:jc w:val="left"/>
        <w:rPr>
          <w:shd w:val="solid" w:color="FFFF00" w:fill="FFFF00"/>
        </w:rPr>
        <w:sectPr w:rsidR="007344A0" w:rsidRPr="00C34F03">
          <w:pgSz w:w="16840" w:h="11900" w:orient="landscape"/>
          <w:pgMar w:top="1418" w:right="1418" w:bottom="1418" w:left="1418" w:header="708" w:footer="708" w:gutter="0"/>
          <w:cols w:space="708"/>
        </w:sectPr>
      </w:pPr>
    </w:p>
    <w:p w14:paraId="25B6C560" w14:textId="2EBCFE0E" w:rsidR="006260D4" w:rsidRDefault="006260D4" w:rsidP="006260D4">
      <w:r>
        <w:lastRenderedPageBreak/>
        <w:t xml:space="preserve">The process itself of capturing EGI strategy into a map has been a deliberate effort to enhance the ‘quality of conversation’ as a way to help this organisation to become more flexible and agile. The basic idea behind it is to learn, as the outlined strategy is communicated and implemented. </w:t>
      </w:r>
    </w:p>
    <w:p w14:paraId="6FBECB9D" w14:textId="379DC775" w:rsidR="006260D4" w:rsidRDefault="006260D4" w:rsidP="006260D4">
      <w:r>
        <w:t>The strategy map is divided in several perspectives. Each of one captures a particular view of the organization’s strategy. The perspectives build up to an overall story that makes it easier to communicate strategy to the people involved at different levels and engage them.</w:t>
      </w:r>
    </w:p>
    <w:p w14:paraId="05963AC7" w14:textId="25D0BE03" w:rsidR="006260D4" w:rsidRPr="00EF28A2" w:rsidRDefault="006260D4" w:rsidP="006260D4">
      <w:r>
        <w:t xml:space="preserve">The organization’s purpose or mission statement has been placed at the top of the strategy map. </w:t>
      </w:r>
      <w:r w:rsidRPr="00D1765F">
        <w:t xml:space="preserve">EGI sees a future in which </w:t>
      </w:r>
      <w:r w:rsidRPr="00F45324">
        <w:rPr>
          <w:i/>
        </w:rPr>
        <w:t>researchers from all disciplines have easy and open access to the digital services, data, knowledge and expertise they need to collaborate and perform excellent research</w:t>
      </w:r>
      <w:r>
        <w:t xml:space="preserve">. To achieve this vision EGI sets out </w:t>
      </w:r>
      <w:r w:rsidRPr="00F45324">
        <w:rPr>
          <w:i/>
          <w:iCs/>
        </w:rPr>
        <w:t>to be part of the ERA's backbone as a key provider of open access to compute, storage, data, knowledge and expertise available in Europe and worldwide</w:t>
      </w:r>
      <w:r>
        <w:rPr>
          <w:i/>
          <w:iCs/>
        </w:rPr>
        <w:t>.</w:t>
      </w:r>
      <w:r w:rsidRPr="00EB6C5C">
        <w:rPr>
          <w:i/>
          <w:iCs/>
        </w:rPr>
        <w:t xml:space="preserve"> </w:t>
      </w:r>
    </w:p>
    <w:p w14:paraId="6F5997C4" w14:textId="77777777" w:rsidR="006260D4" w:rsidRDefault="006260D4" w:rsidP="006260D4">
      <w:r>
        <w:t>The organization’s values (Leadership, Openness, Reliability, Innovation and Commitment) are placed at the bottom of the strategy map. It makes clear that the overriding purpose of EGI is supported by the organization’s values and that the strategy is outlined to reach it.</w:t>
      </w:r>
    </w:p>
    <w:p w14:paraId="7D3427B2" w14:textId="153E7316" w:rsidR="006260D4" w:rsidRDefault="006260D4" w:rsidP="006260D4">
      <w:r>
        <w:t xml:space="preserve">The most important perspective in strategy map design is the one related to the direct </w:t>
      </w:r>
      <w:proofErr w:type="gramStart"/>
      <w:r>
        <w:t>beneficiaries, that</w:t>
      </w:r>
      <w:proofErr w:type="gramEnd"/>
      <w:r>
        <w:t xml:space="preserve"> are the researchers for EGI. They are expressed with variations of the same theme: “I want…” or “I need”, as follows: </w:t>
      </w:r>
    </w:p>
    <w:p w14:paraId="54E3DA30" w14:textId="77777777" w:rsidR="006260D4" w:rsidRDefault="006260D4" w:rsidP="00B435DF">
      <w:pPr>
        <w:pStyle w:val="ListParagraph"/>
        <w:numPr>
          <w:ilvl w:val="0"/>
          <w:numId w:val="18"/>
        </w:numPr>
        <w:suppressAutoHyphens w:val="0"/>
        <w:spacing w:before="0" w:after="200" w:line="276" w:lineRule="auto"/>
        <w:jc w:val="left"/>
      </w:pPr>
      <w:r>
        <w:t>I need easy and reliable access to computational and data services that support my investigation</w:t>
      </w:r>
    </w:p>
    <w:p w14:paraId="44364D76" w14:textId="683BDE41" w:rsidR="006260D4" w:rsidRDefault="006260D4" w:rsidP="00B435DF">
      <w:pPr>
        <w:pStyle w:val="ListParagraph"/>
        <w:numPr>
          <w:ilvl w:val="0"/>
          <w:numId w:val="18"/>
        </w:numPr>
        <w:suppressAutoHyphens w:val="0"/>
        <w:spacing w:before="0" w:after="200" w:line="276" w:lineRule="auto"/>
        <w:jc w:val="left"/>
      </w:pPr>
      <w:r>
        <w:t xml:space="preserve">I want to be able to use and reuse the applications, data or any research outputs useful for my investigations or I want to share them </w:t>
      </w:r>
    </w:p>
    <w:p w14:paraId="72468287" w14:textId="77777777" w:rsidR="006260D4" w:rsidRDefault="006260D4" w:rsidP="00B435DF">
      <w:pPr>
        <w:pStyle w:val="ListParagraph"/>
        <w:numPr>
          <w:ilvl w:val="0"/>
          <w:numId w:val="18"/>
        </w:numPr>
        <w:suppressAutoHyphens w:val="0"/>
        <w:spacing w:before="0" w:after="200" w:line="276" w:lineRule="auto"/>
        <w:jc w:val="left"/>
      </w:pPr>
      <w:r>
        <w:t>I need that the operation of the resource centres is uniform across institutions, scientific disciplines or national boundaries.</w:t>
      </w:r>
    </w:p>
    <w:p w14:paraId="160A6D02" w14:textId="77777777" w:rsidR="006260D4" w:rsidRDefault="006260D4" w:rsidP="006260D4">
      <w:r>
        <w:t>The three previous statements condensed the basic needs expressed by the different layers across their own processes, and the customer groups and types identified in the customer research.</w:t>
      </w:r>
    </w:p>
    <w:p w14:paraId="290491DC" w14:textId="14C23458" w:rsidR="006260D4" w:rsidRDefault="006260D4" w:rsidP="006260D4">
      <w:r>
        <w:t xml:space="preserve">Considering the importance that the funding bodies have in the functioning of the EGI collaboration it has been created a separate perspective alongside the customer perspective. This emphasizes their importance as a part of the landscape of the organization. Naturally, the principle of expressing their needs in terms of objectives also applies. The funders, whether they are European, national or local, want that the funds they are providing </w:t>
      </w:r>
      <w:proofErr w:type="gramStart"/>
      <w:r>
        <w:t>are</w:t>
      </w:r>
      <w:proofErr w:type="gramEnd"/>
      <w:r>
        <w:t xml:space="preserve"> efficiently and effectively used. They also want to be assured that the activities they support are fully aligned with their strategies (in the European level it is Horizon 2020 with the Digital Agenda for Europe and Innovative Union as the instruments most directly related with EGI). The ability of the researchers to share datasets and other inputs for research and to obtain data and computing services across the frontiers, namely a main objective in almost all, if not all, European agendas, has been given a special consideration in the strategy, and thus in the BSC with their own indicators. </w:t>
      </w:r>
      <w:proofErr w:type="spellStart"/>
      <w:r>
        <w:t>Transnationality</w:t>
      </w:r>
      <w:proofErr w:type="spellEnd"/>
      <w:r>
        <w:t>, understood as the ability to operate and investigate seamlessly across boundaries, as if they were no frontiers of any kind, contributes not only to the efficiency and effectiveness of the operations, but also and mainly to enhance exponentially the capacity of the European researchers of produce excellent science, that leads to innovations, which ultimately will bring about benefits at all dimensions.</w:t>
      </w:r>
    </w:p>
    <w:p w14:paraId="2F5C7E3D" w14:textId="4E59CD1A" w:rsidR="006260D4" w:rsidRDefault="006260D4" w:rsidP="006260D4">
      <w:r>
        <w:t>The Income perspective is relevant because event though there is not a profit purpose, costs need to be covered and a clear strategy on how to cover them to ensure financial sustainability is important. In this case we have decided to include it as it condense very well the objectives set out to address the needs of both the direct beneficiaries (researchers) and the funding bodies. These objectives are expressed in terms of objectives for EGI:</w:t>
      </w:r>
    </w:p>
    <w:p w14:paraId="7446F70F" w14:textId="77777777" w:rsidR="006260D4" w:rsidRPr="006260D4" w:rsidRDefault="006260D4" w:rsidP="00B435DF">
      <w:pPr>
        <w:pStyle w:val="ListParagraph"/>
        <w:numPr>
          <w:ilvl w:val="0"/>
          <w:numId w:val="19"/>
        </w:numPr>
        <w:suppressAutoHyphens w:val="0"/>
        <w:spacing w:before="0" w:after="200" w:line="276" w:lineRule="auto"/>
        <w:jc w:val="left"/>
      </w:pPr>
      <w:r w:rsidRPr="00A21B1E">
        <w:rPr>
          <w:bCs/>
          <w:szCs w:val="22"/>
        </w:rPr>
        <w:lastRenderedPageBreak/>
        <w:t xml:space="preserve">Achieve </w:t>
      </w:r>
      <w:r>
        <w:rPr>
          <w:bCs/>
          <w:szCs w:val="22"/>
        </w:rPr>
        <w:t>long-term</w:t>
      </w:r>
      <w:r w:rsidRPr="00A21B1E">
        <w:rPr>
          <w:bCs/>
          <w:szCs w:val="22"/>
        </w:rPr>
        <w:t xml:space="preserve"> funding for </w:t>
      </w:r>
      <w:r>
        <w:rPr>
          <w:bCs/>
          <w:szCs w:val="22"/>
        </w:rPr>
        <w:t>EGI core services</w:t>
      </w:r>
      <w:r w:rsidRPr="00A21B1E">
        <w:rPr>
          <w:bCs/>
          <w:szCs w:val="22"/>
        </w:rPr>
        <w:t xml:space="preserve"> </w:t>
      </w:r>
    </w:p>
    <w:p w14:paraId="16F55787" w14:textId="6180FFBF" w:rsidR="006260D4" w:rsidRPr="00B435DF" w:rsidRDefault="006260D4" w:rsidP="00B435DF">
      <w:pPr>
        <w:pStyle w:val="ListParagraph"/>
        <w:numPr>
          <w:ilvl w:val="0"/>
          <w:numId w:val="19"/>
        </w:numPr>
        <w:suppressAutoHyphens w:val="0"/>
        <w:spacing w:before="0" w:after="200" w:line="276" w:lineRule="auto"/>
        <w:jc w:val="left"/>
      </w:pPr>
      <w:r w:rsidRPr="00A21B1E">
        <w:rPr>
          <w:bCs/>
          <w:szCs w:val="22"/>
        </w:rPr>
        <w:t>Achieve funding</w:t>
      </w:r>
      <w:r>
        <w:rPr>
          <w:bCs/>
          <w:szCs w:val="22"/>
        </w:rPr>
        <w:t xml:space="preserve"> for innovation</w:t>
      </w:r>
    </w:p>
    <w:p w14:paraId="6023429E" w14:textId="43BF7FF7" w:rsidR="00B435DF" w:rsidRDefault="00B435DF" w:rsidP="00B435DF">
      <w:pPr>
        <w:pStyle w:val="ListParagraph"/>
        <w:numPr>
          <w:ilvl w:val="0"/>
          <w:numId w:val="19"/>
        </w:numPr>
        <w:suppressAutoHyphens w:val="0"/>
        <w:spacing w:before="0" w:after="200" w:line="276" w:lineRule="auto"/>
        <w:jc w:val="left"/>
      </w:pPr>
      <w:r>
        <w:rPr>
          <w:bCs/>
          <w:szCs w:val="22"/>
        </w:rPr>
        <w:t>Achieve income from direct charge for services</w:t>
      </w:r>
    </w:p>
    <w:p w14:paraId="0DA6DBFE" w14:textId="0A1E0F3B" w:rsidR="006260D4" w:rsidRDefault="006260D4" w:rsidP="006260D4">
      <w:r>
        <w:t>The processes perspective address</w:t>
      </w:r>
      <w:r w:rsidR="00B435DF">
        <w:t>es</w:t>
      </w:r>
      <w:r>
        <w:t xml:space="preserve"> the question </w:t>
      </w:r>
      <w:r w:rsidRPr="00B435DF">
        <w:rPr>
          <w:i/>
        </w:rPr>
        <w:t>what we must focus on (and excel at) to satisfy (superbly) EGI’s beneficiaries and funders</w:t>
      </w:r>
      <w:r>
        <w:t>. They have been described in such a way that it is possible to correlate them with the expressed objectives for EGI-</w:t>
      </w:r>
      <w:proofErr w:type="spellStart"/>
      <w:r>
        <w:t>InSPIRE</w:t>
      </w:r>
      <w:proofErr w:type="spellEnd"/>
      <w:r>
        <w:t xml:space="preserve"> (the numbers in a small circle).</w:t>
      </w:r>
    </w:p>
    <w:p w14:paraId="55525D50" w14:textId="77777777" w:rsidR="006260D4" w:rsidRDefault="006260D4" w:rsidP="00B435DF">
      <w:pPr>
        <w:pStyle w:val="ListParagraph"/>
        <w:numPr>
          <w:ilvl w:val="0"/>
          <w:numId w:val="20"/>
        </w:numPr>
        <w:suppressAutoHyphens w:val="0"/>
        <w:spacing w:before="0" w:after="200" w:line="276" w:lineRule="auto"/>
        <w:jc w:val="left"/>
      </w:pPr>
      <w:r>
        <w:t>Develop EGI as an open ICT ecosystem</w:t>
      </w:r>
    </w:p>
    <w:p w14:paraId="53D2AF30" w14:textId="77777777" w:rsidR="006260D4" w:rsidRDefault="006260D4" w:rsidP="00B435DF">
      <w:pPr>
        <w:pStyle w:val="ListParagraph"/>
        <w:numPr>
          <w:ilvl w:val="0"/>
          <w:numId w:val="20"/>
        </w:numPr>
        <w:suppressAutoHyphens w:val="0"/>
        <w:spacing w:before="0" w:after="200" w:line="276" w:lineRule="auto"/>
        <w:jc w:val="left"/>
      </w:pPr>
      <w:r>
        <w:t>Integrate new physical resources</w:t>
      </w:r>
    </w:p>
    <w:p w14:paraId="54979835" w14:textId="77777777" w:rsidR="006260D4" w:rsidRDefault="006260D4" w:rsidP="00B435DF">
      <w:pPr>
        <w:pStyle w:val="ListParagraph"/>
        <w:numPr>
          <w:ilvl w:val="0"/>
          <w:numId w:val="20"/>
        </w:numPr>
        <w:suppressAutoHyphens w:val="0"/>
        <w:spacing w:before="0" w:after="200" w:line="276" w:lineRule="auto"/>
        <w:jc w:val="left"/>
      </w:pPr>
      <w:r>
        <w:t>Improve user engagement</w:t>
      </w:r>
    </w:p>
    <w:p w14:paraId="56B705F0" w14:textId="77777777" w:rsidR="006260D4" w:rsidRDefault="006260D4" w:rsidP="00B435DF">
      <w:pPr>
        <w:pStyle w:val="ListParagraph"/>
        <w:numPr>
          <w:ilvl w:val="0"/>
          <w:numId w:val="20"/>
        </w:numPr>
        <w:suppressAutoHyphens w:val="0"/>
        <w:spacing w:before="0" w:after="200" w:line="276" w:lineRule="auto"/>
        <w:jc w:val="left"/>
      </w:pPr>
      <w:r>
        <w:t>Improve operational efficiency and effectiveness</w:t>
      </w:r>
    </w:p>
    <w:p w14:paraId="466BBC7A" w14:textId="77777777" w:rsidR="006260D4" w:rsidRDefault="006260D4" w:rsidP="00B435DF">
      <w:pPr>
        <w:pStyle w:val="ListParagraph"/>
        <w:numPr>
          <w:ilvl w:val="0"/>
          <w:numId w:val="20"/>
        </w:numPr>
        <w:suppressAutoHyphens w:val="0"/>
        <w:spacing w:before="0" w:after="200" w:line="276" w:lineRule="auto"/>
        <w:jc w:val="left"/>
      </w:pPr>
      <w:r>
        <w:t>Integrate new technologies</w:t>
      </w:r>
    </w:p>
    <w:p w14:paraId="2E2A6A90" w14:textId="77777777" w:rsidR="006260D4" w:rsidRDefault="006260D4" w:rsidP="006260D4">
      <w:r>
        <w:t xml:space="preserve">The Learning &amp; Growth perspective addresses a most important question: </w:t>
      </w:r>
      <w:r w:rsidRPr="00B435DF">
        <w:rPr>
          <w:i/>
        </w:rPr>
        <w:t>how EGI must learn, grow and develop as an organisation for maintaining the level and improving the process that will address the needs of direct beneficiaries and funders</w:t>
      </w:r>
      <w:r>
        <w:t>. Three major objectives have been identified and linked with the EGI-</w:t>
      </w:r>
      <w:proofErr w:type="spellStart"/>
      <w:r>
        <w:t>InSPIRE’s</w:t>
      </w:r>
      <w:proofErr w:type="spellEnd"/>
      <w:r>
        <w:t xml:space="preserve"> objectives:</w:t>
      </w:r>
    </w:p>
    <w:p w14:paraId="2C46F2C7" w14:textId="77777777" w:rsidR="006260D4" w:rsidRDefault="006260D4" w:rsidP="00B435DF">
      <w:pPr>
        <w:pStyle w:val="ListParagraph"/>
        <w:numPr>
          <w:ilvl w:val="0"/>
          <w:numId w:val="21"/>
        </w:numPr>
        <w:suppressAutoHyphens w:val="0"/>
        <w:spacing w:before="0" w:after="200" w:line="276" w:lineRule="auto"/>
        <w:jc w:val="left"/>
      </w:pPr>
      <w:r>
        <w:t>Strengthen governance</w:t>
      </w:r>
    </w:p>
    <w:p w14:paraId="38DC7550" w14:textId="77777777" w:rsidR="006260D4" w:rsidRDefault="006260D4" w:rsidP="00B435DF">
      <w:pPr>
        <w:pStyle w:val="ListParagraph"/>
        <w:numPr>
          <w:ilvl w:val="0"/>
          <w:numId w:val="21"/>
        </w:numPr>
        <w:suppressAutoHyphens w:val="0"/>
        <w:spacing w:before="0" w:after="200" w:line="276" w:lineRule="auto"/>
        <w:jc w:val="left"/>
      </w:pPr>
      <w:r>
        <w:t>Strengthen strategic partnerships</w:t>
      </w:r>
    </w:p>
    <w:p w14:paraId="7C8D60AA" w14:textId="77777777" w:rsidR="006260D4" w:rsidRDefault="006260D4" w:rsidP="00B435DF">
      <w:pPr>
        <w:pStyle w:val="ListParagraph"/>
        <w:numPr>
          <w:ilvl w:val="0"/>
          <w:numId w:val="21"/>
        </w:numPr>
        <w:suppressAutoHyphens w:val="0"/>
        <w:spacing w:before="0" w:after="200" w:line="276" w:lineRule="auto"/>
        <w:jc w:val="left"/>
      </w:pPr>
      <w:r>
        <w:t>Develop expertise in technical and engagement areas</w:t>
      </w:r>
    </w:p>
    <w:p w14:paraId="56C25B75" w14:textId="77777777" w:rsidR="006260D4" w:rsidRDefault="006260D4" w:rsidP="006260D4">
      <w:r>
        <w:t>Last but not least, the Strategic Themes are outlined to communicate aspects of the strategy that work together to deliver the overall picture. They provide a golden thread for understanding the objectives, aligning them as part of the overall strategy.</w:t>
      </w:r>
    </w:p>
    <w:p w14:paraId="793B8186" w14:textId="77777777" w:rsidR="006260D4" w:rsidRDefault="006260D4" w:rsidP="006260D4">
      <w:r>
        <w:t xml:space="preserve">The strategic theme </w:t>
      </w:r>
      <w:r>
        <w:rPr>
          <w:b/>
        </w:rPr>
        <w:t>In</w:t>
      </w:r>
      <w:r w:rsidRPr="006926F3">
        <w:rPr>
          <w:b/>
        </w:rPr>
        <w:t>frastructure</w:t>
      </w:r>
      <w:r>
        <w:t xml:space="preserve"> </w:t>
      </w:r>
      <w:r w:rsidRPr="009F7D98">
        <w:rPr>
          <w:b/>
        </w:rPr>
        <w:t xml:space="preserve">Operation </w:t>
      </w:r>
      <w:r>
        <w:t xml:space="preserve">to support the creation of excellent science is the very reason of existence of EGI and their member organisations. The objectives of improving operational efficiency and effectiveness, integrating new technologies and new physical resources are naturally linked in this strategic them. The strategic theme </w:t>
      </w:r>
      <w:r w:rsidRPr="009F7D98">
        <w:rPr>
          <w:b/>
        </w:rPr>
        <w:t>Coordination &amp; Communication</w:t>
      </w:r>
      <w:r>
        <w:t xml:space="preserve"> reveals that coordination is the essential value that emerges from the federation of national initiatives, resource centres, and scientific communities. It is not that without coordination the operation of the federated infrastructure would not be as efficient and effective as it is currently, the sheer fact is that it not would be possible. The communication process allows this coordination and makes manifest the added value created at every level to all the stakeholders involved, creating a funding stream that feeds back the whole ecosystem. The </w:t>
      </w:r>
      <w:r w:rsidRPr="009F7D98">
        <w:rPr>
          <w:b/>
        </w:rPr>
        <w:t>Engagement</w:t>
      </w:r>
      <w:r>
        <w:t xml:space="preserve"> strategic them creates the basis for effective growth in terms of integrating new user communities, improving the engagement of the existing ones or integrating new physical resources.</w:t>
      </w:r>
    </w:p>
    <w:p w14:paraId="73A1EABA" w14:textId="77777777" w:rsidR="006260D4" w:rsidRPr="006260D4" w:rsidRDefault="006260D4" w:rsidP="006260D4"/>
    <w:p w14:paraId="098A54A8" w14:textId="77777777" w:rsidR="005877DC" w:rsidRPr="002B1814" w:rsidRDefault="005877DC" w:rsidP="00141B22">
      <w:pPr>
        <w:pStyle w:val="Heading1"/>
        <w:rPr>
          <w:rFonts w:cs="Calibri"/>
        </w:rPr>
      </w:pPr>
      <w:bookmarkStart w:id="50" w:name="_Toc264803502"/>
      <w:r w:rsidRPr="002B1814">
        <w:rPr>
          <w:rFonts w:cs="Calibri"/>
        </w:rPr>
        <w:lastRenderedPageBreak/>
        <w:t>Conclusion</w:t>
      </w:r>
      <w:r>
        <w:rPr>
          <w:rFonts w:cs="Calibri"/>
        </w:rPr>
        <w:t xml:space="preserve"> and Future Plans</w:t>
      </w:r>
      <w:bookmarkEnd w:id="50"/>
    </w:p>
    <w:p w14:paraId="3BE35E90" w14:textId="77777777" w:rsidR="00D86126" w:rsidRDefault="00660F19" w:rsidP="005877DC">
      <w:pPr>
        <w:rPr>
          <w:szCs w:val="22"/>
        </w:rPr>
      </w:pPr>
      <w:r w:rsidRPr="00660F19">
        <w:rPr>
          <w:szCs w:val="22"/>
        </w:rPr>
        <w:t xml:space="preserve">New </w:t>
      </w:r>
      <w:r>
        <w:rPr>
          <w:szCs w:val="22"/>
        </w:rPr>
        <w:t>PY4 project metrics were collected for a closer monitoring of community engagement ac</w:t>
      </w:r>
      <w:r w:rsidR="00D86126">
        <w:rPr>
          <w:szCs w:val="22"/>
        </w:rPr>
        <w:t>tivities, including metrics for the monitoring of the progress of community engagement activities, for monitoring of the number of active virtual organizations in the different segments of research: long-tail, international collaborations and Research Infrastructures, and of percentage of transnational access supported by EGI. The performance of EGI-</w:t>
      </w:r>
      <w:proofErr w:type="spellStart"/>
      <w:r w:rsidR="00D86126">
        <w:rPr>
          <w:szCs w:val="22"/>
        </w:rPr>
        <w:t>InSPIRE</w:t>
      </w:r>
      <w:proofErr w:type="spellEnd"/>
      <w:r w:rsidR="00D86126">
        <w:rPr>
          <w:szCs w:val="22"/>
        </w:rPr>
        <w:t xml:space="preserve"> in PY4 was encouraging. In particular, efforts were concentrated on the engagement with large Research Infrastructures, and this is reflected by 5 ESFRIs who are actively participating to testing and pre-production activities and many other infrastructures </w:t>
      </w:r>
      <w:proofErr w:type="gramStart"/>
      <w:r w:rsidR="00D86126">
        <w:rPr>
          <w:szCs w:val="22"/>
        </w:rPr>
        <w:t>who</w:t>
      </w:r>
      <w:proofErr w:type="gramEnd"/>
      <w:r w:rsidR="00D86126">
        <w:rPr>
          <w:szCs w:val="22"/>
        </w:rPr>
        <w:t xml:space="preserve"> are in the early stages of engagement.</w:t>
      </w:r>
    </w:p>
    <w:p w14:paraId="31EEDEBB" w14:textId="7F0E1F69" w:rsidR="00660F19" w:rsidRDefault="003162DE" w:rsidP="005877DC">
      <w:pPr>
        <w:rPr>
          <w:szCs w:val="22"/>
        </w:rPr>
      </w:pPr>
      <w:r>
        <w:rPr>
          <w:szCs w:val="22"/>
        </w:rPr>
        <w:t>As of</w:t>
      </w:r>
      <w:r w:rsidR="00D86126">
        <w:rPr>
          <w:szCs w:val="22"/>
        </w:rPr>
        <w:t xml:space="preserve"> January 2015 community engagement activities are approached in a holistic manner, integrating efforts of EGI champions, communications teams, and user support teams. An engagement strategy was defined. This is a living document, which is periodically updated to reflect changes in the European landscape also tacking into account the EGI-</w:t>
      </w:r>
      <w:proofErr w:type="spellStart"/>
      <w:r w:rsidR="00D86126">
        <w:rPr>
          <w:szCs w:val="22"/>
        </w:rPr>
        <w:t>inSPIRE</w:t>
      </w:r>
      <w:proofErr w:type="spellEnd"/>
      <w:r w:rsidR="00D86126">
        <w:rPr>
          <w:szCs w:val="22"/>
        </w:rPr>
        <w:t xml:space="preserve"> project metrics and balanced </w:t>
      </w:r>
      <w:proofErr w:type="gramStart"/>
      <w:r w:rsidR="00D86126">
        <w:rPr>
          <w:szCs w:val="22"/>
        </w:rPr>
        <w:t>score card</w:t>
      </w:r>
      <w:proofErr w:type="gramEnd"/>
      <w:r w:rsidR="00D86126">
        <w:rPr>
          <w:szCs w:val="22"/>
        </w:rPr>
        <w:t>. For these reason, the PY4 metrics will be collected for the whole duration of the project extension to provide support to the implementation of the strategy, even if PY5 funds a limited set of activities.</w:t>
      </w:r>
    </w:p>
    <w:p w14:paraId="459F93FA" w14:textId="3227FD84" w:rsidR="003162DE" w:rsidRDefault="003162DE" w:rsidP="005877DC">
      <w:pPr>
        <w:rPr>
          <w:szCs w:val="22"/>
        </w:rPr>
      </w:pPr>
      <w:proofErr w:type="gramStart"/>
      <w:r>
        <w:rPr>
          <w:szCs w:val="22"/>
        </w:rPr>
        <w:t>The annual reports on EGI Global Tasks will be reformulated in PY5 in the form of core service activity reports, as from May 2014 the majority of EGI Global Tasks will evolve into service activities independent from project funding and regulated by a specific Operational Level Agreement binding EGI.eu and the consortium of partners responsible of providing the service</w:t>
      </w:r>
      <w:proofErr w:type="gramEnd"/>
      <w:r>
        <w:rPr>
          <w:szCs w:val="22"/>
        </w:rPr>
        <w:t>.</w:t>
      </w:r>
    </w:p>
    <w:p w14:paraId="6BE7FA90" w14:textId="4507C58B" w:rsidR="00D86126" w:rsidRPr="00660F19" w:rsidRDefault="00D86126" w:rsidP="005877DC">
      <w:pPr>
        <w:rPr>
          <w:szCs w:val="22"/>
        </w:rPr>
      </w:pPr>
      <w:r>
        <w:rPr>
          <w:szCs w:val="22"/>
        </w:rPr>
        <w:t>In PY4 the review process of deliverables and milestones still suffered from delays. These are due to the reduced effort for quality management and other project management activities in NA1 in order to cope with the project extension, and to the additional project management effort that was needed in PY4 to plan for the project extension, organize the third project amendment, and to organize the handover of project direction and management duties that occurred during PQ14 and PQ15.</w:t>
      </w:r>
    </w:p>
    <w:p w14:paraId="3562C0CC" w14:textId="77777777" w:rsidR="003162DE" w:rsidRDefault="005877DC" w:rsidP="00660F19">
      <w:r w:rsidRPr="003162DE">
        <w:rPr>
          <w:szCs w:val="22"/>
        </w:rPr>
        <w:t xml:space="preserve">The document also discusses the future strategy for tracking the progress of the project towards its strategic objectives. </w:t>
      </w:r>
      <w:r w:rsidR="003162DE">
        <w:rPr>
          <w:szCs w:val="22"/>
        </w:rPr>
        <w:t xml:space="preserve">The EGI </w:t>
      </w:r>
      <w:proofErr w:type="gramStart"/>
      <w:r w:rsidR="003162DE">
        <w:rPr>
          <w:szCs w:val="22"/>
        </w:rPr>
        <w:t>strategy was considerably redefined in September 2013 by the EGI Council</w:t>
      </w:r>
      <w:proofErr w:type="gramEnd"/>
      <w:r w:rsidR="003162DE">
        <w:rPr>
          <w:szCs w:val="22"/>
        </w:rPr>
        <w:t xml:space="preserve">, and the </w:t>
      </w:r>
      <w:r w:rsidR="003162DE" w:rsidRPr="00660F19">
        <w:t>vision and mission statements have been further revised (see D1.15 and D2.25)</w:t>
      </w:r>
      <w:r w:rsidR="003162DE">
        <w:t xml:space="preserve"> in April 2014</w:t>
      </w:r>
      <w:r w:rsidR="003162DE">
        <w:rPr>
          <w:szCs w:val="22"/>
        </w:rPr>
        <w:t>. As a consequence, in PY5 the balanced scorecard will be reviewed and metrics will be collected to reflect the changes of objectives of the strategy. The present document only presents an interim revised version:</w:t>
      </w:r>
      <w:r w:rsidR="003162DE">
        <w:t xml:space="preserve"> the document reports on</w:t>
      </w:r>
      <w:r w:rsidR="00660F19" w:rsidRPr="00660F19">
        <w:t xml:space="preserve"> a preliminary update of the balanced scorecard with a new strategy map, new strategic objectives and key performance indicator definition. </w:t>
      </w:r>
    </w:p>
    <w:p w14:paraId="523A310E" w14:textId="75A13C9F" w:rsidR="00660F19" w:rsidRPr="00660F19" w:rsidRDefault="00660F19" w:rsidP="00660F19">
      <w:r w:rsidRPr="00660F19">
        <w:t xml:space="preserve">The </w:t>
      </w:r>
      <w:r w:rsidR="003162DE">
        <w:t>Balanced Scorecard</w:t>
      </w:r>
      <w:r w:rsidRPr="00660F19">
        <w:t xml:space="preserve"> and the definition of the data dictionary for the various metrics will be further developed during project year 5, when the new EGI strategy will consolidate.</w:t>
      </w:r>
    </w:p>
    <w:p w14:paraId="1CF6618D" w14:textId="77777777" w:rsidR="00E66FB3" w:rsidRDefault="00E66FB3" w:rsidP="00723F4F">
      <w:pPr>
        <w:rPr>
          <w:szCs w:val="22"/>
        </w:rPr>
      </w:pPr>
    </w:p>
    <w:p w14:paraId="33FE38D7" w14:textId="7721F35C" w:rsidR="0049689C" w:rsidRDefault="0049689C" w:rsidP="00EF06BD"/>
    <w:p w14:paraId="5129E576" w14:textId="77777777" w:rsidR="00EF06BD" w:rsidRDefault="00EF06BD">
      <w:pPr>
        <w:suppressAutoHyphens w:val="0"/>
        <w:spacing w:before="0" w:after="0"/>
        <w:jc w:val="left"/>
        <w:rPr>
          <w:rFonts w:ascii="Calibri" w:hAnsi="Calibri"/>
          <w:b/>
          <w:bCs/>
          <w:i/>
          <w:iCs/>
          <w:sz w:val="28"/>
          <w:szCs w:val="22"/>
        </w:rPr>
      </w:pPr>
      <w:r>
        <w:rPr>
          <w:szCs w:val="22"/>
        </w:rPr>
        <w:br w:type="page"/>
      </w:r>
    </w:p>
    <w:p w14:paraId="3414C978" w14:textId="6C81F892" w:rsidR="00BB5A11" w:rsidRDefault="00BB5A11" w:rsidP="00141B22">
      <w:pPr>
        <w:pStyle w:val="Heading2"/>
        <w:numPr>
          <w:ilvl w:val="0"/>
          <w:numId w:val="0"/>
        </w:numPr>
      </w:pPr>
      <w:bookmarkStart w:id="51" w:name="_Toc264803503"/>
      <w:r>
        <w:rPr>
          <w:szCs w:val="22"/>
        </w:rPr>
        <w:lastRenderedPageBreak/>
        <w:t>APPENDIX I</w:t>
      </w:r>
      <w:r w:rsidR="00AB2A71">
        <w:rPr>
          <w:szCs w:val="22"/>
        </w:rPr>
        <w:t>:</w:t>
      </w:r>
      <w:r>
        <w:rPr>
          <w:szCs w:val="22"/>
        </w:rPr>
        <w:t xml:space="preserve"> </w:t>
      </w:r>
      <w:r>
        <w:t>EGI Scorecard Data Dictionary Template</w:t>
      </w:r>
      <w:bookmarkEnd w:id="51"/>
    </w:p>
    <w:p w14:paraId="1C81DC9C" w14:textId="77777777" w:rsidR="00BB5A11" w:rsidRDefault="00BB5A11" w:rsidP="00BB5A11"/>
    <w:p w14:paraId="3CF9023F" w14:textId="77777777" w:rsidR="00BB5A11" w:rsidRPr="00C34F03" w:rsidRDefault="00BB5A11" w:rsidP="00BB5A11">
      <w:r w:rsidRPr="00C34F03">
        <w:t xml:space="preserve">In order to provide a more precise definition of each </w:t>
      </w:r>
      <w:r>
        <w:t>measure</w:t>
      </w:r>
      <w:r w:rsidRPr="00C34F03">
        <w:t xml:space="preserve">, a descriptive table could be developed supporting the creation of a </w:t>
      </w:r>
      <w:r>
        <w:t>measure</w:t>
      </w:r>
      <w:r w:rsidRPr="00C34F03">
        <w:t xml:space="preserve"> dictionary. Table </w:t>
      </w:r>
      <w:r w:rsidR="005E35AD">
        <w:t>5</w:t>
      </w:r>
      <w:r w:rsidRPr="00C34F03">
        <w:t xml:space="preserve"> presents a </w:t>
      </w:r>
      <w:r>
        <w:t>Scorecard data</w:t>
      </w:r>
      <w:r w:rsidRPr="00C34F03">
        <w:t xml:space="preserve"> dictionary template providing full information on the </w:t>
      </w:r>
      <w:r>
        <w:t>measure</w:t>
      </w:r>
      <w:r w:rsidRPr="00C34F03">
        <w:t xml:space="preserve"> and how this should be monitored and interpreted.</w:t>
      </w:r>
      <w:r>
        <w:t xml:space="preserve"> Following to that, guidelines on how to fill each item are provided following th</w:t>
      </w:r>
      <w:r w:rsidRPr="00064C50">
        <w:t xml:space="preserve">e book “Balanced Scorecard Step-by-Step for Government and Non-profit Agencies” by Paul R. </w:t>
      </w:r>
      <w:proofErr w:type="spellStart"/>
      <w:r w:rsidRPr="00064C50">
        <w:t>Niven</w:t>
      </w:r>
      <w:proofErr w:type="spellEnd"/>
      <w:r w:rsidRPr="00064C50">
        <w:t>.</w:t>
      </w:r>
      <w:r w:rsidR="00BE110D">
        <w:rPr>
          <w:rStyle w:val="FootnoteReference"/>
        </w:rPr>
        <w:footnoteReference w:id="28"/>
      </w:r>
    </w:p>
    <w:p w14:paraId="37D7FFDB" w14:textId="77777777" w:rsidR="00BB5A11" w:rsidRPr="00C34F03" w:rsidRDefault="00BB5A11" w:rsidP="00BB5A11">
      <w:pPr>
        <w:rPr>
          <w:vanish/>
        </w:rPr>
      </w:pPr>
    </w:p>
    <w:p w14:paraId="747F4DA5" w14:textId="77777777" w:rsidR="00BB5A11" w:rsidRPr="00C34F03" w:rsidRDefault="00BB5A11" w:rsidP="00BB5A11">
      <w:pPr>
        <w:rPr>
          <w:b/>
        </w:rPr>
      </w:pPr>
    </w:p>
    <w:p w14:paraId="52D2B205" w14:textId="77777777" w:rsidR="00BB5A11" w:rsidRPr="00C34F03" w:rsidRDefault="00BB5A11" w:rsidP="00141B22">
      <w:pPr>
        <w:pStyle w:val="Caption"/>
        <w:keepNext/>
        <w:outlineLvl w:val="0"/>
      </w:pPr>
      <w:r w:rsidRPr="00C34F03">
        <w:t xml:space="preserve">Table </w:t>
      </w:r>
      <w:r w:rsidR="005E35AD">
        <w:t>5</w:t>
      </w:r>
      <w:r w:rsidRPr="00C34F03">
        <w:t xml:space="preserve"> EGI Scorecard </w:t>
      </w:r>
      <w:r>
        <w:t>Data Dictionary T</w:t>
      </w:r>
      <w:r w:rsidRPr="00C34F03">
        <w:t>emplate</w:t>
      </w:r>
    </w:p>
    <w:tbl>
      <w:tblPr>
        <w:tblStyle w:val="TableGrid"/>
        <w:tblW w:w="0" w:type="auto"/>
        <w:tblLook w:val="04A0" w:firstRow="1" w:lastRow="0" w:firstColumn="1" w:lastColumn="0" w:noHBand="0" w:noVBand="1"/>
      </w:tblPr>
      <w:tblGrid>
        <w:gridCol w:w="2379"/>
        <w:gridCol w:w="2322"/>
        <w:gridCol w:w="23"/>
        <w:gridCol w:w="2274"/>
        <w:gridCol w:w="77"/>
        <w:gridCol w:w="2205"/>
      </w:tblGrid>
      <w:tr w:rsidR="00BB5A11" w:rsidRPr="00C34F03" w14:paraId="528EF4F2" w14:textId="77777777" w:rsidTr="00BB5A11">
        <w:tc>
          <w:tcPr>
            <w:tcW w:w="2448" w:type="dxa"/>
          </w:tcPr>
          <w:p w14:paraId="7804460D" w14:textId="77777777" w:rsidR="00BB5A11" w:rsidRPr="00C34F03" w:rsidRDefault="00BB5A11" w:rsidP="00BB5A11">
            <w:pPr>
              <w:rPr>
                <w:b/>
              </w:rPr>
            </w:pPr>
            <w:r w:rsidRPr="00C34F03">
              <w:rPr>
                <w:b/>
                <w:i/>
              </w:rPr>
              <w:t>Perspective:</w:t>
            </w:r>
            <w:r w:rsidRPr="00C34F03">
              <w:rPr>
                <w:b/>
              </w:rPr>
              <w:t xml:space="preserve"> </w:t>
            </w:r>
            <w:r w:rsidRPr="00B221D6">
              <w:t>e.g. internal</w:t>
            </w:r>
          </w:p>
        </w:tc>
        <w:tc>
          <w:tcPr>
            <w:tcW w:w="2419" w:type="dxa"/>
            <w:gridSpan w:val="2"/>
          </w:tcPr>
          <w:p w14:paraId="57005190" w14:textId="77777777" w:rsidR="00BB5A11" w:rsidRPr="00C34F03" w:rsidRDefault="00BB5A11" w:rsidP="00BB5A11">
            <w:pPr>
              <w:rPr>
                <w:b/>
                <w:i/>
              </w:rPr>
            </w:pPr>
            <w:r>
              <w:rPr>
                <w:b/>
                <w:i/>
              </w:rPr>
              <w:t>Metrics Number</w:t>
            </w:r>
            <w:r w:rsidRPr="00C34F03">
              <w:rPr>
                <w:b/>
                <w:i/>
              </w:rPr>
              <w:t xml:space="preserve">: </w:t>
            </w:r>
          </w:p>
        </w:tc>
        <w:tc>
          <w:tcPr>
            <w:tcW w:w="2420" w:type="dxa"/>
            <w:gridSpan w:val="2"/>
          </w:tcPr>
          <w:p w14:paraId="4245F06E" w14:textId="77777777" w:rsidR="00BB5A11" w:rsidRDefault="00BB5A11" w:rsidP="00BB5A11">
            <w:pPr>
              <w:rPr>
                <w:b/>
                <w:i/>
              </w:rPr>
            </w:pPr>
            <w:r>
              <w:rPr>
                <w:b/>
                <w:i/>
              </w:rPr>
              <w:t xml:space="preserve">Measure Name: </w:t>
            </w:r>
          </w:p>
          <w:p w14:paraId="1025941D" w14:textId="77777777" w:rsidR="00BB5A11" w:rsidRPr="00C34F03" w:rsidRDefault="00BB5A11" w:rsidP="00BB5A11">
            <w:pPr>
              <w:pStyle w:val="ColorfulList-Accent11"/>
              <w:suppressAutoHyphens w:val="0"/>
              <w:spacing w:before="0" w:after="0"/>
              <w:ind w:left="0"/>
              <w:jc w:val="left"/>
              <w:rPr>
                <w:b/>
                <w:i/>
              </w:rPr>
            </w:pPr>
          </w:p>
        </w:tc>
        <w:tc>
          <w:tcPr>
            <w:tcW w:w="2285" w:type="dxa"/>
          </w:tcPr>
          <w:p w14:paraId="0CAFE272" w14:textId="77777777" w:rsidR="00BB5A11" w:rsidRPr="00C34F03" w:rsidRDefault="00BB5A11" w:rsidP="00BB5A11">
            <w:pPr>
              <w:rPr>
                <w:b/>
                <w:i/>
              </w:rPr>
            </w:pPr>
            <w:r w:rsidRPr="00C34F03">
              <w:rPr>
                <w:b/>
                <w:i/>
              </w:rPr>
              <w:t>Owner:</w:t>
            </w:r>
          </w:p>
        </w:tc>
      </w:tr>
      <w:tr w:rsidR="00BB5A11" w:rsidRPr="00C34F03" w14:paraId="7D806E88" w14:textId="77777777" w:rsidTr="00BB5A11">
        <w:tc>
          <w:tcPr>
            <w:tcW w:w="4843" w:type="dxa"/>
            <w:gridSpan w:val="2"/>
          </w:tcPr>
          <w:p w14:paraId="5157D755" w14:textId="77777777" w:rsidR="00BB5A11" w:rsidRPr="00C34F03" w:rsidRDefault="00BB5A11" w:rsidP="00BB5A11">
            <w:pPr>
              <w:rPr>
                <w:b/>
                <w:i/>
              </w:rPr>
            </w:pPr>
            <w:r w:rsidRPr="00C34F03">
              <w:rPr>
                <w:b/>
                <w:i/>
              </w:rPr>
              <w:t>Strategic theme:</w:t>
            </w:r>
            <w:r w:rsidRPr="00C34F03">
              <w:t xml:space="preserve"> </w:t>
            </w:r>
          </w:p>
        </w:tc>
        <w:tc>
          <w:tcPr>
            <w:tcW w:w="4729" w:type="dxa"/>
            <w:gridSpan w:val="4"/>
          </w:tcPr>
          <w:p w14:paraId="31ECB58A" w14:textId="77777777" w:rsidR="00BB5A11" w:rsidRDefault="00BB5A11" w:rsidP="00BB5A11">
            <w:pPr>
              <w:rPr>
                <w:bCs/>
              </w:rPr>
            </w:pPr>
            <w:r w:rsidRPr="00C34F03">
              <w:rPr>
                <w:b/>
                <w:i/>
              </w:rPr>
              <w:t xml:space="preserve">Objective: </w:t>
            </w:r>
            <w:r>
              <w:rPr>
                <w:b/>
                <w:i/>
              </w:rPr>
              <w:t xml:space="preserve">e.g. </w:t>
            </w:r>
            <w:r w:rsidRPr="00C34F03">
              <w:rPr>
                <w:bCs/>
              </w:rPr>
              <w:t>Develop technical expertise</w:t>
            </w:r>
          </w:p>
          <w:p w14:paraId="60FD4AEB" w14:textId="77777777" w:rsidR="00BB5A11" w:rsidRPr="00BA3A8F" w:rsidRDefault="00BB5A11" w:rsidP="00BB5A11">
            <w:pPr>
              <w:keepNext/>
              <w:keepLines/>
              <w:outlineLvl w:val="5"/>
              <w:rPr>
                <w:b/>
                <w:bCs/>
                <w:i/>
              </w:rPr>
            </w:pPr>
            <w:r>
              <w:rPr>
                <w:b/>
                <w:bCs/>
                <w:i/>
              </w:rPr>
              <w:t>D</w:t>
            </w:r>
            <w:r w:rsidRPr="00BA3A8F">
              <w:rPr>
                <w:b/>
                <w:bCs/>
                <w:i/>
              </w:rPr>
              <w:t>escription:</w:t>
            </w:r>
          </w:p>
          <w:p w14:paraId="703006C4" w14:textId="77777777" w:rsidR="00BB5A11" w:rsidRPr="00C34F03" w:rsidRDefault="00BB5A11" w:rsidP="00BB5A11">
            <w:pPr>
              <w:rPr>
                <w:b/>
                <w:i/>
              </w:rPr>
            </w:pPr>
          </w:p>
        </w:tc>
      </w:tr>
      <w:tr w:rsidR="00BB5A11" w:rsidRPr="00C34F03" w14:paraId="5771D085" w14:textId="77777777" w:rsidTr="00BB5A11">
        <w:tc>
          <w:tcPr>
            <w:tcW w:w="9572" w:type="dxa"/>
            <w:gridSpan w:val="6"/>
          </w:tcPr>
          <w:p w14:paraId="431D55CF" w14:textId="77777777" w:rsidR="00BB5A11" w:rsidRPr="00B221D6" w:rsidRDefault="00BB5A11" w:rsidP="00BB5A11">
            <w:pPr>
              <w:rPr>
                <w:b/>
                <w:i/>
              </w:rPr>
            </w:pPr>
            <w:r>
              <w:rPr>
                <w:b/>
                <w:i/>
              </w:rPr>
              <w:t xml:space="preserve">Measure </w:t>
            </w:r>
            <w:r w:rsidRPr="00C34F03">
              <w:rPr>
                <w:b/>
                <w:i/>
              </w:rPr>
              <w:t>Description:</w:t>
            </w:r>
            <w:r>
              <w:rPr>
                <w:b/>
                <w:i/>
              </w:rPr>
              <w:t xml:space="preserve"> </w:t>
            </w:r>
          </w:p>
        </w:tc>
      </w:tr>
      <w:tr w:rsidR="00BB5A11" w:rsidRPr="00C34F03" w14:paraId="235F95C2" w14:textId="77777777" w:rsidTr="00BB5A11">
        <w:tc>
          <w:tcPr>
            <w:tcW w:w="2448" w:type="dxa"/>
          </w:tcPr>
          <w:p w14:paraId="445974DA" w14:textId="77777777" w:rsidR="00BB5A11" w:rsidRPr="00C34F03" w:rsidRDefault="00BB5A11" w:rsidP="00BB5A11">
            <w:pPr>
              <w:rPr>
                <w:b/>
                <w:i/>
              </w:rPr>
            </w:pPr>
            <w:r w:rsidRPr="00C34F03">
              <w:rPr>
                <w:b/>
                <w:i/>
              </w:rPr>
              <w:t>Lag/Lead:</w:t>
            </w:r>
          </w:p>
        </w:tc>
        <w:tc>
          <w:tcPr>
            <w:tcW w:w="2395" w:type="dxa"/>
          </w:tcPr>
          <w:p w14:paraId="36E4B6AC" w14:textId="77777777" w:rsidR="00BB5A11" w:rsidRPr="00C34F03" w:rsidRDefault="00BB5A11" w:rsidP="00BB5A11">
            <w:pPr>
              <w:rPr>
                <w:b/>
              </w:rPr>
            </w:pPr>
            <w:r w:rsidRPr="00C34F03">
              <w:rPr>
                <w:b/>
                <w:i/>
              </w:rPr>
              <w:t>Frequency</w:t>
            </w:r>
            <w:r w:rsidRPr="00C34F03">
              <w:rPr>
                <w:b/>
              </w:rPr>
              <w:t xml:space="preserve">: </w:t>
            </w:r>
            <w:r w:rsidRPr="0056570B">
              <w:t>e.g</w:t>
            </w:r>
            <w:r>
              <w:rPr>
                <w:b/>
              </w:rPr>
              <w:t xml:space="preserve">. </w:t>
            </w:r>
            <w:r>
              <w:t xml:space="preserve">yearly, quarterly </w:t>
            </w:r>
          </w:p>
        </w:tc>
        <w:tc>
          <w:tcPr>
            <w:tcW w:w="2444" w:type="dxa"/>
            <w:gridSpan w:val="3"/>
          </w:tcPr>
          <w:p w14:paraId="7F40B867" w14:textId="77777777" w:rsidR="00BB5A11" w:rsidRPr="00C34F03" w:rsidRDefault="00BB5A11" w:rsidP="00BB5A11">
            <w:pPr>
              <w:rPr>
                <w:b/>
              </w:rPr>
            </w:pPr>
            <w:r w:rsidRPr="00C34F03">
              <w:rPr>
                <w:b/>
                <w:i/>
              </w:rPr>
              <w:t>Unit type:</w:t>
            </w:r>
            <w:r>
              <w:t xml:space="preserve"> e.g. numbers, percentages </w:t>
            </w:r>
          </w:p>
        </w:tc>
        <w:tc>
          <w:tcPr>
            <w:tcW w:w="2285" w:type="dxa"/>
          </w:tcPr>
          <w:p w14:paraId="70EF320A" w14:textId="77777777" w:rsidR="00BB5A11" w:rsidRPr="00C34F03" w:rsidRDefault="00BB5A11" w:rsidP="00BB5A11">
            <w:pPr>
              <w:rPr>
                <w:b/>
              </w:rPr>
            </w:pPr>
            <w:r w:rsidRPr="00C34F03">
              <w:rPr>
                <w:b/>
                <w:i/>
              </w:rPr>
              <w:t>Polarity:</w:t>
            </w:r>
            <w:r w:rsidRPr="00C34F03">
              <w:rPr>
                <w:b/>
              </w:rPr>
              <w:t xml:space="preserve"> </w:t>
            </w:r>
            <w:r w:rsidRPr="00C34F03">
              <w:t>e.g.</w:t>
            </w:r>
            <w:r w:rsidRPr="00C34F03">
              <w:rPr>
                <w:b/>
              </w:rPr>
              <w:t xml:space="preserve"> </w:t>
            </w:r>
            <w:r w:rsidRPr="00C34F03">
              <w:t xml:space="preserve">high values are </w:t>
            </w:r>
            <w:r>
              <w:t>positive</w:t>
            </w:r>
            <w:r w:rsidRPr="00C34F03">
              <w:rPr>
                <w:b/>
              </w:rPr>
              <w:t xml:space="preserve"> </w:t>
            </w:r>
          </w:p>
        </w:tc>
      </w:tr>
      <w:tr w:rsidR="00BB5A11" w:rsidRPr="00C34F03" w14:paraId="2F49E912" w14:textId="77777777" w:rsidTr="00BB5A11">
        <w:tc>
          <w:tcPr>
            <w:tcW w:w="9572" w:type="dxa"/>
            <w:gridSpan w:val="6"/>
          </w:tcPr>
          <w:p w14:paraId="2500EB26" w14:textId="77777777" w:rsidR="00BB5A11" w:rsidRPr="00C34F03" w:rsidRDefault="00BB5A11" w:rsidP="00BB5A11">
            <w:pPr>
              <w:rPr>
                <w:b/>
                <w:i/>
              </w:rPr>
            </w:pPr>
            <w:r w:rsidRPr="00C34F03">
              <w:rPr>
                <w:b/>
                <w:i/>
              </w:rPr>
              <w:t xml:space="preserve">Formula: </w:t>
            </w:r>
            <w:r w:rsidRPr="00C34F03">
              <w:t>describes specific element of calculation</w:t>
            </w:r>
          </w:p>
        </w:tc>
      </w:tr>
      <w:tr w:rsidR="00BB5A11" w:rsidRPr="00C34F03" w14:paraId="5EAC2490" w14:textId="77777777" w:rsidTr="00BB5A11">
        <w:tc>
          <w:tcPr>
            <w:tcW w:w="4843" w:type="dxa"/>
            <w:gridSpan w:val="2"/>
          </w:tcPr>
          <w:p w14:paraId="417F3054" w14:textId="77777777" w:rsidR="00BB5A11" w:rsidRPr="00C34F03" w:rsidRDefault="00BB5A11" w:rsidP="00BB5A11">
            <w:pPr>
              <w:rPr>
                <w:b/>
                <w:i/>
              </w:rPr>
            </w:pPr>
            <w:r w:rsidRPr="00C34F03">
              <w:rPr>
                <w:b/>
                <w:i/>
              </w:rPr>
              <w:t xml:space="preserve">Data Source: </w:t>
            </w:r>
          </w:p>
        </w:tc>
        <w:tc>
          <w:tcPr>
            <w:tcW w:w="4729" w:type="dxa"/>
            <w:gridSpan w:val="4"/>
          </w:tcPr>
          <w:p w14:paraId="476DE9B8" w14:textId="77777777" w:rsidR="00BB5A11" w:rsidRPr="00C34F03" w:rsidRDefault="00BB5A11" w:rsidP="00BB5A11">
            <w:pPr>
              <w:rPr>
                <w:b/>
                <w:i/>
              </w:rPr>
            </w:pPr>
            <w:r w:rsidRPr="00C34F03">
              <w:rPr>
                <w:b/>
                <w:i/>
              </w:rPr>
              <w:t>Data Collector:</w:t>
            </w:r>
          </w:p>
        </w:tc>
      </w:tr>
      <w:tr w:rsidR="00BB5A11" w:rsidRPr="00C34F03" w14:paraId="23B63F1E" w14:textId="77777777" w:rsidTr="00BB5A11">
        <w:tc>
          <w:tcPr>
            <w:tcW w:w="4843" w:type="dxa"/>
            <w:gridSpan w:val="2"/>
          </w:tcPr>
          <w:p w14:paraId="0D0397A9" w14:textId="77777777" w:rsidR="00BB5A11" w:rsidRPr="00C34F03" w:rsidRDefault="00BB5A11" w:rsidP="00BB5A11">
            <w:pPr>
              <w:rPr>
                <w:b/>
                <w:i/>
              </w:rPr>
            </w:pPr>
            <w:r w:rsidRPr="00C34F03">
              <w:rPr>
                <w:b/>
                <w:i/>
              </w:rPr>
              <w:t>Data</w:t>
            </w:r>
            <w:r>
              <w:rPr>
                <w:b/>
                <w:i/>
              </w:rPr>
              <w:t xml:space="preserve"> </w:t>
            </w:r>
            <w:r w:rsidRPr="00C34F03">
              <w:rPr>
                <w:b/>
                <w:i/>
              </w:rPr>
              <w:t xml:space="preserve">Quality: </w:t>
            </w:r>
            <w:r w:rsidRPr="009F72DA">
              <w:t>High/Low</w:t>
            </w:r>
            <w:r>
              <w:t>/Medium</w:t>
            </w:r>
          </w:p>
        </w:tc>
        <w:tc>
          <w:tcPr>
            <w:tcW w:w="4729" w:type="dxa"/>
            <w:gridSpan w:val="4"/>
          </w:tcPr>
          <w:p w14:paraId="5DDDDEB9" w14:textId="77777777" w:rsidR="00BB5A11" w:rsidRPr="00C34F03" w:rsidRDefault="00BB5A11" w:rsidP="00BB5A11">
            <w:pPr>
              <w:rPr>
                <w:b/>
                <w:i/>
              </w:rPr>
            </w:pPr>
            <w:r>
              <w:rPr>
                <w:b/>
                <w:i/>
              </w:rPr>
              <w:t xml:space="preserve">Collection </w:t>
            </w:r>
            <w:r w:rsidRPr="00C34F03">
              <w:rPr>
                <w:b/>
                <w:i/>
              </w:rPr>
              <w:t>Quality</w:t>
            </w:r>
            <w:r>
              <w:rPr>
                <w:b/>
                <w:i/>
              </w:rPr>
              <w:t>:</w:t>
            </w:r>
            <w:r w:rsidRPr="009F72DA">
              <w:t xml:space="preserve"> High/Low</w:t>
            </w:r>
            <w:r>
              <w:t>/Medium</w:t>
            </w:r>
          </w:p>
        </w:tc>
      </w:tr>
      <w:tr w:rsidR="00BB5A11" w:rsidRPr="00C34F03" w14:paraId="7970DA61" w14:textId="77777777" w:rsidTr="00BB5A11">
        <w:tc>
          <w:tcPr>
            <w:tcW w:w="4843" w:type="dxa"/>
            <w:gridSpan w:val="2"/>
          </w:tcPr>
          <w:p w14:paraId="21A0288F" w14:textId="77777777" w:rsidR="00BB5A11" w:rsidRPr="00C34F03" w:rsidRDefault="00BB5A11" w:rsidP="00BB5A11">
            <w:pPr>
              <w:rPr>
                <w:b/>
                <w:i/>
              </w:rPr>
            </w:pPr>
            <w:r w:rsidRPr="00C34F03">
              <w:rPr>
                <w:b/>
                <w:i/>
              </w:rPr>
              <w:t xml:space="preserve">Baseline: </w:t>
            </w:r>
          </w:p>
        </w:tc>
        <w:tc>
          <w:tcPr>
            <w:tcW w:w="2364" w:type="dxa"/>
            <w:gridSpan w:val="2"/>
          </w:tcPr>
          <w:p w14:paraId="1840B471" w14:textId="77777777" w:rsidR="00BB5A11" w:rsidRPr="00C34F03" w:rsidRDefault="00BB5A11" w:rsidP="00BB5A11">
            <w:pPr>
              <w:rPr>
                <w:b/>
                <w:i/>
              </w:rPr>
            </w:pPr>
            <w:r>
              <w:rPr>
                <w:b/>
                <w:i/>
              </w:rPr>
              <w:t xml:space="preserve">Stretch </w:t>
            </w:r>
            <w:r w:rsidRPr="00C34F03">
              <w:rPr>
                <w:b/>
                <w:i/>
              </w:rPr>
              <w:t>Target:</w:t>
            </w:r>
          </w:p>
        </w:tc>
        <w:tc>
          <w:tcPr>
            <w:tcW w:w="2365" w:type="dxa"/>
            <w:gridSpan w:val="2"/>
          </w:tcPr>
          <w:p w14:paraId="05571943" w14:textId="77777777" w:rsidR="00BB5A11" w:rsidRPr="00C34F03" w:rsidRDefault="00BB5A11" w:rsidP="00BB5A11">
            <w:pPr>
              <w:rPr>
                <w:b/>
                <w:i/>
              </w:rPr>
            </w:pPr>
            <w:r>
              <w:rPr>
                <w:b/>
                <w:i/>
              </w:rPr>
              <w:t xml:space="preserve">Ideal Target: </w:t>
            </w:r>
          </w:p>
        </w:tc>
      </w:tr>
      <w:tr w:rsidR="00BB5A11" w:rsidRPr="00C34F03" w14:paraId="5ED365D3" w14:textId="77777777" w:rsidTr="00BB5A11">
        <w:trPr>
          <w:trHeight w:val="2243"/>
        </w:trPr>
        <w:tc>
          <w:tcPr>
            <w:tcW w:w="4843" w:type="dxa"/>
            <w:gridSpan w:val="2"/>
          </w:tcPr>
          <w:p w14:paraId="7976C088" w14:textId="77777777" w:rsidR="00BB5A11" w:rsidRPr="00C34F03" w:rsidRDefault="00BB5A11" w:rsidP="00BB5A11">
            <w:pPr>
              <w:rPr>
                <w:b/>
              </w:rPr>
            </w:pPr>
            <w:r w:rsidRPr="00C34F03">
              <w:rPr>
                <w:b/>
                <w:i/>
              </w:rPr>
              <w:t>Target rationale:</w:t>
            </w:r>
            <w:r w:rsidRPr="00C34F03">
              <w:t xml:space="preserve"> </w:t>
            </w:r>
            <w:r>
              <w:t>H</w:t>
            </w:r>
            <w:r w:rsidRPr="00C34F03">
              <w:t xml:space="preserve">ow did you </w:t>
            </w:r>
            <w:r>
              <w:t xml:space="preserve">define Stretch and Ideal Target </w:t>
            </w:r>
          </w:p>
        </w:tc>
        <w:tc>
          <w:tcPr>
            <w:tcW w:w="4729" w:type="dxa"/>
            <w:gridSpan w:val="4"/>
          </w:tcPr>
          <w:p w14:paraId="5BC52701" w14:textId="77777777" w:rsidR="00BB5A11" w:rsidRPr="00C34F03" w:rsidRDefault="00BB5A11" w:rsidP="00BB5A11">
            <w:pPr>
              <w:jc w:val="center"/>
              <w:rPr>
                <w:b/>
                <w:i/>
              </w:rPr>
            </w:pPr>
            <w:r w:rsidRPr="00C34F03">
              <w:rPr>
                <w:b/>
                <w:i/>
              </w:rPr>
              <w:t>Initiatives:</w:t>
            </w:r>
          </w:p>
          <w:p w14:paraId="3576261C" w14:textId="77777777" w:rsidR="00BB5A11" w:rsidRPr="00C34F03" w:rsidRDefault="00BB5A11" w:rsidP="00BB5A11">
            <w:r>
              <w:t>C</w:t>
            </w:r>
            <w:r w:rsidRPr="00C34F03">
              <w:t xml:space="preserve">urrent and anticipated initiatives to reach defined target </w:t>
            </w:r>
          </w:p>
          <w:p w14:paraId="10A0C45C" w14:textId="77777777" w:rsidR="00BB5A11" w:rsidRDefault="00BB5A11" w:rsidP="00BB5A11">
            <w:pPr>
              <w:pStyle w:val="ListParagraph"/>
              <w:ind w:left="0"/>
            </w:pPr>
            <w:r w:rsidRPr="005F0CE1">
              <w:t>1.</w:t>
            </w:r>
            <w:r w:rsidRPr="00C34F03">
              <w:t xml:space="preserve"> </w:t>
            </w:r>
          </w:p>
          <w:p w14:paraId="0299BC24" w14:textId="77777777" w:rsidR="00BB5A11" w:rsidRPr="00C34F03" w:rsidRDefault="00BB5A11" w:rsidP="00BB5A11">
            <w:pPr>
              <w:pStyle w:val="ListParagraph"/>
              <w:ind w:left="0"/>
            </w:pPr>
            <w:r>
              <w:t xml:space="preserve">2. </w:t>
            </w:r>
          </w:p>
        </w:tc>
      </w:tr>
    </w:tbl>
    <w:p w14:paraId="6EF64B0F" w14:textId="77777777" w:rsidR="00BB5A11" w:rsidRDefault="00BB5A11" w:rsidP="00BB5A11"/>
    <w:p w14:paraId="79AA7582" w14:textId="77777777" w:rsidR="00BB5A11" w:rsidRPr="0072028B" w:rsidRDefault="00BB5A11" w:rsidP="00BB5A11">
      <w:pPr>
        <w:widowControl w:val="0"/>
        <w:suppressAutoHyphens w:val="0"/>
        <w:autoSpaceDE w:val="0"/>
        <w:autoSpaceDN w:val="0"/>
        <w:adjustRightInd w:val="0"/>
        <w:spacing w:before="0" w:after="0"/>
        <w:jc w:val="left"/>
      </w:pPr>
    </w:p>
    <w:p w14:paraId="1B6AEE32"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jc w:val="left"/>
        <w:rPr>
          <w:b/>
          <w:sz w:val="24"/>
        </w:rPr>
      </w:pPr>
      <w:r w:rsidRPr="009A6A6D">
        <w:rPr>
          <w:b/>
          <w:sz w:val="24"/>
        </w:rPr>
        <w:t xml:space="preserve">Perspective </w:t>
      </w:r>
    </w:p>
    <w:p w14:paraId="7040B247" w14:textId="77777777" w:rsidR="00BB5A11" w:rsidRDefault="00BB5A11" w:rsidP="00BB5A11">
      <w:pPr>
        <w:widowControl w:val="0"/>
        <w:suppressAutoHyphens w:val="0"/>
        <w:autoSpaceDE w:val="0"/>
        <w:autoSpaceDN w:val="0"/>
        <w:adjustRightInd w:val="0"/>
        <w:spacing w:before="0" w:after="0"/>
        <w:jc w:val="left"/>
        <w:rPr>
          <w:sz w:val="24"/>
        </w:rPr>
      </w:pPr>
      <w:r w:rsidRPr="009A6A6D">
        <w:rPr>
          <w:sz w:val="24"/>
        </w:rPr>
        <w:t xml:space="preserve">Displays the perspective under which the </w:t>
      </w:r>
      <w:r>
        <w:rPr>
          <w:sz w:val="24"/>
        </w:rPr>
        <w:t>measure</w:t>
      </w:r>
      <w:r w:rsidRPr="009A6A6D">
        <w:rPr>
          <w:sz w:val="24"/>
        </w:rPr>
        <w:t xml:space="preserve"> falls. </w:t>
      </w:r>
      <w:r w:rsidR="003F4C29">
        <w:rPr>
          <w:sz w:val="24"/>
        </w:rPr>
        <w:t xml:space="preserve">For </w:t>
      </w:r>
      <w:r w:rsidRPr="009A6A6D">
        <w:rPr>
          <w:sz w:val="24"/>
        </w:rPr>
        <w:t xml:space="preserve">EGI </w:t>
      </w:r>
      <w:r w:rsidR="003F4C29">
        <w:rPr>
          <w:sz w:val="24"/>
        </w:rPr>
        <w:t>the</w:t>
      </w:r>
      <w:r w:rsidRPr="009A6A6D">
        <w:rPr>
          <w:sz w:val="24"/>
        </w:rPr>
        <w:t xml:space="preserve"> Perspectives are: Learning &amp; Growth, Internal, Direct Beneficiaries, Funders and Income. </w:t>
      </w:r>
    </w:p>
    <w:p w14:paraId="7D043DE2" w14:textId="77777777" w:rsidR="001276A8" w:rsidRPr="009A6A6D" w:rsidRDefault="001276A8" w:rsidP="00BB5A11">
      <w:pPr>
        <w:widowControl w:val="0"/>
        <w:suppressAutoHyphens w:val="0"/>
        <w:autoSpaceDE w:val="0"/>
        <w:autoSpaceDN w:val="0"/>
        <w:adjustRightInd w:val="0"/>
        <w:spacing w:before="0" w:after="0"/>
        <w:jc w:val="left"/>
        <w:rPr>
          <w:sz w:val="24"/>
        </w:rPr>
      </w:pPr>
    </w:p>
    <w:p w14:paraId="26C6FD1E"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jc w:val="left"/>
        <w:rPr>
          <w:b/>
          <w:sz w:val="24"/>
        </w:rPr>
      </w:pPr>
      <w:r w:rsidRPr="009A6A6D">
        <w:rPr>
          <w:b/>
          <w:sz w:val="24"/>
        </w:rPr>
        <w:t>Me</w:t>
      </w:r>
      <w:r>
        <w:rPr>
          <w:b/>
          <w:sz w:val="24"/>
        </w:rPr>
        <w:t>asure</w:t>
      </w:r>
      <w:r w:rsidRPr="009A6A6D">
        <w:rPr>
          <w:b/>
          <w:sz w:val="24"/>
        </w:rPr>
        <w:t xml:space="preserve"> Number </w:t>
      </w:r>
    </w:p>
    <w:p w14:paraId="3AE91EAC" w14:textId="77777777" w:rsidR="00BB5A11" w:rsidRDefault="00BB5A11" w:rsidP="00BB5A11">
      <w:pPr>
        <w:widowControl w:val="0"/>
        <w:suppressAutoHyphens w:val="0"/>
        <w:autoSpaceDE w:val="0"/>
        <w:autoSpaceDN w:val="0"/>
        <w:adjustRightInd w:val="0"/>
        <w:spacing w:before="0" w:after="0"/>
        <w:rPr>
          <w:sz w:val="24"/>
        </w:rPr>
      </w:pPr>
      <w:r w:rsidRPr="009A6A6D">
        <w:rPr>
          <w:sz w:val="24"/>
        </w:rPr>
        <w:t>All performance metrics should be provided a number. The number is important should you later choose an automated reporting system. In</w:t>
      </w:r>
      <w:r>
        <w:rPr>
          <w:sz w:val="24"/>
        </w:rPr>
        <w:t xml:space="preserve"> </w:t>
      </w:r>
      <w:r w:rsidRPr="009A6A6D">
        <w:rPr>
          <w:sz w:val="24"/>
        </w:rPr>
        <w:t>EGI</w:t>
      </w:r>
      <w:r>
        <w:rPr>
          <w:sz w:val="24"/>
        </w:rPr>
        <w:t xml:space="preserve">, </w:t>
      </w:r>
      <w:r w:rsidR="002C5AE7">
        <w:rPr>
          <w:sz w:val="24"/>
        </w:rPr>
        <w:t xml:space="preserve">it is </w:t>
      </w:r>
      <w:r>
        <w:rPr>
          <w:sz w:val="24"/>
        </w:rPr>
        <w:t>a notation based on two numbers “X.Y”</w:t>
      </w:r>
      <w:r w:rsidRPr="009A6A6D">
        <w:rPr>
          <w:sz w:val="24"/>
        </w:rPr>
        <w:t xml:space="preserve"> </w:t>
      </w:r>
      <w:r>
        <w:rPr>
          <w:sz w:val="24"/>
        </w:rPr>
        <w:t>where X is the number of the objective, while Y is the relative number of the related measure</w:t>
      </w:r>
      <w:r w:rsidRPr="009A6A6D">
        <w:rPr>
          <w:sz w:val="24"/>
        </w:rPr>
        <w:t xml:space="preserve">. </w:t>
      </w:r>
    </w:p>
    <w:p w14:paraId="1C4A7DDC" w14:textId="77777777" w:rsidR="00BB5A11" w:rsidRPr="009A6A6D" w:rsidRDefault="00BB5A11" w:rsidP="00BB5A11">
      <w:pPr>
        <w:widowControl w:val="0"/>
        <w:suppressAutoHyphens w:val="0"/>
        <w:autoSpaceDE w:val="0"/>
        <w:autoSpaceDN w:val="0"/>
        <w:adjustRightInd w:val="0"/>
        <w:spacing w:before="0" w:after="0"/>
        <w:rPr>
          <w:sz w:val="24"/>
        </w:rPr>
      </w:pPr>
    </w:p>
    <w:p w14:paraId="70CB1E6F"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jc w:val="left"/>
        <w:rPr>
          <w:b/>
          <w:sz w:val="24"/>
        </w:rPr>
      </w:pPr>
      <w:r w:rsidRPr="009A6A6D">
        <w:rPr>
          <w:b/>
          <w:sz w:val="24"/>
        </w:rPr>
        <w:t>Me</w:t>
      </w:r>
      <w:r>
        <w:rPr>
          <w:b/>
          <w:sz w:val="24"/>
        </w:rPr>
        <w:t>asure</w:t>
      </w:r>
      <w:r w:rsidRPr="009A6A6D">
        <w:rPr>
          <w:b/>
          <w:sz w:val="24"/>
        </w:rPr>
        <w:t xml:space="preserve"> Name</w:t>
      </w:r>
    </w:p>
    <w:p w14:paraId="3B5B8D66" w14:textId="77777777" w:rsidR="00BB5A11" w:rsidRDefault="00BB5A11" w:rsidP="00BB5A11">
      <w:pPr>
        <w:widowControl w:val="0"/>
        <w:suppressAutoHyphens w:val="0"/>
        <w:autoSpaceDE w:val="0"/>
        <w:autoSpaceDN w:val="0"/>
        <w:adjustRightInd w:val="0"/>
        <w:spacing w:before="0" w:after="0"/>
        <w:jc w:val="left"/>
        <w:rPr>
          <w:sz w:val="24"/>
        </w:rPr>
      </w:pPr>
      <w:r w:rsidRPr="009A6A6D">
        <w:rPr>
          <w:sz w:val="24"/>
        </w:rPr>
        <w:t xml:space="preserve">The </w:t>
      </w:r>
      <w:r>
        <w:rPr>
          <w:sz w:val="24"/>
        </w:rPr>
        <w:t>measure</w:t>
      </w:r>
      <w:r w:rsidRPr="009A6A6D">
        <w:rPr>
          <w:sz w:val="24"/>
        </w:rPr>
        <w:t xml:space="preserve"> name should be brief, but descriptive. </w:t>
      </w:r>
      <w:r w:rsidR="000B6023">
        <w:rPr>
          <w:sz w:val="24"/>
        </w:rPr>
        <w:t>For</w:t>
      </w:r>
      <w:r w:rsidR="00EB2F64">
        <w:rPr>
          <w:sz w:val="24"/>
        </w:rPr>
        <w:t xml:space="preserve"> EGI</w:t>
      </w:r>
      <w:r w:rsidRPr="009A6A6D">
        <w:rPr>
          <w:sz w:val="24"/>
        </w:rPr>
        <w:t xml:space="preserve"> it is </w:t>
      </w:r>
      <w:r w:rsidR="000B6023">
        <w:rPr>
          <w:sz w:val="24"/>
        </w:rPr>
        <w:t xml:space="preserve">the </w:t>
      </w:r>
      <w:r w:rsidRPr="009A6A6D">
        <w:rPr>
          <w:sz w:val="24"/>
        </w:rPr>
        <w:t xml:space="preserve">name of performance </w:t>
      </w:r>
      <w:r>
        <w:rPr>
          <w:sz w:val="24"/>
        </w:rPr>
        <w:t>measure</w:t>
      </w:r>
      <w:r w:rsidRPr="009A6A6D">
        <w:rPr>
          <w:sz w:val="24"/>
        </w:rPr>
        <w:t xml:space="preserve">. </w:t>
      </w:r>
    </w:p>
    <w:p w14:paraId="424C4C4F" w14:textId="77777777" w:rsidR="00BB5A11" w:rsidRPr="009A6A6D" w:rsidRDefault="00BB5A11" w:rsidP="00BB5A11">
      <w:pPr>
        <w:widowControl w:val="0"/>
        <w:suppressAutoHyphens w:val="0"/>
        <w:autoSpaceDE w:val="0"/>
        <w:autoSpaceDN w:val="0"/>
        <w:adjustRightInd w:val="0"/>
        <w:spacing w:before="0" w:after="0"/>
        <w:jc w:val="left"/>
        <w:rPr>
          <w:sz w:val="24"/>
        </w:rPr>
      </w:pPr>
    </w:p>
    <w:p w14:paraId="04184CC4"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jc w:val="left"/>
        <w:rPr>
          <w:b/>
          <w:sz w:val="24"/>
        </w:rPr>
      </w:pPr>
      <w:r w:rsidRPr="009A6A6D">
        <w:rPr>
          <w:b/>
          <w:sz w:val="24"/>
        </w:rPr>
        <w:t>Owner</w:t>
      </w:r>
    </w:p>
    <w:p w14:paraId="3345BB6B" w14:textId="77777777" w:rsidR="00BB5A11" w:rsidRDefault="00BB5A11" w:rsidP="00BB5A11">
      <w:pPr>
        <w:widowControl w:val="0"/>
        <w:suppressAutoHyphens w:val="0"/>
        <w:autoSpaceDE w:val="0"/>
        <w:autoSpaceDN w:val="0"/>
        <w:adjustRightInd w:val="0"/>
        <w:spacing w:before="0" w:after="0"/>
        <w:rPr>
          <w:sz w:val="24"/>
        </w:rPr>
      </w:pPr>
      <w:r>
        <w:rPr>
          <w:sz w:val="24"/>
        </w:rPr>
        <w:t>T</w:t>
      </w:r>
      <w:r w:rsidRPr="009A6A6D">
        <w:rPr>
          <w:sz w:val="24"/>
        </w:rPr>
        <w:t xml:space="preserve">he Balanced Scorecard also </w:t>
      </w:r>
      <w:r>
        <w:rPr>
          <w:sz w:val="24"/>
        </w:rPr>
        <w:t xml:space="preserve">should </w:t>
      </w:r>
      <w:r w:rsidRPr="009A6A6D">
        <w:rPr>
          <w:sz w:val="24"/>
        </w:rPr>
        <w:t xml:space="preserve">create a climate of accountability for results. Central to the idea of accountability is the establishment of owners for each and every </w:t>
      </w:r>
      <w:r>
        <w:rPr>
          <w:sz w:val="24"/>
        </w:rPr>
        <w:t>measure</w:t>
      </w:r>
      <w:r w:rsidRPr="009A6A6D">
        <w:rPr>
          <w:sz w:val="24"/>
        </w:rPr>
        <w:t>. Simply put, the owner is the individual responsible for results. Should the indicator’s performance begin to decline, it</w:t>
      </w:r>
      <w:r>
        <w:rPr>
          <w:sz w:val="24"/>
        </w:rPr>
        <w:t xml:space="preserve"> i</w:t>
      </w:r>
      <w:r w:rsidRPr="009A6A6D">
        <w:rPr>
          <w:sz w:val="24"/>
        </w:rPr>
        <w:t xml:space="preserve">s the owner </w:t>
      </w:r>
      <w:r>
        <w:rPr>
          <w:sz w:val="24"/>
        </w:rPr>
        <w:t xml:space="preserve">and specific individual </w:t>
      </w:r>
      <w:r w:rsidRPr="009A6A6D">
        <w:rPr>
          <w:sz w:val="24"/>
        </w:rPr>
        <w:t>you look to for answers and a plan to bring results back in line with expectations.</w:t>
      </w:r>
      <w:r>
        <w:rPr>
          <w:sz w:val="24"/>
        </w:rPr>
        <w:t xml:space="preserve"> If the metrics are assigned to functions and titles people will tend to hide behind it</w:t>
      </w:r>
      <w:r w:rsidRPr="009A6A6D">
        <w:rPr>
          <w:sz w:val="24"/>
        </w:rPr>
        <w:t xml:space="preserve">, but an employee who sees his or her name associated with the performance of a key organizational </w:t>
      </w:r>
      <w:r>
        <w:rPr>
          <w:sz w:val="24"/>
        </w:rPr>
        <w:t>measure</w:t>
      </w:r>
      <w:r w:rsidRPr="009A6A6D">
        <w:rPr>
          <w:sz w:val="24"/>
        </w:rPr>
        <w:t xml:space="preserve"> will tend to promote more action and accountability than will a job function.</w:t>
      </w:r>
    </w:p>
    <w:p w14:paraId="1533C4E6" w14:textId="77777777" w:rsidR="00BB5A11" w:rsidRPr="009A6A6D" w:rsidRDefault="00BB5A11" w:rsidP="00BB5A11">
      <w:pPr>
        <w:widowControl w:val="0"/>
        <w:suppressAutoHyphens w:val="0"/>
        <w:autoSpaceDE w:val="0"/>
        <w:autoSpaceDN w:val="0"/>
        <w:adjustRightInd w:val="0"/>
        <w:spacing w:before="0" w:after="0"/>
        <w:rPr>
          <w:sz w:val="24"/>
        </w:rPr>
      </w:pPr>
    </w:p>
    <w:p w14:paraId="7E157AE6"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jc w:val="left"/>
        <w:rPr>
          <w:sz w:val="24"/>
        </w:rPr>
      </w:pPr>
      <w:r w:rsidRPr="009A6A6D">
        <w:rPr>
          <w:b/>
          <w:sz w:val="24"/>
        </w:rPr>
        <w:t xml:space="preserve">Strategic theme </w:t>
      </w:r>
    </w:p>
    <w:p w14:paraId="1918D779"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Displays the specific strategic theme </w:t>
      </w:r>
      <w:r>
        <w:rPr>
          <w:sz w:val="24"/>
        </w:rPr>
        <w:t xml:space="preserve">within </w:t>
      </w:r>
      <w:r w:rsidR="001276A8">
        <w:rPr>
          <w:sz w:val="24"/>
        </w:rPr>
        <w:t xml:space="preserve">the </w:t>
      </w:r>
      <w:r>
        <w:rPr>
          <w:sz w:val="24"/>
        </w:rPr>
        <w:t xml:space="preserve">EGI Strategy </w:t>
      </w:r>
      <w:r w:rsidR="001276A8">
        <w:rPr>
          <w:sz w:val="24"/>
        </w:rPr>
        <w:t xml:space="preserve">that </w:t>
      </w:r>
      <w:r w:rsidRPr="009A6A6D">
        <w:rPr>
          <w:sz w:val="24"/>
        </w:rPr>
        <w:t xml:space="preserve">the </w:t>
      </w:r>
      <w:r>
        <w:rPr>
          <w:sz w:val="24"/>
        </w:rPr>
        <w:t>measure</w:t>
      </w:r>
      <w:r w:rsidRPr="009A6A6D">
        <w:rPr>
          <w:sz w:val="24"/>
        </w:rPr>
        <w:t xml:space="preserve"> will positively influence</w:t>
      </w:r>
      <w:r>
        <w:rPr>
          <w:sz w:val="24"/>
        </w:rPr>
        <w:t>.</w:t>
      </w:r>
      <w:r w:rsidRPr="009A6A6D">
        <w:rPr>
          <w:sz w:val="24"/>
        </w:rPr>
        <w:t xml:space="preserve"> </w:t>
      </w:r>
      <w:r>
        <w:rPr>
          <w:sz w:val="24"/>
        </w:rPr>
        <w:t xml:space="preserve">There are three strategic themes in the EGI Strategy: </w:t>
      </w:r>
      <w:r w:rsidRPr="009A6A6D">
        <w:rPr>
          <w:sz w:val="24"/>
        </w:rPr>
        <w:t>Operational Infrastructure, V</w:t>
      </w:r>
      <w:r>
        <w:rPr>
          <w:sz w:val="24"/>
        </w:rPr>
        <w:t xml:space="preserve">irtual </w:t>
      </w:r>
      <w:r w:rsidRPr="009A6A6D">
        <w:rPr>
          <w:sz w:val="24"/>
        </w:rPr>
        <w:t>R</w:t>
      </w:r>
      <w:r>
        <w:rPr>
          <w:sz w:val="24"/>
        </w:rPr>
        <w:t xml:space="preserve">esearch </w:t>
      </w:r>
      <w:r w:rsidRPr="009A6A6D">
        <w:rPr>
          <w:sz w:val="24"/>
        </w:rPr>
        <w:t>E</w:t>
      </w:r>
      <w:r>
        <w:rPr>
          <w:sz w:val="24"/>
        </w:rPr>
        <w:t xml:space="preserve">nvironments and </w:t>
      </w:r>
      <w:r w:rsidRPr="0016066B">
        <w:rPr>
          <w:sz w:val="24"/>
        </w:rPr>
        <w:t>Communication &amp; Coordination</w:t>
      </w:r>
      <w:r>
        <w:rPr>
          <w:sz w:val="24"/>
        </w:rPr>
        <w:t xml:space="preserve">. </w:t>
      </w:r>
      <w:r w:rsidRPr="009A6A6D">
        <w:rPr>
          <w:sz w:val="24"/>
        </w:rPr>
        <w:t xml:space="preserve"> </w:t>
      </w:r>
    </w:p>
    <w:p w14:paraId="690EF1A1" w14:textId="77777777" w:rsidR="00BB5A11" w:rsidRPr="009A6A6D" w:rsidRDefault="00BB5A11" w:rsidP="00BB5A11">
      <w:pPr>
        <w:widowControl w:val="0"/>
        <w:suppressAutoHyphens w:val="0"/>
        <w:autoSpaceDE w:val="0"/>
        <w:autoSpaceDN w:val="0"/>
        <w:adjustRightInd w:val="0"/>
        <w:spacing w:before="0" w:after="0"/>
        <w:rPr>
          <w:sz w:val="24"/>
        </w:rPr>
      </w:pPr>
    </w:p>
    <w:p w14:paraId="7D58A1EC" w14:textId="77777777" w:rsidR="00BB5A11" w:rsidRPr="00AB2A71" w:rsidRDefault="00BB5A11" w:rsidP="00B435DF">
      <w:pPr>
        <w:pStyle w:val="ListParagraph"/>
        <w:widowControl w:val="0"/>
        <w:numPr>
          <w:ilvl w:val="0"/>
          <w:numId w:val="13"/>
        </w:numPr>
        <w:suppressAutoHyphens w:val="0"/>
        <w:autoSpaceDE w:val="0"/>
        <w:autoSpaceDN w:val="0"/>
        <w:adjustRightInd w:val="0"/>
        <w:spacing w:before="0" w:after="0"/>
        <w:contextualSpacing w:val="0"/>
        <w:rPr>
          <w:b/>
          <w:sz w:val="24"/>
        </w:rPr>
      </w:pPr>
      <w:r w:rsidRPr="00851F62">
        <w:rPr>
          <w:b/>
          <w:sz w:val="24"/>
        </w:rPr>
        <w:t>Objective</w:t>
      </w:r>
      <w:r w:rsidRPr="00AB2A71">
        <w:rPr>
          <w:b/>
          <w:sz w:val="24"/>
        </w:rPr>
        <w:t xml:space="preserve"> and Objective Description </w:t>
      </w:r>
    </w:p>
    <w:p w14:paraId="4C48E547" w14:textId="77777777" w:rsidR="00BB5A11" w:rsidRDefault="00BB5A11" w:rsidP="00BB5A11">
      <w:pPr>
        <w:widowControl w:val="0"/>
        <w:suppressAutoHyphens w:val="0"/>
        <w:autoSpaceDE w:val="0"/>
        <w:autoSpaceDN w:val="0"/>
        <w:adjustRightInd w:val="0"/>
        <w:spacing w:before="0" w:after="0"/>
        <w:rPr>
          <w:sz w:val="24"/>
        </w:rPr>
      </w:pPr>
      <w:r>
        <w:rPr>
          <w:sz w:val="24"/>
        </w:rPr>
        <w:t xml:space="preserve">The strategic objective to which the measure refers and its description </w:t>
      </w:r>
    </w:p>
    <w:p w14:paraId="2390A917" w14:textId="77777777" w:rsidR="00BB5A11" w:rsidRPr="009A6A6D" w:rsidRDefault="00BB5A11" w:rsidP="00BB5A11">
      <w:pPr>
        <w:widowControl w:val="0"/>
        <w:suppressAutoHyphens w:val="0"/>
        <w:autoSpaceDE w:val="0"/>
        <w:autoSpaceDN w:val="0"/>
        <w:adjustRightInd w:val="0"/>
        <w:spacing w:before="0" w:after="0"/>
        <w:rPr>
          <w:sz w:val="24"/>
        </w:rPr>
      </w:pPr>
    </w:p>
    <w:p w14:paraId="7FB39817"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sz w:val="24"/>
        </w:rPr>
      </w:pPr>
      <w:r>
        <w:rPr>
          <w:b/>
          <w:sz w:val="24"/>
        </w:rPr>
        <w:t xml:space="preserve">Measure </w:t>
      </w:r>
      <w:r w:rsidRPr="009A6A6D">
        <w:rPr>
          <w:b/>
          <w:sz w:val="24"/>
        </w:rPr>
        <w:t>Description</w:t>
      </w:r>
      <w:r w:rsidRPr="009A6A6D">
        <w:rPr>
          <w:sz w:val="24"/>
        </w:rPr>
        <w:t xml:space="preserve"> </w:t>
      </w:r>
    </w:p>
    <w:p w14:paraId="27DEA829" w14:textId="77777777" w:rsidR="00BB5A11" w:rsidRDefault="00BB5A11" w:rsidP="00BB5A11">
      <w:pPr>
        <w:widowControl w:val="0"/>
        <w:suppressAutoHyphens w:val="0"/>
        <w:autoSpaceDE w:val="0"/>
        <w:autoSpaceDN w:val="0"/>
        <w:adjustRightInd w:val="0"/>
        <w:spacing w:before="0" w:after="0"/>
        <w:rPr>
          <w:sz w:val="24"/>
        </w:rPr>
      </w:pPr>
      <w:r>
        <w:rPr>
          <w:sz w:val="24"/>
        </w:rPr>
        <w:t>Concise and accurate description</w:t>
      </w:r>
      <w:r w:rsidRPr="009A6A6D">
        <w:rPr>
          <w:sz w:val="24"/>
        </w:rPr>
        <w:t xml:space="preserve"> </w:t>
      </w:r>
      <w:r>
        <w:rPr>
          <w:sz w:val="24"/>
        </w:rPr>
        <w:t xml:space="preserve">that </w:t>
      </w:r>
      <w:r w:rsidRPr="009A6A6D">
        <w:rPr>
          <w:sz w:val="24"/>
        </w:rPr>
        <w:t xml:space="preserve">captures the essence of the </w:t>
      </w:r>
      <w:r>
        <w:rPr>
          <w:sz w:val="24"/>
        </w:rPr>
        <w:t>measure</w:t>
      </w:r>
      <w:r w:rsidRPr="009A6A6D">
        <w:rPr>
          <w:sz w:val="24"/>
        </w:rPr>
        <w:t xml:space="preserve"> so that anyone reading it will be able to quickly grasp why the </w:t>
      </w:r>
      <w:r>
        <w:rPr>
          <w:sz w:val="24"/>
        </w:rPr>
        <w:t>measure</w:t>
      </w:r>
      <w:r w:rsidRPr="009A6A6D">
        <w:rPr>
          <w:sz w:val="24"/>
        </w:rPr>
        <w:t xml:space="preserve"> is critical to EGI.</w:t>
      </w:r>
    </w:p>
    <w:p w14:paraId="23E605D6" w14:textId="77777777" w:rsidR="00BB5A11" w:rsidRPr="009A6A6D" w:rsidRDefault="00BB5A11" w:rsidP="00BB5A11">
      <w:pPr>
        <w:widowControl w:val="0"/>
        <w:suppressAutoHyphens w:val="0"/>
        <w:autoSpaceDE w:val="0"/>
        <w:autoSpaceDN w:val="0"/>
        <w:adjustRightInd w:val="0"/>
        <w:spacing w:before="0" w:after="0"/>
        <w:rPr>
          <w:sz w:val="24"/>
        </w:rPr>
      </w:pPr>
    </w:p>
    <w:p w14:paraId="4A7AAD85"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sz w:val="24"/>
        </w:rPr>
      </w:pPr>
      <w:r w:rsidRPr="009A6A6D">
        <w:rPr>
          <w:b/>
          <w:sz w:val="24"/>
        </w:rPr>
        <w:t>Lag/Lead</w:t>
      </w:r>
      <w:r w:rsidRPr="009A6A6D">
        <w:rPr>
          <w:sz w:val="24"/>
        </w:rPr>
        <w:t xml:space="preserve"> </w:t>
      </w:r>
    </w:p>
    <w:p w14:paraId="5F5FABCB" w14:textId="77777777" w:rsidR="00BB5A11" w:rsidRDefault="00BB5A11" w:rsidP="00BB5A11">
      <w:pPr>
        <w:rPr>
          <w:sz w:val="24"/>
        </w:rPr>
      </w:pPr>
      <w:r w:rsidRPr="009A6A6D">
        <w:rPr>
          <w:sz w:val="24"/>
        </w:rPr>
        <w:t xml:space="preserve">Outline whether the </w:t>
      </w:r>
      <w:r>
        <w:rPr>
          <w:sz w:val="24"/>
        </w:rPr>
        <w:t>measure</w:t>
      </w:r>
      <w:r w:rsidRPr="009A6A6D">
        <w:rPr>
          <w:sz w:val="24"/>
        </w:rPr>
        <w:t xml:space="preserve"> is a core outcome indicator or a performance driver. </w:t>
      </w:r>
      <w:r w:rsidRPr="0016066B">
        <w:rPr>
          <w:sz w:val="24"/>
        </w:rPr>
        <w:t>Lag: if it measures the focus on results at the end of a time period. Normally characterising historical performance. It usual</w:t>
      </w:r>
      <w:r w:rsidRPr="001311BE">
        <w:rPr>
          <w:sz w:val="24"/>
        </w:rPr>
        <w:t>ly lacks predictive power (e.g.</w:t>
      </w:r>
      <w:r w:rsidRPr="0016066B">
        <w:rPr>
          <w:sz w:val="24"/>
        </w:rPr>
        <w:t xml:space="preserve"> number of resource centres meeting OLA)</w:t>
      </w:r>
      <w:r>
        <w:rPr>
          <w:sz w:val="24"/>
        </w:rPr>
        <w:t xml:space="preserve"> </w:t>
      </w:r>
      <w:r w:rsidRPr="0016066B">
        <w:rPr>
          <w:sz w:val="24"/>
        </w:rPr>
        <w:t>Lead: if it measures the “drive” or lead to the performance of lag measures. It normally measures intermediate processes and activities.</w:t>
      </w:r>
      <w:r w:rsidR="001276A8">
        <w:rPr>
          <w:sz w:val="24"/>
        </w:rPr>
        <w:t xml:space="preserve"> </w:t>
      </w:r>
      <w:r w:rsidRPr="0016066B">
        <w:rPr>
          <w:sz w:val="24"/>
        </w:rPr>
        <w:t xml:space="preserve">May prove difficult to identify and capture, often </w:t>
      </w:r>
      <w:r>
        <w:rPr>
          <w:sz w:val="24"/>
        </w:rPr>
        <w:t xml:space="preserve">there are </w:t>
      </w:r>
      <w:r w:rsidRPr="0016066B">
        <w:rPr>
          <w:sz w:val="24"/>
        </w:rPr>
        <w:t xml:space="preserve">new measures with no history at the organization (e.g., number of active </w:t>
      </w:r>
      <w:r w:rsidRPr="001311BE">
        <w:rPr>
          <w:sz w:val="24"/>
        </w:rPr>
        <w:t>champions</w:t>
      </w:r>
      <w:r w:rsidRPr="0016066B">
        <w:rPr>
          <w:sz w:val="24"/>
        </w:rPr>
        <w:t>)</w:t>
      </w:r>
      <w:r>
        <w:rPr>
          <w:sz w:val="24"/>
        </w:rPr>
        <w:t>.</w:t>
      </w:r>
    </w:p>
    <w:p w14:paraId="744E7AD6" w14:textId="77777777" w:rsidR="00BB5A11" w:rsidRPr="0016066B" w:rsidRDefault="00BB5A11" w:rsidP="00BB5A11">
      <w:pPr>
        <w:rPr>
          <w:sz w:val="24"/>
        </w:rPr>
      </w:pPr>
    </w:p>
    <w:p w14:paraId="01CB59C2" w14:textId="77777777" w:rsidR="00BB5A11" w:rsidRPr="0016066B" w:rsidRDefault="00BB5A11" w:rsidP="00B435DF">
      <w:pPr>
        <w:pStyle w:val="ListParagraph"/>
        <w:widowControl w:val="0"/>
        <w:numPr>
          <w:ilvl w:val="0"/>
          <w:numId w:val="13"/>
        </w:numPr>
        <w:suppressAutoHyphens w:val="0"/>
        <w:autoSpaceDE w:val="0"/>
        <w:autoSpaceDN w:val="0"/>
        <w:adjustRightInd w:val="0"/>
        <w:spacing w:before="0" w:after="0"/>
        <w:contextualSpacing w:val="0"/>
        <w:rPr>
          <w:b/>
          <w:sz w:val="24"/>
        </w:rPr>
      </w:pPr>
      <w:r w:rsidRPr="0016066B">
        <w:rPr>
          <w:b/>
          <w:sz w:val="24"/>
        </w:rPr>
        <w:t>Frequency</w:t>
      </w:r>
    </w:p>
    <w:p w14:paraId="713F1E3F"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How often do you plan to report performance on this </w:t>
      </w:r>
      <w:r>
        <w:rPr>
          <w:sz w:val="24"/>
        </w:rPr>
        <w:t>measure</w:t>
      </w:r>
      <w:r w:rsidRPr="009A6A6D">
        <w:rPr>
          <w:sz w:val="24"/>
        </w:rPr>
        <w:t xml:space="preserve">? </w:t>
      </w:r>
      <w:r>
        <w:rPr>
          <w:sz w:val="24"/>
        </w:rPr>
        <w:t xml:space="preserve">Do you want to </w:t>
      </w:r>
      <w:r w:rsidRPr="009A6A6D">
        <w:rPr>
          <w:sz w:val="24"/>
        </w:rPr>
        <w:t xml:space="preserve">report performance on a daily, weekly, monthly, quarterly, semi-annual, or annual basis? </w:t>
      </w:r>
    </w:p>
    <w:p w14:paraId="1D784EA0" w14:textId="77777777" w:rsidR="00BB5A11" w:rsidRPr="009A6A6D" w:rsidRDefault="00BB5A11" w:rsidP="00BB5A11">
      <w:pPr>
        <w:widowControl w:val="0"/>
        <w:suppressAutoHyphens w:val="0"/>
        <w:autoSpaceDE w:val="0"/>
        <w:autoSpaceDN w:val="0"/>
        <w:adjustRightInd w:val="0"/>
        <w:spacing w:before="0" w:after="0"/>
        <w:rPr>
          <w:sz w:val="24"/>
        </w:rPr>
      </w:pPr>
    </w:p>
    <w:p w14:paraId="2B6D24B8"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jc w:val="left"/>
        <w:rPr>
          <w:sz w:val="24"/>
        </w:rPr>
      </w:pPr>
      <w:r w:rsidRPr="009A6A6D">
        <w:rPr>
          <w:b/>
          <w:sz w:val="24"/>
        </w:rPr>
        <w:t>Unit Type</w:t>
      </w:r>
    </w:p>
    <w:p w14:paraId="15268375"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This characteristic identifies how the </w:t>
      </w:r>
      <w:r>
        <w:rPr>
          <w:sz w:val="24"/>
        </w:rPr>
        <w:t>measure</w:t>
      </w:r>
      <w:r w:rsidRPr="009A6A6D">
        <w:rPr>
          <w:sz w:val="24"/>
        </w:rPr>
        <w:t xml:space="preserve"> will be expressed. Commonly used unit types include numbers, dollars, and percentages.</w:t>
      </w:r>
    </w:p>
    <w:p w14:paraId="018DE677" w14:textId="77777777" w:rsidR="00BB5A11" w:rsidRPr="009A6A6D" w:rsidRDefault="00BB5A11" w:rsidP="00BB5A11">
      <w:pPr>
        <w:widowControl w:val="0"/>
        <w:suppressAutoHyphens w:val="0"/>
        <w:autoSpaceDE w:val="0"/>
        <w:autoSpaceDN w:val="0"/>
        <w:adjustRightInd w:val="0"/>
        <w:spacing w:before="0" w:after="0"/>
        <w:rPr>
          <w:sz w:val="24"/>
        </w:rPr>
      </w:pPr>
    </w:p>
    <w:p w14:paraId="3BCF173B"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sz w:val="24"/>
        </w:rPr>
      </w:pPr>
      <w:r w:rsidRPr="009A6A6D">
        <w:rPr>
          <w:b/>
          <w:sz w:val="24"/>
        </w:rPr>
        <w:t>Polarity</w:t>
      </w:r>
      <w:r w:rsidRPr="009A6A6D">
        <w:rPr>
          <w:sz w:val="24"/>
        </w:rPr>
        <w:t xml:space="preserve"> </w:t>
      </w:r>
    </w:p>
    <w:p w14:paraId="12BB0E86"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When assessing the performance of a </w:t>
      </w:r>
      <w:r>
        <w:rPr>
          <w:sz w:val="24"/>
        </w:rPr>
        <w:t>measure</w:t>
      </w:r>
      <w:r w:rsidRPr="009A6A6D">
        <w:rPr>
          <w:sz w:val="24"/>
        </w:rPr>
        <w:t xml:space="preserve">, you need to know whether high values reflect good or bad performance. In most cases, this is very straightforward. </w:t>
      </w:r>
      <w:r>
        <w:rPr>
          <w:sz w:val="24"/>
        </w:rPr>
        <w:t>L</w:t>
      </w:r>
      <w:r w:rsidRPr="009A6A6D">
        <w:rPr>
          <w:sz w:val="24"/>
        </w:rPr>
        <w:t xml:space="preserve">ower costs and increased employee satisfaction are good, while a high value for complaints reflects performance that requires improvement. </w:t>
      </w:r>
    </w:p>
    <w:p w14:paraId="2D28F2B0" w14:textId="77777777" w:rsidR="00BB5A11" w:rsidRPr="009A6A6D" w:rsidRDefault="00BB5A11" w:rsidP="00BB5A11">
      <w:pPr>
        <w:widowControl w:val="0"/>
        <w:suppressAutoHyphens w:val="0"/>
        <w:autoSpaceDE w:val="0"/>
        <w:autoSpaceDN w:val="0"/>
        <w:adjustRightInd w:val="0"/>
        <w:spacing w:before="0" w:after="0"/>
        <w:rPr>
          <w:sz w:val="24"/>
        </w:rPr>
      </w:pPr>
    </w:p>
    <w:p w14:paraId="16F312C5"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b/>
          <w:sz w:val="24"/>
        </w:rPr>
      </w:pPr>
      <w:r w:rsidRPr="009A6A6D">
        <w:rPr>
          <w:b/>
          <w:sz w:val="24"/>
        </w:rPr>
        <w:t xml:space="preserve">Formula </w:t>
      </w:r>
    </w:p>
    <w:p w14:paraId="0623D853"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In the formula box, provide the specific elements of the calculation for the performance </w:t>
      </w:r>
      <w:r>
        <w:rPr>
          <w:sz w:val="24"/>
        </w:rPr>
        <w:t>measure</w:t>
      </w:r>
      <w:r w:rsidRPr="009A6A6D">
        <w:rPr>
          <w:sz w:val="24"/>
        </w:rPr>
        <w:t>.</w:t>
      </w:r>
    </w:p>
    <w:p w14:paraId="282EA9F1" w14:textId="77777777" w:rsidR="00BB5A11" w:rsidRPr="009A6A6D" w:rsidRDefault="00BB5A11" w:rsidP="00BB5A11">
      <w:pPr>
        <w:widowControl w:val="0"/>
        <w:suppressAutoHyphens w:val="0"/>
        <w:autoSpaceDE w:val="0"/>
        <w:autoSpaceDN w:val="0"/>
        <w:adjustRightInd w:val="0"/>
        <w:spacing w:before="0" w:after="0"/>
        <w:rPr>
          <w:sz w:val="24"/>
        </w:rPr>
      </w:pPr>
    </w:p>
    <w:p w14:paraId="213A4876"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b/>
          <w:sz w:val="24"/>
        </w:rPr>
      </w:pPr>
      <w:r w:rsidRPr="009A6A6D">
        <w:rPr>
          <w:b/>
          <w:sz w:val="24"/>
        </w:rPr>
        <w:t xml:space="preserve">Data Source </w:t>
      </w:r>
    </w:p>
    <w:p w14:paraId="53FA9C66"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Every </w:t>
      </w:r>
      <w:r>
        <w:rPr>
          <w:sz w:val="24"/>
        </w:rPr>
        <w:t>measure</w:t>
      </w:r>
      <w:r w:rsidRPr="009A6A6D">
        <w:rPr>
          <w:sz w:val="24"/>
        </w:rPr>
        <w:t xml:space="preserve"> must be derived from somewhere—an existing management report, EGI </w:t>
      </w:r>
      <w:proofErr w:type="spellStart"/>
      <w:r w:rsidRPr="009A6A6D">
        <w:rPr>
          <w:sz w:val="24"/>
        </w:rPr>
        <w:t>AppDB</w:t>
      </w:r>
      <w:proofErr w:type="spellEnd"/>
      <w:r w:rsidRPr="009A6A6D">
        <w:rPr>
          <w:sz w:val="24"/>
        </w:rPr>
        <w:t xml:space="preserve">, </w:t>
      </w:r>
      <w:proofErr w:type="spellStart"/>
      <w:r w:rsidRPr="009A6A6D">
        <w:rPr>
          <w:sz w:val="24"/>
        </w:rPr>
        <w:t>DocDB</w:t>
      </w:r>
      <w:proofErr w:type="spellEnd"/>
      <w:r w:rsidRPr="009A6A6D">
        <w:rPr>
          <w:sz w:val="24"/>
        </w:rPr>
        <w:t>, Training Marketplace</w:t>
      </w:r>
      <w:r>
        <w:rPr>
          <w:sz w:val="24"/>
        </w:rPr>
        <w:t>, Compendium</w:t>
      </w:r>
      <w:r w:rsidRPr="009A6A6D">
        <w:rPr>
          <w:sz w:val="24"/>
        </w:rPr>
        <w:t xml:space="preserve"> etc. In this section you should rigorously attempt to supply as detailed information as possible. If the information is sourced from a current report, what is the report titled, and on which line number does the specific information reside? Also, when can you access the data? The more information you provide here, the easier it will be to begin actually producing Balanced Scorecard reports with real data. Conversely, if you provide vague data sources, or no information at all, you will find it exceedingly difficult to report on the </w:t>
      </w:r>
      <w:r>
        <w:rPr>
          <w:sz w:val="24"/>
        </w:rPr>
        <w:t>measure</w:t>
      </w:r>
      <w:r w:rsidRPr="009A6A6D">
        <w:rPr>
          <w:sz w:val="24"/>
        </w:rPr>
        <w:t xml:space="preserve"> later. </w:t>
      </w:r>
    </w:p>
    <w:p w14:paraId="504EE479" w14:textId="77777777" w:rsidR="00BB5A11" w:rsidRPr="009A6A6D" w:rsidRDefault="00BB5A11" w:rsidP="00BB5A11">
      <w:pPr>
        <w:widowControl w:val="0"/>
        <w:suppressAutoHyphens w:val="0"/>
        <w:autoSpaceDE w:val="0"/>
        <w:autoSpaceDN w:val="0"/>
        <w:adjustRightInd w:val="0"/>
        <w:spacing w:before="0" w:after="0"/>
        <w:rPr>
          <w:sz w:val="24"/>
        </w:rPr>
      </w:pPr>
    </w:p>
    <w:p w14:paraId="7D9FD39D" w14:textId="77777777" w:rsidR="00BB5A11" w:rsidRDefault="00BB5A11" w:rsidP="00B435DF">
      <w:pPr>
        <w:pStyle w:val="ListParagraph"/>
        <w:widowControl w:val="0"/>
        <w:numPr>
          <w:ilvl w:val="0"/>
          <w:numId w:val="13"/>
        </w:numPr>
        <w:suppressAutoHyphens w:val="0"/>
        <w:autoSpaceDE w:val="0"/>
        <w:autoSpaceDN w:val="0"/>
        <w:adjustRightInd w:val="0"/>
        <w:spacing w:before="0" w:after="0"/>
        <w:contextualSpacing w:val="0"/>
        <w:rPr>
          <w:b/>
          <w:sz w:val="24"/>
        </w:rPr>
      </w:pPr>
      <w:r w:rsidRPr="004B58D7">
        <w:rPr>
          <w:b/>
          <w:sz w:val="24"/>
        </w:rPr>
        <w:t>Data</w:t>
      </w:r>
      <w:r>
        <w:rPr>
          <w:b/>
          <w:sz w:val="24"/>
        </w:rPr>
        <w:t xml:space="preserve"> Quality </w:t>
      </w:r>
    </w:p>
    <w:p w14:paraId="7786302F" w14:textId="77777777" w:rsidR="00BB5A11" w:rsidRDefault="00BB5A11" w:rsidP="00BB5A11">
      <w:pPr>
        <w:widowControl w:val="0"/>
        <w:suppressAutoHyphens w:val="0"/>
        <w:autoSpaceDE w:val="0"/>
        <w:autoSpaceDN w:val="0"/>
        <w:adjustRightInd w:val="0"/>
        <w:spacing w:before="0" w:after="0"/>
        <w:rPr>
          <w:sz w:val="24"/>
        </w:rPr>
      </w:pPr>
      <w:r w:rsidRPr="00F82CBB">
        <w:rPr>
          <w:sz w:val="24"/>
        </w:rPr>
        <w:t>Data quality is related to reliability of provided data.</w:t>
      </w:r>
    </w:p>
    <w:p w14:paraId="71F3688B" w14:textId="77777777" w:rsidR="00BB5A11" w:rsidRPr="00F82CBB" w:rsidRDefault="00BB5A11" w:rsidP="00BB5A11">
      <w:pPr>
        <w:widowControl w:val="0"/>
        <w:suppressAutoHyphens w:val="0"/>
        <w:autoSpaceDE w:val="0"/>
        <w:autoSpaceDN w:val="0"/>
        <w:adjustRightInd w:val="0"/>
        <w:spacing w:before="0" w:after="0"/>
        <w:rPr>
          <w:sz w:val="24"/>
        </w:rPr>
      </w:pPr>
    </w:p>
    <w:p w14:paraId="21FE84E0" w14:textId="77777777" w:rsidR="00BB5A11" w:rsidRPr="004B58D7" w:rsidRDefault="00BB5A11" w:rsidP="00B435DF">
      <w:pPr>
        <w:pStyle w:val="ListParagraph"/>
        <w:widowControl w:val="0"/>
        <w:numPr>
          <w:ilvl w:val="0"/>
          <w:numId w:val="13"/>
        </w:numPr>
        <w:suppressAutoHyphens w:val="0"/>
        <w:autoSpaceDE w:val="0"/>
        <w:autoSpaceDN w:val="0"/>
        <w:adjustRightInd w:val="0"/>
        <w:spacing w:before="0" w:after="0"/>
        <w:contextualSpacing w:val="0"/>
        <w:rPr>
          <w:b/>
          <w:sz w:val="24"/>
        </w:rPr>
      </w:pPr>
      <w:r>
        <w:rPr>
          <w:b/>
          <w:sz w:val="24"/>
        </w:rPr>
        <w:t>Collection</w:t>
      </w:r>
      <w:r w:rsidRPr="004B58D7">
        <w:rPr>
          <w:b/>
          <w:sz w:val="24"/>
        </w:rPr>
        <w:t xml:space="preserve"> Quality</w:t>
      </w:r>
    </w:p>
    <w:p w14:paraId="3C3C39E6" w14:textId="77777777" w:rsidR="00BB5A11" w:rsidRDefault="00BB5A11" w:rsidP="00BB5A11">
      <w:pPr>
        <w:widowControl w:val="0"/>
        <w:suppressAutoHyphens w:val="0"/>
        <w:autoSpaceDE w:val="0"/>
        <w:autoSpaceDN w:val="0"/>
        <w:adjustRightInd w:val="0"/>
        <w:spacing w:before="0" w:after="0"/>
        <w:rPr>
          <w:sz w:val="24"/>
        </w:rPr>
      </w:pPr>
      <w:r w:rsidRPr="009A6A6D">
        <w:rPr>
          <w:sz w:val="24"/>
        </w:rPr>
        <w:t>Use this area of the template to comment on the condition of the data you expect to use when reporting Scorecard results. If the data is produced automatically from a source system, and can be easily accessed, it can be considered “high.” If, however, you rely on an analyst’s Word document that is in turn based on some other colleague’s Access database numbers that emanate from an old legacy system, then you may consider the quality “low.”</w:t>
      </w:r>
      <w:r>
        <w:rPr>
          <w:sz w:val="24"/>
        </w:rPr>
        <w:t xml:space="preserve"> This is related to collection quality. Data quality is related to reliability of provided data.</w:t>
      </w:r>
    </w:p>
    <w:p w14:paraId="6D86130E" w14:textId="77777777" w:rsidR="00BB5A11" w:rsidRPr="009A6A6D" w:rsidRDefault="00BB5A11" w:rsidP="00BB5A11">
      <w:pPr>
        <w:widowControl w:val="0"/>
        <w:suppressAutoHyphens w:val="0"/>
        <w:autoSpaceDE w:val="0"/>
        <w:autoSpaceDN w:val="0"/>
        <w:adjustRightInd w:val="0"/>
        <w:spacing w:before="0" w:after="0"/>
        <w:rPr>
          <w:sz w:val="24"/>
        </w:rPr>
      </w:pPr>
    </w:p>
    <w:p w14:paraId="4B95EC82"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sz w:val="24"/>
        </w:rPr>
      </w:pPr>
      <w:r w:rsidRPr="009A6A6D">
        <w:rPr>
          <w:b/>
          <w:sz w:val="24"/>
        </w:rPr>
        <w:t>Data Collector</w:t>
      </w:r>
      <w:r w:rsidRPr="009A6A6D">
        <w:rPr>
          <w:sz w:val="24"/>
        </w:rPr>
        <w:t xml:space="preserve"> </w:t>
      </w:r>
    </w:p>
    <w:p w14:paraId="519F0AC5"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You identified the owner of the </w:t>
      </w:r>
      <w:r>
        <w:rPr>
          <w:sz w:val="24"/>
        </w:rPr>
        <w:t>measure</w:t>
      </w:r>
      <w:r w:rsidRPr="009A6A6D">
        <w:rPr>
          <w:sz w:val="24"/>
        </w:rPr>
        <w:t xml:space="preserve"> as that individual who is accountable for results. Often, this is not the person you would expect to provide the actual performance data. </w:t>
      </w:r>
    </w:p>
    <w:p w14:paraId="5D6D15B6" w14:textId="77777777" w:rsidR="00BB5A11" w:rsidRPr="009A6A6D" w:rsidRDefault="00BB5A11" w:rsidP="00BB5A11">
      <w:pPr>
        <w:widowControl w:val="0"/>
        <w:suppressAutoHyphens w:val="0"/>
        <w:autoSpaceDE w:val="0"/>
        <w:autoSpaceDN w:val="0"/>
        <w:adjustRightInd w:val="0"/>
        <w:spacing w:before="0" w:after="0"/>
        <w:rPr>
          <w:sz w:val="24"/>
        </w:rPr>
      </w:pPr>
    </w:p>
    <w:p w14:paraId="3CE6C168"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sz w:val="24"/>
        </w:rPr>
      </w:pPr>
      <w:r w:rsidRPr="009A6A6D">
        <w:rPr>
          <w:b/>
          <w:sz w:val="24"/>
        </w:rPr>
        <w:t>Baseline</w:t>
      </w:r>
      <w:r w:rsidRPr="009A6A6D">
        <w:rPr>
          <w:sz w:val="24"/>
        </w:rPr>
        <w:t xml:space="preserve"> </w:t>
      </w:r>
    </w:p>
    <w:p w14:paraId="7B9687E5" w14:textId="77777777" w:rsidR="00BB5A11" w:rsidRDefault="00BB5A11" w:rsidP="00BB5A11">
      <w:pPr>
        <w:widowControl w:val="0"/>
        <w:suppressAutoHyphens w:val="0"/>
        <w:autoSpaceDE w:val="0"/>
        <w:autoSpaceDN w:val="0"/>
        <w:adjustRightInd w:val="0"/>
        <w:spacing w:before="0" w:after="0"/>
        <w:rPr>
          <w:sz w:val="24"/>
        </w:rPr>
      </w:pPr>
      <w:r w:rsidRPr="009A6A6D">
        <w:rPr>
          <w:sz w:val="24"/>
        </w:rPr>
        <w:t>Users of the Balanced Scorecard will be very interested in the current level of performance for all metrics. For those owning the challenge of developing targets, the baseline is critical in their work.</w:t>
      </w:r>
    </w:p>
    <w:p w14:paraId="58E86994" w14:textId="77777777" w:rsidR="00E5296F" w:rsidRDefault="00E5296F" w:rsidP="00BB5A11">
      <w:pPr>
        <w:widowControl w:val="0"/>
        <w:suppressAutoHyphens w:val="0"/>
        <w:autoSpaceDE w:val="0"/>
        <w:autoSpaceDN w:val="0"/>
        <w:adjustRightInd w:val="0"/>
        <w:spacing w:before="0" w:after="0"/>
        <w:rPr>
          <w:sz w:val="24"/>
        </w:rPr>
      </w:pPr>
    </w:p>
    <w:p w14:paraId="672749AD" w14:textId="77777777" w:rsidR="00E5296F" w:rsidRPr="00323CF4" w:rsidRDefault="00E5296F" w:rsidP="00B435DF">
      <w:pPr>
        <w:pStyle w:val="ListParagraph"/>
        <w:widowControl w:val="0"/>
        <w:numPr>
          <w:ilvl w:val="0"/>
          <w:numId w:val="13"/>
        </w:numPr>
        <w:suppressAutoHyphens w:val="0"/>
        <w:autoSpaceDE w:val="0"/>
        <w:autoSpaceDN w:val="0"/>
        <w:adjustRightInd w:val="0"/>
        <w:spacing w:before="0" w:after="0"/>
        <w:rPr>
          <w:sz w:val="24"/>
        </w:rPr>
      </w:pPr>
      <w:r w:rsidRPr="00323CF4">
        <w:rPr>
          <w:b/>
          <w:sz w:val="24"/>
        </w:rPr>
        <w:t>Base</w:t>
      </w:r>
      <w:r w:rsidRPr="00E5296F">
        <w:rPr>
          <w:b/>
          <w:sz w:val="24"/>
        </w:rPr>
        <w:t xml:space="preserve"> target</w:t>
      </w:r>
    </w:p>
    <w:p w14:paraId="30E27F27" w14:textId="77777777" w:rsidR="00BB5A11" w:rsidRDefault="00E5296F" w:rsidP="00BB5A11">
      <w:pPr>
        <w:widowControl w:val="0"/>
        <w:suppressAutoHyphens w:val="0"/>
        <w:autoSpaceDE w:val="0"/>
        <w:autoSpaceDN w:val="0"/>
        <w:adjustRightInd w:val="0"/>
        <w:spacing w:before="0" w:after="0"/>
        <w:rPr>
          <w:sz w:val="24"/>
        </w:rPr>
      </w:pPr>
      <w:r>
        <w:rPr>
          <w:sz w:val="24"/>
        </w:rPr>
        <w:t xml:space="preserve">The base target is the </w:t>
      </w:r>
      <w:r w:rsidR="00441F7E">
        <w:rPr>
          <w:sz w:val="24"/>
        </w:rPr>
        <w:t xml:space="preserve">minimum value to achieve to consider a successful performance in the real circumstances.  </w:t>
      </w:r>
    </w:p>
    <w:p w14:paraId="7C34C14C" w14:textId="77777777" w:rsidR="00E5296F" w:rsidRPr="009A6A6D" w:rsidRDefault="00E5296F" w:rsidP="00BB5A11">
      <w:pPr>
        <w:widowControl w:val="0"/>
        <w:suppressAutoHyphens w:val="0"/>
        <w:autoSpaceDE w:val="0"/>
        <w:autoSpaceDN w:val="0"/>
        <w:adjustRightInd w:val="0"/>
        <w:spacing w:before="0" w:after="0"/>
        <w:rPr>
          <w:sz w:val="24"/>
        </w:rPr>
      </w:pPr>
    </w:p>
    <w:p w14:paraId="0EE8816A"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sz w:val="24"/>
        </w:rPr>
      </w:pPr>
      <w:r w:rsidRPr="009A6A6D">
        <w:rPr>
          <w:b/>
          <w:sz w:val="24"/>
        </w:rPr>
        <w:t>Stretch Target</w:t>
      </w:r>
      <w:r w:rsidRPr="009A6A6D">
        <w:rPr>
          <w:sz w:val="24"/>
        </w:rPr>
        <w:t xml:space="preserve"> </w:t>
      </w:r>
    </w:p>
    <w:p w14:paraId="08B97C47" w14:textId="77777777" w:rsidR="00E5296F" w:rsidRDefault="00441F7E" w:rsidP="00E5296F">
      <w:pPr>
        <w:widowControl w:val="0"/>
        <w:suppressAutoHyphens w:val="0"/>
        <w:autoSpaceDE w:val="0"/>
        <w:autoSpaceDN w:val="0"/>
        <w:adjustRightInd w:val="0"/>
        <w:spacing w:before="0" w:after="0"/>
        <w:rPr>
          <w:sz w:val="24"/>
          <w:lang w:val="en-US"/>
        </w:rPr>
      </w:pPr>
      <w:r>
        <w:rPr>
          <w:sz w:val="24"/>
          <w:lang w:val="en-US"/>
        </w:rPr>
        <w:t>The</w:t>
      </w:r>
      <w:r w:rsidR="00E5296F">
        <w:rPr>
          <w:sz w:val="24"/>
          <w:lang w:val="en-US"/>
        </w:rPr>
        <w:t xml:space="preserve"> </w:t>
      </w:r>
      <w:r w:rsidR="00E5296F" w:rsidRPr="00E5296F">
        <w:rPr>
          <w:sz w:val="24"/>
          <w:lang w:val="en-US"/>
        </w:rPr>
        <w:t xml:space="preserve">stretch target is </w:t>
      </w:r>
      <w:r>
        <w:rPr>
          <w:sz w:val="24"/>
          <w:lang w:val="en-US"/>
        </w:rPr>
        <w:t>used to set higher expectations that cannot be met by</w:t>
      </w:r>
      <w:r w:rsidR="00E5296F" w:rsidRPr="00E5296F">
        <w:rPr>
          <w:sz w:val="24"/>
          <w:lang w:val="en-US"/>
        </w:rPr>
        <w:t xml:space="preserve"> simply by working a little harder or a little smarter. To achieve a stretch target, people have to invent new strategies, new incentives—entirely new ways of achieving their purpose</w:t>
      </w:r>
      <w:r w:rsidR="00E5296F">
        <w:rPr>
          <w:sz w:val="24"/>
          <w:lang w:val="en-US"/>
        </w:rPr>
        <w:t>.</w:t>
      </w:r>
    </w:p>
    <w:p w14:paraId="39732B2D" w14:textId="77777777" w:rsidR="00BB5A11" w:rsidRPr="009A6A6D" w:rsidRDefault="00BB5A11" w:rsidP="00BB5A11">
      <w:pPr>
        <w:widowControl w:val="0"/>
        <w:suppressAutoHyphens w:val="0"/>
        <w:autoSpaceDE w:val="0"/>
        <w:autoSpaceDN w:val="0"/>
        <w:adjustRightInd w:val="0"/>
        <w:spacing w:before="0" w:after="0"/>
        <w:rPr>
          <w:sz w:val="24"/>
        </w:rPr>
      </w:pPr>
    </w:p>
    <w:p w14:paraId="5E551602" w14:textId="77777777" w:rsidR="00BB5A11" w:rsidRPr="009A6A6D" w:rsidRDefault="00BB5A11" w:rsidP="00B435DF">
      <w:pPr>
        <w:pStyle w:val="ListParagraph"/>
        <w:widowControl w:val="0"/>
        <w:numPr>
          <w:ilvl w:val="0"/>
          <w:numId w:val="13"/>
        </w:numPr>
        <w:suppressAutoHyphens w:val="0"/>
        <w:autoSpaceDE w:val="0"/>
        <w:autoSpaceDN w:val="0"/>
        <w:adjustRightInd w:val="0"/>
        <w:spacing w:before="0" w:after="0"/>
        <w:contextualSpacing w:val="0"/>
        <w:rPr>
          <w:sz w:val="24"/>
        </w:rPr>
      </w:pPr>
      <w:r w:rsidRPr="009A6A6D">
        <w:rPr>
          <w:b/>
          <w:sz w:val="24"/>
        </w:rPr>
        <w:t>Target Rationale</w:t>
      </w:r>
      <w:r w:rsidRPr="009A6A6D">
        <w:rPr>
          <w:sz w:val="24"/>
        </w:rPr>
        <w:t xml:space="preserve">  </w:t>
      </w:r>
    </w:p>
    <w:p w14:paraId="013A228C" w14:textId="77777777" w:rsidR="00BB5A11" w:rsidRDefault="00BB5A11" w:rsidP="00BB5A11">
      <w:pPr>
        <w:widowControl w:val="0"/>
        <w:suppressAutoHyphens w:val="0"/>
        <w:autoSpaceDE w:val="0"/>
        <w:autoSpaceDN w:val="0"/>
        <w:adjustRightInd w:val="0"/>
        <w:spacing w:before="0" w:after="0"/>
        <w:rPr>
          <w:sz w:val="24"/>
        </w:rPr>
      </w:pPr>
      <w:r w:rsidRPr="009A6A6D">
        <w:rPr>
          <w:sz w:val="24"/>
        </w:rPr>
        <w:t>This will apply only to those metrics for which you currently have a performance target. The rationale provides users with background on how you arrived at the particular target(s). Did it come from an executive planning retreat? Is it an incremental improvement based on historical results? Was it based on a mandate? For people to galvanise around the achievement of a target, they need to know how it was developed, and that while it may represent a stretch, it isn’t merely wishful thinking on the part of an overzealous senior management team.</w:t>
      </w:r>
    </w:p>
    <w:p w14:paraId="2E4C03D7" w14:textId="77777777" w:rsidR="00BB5A11" w:rsidRPr="009A6A6D" w:rsidRDefault="00BB5A11" w:rsidP="00BB5A11">
      <w:pPr>
        <w:widowControl w:val="0"/>
        <w:suppressAutoHyphens w:val="0"/>
        <w:autoSpaceDE w:val="0"/>
        <w:autoSpaceDN w:val="0"/>
        <w:adjustRightInd w:val="0"/>
        <w:spacing w:before="0" w:after="0"/>
        <w:rPr>
          <w:sz w:val="24"/>
        </w:rPr>
      </w:pPr>
    </w:p>
    <w:p w14:paraId="353C24AD" w14:textId="77777777" w:rsidR="00BB5A11" w:rsidRPr="00D73156" w:rsidRDefault="00BB5A11" w:rsidP="00B435DF">
      <w:pPr>
        <w:pStyle w:val="ListParagraph"/>
        <w:widowControl w:val="0"/>
        <w:numPr>
          <w:ilvl w:val="0"/>
          <w:numId w:val="13"/>
        </w:numPr>
        <w:suppressAutoHyphens w:val="0"/>
        <w:autoSpaceDE w:val="0"/>
        <w:autoSpaceDN w:val="0"/>
        <w:adjustRightInd w:val="0"/>
        <w:spacing w:before="0" w:after="0"/>
        <w:contextualSpacing w:val="0"/>
        <w:rPr>
          <w:b/>
          <w:sz w:val="24"/>
        </w:rPr>
      </w:pPr>
      <w:r w:rsidRPr="00D73156">
        <w:rPr>
          <w:b/>
          <w:sz w:val="24"/>
        </w:rPr>
        <w:t>Initiatives</w:t>
      </w:r>
    </w:p>
    <w:p w14:paraId="5F57D075" w14:textId="77777777" w:rsidR="00BB5A11" w:rsidRPr="002B1814" w:rsidRDefault="00BB5A11" w:rsidP="00BB5A11">
      <w:pPr>
        <w:widowControl w:val="0"/>
        <w:suppressAutoHyphens w:val="0"/>
        <w:autoSpaceDE w:val="0"/>
        <w:autoSpaceDN w:val="0"/>
        <w:adjustRightInd w:val="0"/>
        <w:spacing w:before="0" w:after="0"/>
        <w:rPr>
          <w:rFonts w:ascii="Calibri" w:eastAsia="Cambria" w:hAnsi="Calibri" w:cs="Calibri"/>
          <w:sz w:val="20"/>
          <w:lang w:val="en-US" w:eastAsia="en-US"/>
        </w:rPr>
      </w:pPr>
      <w:r w:rsidRPr="009A6A6D">
        <w:rPr>
          <w:sz w:val="24"/>
        </w:rPr>
        <w:t xml:space="preserve">At any given time, </w:t>
      </w:r>
      <w:r>
        <w:rPr>
          <w:sz w:val="24"/>
        </w:rPr>
        <w:t xml:space="preserve">EGI.eu </w:t>
      </w:r>
      <w:r w:rsidR="001276A8">
        <w:rPr>
          <w:sz w:val="24"/>
        </w:rPr>
        <w:t xml:space="preserve">may be simultaneously engaged in </w:t>
      </w:r>
      <w:r w:rsidRPr="009A6A6D">
        <w:rPr>
          <w:sz w:val="24"/>
        </w:rPr>
        <w:t xml:space="preserve">dozens of initiatives or </w:t>
      </w:r>
      <w:r>
        <w:rPr>
          <w:sz w:val="24"/>
        </w:rPr>
        <w:t xml:space="preserve">the mini </w:t>
      </w:r>
      <w:r w:rsidRPr="009A6A6D">
        <w:rPr>
          <w:sz w:val="24"/>
        </w:rPr>
        <w:t>projects.</w:t>
      </w:r>
      <w:r w:rsidR="00AB2A71">
        <w:rPr>
          <w:sz w:val="24"/>
        </w:rPr>
        <w:t xml:space="preserve"> </w:t>
      </w:r>
      <w:r w:rsidRPr="009A6A6D">
        <w:rPr>
          <w:sz w:val="24"/>
        </w:rPr>
        <w:t xml:space="preserve">Often, only those closest to the project know anything about it, hence any possible synergies between initiatives are never realized. The Scorecard provides </w:t>
      </w:r>
      <w:r w:rsidR="001276A8">
        <w:rPr>
          <w:sz w:val="24"/>
        </w:rPr>
        <w:t xml:space="preserve">an </w:t>
      </w:r>
      <w:r w:rsidRPr="009A6A6D">
        <w:rPr>
          <w:sz w:val="24"/>
        </w:rPr>
        <w:t xml:space="preserve">opportunity to evaluate </w:t>
      </w:r>
      <w:r w:rsidR="001276A8">
        <w:rPr>
          <w:sz w:val="24"/>
        </w:rPr>
        <w:t>these</w:t>
      </w:r>
      <w:r w:rsidRPr="009A6A6D">
        <w:rPr>
          <w:sz w:val="24"/>
        </w:rPr>
        <w:t xml:space="preserve"> initiatives in the context of the</w:t>
      </w:r>
      <w:r>
        <w:rPr>
          <w:sz w:val="24"/>
        </w:rPr>
        <w:t>ir strategic significance. If a</w:t>
      </w:r>
      <w:r w:rsidRPr="009A6A6D">
        <w:rPr>
          <w:sz w:val="24"/>
        </w:rPr>
        <w:t xml:space="preserve"> </w:t>
      </w:r>
      <w:r>
        <w:rPr>
          <w:sz w:val="24"/>
        </w:rPr>
        <w:t>Virtual Team</w:t>
      </w:r>
      <w:r w:rsidRPr="009A6A6D">
        <w:rPr>
          <w:sz w:val="24"/>
        </w:rPr>
        <w:t xml:space="preserve"> or</w:t>
      </w:r>
      <w:r>
        <w:rPr>
          <w:sz w:val="24"/>
        </w:rPr>
        <w:t xml:space="preserve"> mini </w:t>
      </w:r>
      <w:r w:rsidRPr="009A6A6D">
        <w:rPr>
          <w:sz w:val="24"/>
        </w:rPr>
        <w:t>project</w:t>
      </w:r>
      <w:r>
        <w:rPr>
          <w:sz w:val="24"/>
        </w:rPr>
        <w:t>,</w:t>
      </w:r>
      <w:r w:rsidRPr="009A6A6D">
        <w:rPr>
          <w:sz w:val="24"/>
        </w:rPr>
        <w:t xml:space="preserve"> </w:t>
      </w:r>
      <w:r w:rsidR="001276A8">
        <w:rPr>
          <w:sz w:val="24"/>
        </w:rPr>
        <w:t xml:space="preserve">that </w:t>
      </w:r>
      <w:r>
        <w:rPr>
          <w:sz w:val="24"/>
        </w:rPr>
        <w:t xml:space="preserve">EGI.eu is participating in, </w:t>
      </w:r>
      <w:r w:rsidRPr="009A6A6D">
        <w:rPr>
          <w:sz w:val="24"/>
        </w:rPr>
        <w:t xml:space="preserve">cannot be linked to the successful accomplishment of your strategy, </w:t>
      </w:r>
      <w:r w:rsidR="00903E70">
        <w:rPr>
          <w:sz w:val="24"/>
        </w:rPr>
        <w:t xml:space="preserve">the question has </w:t>
      </w:r>
      <w:r w:rsidRPr="009A6A6D">
        <w:rPr>
          <w:sz w:val="24"/>
        </w:rPr>
        <w:t xml:space="preserve">to </w:t>
      </w:r>
      <w:r w:rsidR="00903E70">
        <w:rPr>
          <w:sz w:val="24"/>
        </w:rPr>
        <w:t xml:space="preserve">be </w:t>
      </w:r>
      <w:r w:rsidRPr="009A6A6D">
        <w:rPr>
          <w:sz w:val="24"/>
        </w:rPr>
        <w:t>ask</w:t>
      </w:r>
      <w:r w:rsidR="00903E70">
        <w:rPr>
          <w:sz w:val="24"/>
        </w:rPr>
        <w:t>ed</w:t>
      </w:r>
      <w:r w:rsidRPr="009A6A6D">
        <w:rPr>
          <w:sz w:val="24"/>
        </w:rPr>
        <w:t xml:space="preserve"> why </w:t>
      </w:r>
      <w:r>
        <w:rPr>
          <w:sz w:val="24"/>
        </w:rPr>
        <w:t>is EGI participating in it</w:t>
      </w:r>
      <w:r w:rsidR="00903E70">
        <w:rPr>
          <w:sz w:val="24"/>
        </w:rPr>
        <w:t>?</w:t>
      </w:r>
      <w:r w:rsidRPr="009A6A6D">
        <w:rPr>
          <w:sz w:val="24"/>
        </w:rPr>
        <w:t xml:space="preserve"> Use this section of the template to map current or anticipated initiatives to specific performance metrics.</w:t>
      </w:r>
    </w:p>
    <w:p w14:paraId="3E249D93" w14:textId="5D89932E" w:rsidR="00064C50" w:rsidRPr="009361EA" w:rsidRDefault="00064C50" w:rsidP="009361EA">
      <w:pPr>
        <w:rPr>
          <w:szCs w:val="22"/>
        </w:rPr>
      </w:pPr>
    </w:p>
    <w:sectPr w:rsidR="00064C50" w:rsidRPr="009361EA" w:rsidSect="00207D16">
      <w:footerReference w:type="default" r:id="rId3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AB40C" w14:textId="77777777" w:rsidR="006260D4" w:rsidRDefault="006260D4">
      <w:pPr>
        <w:spacing w:before="0" w:after="0"/>
      </w:pPr>
      <w:r>
        <w:separator/>
      </w:r>
    </w:p>
  </w:endnote>
  <w:endnote w:type="continuationSeparator" w:id="0">
    <w:p w14:paraId="1ECD42AD" w14:textId="77777777" w:rsidR="006260D4" w:rsidRDefault="006260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F733" w14:textId="77777777" w:rsidR="006260D4" w:rsidRDefault="006260D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260D4" w:rsidRPr="00591735" w14:paraId="449B6D42" w14:textId="77777777" w:rsidTr="001E683E">
      <w:tc>
        <w:tcPr>
          <w:tcW w:w="2764" w:type="dxa"/>
          <w:tcBorders>
            <w:top w:val="single" w:sz="8" w:space="0" w:color="000080"/>
          </w:tcBorders>
        </w:tcPr>
        <w:p w14:paraId="587E3D30" w14:textId="77777777" w:rsidR="006260D4" w:rsidRPr="00591735" w:rsidRDefault="006260D4">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7DFE3639" w14:textId="77777777" w:rsidR="006260D4" w:rsidRPr="00591735" w:rsidRDefault="006260D4" w:rsidP="00207D16">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r w:rsidRPr="00591735">
            <w:rPr>
              <w:rFonts w:ascii="Calibri" w:hAnsi="Calibri" w:cs="Calibri"/>
              <w:color w:val="000000"/>
              <w:sz w:val="18"/>
              <w:szCs w:val="18"/>
            </w:rPr>
            <w:br/>
          </w:r>
        </w:p>
        <w:p w14:paraId="1C73161B" w14:textId="77777777" w:rsidR="006260D4" w:rsidRPr="00591735" w:rsidRDefault="006260D4" w:rsidP="00207D16">
          <w:pPr>
            <w:pStyle w:val="Footer"/>
            <w:jc w:val="center"/>
            <w:rPr>
              <w:rFonts w:ascii="Calibri" w:hAnsi="Calibri" w:cs="Calibri"/>
              <w:color w:val="000000"/>
              <w:sz w:val="18"/>
              <w:szCs w:val="18"/>
            </w:rPr>
          </w:pPr>
        </w:p>
      </w:tc>
      <w:tc>
        <w:tcPr>
          <w:tcW w:w="1559" w:type="dxa"/>
          <w:tcBorders>
            <w:top w:val="single" w:sz="8" w:space="0" w:color="000080"/>
          </w:tcBorders>
          <w:shd w:val="clear" w:color="auto" w:fill="auto"/>
        </w:tcPr>
        <w:p w14:paraId="0623C4C8" w14:textId="77777777" w:rsidR="006260D4" w:rsidRPr="00591735" w:rsidRDefault="006260D4">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2540DE43" w14:textId="77777777" w:rsidR="006260D4" w:rsidRPr="00591735" w:rsidRDefault="006260D4">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660750">
            <w:rPr>
              <w:rFonts w:ascii="Calibri" w:hAnsi="Calibri" w:cs="Calibri"/>
              <w:noProof/>
            </w:rPr>
            <w:t>38</w:t>
          </w:r>
          <w:r w:rsidRPr="00591735">
            <w:rPr>
              <w:rFonts w:ascii="Calibri" w:hAnsi="Calibri" w:cs="Calibri"/>
            </w:rPr>
            <w:fldChar w:fldCharType="end"/>
          </w:r>
          <w:r w:rsidRPr="00591735">
            <w:rPr>
              <w:rFonts w:ascii="Calibri" w:hAnsi="Calibri" w:cs="Calibri"/>
            </w:rPr>
            <w:t xml:space="preserve"> / </w:t>
          </w:r>
          <w:r w:rsidR="00660750">
            <w:fldChar w:fldCharType="begin"/>
          </w:r>
          <w:r w:rsidR="00660750">
            <w:instrText xml:space="preserve"> NUMPAGES  \* MERGEFORMAT </w:instrText>
          </w:r>
          <w:r w:rsidR="00660750">
            <w:fldChar w:fldCharType="separate"/>
          </w:r>
          <w:r w:rsidR="00660750" w:rsidRPr="00660750">
            <w:rPr>
              <w:rFonts w:ascii="Calibri" w:hAnsi="Calibri" w:cs="Calibri"/>
              <w:noProof/>
            </w:rPr>
            <w:t>46</w:t>
          </w:r>
          <w:r w:rsidR="00660750">
            <w:rPr>
              <w:rFonts w:ascii="Calibri" w:hAnsi="Calibri" w:cs="Calibri"/>
              <w:noProof/>
            </w:rPr>
            <w:fldChar w:fldCharType="end"/>
          </w:r>
        </w:p>
      </w:tc>
    </w:tr>
  </w:tbl>
  <w:p w14:paraId="19BB4A4E" w14:textId="77777777" w:rsidR="006260D4" w:rsidRDefault="006260D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63209"/>
      <w:docPartObj>
        <w:docPartGallery w:val="Page Numbers (Bottom of Page)"/>
        <w:docPartUnique/>
      </w:docPartObj>
    </w:sdtPr>
    <w:sdtEndPr>
      <w:rPr>
        <w:noProof/>
      </w:rPr>
    </w:sdtEndPr>
    <w:sdtContent>
      <w:p w14:paraId="4403F03B" w14:textId="77777777" w:rsidR="006260D4" w:rsidRDefault="006260D4">
        <w:pPr>
          <w:pStyle w:val="Footer"/>
          <w:jc w:val="center"/>
        </w:pPr>
        <w:r>
          <w:fldChar w:fldCharType="begin"/>
        </w:r>
        <w:r>
          <w:instrText xml:space="preserve"> PAGE   \* MERGEFORMAT </w:instrText>
        </w:r>
        <w:r>
          <w:fldChar w:fldCharType="separate"/>
        </w:r>
        <w:r w:rsidR="00660750">
          <w:rPr>
            <w:noProof/>
          </w:rPr>
          <w:t>46</w:t>
        </w:r>
        <w:r>
          <w:rPr>
            <w:noProof/>
          </w:rPr>
          <w:fldChar w:fldCharType="end"/>
        </w:r>
      </w:p>
    </w:sdtContent>
  </w:sdt>
  <w:p w14:paraId="6623E3D1" w14:textId="77777777" w:rsidR="006260D4" w:rsidRPr="00686506" w:rsidRDefault="006260D4" w:rsidP="00755F2F">
    <w:pPr>
      <w:pStyle w:val="Footer"/>
      <w:rPr>
        <w:rFonts w:cs="Calibri"/>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A3B87" w14:textId="77777777" w:rsidR="006260D4" w:rsidRDefault="006260D4">
      <w:pPr>
        <w:spacing w:before="0" w:after="0"/>
      </w:pPr>
      <w:r>
        <w:separator/>
      </w:r>
    </w:p>
  </w:footnote>
  <w:footnote w:type="continuationSeparator" w:id="0">
    <w:p w14:paraId="5553F7F9" w14:textId="77777777" w:rsidR="006260D4" w:rsidRDefault="006260D4">
      <w:pPr>
        <w:spacing w:before="0" w:after="0"/>
      </w:pPr>
      <w:r>
        <w:continuationSeparator/>
      </w:r>
    </w:p>
  </w:footnote>
  <w:footnote w:id="1">
    <w:p w14:paraId="11DF928D" w14:textId="742B21C9" w:rsidR="006260D4" w:rsidRPr="003162DE" w:rsidRDefault="006260D4">
      <w:pPr>
        <w:pStyle w:val="FootnoteText"/>
      </w:pPr>
      <w:r>
        <w:rPr>
          <w:rStyle w:val="FootnoteReference"/>
        </w:rPr>
        <w:footnoteRef/>
      </w:r>
      <w:r>
        <w:t xml:space="preserve"> </w:t>
      </w:r>
      <w:r w:rsidRPr="003162DE">
        <w:t>D1.13 Quality Plan and Project Metrics</w:t>
      </w:r>
      <w:r>
        <w:t xml:space="preserve">, </w:t>
      </w:r>
      <w:hyperlink r:id="rId1" w:history="1">
        <w:r w:rsidRPr="00305605">
          <w:rPr>
            <w:rStyle w:val="Hyperlink"/>
          </w:rPr>
          <w:t>https://documents.egi.eu/document/1757</w:t>
        </w:r>
      </w:hyperlink>
    </w:p>
  </w:footnote>
  <w:footnote w:id="2">
    <w:p w14:paraId="12C527DC" w14:textId="7DAB52F5" w:rsidR="006260D4" w:rsidRPr="00ED3ED5" w:rsidRDefault="006260D4">
      <w:pPr>
        <w:pStyle w:val="FootnoteText"/>
      </w:pPr>
      <w:r>
        <w:rPr>
          <w:rStyle w:val="FootnoteReference"/>
        </w:rPr>
        <w:footnoteRef/>
      </w:r>
      <w:r>
        <w:t xml:space="preserve"> </w:t>
      </w:r>
      <w:proofErr w:type="spellStart"/>
      <w:r>
        <w:t>EGi-InSPIRE</w:t>
      </w:r>
      <w:proofErr w:type="spellEnd"/>
      <w:r>
        <w:t xml:space="preserve"> QR 14 report: </w:t>
      </w:r>
      <w:hyperlink r:id="rId2" w:history="1">
        <w:r w:rsidRPr="00305605">
          <w:rPr>
            <w:rStyle w:val="Hyperlink"/>
          </w:rPr>
          <w:t>https://documents.egi.eu/document/2183</w:t>
        </w:r>
      </w:hyperlink>
    </w:p>
  </w:footnote>
  <w:footnote w:id="3">
    <w:p w14:paraId="6D6CD07D" w14:textId="2F05E67D" w:rsidR="006260D4" w:rsidRPr="00ED3ED5" w:rsidRDefault="006260D4">
      <w:pPr>
        <w:pStyle w:val="FootnoteText"/>
      </w:pPr>
      <w:r>
        <w:rPr>
          <w:rStyle w:val="FootnoteReference"/>
        </w:rPr>
        <w:footnoteRef/>
      </w:r>
      <w:r>
        <w:t xml:space="preserve"> EGI-</w:t>
      </w:r>
      <w:proofErr w:type="spellStart"/>
      <w:r>
        <w:t>InSPIRE</w:t>
      </w:r>
      <w:proofErr w:type="spellEnd"/>
      <w:r>
        <w:t xml:space="preserve"> QR 15 report: </w:t>
      </w:r>
      <w:hyperlink r:id="rId3" w:history="1">
        <w:r w:rsidRPr="00305605">
          <w:rPr>
            <w:rStyle w:val="Hyperlink"/>
          </w:rPr>
          <w:t>https://documents.egi.eu/document/2111</w:t>
        </w:r>
      </w:hyperlink>
    </w:p>
  </w:footnote>
  <w:footnote w:id="4">
    <w:p w14:paraId="1559F525" w14:textId="4B716F86" w:rsidR="006260D4" w:rsidRPr="00CE02EE" w:rsidRDefault="006260D4">
      <w:pPr>
        <w:pStyle w:val="FootnoteText"/>
        <w:rPr>
          <w:lang w:val="en-US"/>
        </w:rPr>
      </w:pPr>
      <w:r>
        <w:rPr>
          <w:rStyle w:val="FootnoteReference"/>
        </w:rPr>
        <w:footnoteRef/>
      </w:r>
      <w:r>
        <w:t xml:space="preserve"> </w:t>
      </w:r>
      <w:r>
        <w:rPr>
          <w:lang w:val="en-US"/>
        </w:rPr>
        <w:t xml:space="preserve">EGI Engagement Strategy: </w:t>
      </w:r>
      <w:hyperlink r:id="rId4" w:history="1">
        <w:r w:rsidRPr="00305605">
          <w:rPr>
            <w:rStyle w:val="Hyperlink"/>
            <w:lang w:val="en-US"/>
          </w:rPr>
          <w:t>https://documents.egi.eu/document/2079</w:t>
        </w:r>
      </w:hyperlink>
    </w:p>
  </w:footnote>
  <w:footnote w:id="5">
    <w:p w14:paraId="24AE5510" w14:textId="0D7DEECE" w:rsidR="006260D4" w:rsidRPr="00210E61" w:rsidRDefault="006260D4">
      <w:pPr>
        <w:pStyle w:val="FootnoteText"/>
      </w:pPr>
      <w:r>
        <w:rPr>
          <w:rStyle w:val="FootnoteReference"/>
        </w:rPr>
        <w:footnoteRef/>
      </w:r>
      <w:r>
        <w:t xml:space="preserve"> </w:t>
      </w:r>
      <w:hyperlink r:id="rId5" w:history="1">
        <w:r w:rsidRPr="00305605">
          <w:rPr>
            <w:rStyle w:val="Hyperlink"/>
          </w:rPr>
          <w:t>http://www.fedsm.eu/fitsm</w:t>
        </w:r>
      </w:hyperlink>
    </w:p>
  </w:footnote>
  <w:footnote w:id="6">
    <w:p w14:paraId="427B94EE" w14:textId="6468B520" w:rsidR="006260D4" w:rsidRPr="000E4605" w:rsidRDefault="006260D4">
      <w:pPr>
        <w:pStyle w:val="FootnoteText"/>
      </w:pPr>
      <w:r>
        <w:rPr>
          <w:rStyle w:val="FootnoteReference"/>
        </w:rPr>
        <w:footnoteRef/>
      </w:r>
      <w:r>
        <w:t xml:space="preserve"> </w:t>
      </w:r>
      <w:r w:rsidRPr="000E4605">
        <w:t>MS429 EGI Service Level Agreements and Operations Level Agreements framework</w:t>
      </w:r>
      <w:r>
        <w:t xml:space="preserve">, </w:t>
      </w:r>
      <w:hyperlink r:id="rId6" w:history="1">
        <w:r w:rsidRPr="00305605">
          <w:rPr>
            <w:rStyle w:val="Hyperlink"/>
          </w:rPr>
          <w:t>https://documents.egi.eu/document/2239</w:t>
        </w:r>
      </w:hyperlink>
    </w:p>
  </w:footnote>
  <w:footnote w:id="7">
    <w:p w14:paraId="51C50E8E" w14:textId="2A69601D" w:rsidR="006260D4" w:rsidRPr="00160FDB" w:rsidRDefault="006260D4">
      <w:pPr>
        <w:pStyle w:val="FootnoteText"/>
      </w:pPr>
      <w:r>
        <w:rPr>
          <w:rStyle w:val="FootnoteReference"/>
        </w:rPr>
        <w:footnoteRef/>
      </w:r>
      <w:r>
        <w:t xml:space="preserve"> </w:t>
      </w:r>
      <w:hyperlink r:id="rId7" w:history="1">
        <w:r w:rsidRPr="00305605">
          <w:rPr>
            <w:rStyle w:val="Hyperlink"/>
          </w:rPr>
          <w:t>https://appdb.egi.eu/</w:t>
        </w:r>
      </w:hyperlink>
    </w:p>
  </w:footnote>
  <w:footnote w:id="8">
    <w:p w14:paraId="333F05C4" w14:textId="2055F938" w:rsidR="006260D4" w:rsidRPr="00210E61" w:rsidRDefault="006260D4" w:rsidP="00E51975">
      <w:pPr>
        <w:pStyle w:val="FootnoteText"/>
      </w:pPr>
      <w:r>
        <w:rPr>
          <w:rStyle w:val="FootnoteReference"/>
        </w:rPr>
        <w:footnoteRef/>
      </w:r>
      <w:r>
        <w:t xml:space="preserve"> </w:t>
      </w:r>
      <w:hyperlink r:id="rId8" w:history="1">
        <w:r w:rsidRPr="00305605">
          <w:rPr>
            <w:rStyle w:val="Hyperlink"/>
          </w:rPr>
          <w:t>http://www.fedsm.eu/</w:t>
        </w:r>
      </w:hyperlink>
    </w:p>
  </w:footnote>
  <w:footnote w:id="9">
    <w:p w14:paraId="1A09455D" w14:textId="7E736F9D" w:rsidR="006260D4" w:rsidRPr="00160FDB" w:rsidRDefault="006260D4">
      <w:pPr>
        <w:pStyle w:val="FootnoteText"/>
      </w:pPr>
      <w:r>
        <w:rPr>
          <w:rStyle w:val="FootnoteReference"/>
        </w:rPr>
        <w:footnoteRef/>
      </w:r>
      <w:r>
        <w:t xml:space="preserve"> </w:t>
      </w:r>
      <w:hyperlink r:id="rId9" w:history="1">
        <w:r w:rsidRPr="00305605">
          <w:rPr>
            <w:rStyle w:val="Hyperlink"/>
          </w:rPr>
          <w:t>http://www.egi.eu/services/catalogue/</w:t>
        </w:r>
      </w:hyperlink>
    </w:p>
  </w:footnote>
  <w:footnote w:id="10">
    <w:p w14:paraId="3A3BABAB" w14:textId="77777777" w:rsidR="006260D4" w:rsidRDefault="006260D4">
      <w:pPr>
        <w:pStyle w:val="FootnoteText"/>
      </w:pPr>
      <w:r>
        <w:rPr>
          <w:rStyle w:val="FootnoteReference"/>
        </w:rPr>
        <w:footnoteRef/>
      </w:r>
      <w:r>
        <w:t xml:space="preserve"> </w:t>
      </w:r>
      <w:hyperlink r:id="rId10" w:history="1">
        <w:r>
          <w:rPr>
            <w:rStyle w:val="Hyperlink"/>
          </w:rPr>
          <w:t>https://www.egi.eu/indico/categoryDisplay.py?categId=13</w:t>
        </w:r>
      </w:hyperlink>
    </w:p>
  </w:footnote>
  <w:footnote w:id="11">
    <w:p w14:paraId="1E358B7A" w14:textId="77777777" w:rsidR="006260D4" w:rsidRDefault="006260D4">
      <w:pPr>
        <w:pStyle w:val="FootnoteText"/>
      </w:pPr>
      <w:r>
        <w:rPr>
          <w:rStyle w:val="FootnoteReference"/>
        </w:rPr>
        <w:footnoteRef/>
      </w:r>
      <w:r>
        <w:t xml:space="preserve"> </w:t>
      </w:r>
      <w:hyperlink r:id="rId11" w:history="1">
        <w:r>
          <w:rPr>
            <w:rStyle w:val="Hyperlink"/>
          </w:rPr>
          <w:t>http://www.egi.eu/projects/egi-inspire/metrics/</w:t>
        </w:r>
      </w:hyperlink>
    </w:p>
  </w:footnote>
  <w:footnote w:id="12">
    <w:p w14:paraId="07347E52" w14:textId="77777777" w:rsidR="006260D4" w:rsidRDefault="006260D4">
      <w:pPr>
        <w:pStyle w:val="FootnoteText"/>
      </w:pPr>
      <w:r>
        <w:rPr>
          <w:rStyle w:val="FootnoteReference"/>
        </w:rPr>
        <w:footnoteRef/>
      </w:r>
      <w:r>
        <w:t xml:space="preserve"> </w:t>
      </w:r>
      <w:r w:rsidRPr="00E7468D">
        <w:t>https://wiki.egi.eu/wiki/Tools</w:t>
      </w:r>
    </w:p>
  </w:footnote>
  <w:footnote w:id="13">
    <w:p w14:paraId="0AEA5313" w14:textId="4D898A0E" w:rsidR="006260D4" w:rsidRPr="001B0AB4" w:rsidRDefault="006260D4">
      <w:pPr>
        <w:pStyle w:val="FootnoteText"/>
      </w:pPr>
      <w:r>
        <w:rPr>
          <w:rStyle w:val="FootnoteReference"/>
        </w:rPr>
        <w:footnoteRef/>
      </w:r>
      <w:r>
        <w:t xml:space="preserve"> </w:t>
      </w:r>
      <w:hyperlink r:id="rId12" w:history="1">
        <w:r w:rsidRPr="00305605">
          <w:rPr>
            <w:rStyle w:val="Hyperlink"/>
          </w:rPr>
          <w:t>https://documents.egi.eu/secure/SearchForm</w:t>
        </w:r>
      </w:hyperlink>
    </w:p>
  </w:footnote>
  <w:footnote w:id="14">
    <w:p w14:paraId="4F155F8B" w14:textId="051F3E7D" w:rsidR="006260D4" w:rsidRDefault="006260D4">
      <w:pPr>
        <w:pStyle w:val="FootnoteText"/>
      </w:pPr>
      <w:r>
        <w:rPr>
          <w:rStyle w:val="FootnoteReference"/>
        </w:rPr>
        <w:footnoteRef/>
      </w:r>
      <w:r>
        <w:t xml:space="preserve"> </w:t>
      </w:r>
      <w:hyperlink r:id="rId13" w:history="1">
        <w:r w:rsidRPr="00305605">
          <w:rPr>
            <w:rStyle w:val="Hyperlink"/>
          </w:rPr>
          <w:t>https://wiki.egi.eu/wiki/Metadata_management</w:t>
        </w:r>
      </w:hyperlink>
    </w:p>
  </w:footnote>
  <w:footnote w:id="15">
    <w:p w14:paraId="15D303E9" w14:textId="77777777" w:rsidR="006260D4" w:rsidRDefault="006260D4">
      <w:pPr>
        <w:pStyle w:val="FootnoteText"/>
      </w:pPr>
      <w:r>
        <w:rPr>
          <w:rStyle w:val="FootnoteReference"/>
        </w:rPr>
        <w:footnoteRef/>
      </w:r>
      <w:r>
        <w:t xml:space="preserve"> </w:t>
      </w:r>
      <w:hyperlink r:id="rId14" w:history="1">
        <w:r>
          <w:rPr>
            <w:rStyle w:val="Hyperlink"/>
          </w:rPr>
          <w:t>http://www.egi.eu/about/egi-inspire/templates/</w:t>
        </w:r>
      </w:hyperlink>
    </w:p>
  </w:footnote>
  <w:footnote w:id="16">
    <w:p w14:paraId="5B49BB1D" w14:textId="77777777" w:rsidR="006260D4" w:rsidRPr="00093BA5" w:rsidRDefault="006260D4" w:rsidP="00E450A4">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15" w:history="1">
        <w:r w:rsidRPr="00093BA5">
          <w:rPr>
            <w:rStyle w:val="Hyperlink"/>
            <w:rFonts w:asciiTheme="majorHAnsi" w:hAnsiTheme="majorHAnsi" w:cstheme="majorHAnsi"/>
            <w:sz w:val="16"/>
            <w:szCs w:val="16"/>
          </w:rPr>
          <w:t>https://wiki.egi.eu/wiki/Main_Page</w:t>
        </w:r>
      </w:hyperlink>
    </w:p>
  </w:footnote>
  <w:footnote w:id="17">
    <w:p w14:paraId="369C2D97" w14:textId="77777777" w:rsidR="006260D4" w:rsidRDefault="006260D4">
      <w:pPr>
        <w:pStyle w:val="FootnoteText"/>
      </w:pPr>
      <w:r>
        <w:rPr>
          <w:rStyle w:val="FootnoteReference"/>
        </w:rPr>
        <w:footnoteRef/>
      </w:r>
      <w:r>
        <w:t xml:space="preserve"> </w:t>
      </w:r>
      <w:r w:rsidRPr="00F503E5">
        <w:t>https://wiki.egi.eu/wiki/Virtual_Team_Projects</w:t>
      </w:r>
    </w:p>
  </w:footnote>
  <w:footnote w:id="18">
    <w:p w14:paraId="615047EF" w14:textId="1DDC3C40" w:rsidR="006260D4" w:rsidRPr="00AF3B4E" w:rsidRDefault="006260D4">
      <w:pPr>
        <w:pStyle w:val="FootnoteText"/>
      </w:pPr>
      <w:r>
        <w:rPr>
          <w:rStyle w:val="FootnoteReference"/>
        </w:rPr>
        <w:footnoteRef/>
      </w:r>
      <w:r>
        <w:t xml:space="preserve"> </w:t>
      </w:r>
      <w:hyperlink r:id="rId16" w:history="1">
        <w:r w:rsidRPr="00305605">
          <w:rPr>
            <w:rStyle w:val="Hyperlink"/>
          </w:rPr>
          <w:t>http://go.egi.eu/strategy</w:t>
        </w:r>
      </w:hyperlink>
    </w:p>
  </w:footnote>
  <w:footnote w:id="19">
    <w:p w14:paraId="033B5FF9" w14:textId="7FB4CD20" w:rsidR="006260D4" w:rsidRPr="00F37255" w:rsidRDefault="006260D4">
      <w:pPr>
        <w:pStyle w:val="FootnoteText"/>
      </w:pPr>
      <w:r>
        <w:rPr>
          <w:rStyle w:val="FootnoteReference"/>
        </w:rPr>
        <w:footnoteRef/>
      </w:r>
      <w:r>
        <w:t xml:space="preserve"> </w:t>
      </w:r>
      <w:hyperlink r:id="rId17" w:history="1">
        <w:r w:rsidRPr="00305605">
          <w:rPr>
            <w:rStyle w:val="Hyperlink"/>
          </w:rPr>
          <w:t>https://documents.egi.eu/document/1757</w:t>
        </w:r>
      </w:hyperlink>
    </w:p>
  </w:footnote>
  <w:footnote w:id="20">
    <w:p w14:paraId="0C2815D9" w14:textId="76F6CC0B" w:rsidR="006260D4" w:rsidRPr="00086FC2" w:rsidRDefault="006260D4">
      <w:pPr>
        <w:pStyle w:val="FootnoteText"/>
      </w:pPr>
      <w:r>
        <w:rPr>
          <w:rStyle w:val="FootnoteReference"/>
        </w:rPr>
        <w:footnoteRef/>
      </w:r>
      <w:r>
        <w:t xml:space="preserve"> </w:t>
      </w:r>
      <w:hyperlink r:id="rId18" w:history="1">
        <w:r w:rsidRPr="00305605">
          <w:rPr>
            <w:rStyle w:val="Hyperlink"/>
          </w:rPr>
          <w:t>http://ec.europa.eu/dgs/connect/en/content/einfrastructures-computational-infrastructure</w:t>
        </w:r>
      </w:hyperlink>
    </w:p>
  </w:footnote>
  <w:footnote w:id="21">
    <w:p w14:paraId="565CAA52" w14:textId="245C4464" w:rsidR="006260D4" w:rsidRPr="003F2118" w:rsidRDefault="006260D4">
      <w:pPr>
        <w:pStyle w:val="FootnoteText"/>
      </w:pPr>
      <w:r>
        <w:rPr>
          <w:rStyle w:val="FootnoteReference"/>
        </w:rPr>
        <w:footnoteRef/>
      </w:r>
      <w:r>
        <w:t xml:space="preserve"> </w:t>
      </w:r>
      <w:hyperlink r:id="rId19" w:history="1">
        <w:r w:rsidRPr="00305605">
          <w:rPr>
            <w:rStyle w:val="Hyperlink"/>
          </w:rPr>
          <w:t>https://e-grant.egi.eu/</w:t>
        </w:r>
      </w:hyperlink>
    </w:p>
  </w:footnote>
  <w:footnote w:id="22">
    <w:p w14:paraId="0CBB7EEB" w14:textId="77777777" w:rsidR="00A87289" w:rsidRPr="001A68AE" w:rsidRDefault="00A87289" w:rsidP="00A87289">
      <w:pPr>
        <w:pStyle w:val="FootnoteText"/>
        <w:rPr>
          <w:lang w:val="en-US"/>
        </w:rPr>
      </w:pPr>
      <w:r>
        <w:rPr>
          <w:rStyle w:val="FootnoteReference"/>
        </w:rPr>
        <w:footnoteRef/>
      </w:r>
      <w:r>
        <w:t xml:space="preserve"> </w:t>
      </w:r>
      <w:proofErr w:type="gramStart"/>
      <w:r>
        <w:rPr>
          <w:lang w:val="en-US"/>
        </w:rPr>
        <w:t>The 15</w:t>
      </w:r>
      <w:r w:rsidRPr="001A68AE">
        <w:rPr>
          <w:vertAlign w:val="superscript"/>
          <w:lang w:val="en-US"/>
        </w:rPr>
        <w:t>th</w:t>
      </w:r>
      <w:r>
        <w:rPr>
          <w:lang w:val="en-US"/>
        </w:rPr>
        <w:t xml:space="preserve"> project quarter of EGI-</w:t>
      </w:r>
      <w:proofErr w:type="spellStart"/>
      <w:r>
        <w:rPr>
          <w:lang w:val="en-US"/>
        </w:rPr>
        <w:t>InSPIRE</w:t>
      </w:r>
      <w:proofErr w:type="spellEnd"/>
      <w:r>
        <w:rPr>
          <w:lang w:val="en-US"/>
        </w:rPr>
        <w:t xml:space="preserve"> run between 1</w:t>
      </w:r>
      <w:r w:rsidRPr="001A68AE">
        <w:rPr>
          <w:vertAlign w:val="superscript"/>
          <w:lang w:val="en-US"/>
        </w:rPr>
        <w:t>st</w:t>
      </w:r>
      <w:r>
        <w:rPr>
          <w:lang w:val="en-US"/>
        </w:rPr>
        <w:t xml:space="preserve"> of February – 30</w:t>
      </w:r>
      <w:r w:rsidRPr="001A68AE">
        <w:rPr>
          <w:vertAlign w:val="superscript"/>
          <w:lang w:val="en-US"/>
        </w:rPr>
        <w:t>th</w:t>
      </w:r>
      <w:r>
        <w:rPr>
          <w:lang w:val="en-US"/>
        </w:rPr>
        <w:t xml:space="preserve"> of April 2014.</w:t>
      </w:r>
      <w:proofErr w:type="gramEnd"/>
    </w:p>
  </w:footnote>
  <w:footnote w:id="23">
    <w:p w14:paraId="1000A3AA" w14:textId="77777777" w:rsidR="00A87289" w:rsidRPr="00E47199" w:rsidRDefault="00A87289" w:rsidP="00A87289">
      <w:pPr>
        <w:pStyle w:val="FootnoteText"/>
        <w:rPr>
          <w:lang w:val="it-IT"/>
        </w:rPr>
      </w:pPr>
    </w:p>
  </w:footnote>
  <w:footnote w:id="24">
    <w:p w14:paraId="35B29463" w14:textId="77777777" w:rsidR="006260D4" w:rsidRPr="00B94317" w:rsidRDefault="006260D4" w:rsidP="00086FC2">
      <w:pPr>
        <w:pStyle w:val="FootnoteText"/>
        <w:jc w:val="left"/>
      </w:pPr>
      <w:r>
        <w:rPr>
          <w:rStyle w:val="FootnoteReference"/>
        </w:rPr>
        <w:footnoteRef/>
      </w:r>
      <w:r>
        <w:t xml:space="preserve"> </w:t>
      </w:r>
      <w:hyperlink r:id="rId20" w:history="1">
        <w:r w:rsidRPr="00305605">
          <w:rPr>
            <w:rStyle w:val="Hyperlink"/>
          </w:rPr>
          <w:t>http://www.egi.eu/community/collaborations/LSGC.html</w:t>
        </w:r>
      </w:hyperlink>
    </w:p>
  </w:footnote>
  <w:footnote w:id="25">
    <w:p w14:paraId="5EECF2AE" w14:textId="41A83854" w:rsidR="006260D4" w:rsidRPr="009711C1" w:rsidRDefault="006260D4">
      <w:pPr>
        <w:pStyle w:val="FootnoteText"/>
      </w:pPr>
      <w:r>
        <w:rPr>
          <w:rStyle w:val="FootnoteReference"/>
        </w:rPr>
        <w:footnoteRef/>
      </w:r>
      <w:r>
        <w:t xml:space="preserve"> </w:t>
      </w:r>
      <w:r w:rsidRPr="009711C1">
        <w:t xml:space="preserve">D1.11 Annual Report on Quality Status </w:t>
      </w:r>
      <w:r>
        <w:t>(</w:t>
      </w:r>
      <w:hyperlink r:id="rId21" w:history="1">
        <w:r w:rsidRPr="00305605">
          <w:rPr>
            <w:rStyle w:val="Hyperlink"/>
          </w:rPr>
          <w:t>https://documents.egi.eu/document/1587</w:t>
        </w:r>
      </w:hyperlink>
      <w:r>
        <w:t>)</w:t>
      </w:r>
    </w:p>
  </w:footnote>
  <w:footnote w:id="26">
    <w:p w14:paraId="71DAB6BB" w14:textId="308131D1" w:rsidR="006260D4" w:rsidRPr="00E96B64" w:rsidRDefault="006260D4" w:rsidP="00B43F22">
      <w:pPr>
        <w:pStyle w:val="FootnoteText"/>
      </w:pPr>
      <w:r>
        <w:rPr>
          <w:rStyle w:val="FootnoteReference"/>
        </w:rPr>
        <w:footnoteRef/>
      </w:r>
      <w:r>
        <w:t xml:space="preserve">The Public Sector Strategy Map: Addressing both strategy and service delivery models </w:t>
      </w:r>
      <w:r w:rsidRPr="00E96B64">
        <w:t>http://www.excitant.co.uk/wp-content/uploads/2012/07/Excitant_WP_Public_Sector_Balanced_Scorecard.pdf</w:t>
      </w:r>
    </w:p>
  </w:footnote>
  <w:footnote w:id="27">
    <w:p w14:paraId="58EE939C" w14:textId="77777777" w:rsidR="006260D4" w:rsidRDefault="006260D4" w:rsidP="002E751B">
      <w:pPr>
        <w:pStyle w:val="FootnoteText"/>
      </w:pPr>
      <w:r>
        <w:rPr>
          <w:rStyle w:val="FootnoteReference"/>
        </w:rPr>
        <w:footnoteRef/>
      </w:r>
      <w:r>
        <w:t xml:space="preserve"> </w:t>
      </w:r>
      <w:hyperlink r:id="rId22" w:history="1">
        <w:r>
          <w:rPr>
            <w:rStyle w:val="Hyperlink"/>
          </w:rPr>
          <w:t>http://ec.europa.eu/europe2020/index_en.htm</w:t>
        </w:r>
      </w:hyperlink>
    </w:p>
  </w:footnote>
  <w:footnote w:id="28">
    <w:p w14:paraId="0748CC31" w14:textId="77777777" w:rsidR="006260D4" w:rsidRPr="00AB2A71" w:rsidRDefault="006260D4">
      <w:pPr>
        <w:pStyle w:val="FootnoteText"/>
        <w:rPr>
          <w:lang w:val="en-US"/>
        </w:rPr>
      </w:pPr>
      <w:r>
        <w:rPr>
          <w:rStyle w:val="FootnoteReference"/>
        </w:rPr>
        <w:footnoteRef/>
      </w:r>
      <w:r>
        <w:t xml:space="preserve"> </w:t>
      </w:r>
      <w:r w:rsidRPr="00BE110D">
        <w:t>http://www.amazon.com/Balanced-Scorecard-Step-Step-Government/dp/0470180021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6260D4" w14:paraId="3ADE10E3" w14:textId="77777777">
      <w:trPr>
        <w:trHeight w:val="1131"/>
      </w:trPr>
      <w:tc>
        <w:tcPr>
          <w:tcW w:w="2559" w:type="dxa"/>
        </w:tcPr>
        <w:p w14:paraId="09E1AA7A" w14:textId="77777777" w:rsidR="006260D4" w:rsidRDefault="006260D4" w:rsidP="00207D16">
          <w:pPr>
            <w:pStyle w:val="Header"/>
            <w:tabs>
              <w:tab w:val="right" w:pos="9072"/>
            </w:tabs>
            <w:jc w:val="left"/>
          </w:pPr>
          <w:r>
            <w:rPr>
              <w:noProof/>
              <w:lang w:val="en-US" w:eastAsia="en-US"/>
            </w:rPr>
            <w:drawing>
              <wp:inline distT="0" distB="0" distL="0" distR="0" wp14:anchorId="41B3F8DD" wp14:editId="305EFD65">
                <wp:extent cx="1043940" cy="784860"/>
                <wp:effectExtent l="0" t="0" r="381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155D327" w14:textId="77777777" w:rsidR="006260D4" w:rsidRDefault="006260D4" w:rsidP="00207D16">
          <w:pPr>
            <w:pStyle w:val="Header"/>
            <w:tabs>
              <w:tab w:val="right" w:pos="9072"/>
            </w:tabs>
            <w:jc w:val="center"/>
          </w:pPr>
          <w:r>
            <w:rPr>
              <w:noProof/>
              <w:lang w:val="en-US" w:eastAsia="en-US"/>
            </w:rPr>
            <w:drawing>
              <wp:inline distT="0" distB="0" distL="0" distR="0" wp14:anchorId="472BCDA1" wp14:editId="767C6D54">
                <wp:extent cx="1104265" cy="802005"/>
                <wp:effectExtent l="0" t="0" r="635" b="0"/>
                <wp:docPr id="6" name="Picture 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14:paraId="449247EC" w14:textId="77777777" w:rsidR="006260D4" w:rsidRDefault="006260D4" w:rsidP="00207D16">
          <w:pPr>
            <w:pStyle w:val="Header"/>
            <w:tabs>
              <w:tab w:val="right" w:pos="9072"/>
            </w:tabs>
            <w:jc w:val="right"/>
          </w:pPr>
          <w:r>
            <w:rPr>
              <w:noProof/>
              <w:lang w:val="en-US" w:eastAsia="en-US"/>
            </w:rPr>
            <w:drawing>
              <wp:inline distT="0" distB="0" distL="0" distR="0" wp14:anchorId="1E7B3989" wp14:editId="785B06B8">
                <wp:extent cx="1975485" cy="802005"/>
                <wp:effectExtent l="0" t="0" r="571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14:paraId="743A9A5F" w14:textId="77777777" w:rsidR="006260D4" w:rsidRDefault="006260D4" w:rsidP="004B06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768"/>
    <w:multiLevelType w:val="hybridMultilevel"/>
    <w:tmpl w:val="322AF0DC"/>
    <w:lvl w:ilvl="0" w:tplc="04090001">
      <w:start w:val="1"/>
      <w:numFmt w:val="bullet"/>
      <w:lvlText w:val=""/>
      <w:lvlJc w:val="left"/>
      <w:pPr>
        <w:tabs>
          <w:tab w:val="num" w:pos="720"/>
        </w:tabs>
        <w:ind w:left="720" w:hanging="360"/>
      </w:pPr>
      <w:rPr>
        <w:rFonts w:ascii="Symbol" w:hAnsi="Symbol" w:hint="default"/>
      </w:rPr>
    </w:lvl>
    <w:lvl w:ilvl="1" w:tplc="E26E323A">
      <w:start w:val="1"/>
      <w:numFmt w:val="bullet"/>
      <w:lvlText w:val="o"/>
      <w:lvlJc w:val="left"/>
      <w:pPr>
        <w:tabs>
          <w:tab w:val="num" w:pos="1440"/>
        </w:tabs>
        <w:ind w:left="1440" w:hanging="360"/>
      </w:pPr>
      <w:rPr>
        <w:rFonts w:ascii="Courier New" w:hAnsi="Courier New" w:hint="default"/>
      </w:rPr>
    </w:lvl>
    <w:lvl w:ilvl="2" w:tplc="673E2228" w:tentative="1">
      <w:start w:val="1"/>
      <w:numFmt w:val="bullet"/>
      <w:lvlText w:val=""/>
      <w:lvlJc w:val="left"/>
      <w:pPr>
        <w:tabs>
          <w:tab w:val="num" w:pos="2160"/>
        </w:tabs>
        <w:ind w:left="2160" w:hanging="360"/>
      </w:pPr>
      <w:rPr>
        <w:rFonts w:ascii="Wingdings" w:hAnsi="Wingdings" w:hint="default"/>
      </w:rPr>
    </w:lvl>
    <w:lvl w:ilvl="3" w:tplc="E2B0F50C" w:tentative="1">
      <w:start w:val="1"/>
      <w:numFmt w:val="bullet"/>
      <w:lvlText w:val=""/>
      <w:lvlJc w:val="left"/>
      <w:pPr>
        <w:tabs>
          <w:tab w:val="num" w:pos="2880"/>
        </w:tabs>
        <w:ind w:left="2880" w:hanging="360"/>
      </w:pPr>
      <w:rPr>
        <w:rFonts w:ascii="Symbol" w:hAnsi="Symbol" w:hint="default"/>
      </w:rPr>
    </w:lvl>
    <w:lvl w:ilvl="4" w:tplc="8F9A92DC" w:tentative="1">
      <w:start w:val="1"/>
      <w:numFmt w:val="bullet"/>
      <w:lvlText w:val="o"/>
      <w:lvlJc w:val="left"/>
      <w:pPr>
        <w:tabs>
          <w:tab w:val="num" w:pos="3600"/>
        </w:tabs>
        <w:ind w:left="3600" w:hanging="360"/>
      </w:pPr>
      <w:rPr>
        <w:rFonts w:ascii="Courier New" w:hAnsi="Courier New" w:hint="default"/>
      </w:rPr>
    </w:lvl>
    <w:lvl w:ilvl="5" w:tplc="9A1EF95A" w:tentative="1">
      <w:start w:val="1"/>
      <w:numFmt w:val="bullet"/>
      <w:lvlText w:val=""/>
      <w:lvlJc w:val="left"/>
      <w:pPr>
        <w:tabs>
          <w:tab w:val="num" w:pos="4320"/>
        </w:tabs>
        <w:ind w:left="4320" w:hanging="360"/>
      </w:pPr>
      <w:rPr>
        <w:rFonts w:ascii="Wingdings" w:hAnsi="Wingdings" w:hint="default"/>
      </w:rPr>
    </w:lvl>
    <w:lvl w:ilvl="6" w:tplc="B0F67B30" w:tentative="1">
      <w:start w:val="1"/>
      <w:numFmt w:val="bullet"/>
      <w:lvlText w:val=""/>
      <w:lvlJc w:val="left"/>
      <w:pPr>
        <w:tabs>
          <w:tab w:val="num" w:pos="5040"/>
        </w:tabs>
        <w:ind w:left="5040" w:hanging="360"/>
      </w:pPr>
      <w:rPr>
        <w:rFonts w:ascii="Symbol" w:hAnsi="Symbol" w:hint="default"/>
      </w:rPr>
    </w:lvl>
    <w:lvl w:ilvl="7" w:tplc="62DC2770" w:tentative="1">
      <w:start w:val="1"/>
      <w:numFmt w:val="bullet"/>
      <w:lvlText w:val="o"/>
      <w:lvlJc w:val="left"/>
      <w:pPr>
        <w:tabs>
          <w:tab w:val="num" w:pos="5760"/>
        </w:tabs>
        <w:ind w:left="5760" w:hanging="360"/>
      </w:pPr>
      <w:rPr>
        <w:rFonts w:ascii="Courier New" w:hAnsi="Courier New" w:hint="default"/>
      </w:rPr>
    </w:lvl>
    <w:lvl w:ilvl="8" w:tplc="441E9DEA" w:tentative="1">
      <w:start w:val="1"/>
      <w:numFmt w:val="bullet"/>
      <w:lvlText w:val=""/>
      <w:lvlJc w:val="left"/>
      <w:pPr>
        <w:tabs>
          <w:tab w:val="num" w:pos="6480"/>
        </w:tabs>
        <w:ind w:left="6480" w:hanging="360"/>
      </w:pPr>
      <w:rPr>
        <w:rFonts w:ascii="Wingdings" w:hAnsi="Wingdings" w:hint="default"/>
      </w:rPr>
    </w:lvl>
  </w:abstractNum>
  <w:abstractNum w:abstractNumId="1">
    <w:nsid w:val="057919FC"/>
    <w:multiLevelType w:val="hybridMultilevel"/>
    <w:tmpl w:val="425E6C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8986CFE"/>
    <w:multiLevelType w:val="multilevel"/>
    <w:tmpl w:val="39A83B4A"/>
    <w:lvl w:ilvl="0">
      <w:start w:val="1"/>
      <w:numFmt w:val="decimal"/>
      <w:lvlText w:val="VT %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F205E"/>
    <w:multiLevelType w:val="hybridMultilevel"/>
    <w:tmpl w:val="BB24CEAC"/>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E0D450F"/>
    <w:multiLevelType w:val="multilevel"/>
    <w:tmpl w:val="338ABDB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F852159"/>
    <w:multiLevelType w:val="hybridMultilevel"/>
    <w:tmpl w:val="252457E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4565010"/>
    <w:multiLevelType w:val="hybridMultilevel"/>
    <w:tmpl w:val="6B46EE92"/>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7">
    <w:nsid w:val="1B37472F"/>
    <w:multiLevelType w:val="hybridMultilevel"/>
    <w:tmpl w:val="0D561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B7121C"/>
    <w:multiLevelType w:val="multilevel"/>
    <w:tmpl w:val="7896A4B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F232D27"/>
    <w:multiLevelType w:val="hybridMultilevel"/>
    <w:tmpl w:val="C6E6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4F6221"/>
    <w:multiLevelType w:val="hybridMultilevel"/>
    <w:tmpl w:val="BF3E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7F76E2"/>
    <w:multiLevelType w:val="multilevel"/>
    <w:tmpl w:val="522A75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433"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299B5CBA"/>
    <w:multiLevelType w:val="hybridMultilevel"/>
    <w:tmpl w:val="377872DA"/>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D5B2F9F"/>
    <w:multiLevelType w:val="hybridMultilevel"/>
    <w:tmpl w:val="4D00494E"/>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8A4BF3"/>
    <w:multiLevelType w:val="hybridMultilevel"/>
    <w:tmpl w:val="302A4A4C"/>
    <w:lvl w:ilvl="0" w:tplc="D68404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DEF2F4A"/>
    <w:multiLevelType w:val="hybridMultilevel"/>
    <w:tmpl w:val="5BA07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E6F33"/>
    <w:multiLevelType w:val="hybridMultilevel"/>
    <w:tmpl w:val="6C78B99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79D1CB7"/>
    <w:multiLevelType w:val="hybridMultilevel"/>
    <w:tmpl w:val="8020E0B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1381628"/>
    <w:multiLevelType w:val="hybridMultilevel"/>
    <w:tmpl w:val="E822F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6D6899"/>
    <w:multiLevelType w:val="hybridMultilevel"/>
    <w:tmpl w:val="1C56624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1">
    <w:nsid w:val="7CCC0335"/>
    <w:multiLevelType w:val="hybridMultilevel"/>
    <w:tmpl w:val="060E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1"/>
  </w:num>
  <w:num w:numId="4">
    <w:abstractNumId w:val="0"/>
  </w:num>
  <w:num w:numId="5">
    <w:abstractNumId w:val="19"/>
  </w:num>
  <w:num w:numId="6">
    <w:abstractNumId w:val="12"/>
  </w:num>
  <w:num w:numId="7">
    <w:abstractNumId w:val="3"/>
  </w:num>
  <w:num w:numId="8">
    <w:abstractNumId w:val="13"/>
  </w:num>
  <w:num w:numId="9">
    <w:abstractNumId w:val="5"/>
  </w:num>
  <w:num w:numId="10">
    <w:abstractNumId w:val="10"/>
  </w:num>
  <w:num w:numId="11">
    <w:abstractNumId w:val="9"/>
  </w:num>
  <w:num w:numId="12">
    <w:abstractNumId w:val="15"/>
  </w:num>
  <w:num w:numId="13">
    <w:abstractNumId w:val="21"/>
  </w:num>
  <w:num w:numId="14">
    <w:abstractNumId w:val="6"/>
  </w:num>
  <w:num w:numId="15">
    <w:abstractNumId w:val="7"/>
  </w:num>
  <w:num w:numId="16">
    <w:abstractNumId w:val="1"/>
  </w:num>
  <w:num w:numId="17">
    <w:abstractNumId w:val="4"/>
  </w:num>
  <w:num w:numId="18">
    <w:abstractNumId w:val="18"/>
  </w:num>
  <w:num w:numId="19">
    <w:abstractNumId w:val="14"/>
  </w:num>
  <w:num w:numId="20">
    <w:abstractNumId w:val="16"/>
  </w:num>
  <w:num w:numId="21">
    <w:abstractNumId w:val="17"/>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03D"/>
    <w:rsid w:val="00001B40"/>
    <w:rsid w:val="00003EE2"/>
    <w:rsid w:val="00006CBF"/>
    <w:rsid w:val="000116EF"/>
    <w:rsid w:val="0001250F"/>
    <w:rsid w:val="000149D5"/>
    <w:rsid w:val="00015FE8"/>
    <w:rsid w:val="000171FB"/>
    <w:rsid w:val="00020CF5"/>
    <w:rsid w:val="0002578D"/>
    <w:rsid w:val="0002759B"/>
    <w:rsid w:val="00030BC8"/>
    <w:rsid w:val="0003369F"/>
    <w:rsid w:val="00037573"/>
    <w:rsid w:val="000441C8"/>
    <w:rsid w:val="00044BB2"/>
    <w:rsid w:val="0004605C"/>
    <w:rsid w:val="000462A6"/>
    <w:rsid w:val="000465CA"/>
    <w:rsid w:val="00046FB0"/>
    <w:rsid w:val="0005146B"/>
    <w:rsid w:val="00053C20"/>
    <w:rsid w:val="000546ED"/>
    <w:rsid w:val="0005793B"/>
    <w:rsid w:val="00057E3E"/>
    <w:rsid w:val="00061598"/>
    <w:rsid w:val="00063A1F"/>
    <w:rsid w:val="00063B41"/>
    <w:rsid w:val="00064C50"/>
    <w:rsid w:val="00065150"/>
    <w:rsid w:val="0007551C"/>
    <w:rsid w:val="0008428E"/>
    <w:rsid w:val="000858A8"/>
    <w:rsid w:val="000858E1"/>
    <w:rsid w:val="00085C38"/>
    <w:rsid w:val="00086FC2"/>
    <w:rsid w:val="00087B3E"/>
    <w:rsid w:val="00097946"/>
    <w:rsid w:val="000A0582"/>
    <w:rsid w:val="000A32EF"/>
    <w:rsid w:val="000A7810"/>
    <w:rsid w:val="000B1FDD"/>
    <w:rsid w:val="000B29C8"/>
    <w:rsid w:val="000B6023"/>
    <w:rsid w:val="000C38C5"/>
    <w:rsid w:val="000C689D"/>
    <w:rsid w:val="000C7C30"/>
    <w:rsid w:val="000D044D"/>
    <w:rsid w:val="000E2CBE"/>
    <w:rsid w:val="000E4396"/>
    <w:rsid w:val="000E4605"/>
    <w:rsid w:val="000F06E2"/>
    <w:rsid w:val="000F3CA2"/>
    <w:rsid w:val="000F6145"/>
    <w:rsid w:val="00100911"/>
    <w:rsid w:val="0010679E"/>
    <w:rsid w:val="001071AE"/>
    <w:rsid w:val="0010761F"/>
    <w:rsid w:val="00111042"/>
    <w:rsid w:val="001127EE"/>
    <w:rsid w:val="00113247"/>
    <w:rsid w:val="00114E97"/>
    <w:rsid w:val="00114F6A"/>
    <w:rsid w:val="00115EA3"/>
    <w:rsid w:val="00123ACC"/>
    <w:rsid w:val="001276A8"/>
    <w:rsid w:val="001402D4"/>
    <w:rsid w:val="00141B22"/>
    <w:rsid w:val="00147001"/>
    <w:rsid w:val="00150E42"/>
    <w:rsid w:val="0015701B"/>
    <w:rsid w:val="00160FDB"/>
    <w:rsid w:val="001624D9"/>
    <w:rsid w:val="00162D7B"/>
    <w:rsid w:val="0016437F"/>
    <w:rsid w:val="00172A8D"/>
    <w:rsid w:val="00176AB5"/>
    <w:rsid w:val="0018318D"/>
    <w:rsid w:val="00185F65"/>
    <w:rsid w:val="001909D4"/>
    <w:rsid w:val="001910F9"/>
    <w:rsid w:val="00194F25"/>
    <w:rsid w:val="00194F41"/>
    <w:rsid w:val="00195308"/>
    <w:rsid w:val="001A5856"/>
    <w:rsid w:val="001B0AB4"/>
    <w:rsid w:val="001B3054"/>
    <w:rsid w:val="001B3563"/>
    <w:rsid w:val="001C579F"/>
    <w:rsid w:val="001D2AA2"/>
    <w:rsid w:val="001D5B12"/>
    <w:rsid w:val="001D6136"/>
    <w:rsid w:val="001E3145"/>
    <w:rsid w:val="001E4F0F"/>
    <w:rsid w:val="001E5BE7"/>
    <w:rsid w:val="001E683E"/>
    <w:rsid w:val="001F038E"/>
    <w:rsid w:val="001F0592"/>
    <w:rsid w:val="001F3579"/>
    <w:rsid w:val="001F3600"/>
    <w:rsid w:val="001F431B"/>
    <w:rsid w:val="001F513D"/>
    <w:rsid w:val="001F7899"/>
    <w:rsid w:val="00200A64"/>
    <w:rsid w:val="00201570"/>
    <w:rsid w:val="00207D16"/>
    <w:rsid w:val="00210E61"/>
    <w:rsid w:val="00215FB5"/>
    <w:rsid w:val="00221512"/>
    <w:rsid w:val="00223217"/>
    <w:rsid w:val="00223DBC"/>
    <w:rsid w:val="00232D69"/>
    <w:rsid w:val="0023323A"/>
    <w:rsid w:val="002345E8"/>
    <w:rsid w:val="002346D5"/>
    <w:rsid w:val="00234CAB"/>
    <w:rsid w:val="002416DC"/>
    <w:rsid w:val="002428FB"/>
    <w:rsid w:val="00242E53"/>
    <w:rsid w:val="00243267"/>
    <w:rsid w:val="00244C8A"/>
    <w:rsid w:val="002450B8"/>
    <w:rsid w:val="0024530A"/>
    <w:rsid w:val="0024604D"/>
    <w:rsid w:val="002469C3"/>
    <w:rsid w:val="0025646F"/>
    <w:rsid w:val="00256D01"/>
    <w:rsid w:val="00264C4B"/>
    <w:rsid w:val="00275577"/>
    <w:rsid w:val="00296555"/>
    <w:rsid w:val="00296D2B"/>
    <w:rsid w:val="0029762C"/>
    <w:rsid w:val="002A0CCB"/>
    <w:rsid w:val="002A1591"/>
    <w:rsid w:val="002A1EB7"/>
    <w:rsid w:val="002A3301"/>
    <w:rsid w:val="002A45E2"/>
    <w:rsid w:val="002A5726"/>
    <w:rsid w:val="002A6AB9"/>
    <w:rsid w:val="002B1814"/>
    <w:rsid w:val="002B3CCC"/>
    <w:rsid w:val="002B5330"/>
    <w:rsid w:val="002B7773"/>
    <w:rsid w:val="002C0654"/>
    <w:rsid w:val="002C08DB"/>
    <w:rsid w:val="002C52C1"/>
    <w:rsid w:val="002C5AE7"/>
    <w:rsid w:val="002D1B0B"/>
    <w:rsid w:val="002D5F74"/>
    <w:rsid w:val="002E042A"/>
    <w:rsid w:val="002E09EB"/>
    <w:rsid w:val="002E10E3"/>
    <w:rsid w:val="002E620C"/>
    <w:rsid w:val="002E751B"/>
    <w:rsid w:val="002E7CC5"/>
    <w:rsid w:val="002F1602"/>
    <w:rsid w:val="002F1FFF"/>
    <w:rsid w:val="002F28B6"/>
    <w:rsid w:val="002F49A8"/>
    <w:rsid w:val="002F718B"/>
    <w:rsid w:val="00300127"/>
    <w:rsid w:val="0030045B"/>
    <w:rsid w:val="00304732"/>
    <w:rsid w:val="003070F6"/>
    <w:rsid w:val="003074FE"/>
    <w:rsid w:val="0031108F"/>
    <w:rsid w:val="00311E51"/>
    <w:rsid w:val="003127E1"/>
    <w:rsid w:val="0031395B"/>
    <w:rsid w:val="003162DE"/>
    <w:rsid w:val="003225AE"/>
    <w:rsid w:val="00323CF4"/>
    <w:rsid w:val="00336B6D"/>
    <w:rsid w:val="00344913"/>
    <w:rsid w:val="003475FE"/>
    <w:rsid w:val="003479E5"/>
    <w:rsid w:val="00347D04"/>
    <w:rsid w:val="00351834"/>
    <w:rsid w:val="0035313F"/>
    <w:rsid w:val="0035344D"/>
    <w:rsid w:val="00355473"/>
    <w:rsid w:val="003615BE"/>
    <w:rsid w:val="0036194B"/>
    <w:rsid w:val="00362D70"/>
    <w:rsid w:val="00363975"/>
    <w:rsid w:val="003639ED"/>
    <w:rsid w:val="00363CA3"/>
    <w:rsid w:val="0036598F"/>
    <w:rsid w:val="003671EB"/>
    <w:rsid w:val="0037469F"/>
    <w:rsid w:val="00375FE6"/>
    <w:rsid w:val="00380F62"/>
    <w:rsid w:val="0038201C"/>
    <w:rsid w:val="00386056"/>
    <w:rsid w:val="003A0A80"/>
    <w:rsid w:val="003A2088"/>
    <w:rsid w:val="003A7BA9"/>
    <w:rsid w:val="003B2DB5"/>
    <w:rsid w:val="003B4F22"/>
    <w:rsid w:val="003C0054"/>
    <w:rsid w:val="003C0583"/>
    <w:rsid w:val="003C1F86"/>
    <w:rsid w:val="003C2D7A"/>
    <w:rsid w:val="003C3480"/>
    <w:rsid w:val="003C6407"/>
    <w:rsid w:val="003C7477"/>
    <w:rsid w:val="003D6EB4"/>
    <w:rsid w:val="003D7B30"/>
    <w:rsid w:val="003F0014"/>
    <w:rsid w:val="003F1E19"/>
    <w:rsid w:val="003F2118"/>
    <w:rsid w:val="003F4C29"/>
    <w:rsid w:val="004004E9"/>
    <w:rsid w:val="004015C5"/>
    <w:rsid w:val="00401823"/>
    <w:rsid w:val="00401F2B"/>
    <w:rsid w:val="00405BB4"/>
    <w:rsid w:val="00405F1A"/>
    <w:rsid w:val="0041176E"/>
    <w:rsid w:val="004144B8"/>
    <w:rsid w:val="004208CA"/>
    <w:rsid w:val="004217F0"/>
    <w:rsid w:val="004238B9"/>
    <w:rsid w:val="004239D8"/>
    <w:rsid w:val="00435A87"/>
    <w:rsid w:val="0043663C"/>
    <w:rsid w:val="00441F7E"/>
    <w:rsid w:val="00443553"/>
    <w:rsid w:val="00444DAD"/>
    <w:rsid w:val="00447477"/>
    <w:rsid w:val="004511AC"/>
    <w:rsid w:val="00454A59"/>
    <w:rsid w:val="00456D75"/>
    <w:rsid w:val="00460027"/>
    <w:rsid w:val="004633BE"/>
    <w:rsid w:val="00463ADC"/>
    <w:rsid w:val="004655B9"/>
    <w:rsid w:val="004678A5"/>
    <w:rsid w:val="0047155F"/>
    <w:rsid w:val="0047262E"/>
    <w:rsid w:val="00476FAE"/>
    <w:rsid w:val="00481261"/>
    <w:rsid w:val="0048268D"/>
    <w:rsid w:val="00483FFF"/>
    <w:rsid w:val="00492CD1"/>
    <w:rsid w:val="0049689C"/>
    <w:rsid w:val="004A1DAE"/>
    <w:rsid w:val="004A4D82"/>
    <w:rsid w:val="004A7378"/>
    <w:rsid w:val="004A788F"/>
    <w:rsid w:val="004B06C0"/>
    <w:rsid w:val="004C2606"/>
    <w:rsid w:val="004D366A"/>
    <w:rsid w:val="004D3C3F"/>
    <w:rsid w:val="004D4051"/>
    <w:rsid w:val="004D5067"/>
    <w:rsid w:val="004D7296"/>
    <w:rsid w:val="004D773D"/>
    <w:rsid w:val="004D7D0D"/>
    <w:rsid w:val="004E074F"/>
    <w:rsid w:val="004E2F7E"/>
    <w:rsid w:val="004E379E"/>
    <w:rsid w:val="004F4C44"/>
    <w:rsid w:val="004F6C59"/>
    <w:rsid w:val="0051005A"/>
    <w:rsid w:val="00510569"/>
    <w:rsid w:val="00511432"/>
    <w:rsid w:val="00521C2A"/>
    <w:rsid w:val="00525804"/>
    <w:rsid w:val="005343D0"/>
    <w:rsid w:val="00534989"/>
    <w:rsid w:val="00543A71"/>
    <w:rsid w:val="00546086"/>
    <w:rsid w:val="00546EDC"/>
    <w:rsid w:val="00553FB0"/>
    <w:rsid w:val="00554BC6"/>
    <w:rsid w:val="00555A0C"/>
    <w:rsid w:val="00555A89"/>
    <w:rsid w:val="005563DC"/>
    <w:rsid w:val="00557E49"/>
    <w:rsid w:val="0056709E"/>
    <w:rsid w:val="00580D1A"/>
    <w:rsid w:val="0058146B"/>
    <w:rsid w:val="00582AC8"/>
    <w:rsid w:val="00585B83"/>
    <w:rsid w:val="00586A49"/>
    <w:rsid w:val="005877DC"/>
    <w:rsid w:val="00591735"/>
    <w:rsid w:val="00593A8D"/>
    <w:rsid w:val="005947DC"/>
    <w:rsid w:val="00594CF7"/>
    <w:rsid w:val="005A63AD"/>
    <w:rsid w:val="005A7095"/>
    <w:rsid w:val="005A78C2"/>
    <w:rsid w:val="005B1F66"/>
    <w:rsid w:val="005B249D"/>
    <w:rsid w:val="005B2515"/>
    <w:rsid w:val="005C08BB"/>
    <w:rsid w:val="005D1D96"/>
    <w:rsid w:val="005D6475"/>
    <w:rsid w:val="005E1261"/>
    <w:rsid w:val="005E1CE6"/>
    <w:rsid w:val="005E35AD"/>
    <w:rsid w:val="005E3A9C"/>
    <w:rsid w:val="005E3BD6"/>
    <w:rsid w:val="005E7DDD"/>
    <w:rsid w:val="005F2051"/>
    <w:rsid w:val="00601CEB"/>
    <w:rsid w:val="006044B7"/>
    <w:rsid w:val="006054B6"/>
    <w:rsid w:val="00607875"/>
    <w:rsid w:val="00612447"/>
    <w:rsid w:val="00616451"/>
    <w:rsid w:val="00620502"/>
    <w:rsid w:val="006219F3"/>
    <w:rsid w:val="006260D4"/>
    <w:rsid w:val="00626CBE"/>
    <w:rsid w:val="0062722B"/>
    <w:rsid w:val="00632A88"/>
    <w:rsid w:val="00633E7D"/>
    <w:rsid w:val="00634075"/>
    <w:rsid w:val="00646E05"/>
    <w:rsid w:val="0065205F"/>
    <w:rsid w:val="00653498"/>
    <w:rsid w:val="006561A6"/>
    <w:rsid w:val="00656B00"/>
    <w:rsid w:val="00660750"/>
    <w:rsid w:val="00660F19"/>
    <w:rsid w:val="0066162A"/>
    <w:rsid w:val="00683653"/>
    <w:rsid w:val="00684072"/>
    <w:rsid w:val="006847BD"/>
    <w:rsid w:val="00686C9A"/>
    <w:rsid w:val="00693ECE"/>
    <w:rsid w:val="0069422D"/>
    <w:rsid w:val="00694AFD"/>
    <w:rsid w:val="006962C3"/>
    <w:rsid w:val="006A02E2"/>
    <w:rsid w:val="006A42DA"/>
    <w:rsid w:val="006A4A38"/>
    <w:rsid w:val="006A5ED6"/>
    <w:rsid w:val="006B1BA3"/>
    <w:rsid w:val="006B6E25"/>
    <w:rsid w:val="006C45D3"/>
    <w:rsid w:val="006C76CA"/>
    <w:rsid w:val="006D095A"/>
    <w:rsid w:val="006D3F2B"/>
    <w:rsid w:val="006D4AEB"/>
    <w:rsid w:val="006D6A92"/>
    <w:rsid w:val="006E0BC7"/>
    <w:rsid w:val="006E2CAE"/>
    <w:rsid w:val="006E2E9A"/>
    <w:rsid w:val="006F7A5D"/>
    <w:rsid w:val="00702E65"/>
    <w:rsid w:val="00704CC1"/>
    <w:rsid w:val="00710235"/>
    <w:rsid w:val="007216E2"/>
    <w:rsid w:val="00721EE0"/>
    <w:rsid w:val="00722991"/>
    <w:rsid w:val="00723F4F"/>
    <w:rsid w:val="00724120"/>
    <w:rsid w:val="007249AB"/>
    <w:rsid w:val="007270A3"/>
    <w:rsid w:val="007321BB"/>
    <w:rsid w:val="007342CB"/>
    <w:rsid w:val="007344A0"/>
    <w:rsid w:val="00736E99"/>
    <w:rsid w:val="007408FE"/>
    <w:rsid w:val="00746760"/>
    <w:rsid w:val="007505EE"/>
    <w:rsid w:val="00751C75"/>
    <w:rsid w:val="007552B9"/>
    <w:rsid w:val="007558E6"/>
    <w:rsid w:val="00755C6C"/>
    <w:rsid w:val="00755F2F"/>
    <w:rsid w:val="00766A80"/>
    <w:rsid w:val="00766CBA"/>
    <w:rsid w:val="007701DE"/>
    <w:rsid w:val="00771D45"/>
    <w:rsid w:val="00772807"/>
    <w:rsid w:val="00777EC9"/>
    <w:rsid w:val="00791611"/>
    <w:rsid w:val="00792969"/>
    <w:rsid w:val="00792AD3"/>
    <w:rsid w:val="00793C2E"/>
    <w:rsid w:val="007946FA"/>
    <w:rsid w:val="0079788F"/>
    <w:rsid w:val="007A2E97"/>
    <w:rsid w:val="007A497A"/>
    <w:rsid w:val="007A51D7"/>
    <w:rsid w:val="007A626E"/>
    <w:rsid w:val="007B1448"/>
    <w:rsid w:val="007B3B8F"/>
    <w:rsid w:val="007B4630"/>
    <w:rsid w:val="007B51CE"/>
    <w:rsid w:val="007B79BC"/>
    <w:rsid w:val="007C04A5"/>
    <w:rsid w:val="007C1D8B"/>
    <w:rsid w:val="007C3927"/>
    <w:rsid w:val="007C5A86"/>
    <w:rsid w:val="007D0213"/>
    <w:rsid w:val="007D3D7A"/>
    <w:rsid w:val="007D4621"/>
    <w:rsid w:val="007E2E64"/>
    <w:rsid w:val="007E358A"/>
    <w:rsid w:val="007E668B"/>
    <w:rsid w:val="007F12F8"/>
    <w:rsid w:val="007F2D8B"/>
    <w:rsid w:val="007F4BCF"/>
    <w:rsid w:val="008007BA"/>
    <w:rsid w:val="00801895"/>
    <w:rsid w:val="00802261"/>
    <w:rsid w:val="008044C8"/>
    <w:rsid w:val="00806FF2"/>
    <w:rsid w:val="008078B1"/>
    <w:rsid w:val="008101E6"/>
    <w:rsid w:val="00811509"/>
    <w:rsid w:val="00811D6B"/>
    <w:rsid w:val="00812B93"/>
    <w:rsid w:val="008165BD"/>
    <w:rsid w:val="00816D92"/>
    <w:rsid w:val="008236F0"/>
    <w:rsid w:val="00824A35"/>
    <w:rsid w:val="00825479"/>
    <w:rsid w:val="00826681"/>
    <w:rsid w:val="00832182"/>
    <w:rsid w:val="00835DCD"/>
    <w:rsid w:val="00835FF4"/>
    <w:rsid w:val="00837CA7"/>
    <w:rsid w:val="00843E04"/>
    <w:rsid w:val="00845871"/>
    <w:rsid w:val="008462C8"/>
    <w:rsid w:val="00846692"/>
    <w:rsid w:val="00851615"/>
    <w:rsid w:val="00851F62"/>
    <w:rsid w:val="00863D9A"/>
    <w:rsid w:val="00864B49"/>
    <w:rsid w:val="0087587A"/>
    <w:rsid w:val="00875CDE"/>
    <w:rsid w:val="00876B27"/>
    <w:rsid w:val="0087725F"/>
    <w:rsid w:val="00880F2A"/>
    <w:rsid w:val="008822E5"/>
    <w:rsid w:val="00883E54"/>
    <w:rsid w:val="00884B42"/>
    <w:rsid w:val="00885CC8"/>
    <w:rsid w:val="008871C0"/>
    <w:rsid w:val="00894E68"/>
    <w:rsid w:val="00895828"/>
    <w:rsid w:val="00896804"/>
    <w:rsid w:val="008A2241"/>
    <w:rsid w:val="008A4544"/>
    <w:rsid w:val="008A46D7"/>
    <w:rsid w:val="008A4F15"/>
    <w:rsid w:val="008A7ABC"/>
    <w:rsid w:val="008B3700"/>
    <w:rsid w:val="008B7DAB"/>
    <w:rsid w:val="008C5DA0"/>
    <w:rsid w:val="008C6EEB"/>
    <w:rsid w:val="008D0578"/>
    <w:rsid w:val="008D59A9"/>
    <w:rsid w:val="008E32F5"/>
    <w:rsid w:val="008E40E1"/>
    <w:rsid w:val="008E410B"/>
    <w:rsid w:val="008E6C7A"/>
    <w:rsid w:val="008F0266"/>
    <w:rsid w:val="009023C1"/>
    <w:rsid w:val="00903E70"/>
    <w:rsid w:val="00904569"/>
    <w:rsid w:val="009104C1"/>
    <w:rsid w:val="00910BEC"/>
    <w:rsid w:val="00912419"/>
    <w:rsid w:val="009176D1"/>
    <w:rsid w:val="00921727"/>
    <w:rsid w:val="009262F2"/>
    <w:rsid w:val="009328F4"/>
    <w:rsid w:val="00933CFB"/>
    <w:rsid w:val="009359F0"/>
    <w:rsid w:val="009361EA"/>
    <w:rsid w:val="0093687A"/>
    <w:rsid w:val="0093726F"/>
    <w:rsid w:val="009404E0"/>
    <w:rsid w:val="00946647"/>
    <w:rsid w:val="009469D9"/>
    <w:rsid w:val="0095571A"/>
    <w:rsid w:val="0095784B"/>
    <w:rsid w:val="00961599"/>
    <w:rsid w:val="009634AE"/>
    <w:rsid w:val="0096743B"/>
    <w:rsid w:val="00970D48"/>
    <w:rsid w:val="009711C1"/>
    <w:rsid w:val="009724B9"/>
    <w:rsid w:val="00976588"/>
    <w:rsid w:val="00976856"/>
    <w:rsid w:val="00977B99"/>
    <w:rsid w:val="0098467A"/>
    <w:rsid w:val="00984AAC"/>
    <w:rsid w:val="009919A8"/>
    <w:rsid w:val="009933BC"/>
    <w:rsid w:val="00996840"/>
    <w:rsid w:val="00997FE8"/>
    <w:rsid w:val="009A2A2D"/>
    <w:rsid w:val="009A3782"/>
    <w:rsid w:val="009A533A"/>
    <w:rsid w:val="009B1B93"/>
    <w:rsid w:val="009B1F2B"/>
    <w:rsid w:val="009B2640"/>
    <w:rsid w:val="009B2B8B"/>
    <w:rsid w:val="009B5CED"/>
    <w:rsid w:val="009D1439"/>
    <w:rsid w:val="009D16D0"/>
    <w:rsid w:val="009D1766"/>
    <w:rsid w:val="009D7442"/>
    <w:rsid w:val="009E19A1"/>
    <w:rsid w:val="009E344B"/>
    <w:rsid w:val="009E3C1A"/>
    <w:rsid w:val="009E7B33"/>
    <w:rsid w:val="009F197E"/>
    <w:rsid w:val="009F3FB3"/>
    <w:rsid w:val="00A00F12"/>
    <w:rsid w:val="00A027DC"/>
    <w:rsid w:val="00A03D51"/>
    <w:rsid w:val="00A05167"/>
    <w:rsid w:val="00A0746F"/>
    <w:rsid w:val="00A07DAA"/>
    <w:rsid w:val="00A1389B"/>
    <w:rsid w:val="00A21B1E"/>
    <w:rsid w:val="00A23CA7"/>
    <w:rsid w:val="00A360E9"/>
    <w:rsid w:val="00A41AA0"/>
    <w:rsid w:val="00A43067"/>
    <w:rsid w:val="00A46E9C"/>
    <w:rsid w:val="00A47E2C"/>
    <w:rsid w:val="00A50192"/>
    <w:rsid w:val="00A5360B"/>
    <w:rsid w:val="00A569C1"/>
    <w:rsid w:val="00A6523B"/>
    <w:rsid w:val="00A66709"/>
    <w:rsid w:val="00A74EBC"/>
    <w:rsid w:val="00A87289"/>
    <w:rsid w:val="00A903B4"/>
    <w:rsid w:val="00A91A1D"/>
    <w:rsid w:val="00A937F4"/>
    <w:rsid w:val="00A93CB5"/>
    <w:rsid w:val="00AA16F0"/>
    <w:rsid w:val="00AA5A32"/>
    <w:rsid w:val="00AB1590"/>
    <w:rsid w:val="00AB2A71"/>
    <w:rsid w:val="00AB371D"/>
    <w:rsid w:val="00AB5DF3"/>
    <w:rsid w:val="00AC017C"/>
    <w:rsid w:val="00AC14BD"/>
    <w:rsid w:val="00AC37F2"/>
    <w:rsid w:val="00AC667C"/>
    <w:rsid w:val="00AD1842"/>
    <w:rsid w:val="00AD1CB2"/>
    <w:rsid w:val="00AD4A85"/>
    <w:rsid w:val="00AD50D7"/>
    <w:rsid w:val="00AD749F"/>
    <w:rsid w:val="00AF0AB2"/>
    <w:rsid w:val="00AF3B4E"/>
    <w:rsid w:val="00AF4ECE"/>
    <w:rsid w:val="00AF50FF"/>
    <w:rsid w:val="00AF7B74"/>
    <w:rsid w:val="00B0386A"/>
    <w:rsid w:val="00B05058"/>
    <w:rsid w:val="00B112A1"/>
    <w:rsid w:val="00B1166E"/>
    <w:rsid w:val="00B13F6F"/>
    <w:rsid w:val="00B2572B"/>
    <w:rsid w:val="00B31A42"/>
    <w:rsid w:val="00B31A89"/>
    <w:rsid w:val="00B3775D"/>
    <w:rsid w:val="00B37A74"/>
    <w:rsid w:val="00B40F18"/>
    <w:rsid w:val="00B420D8"/>
    <w:rsid w:val="00B435DF"/>
    <w:rsid w:val="00B43F22"/>
    <w:rsid w:val="00B45C0C"/>
    <w:rsid w:val="00B511C6"/>
    <w:rsid w:val="00B51BFF"/>
    <w:rsid w:val="00B52C16"/>
    <w:rsid w:val="00B5413A"/>
    <w:rsid w:val="00B639CB"/>
    <w:rsid w:val="00B63C62"/>
    <w:rsid w:val="00B642F3"/>
    <w:rsid w:val="00B656B6"/>
    <w:rsid w:val="00B70CB4"/>
    <w:rsid w:val="00B728E7"/>
    <w:rsid w:val="00B72936"/>
    <w:rsid w:val="00B73F8F"/>
    <w:rsid w:val="00B77957"/>
    <w:rsid w:val="00B801B6"/>
    <w:rsid w:val="00B828CD"/>
    <w:rsid w:val="00B84E51"/>
    <w:rsid w:val="00B8569D"/>
    <w:rsid w:val="00B879DA"/>
    <w:rsid w:val="00B90023"/>
    <w:rsid w:val="00B90320"/>
    <w:rsid w:val="00B95AC6"/>
    <w:rsid w:val="00B9632B"/>
    <w:rsid w:val="00BA41AE"/>
    <w:rsid w:val="00BA68D1"/>
    <w:rsid w:val="00BA6ABA"/>
    <w:rsid w:val="00BB0D06"/>
    <w:rsid w:val="00BB5758"/>
    <w:rsid w:val="00BB5A11"/>
    <w:rsid w:val="00BB62F8"/>
    <w:rsid w:val="00BC086D"/>
    <w:rsid w:val="00BC1730"/>
    <w:rsid w:val="00BD226D"/>
    <w:rsid w:val="00BD3A29"/>
    <w:rsid w:val="00BD6797"/>
    <w:rsid w:val="00BE05B7"/>
    <w:rsid w:val="00BE110D"/>
    <w:rsid w:val="00BE63F7"/>
    <w:rsid w:val="00BE75FD"/>
    <w:rsid w:val="00BF1571"/>
    <w:rsid w:val="00BF5AC7"/>
    <w:rsid w:val="00C02243"/>
    <w:rsid w:val="00C048F4"/>
    <w:rsid w:val="00C0663B"/>
    <w:rsid w:val="00C066C8"/>
    <w:rsid w:val="00C11F74"/>
    <w:rsid w:val="00C1579F"/>
    <w:rsid w:val="00C30DD3"/>
    <w:rsid w:val="00C34885"/>
    <w:rsid w:val="00C45749"/>
    <w:rsid w:val="00C463EA"/>
    <w:rsid w:val="00C46BD6"/>
    <w:rsid w:val="00C46DC1"/>
    <w:rsid w:val="00C514B9"/>
    <w:rsid w:val="00C53C31"/>
    <w:rsid w:val="00C54CC3"/>
    <w:rsid w:val="00C570D1"/>
    <w:rsid w:val="00C632A2"/>
    <w:rsid w:val="00C66C84"/>
    <w:rsid w:val="00C710FB"/>
    <w:rsid w:val="00C74BD9"/>
    <w:rsid w:val="00C87709"/>
    <w:rsid w:val="00C90509"/>
    <w:rsid w:val="00C9147C"/>
    <w:rsid w:val="00C965C2"/>
    <w:rsid w:val="00C96D59"/>
    <w:rsid w:val="00C97933"/>
    <w:rsid w:val="00C97AC2"/>
    <w:rsid w:val="00CA655C"/>
    <w:rsid w:val="00CA6626"/>
    <w:rsid w:val="00CB1B5C"/>
    <w:rsid w:val="00CB2443"/>
    <w:rsid w:val="00CB7737"/>
    <w:rsid w:val="00CC1860"/>
    <w:rsid w:val="00CC19E5"/>
    <w:rsid w:val="00CD2273"/>
    <w:rsid w:val="00CD480B"/>
    <w:rsid w:val="00CD48B7"/>
    <w:rsid w:val="00CD7A68"/>
    <w:rsid w:val="00CE01C6"/>
    <w:rsid w:val="00CE02EE"/>
    <w:rsid w:val="00CE2714"/>
    <w:rsid w:val="00CE326E"/>
    <w:rsid w:val="00CE5643"/>
    <w:rsid w:val="00CF32F3"/>
    <w:rsid w:val="00CF434F"/>
    <w:rsid w:val="00CF57DD"/>
    <w:rsid w:val="00CF676D"/>
    <w:rsid w:val="00D00478"/>
    <w:rsid w:val="00D06893"/>
    <w:rsid w:val="00D13167"/>
    <w:rsid w:val="00D140BB"/>
    <w:rsid w:val="00D1415E"/>
    <w:rsid w:val="00D14919"/>
    <w:rsid w:val="00D20D8D"/>
    <w:rsid w:val="00D20DA6"/>
    <w:rsid w:val="00D2193B"/>
    <w:rsid w:val="00D21C1D"/>
    <w:rsid w:val="00D27F3C"/>
    <w:rsid w:val="00D30144"/>
    <w:rsid w:val="00D43E2F"/>
    <w:rsid w:val="00D513BF"/>
    <w:rsid w:val="00D51AD0"/>
    <w:rsid w:val="00D528B7"/>
    <w:rsid w:val="00D531E7"/>
    <w:rsid w:val="00D5347B"/>
    <w:rsid w:val="00D53F41"/>
    <w:rsid w:val="00D56093"/>
    <w:rsid w:val="00D56742"/>
    <w:rsid w:val="00D57227"/>
    <w:rsid w:val="00D60B53"/>
    <w:rsid w:val="00D66864"/>
    <w:rsid w:val="00D702FB"/>
    <w:rsid w:val="00D76E30"/>
    <w:rsid w:val="00D84263"/>
    <w:rsid w:val="00D843D4"/>
    <w:rsid w:val="00D86126"/>
    <w:rsid w:val="00D9244E"/>
    <w:rsid w:val="00D931D7"/>
    <w:rsid w:val="00D96353"/>
    <w:rsid w:val="00DA3B31"/>
    <w:rsid w:val="00DA3C26"/>
    <w:rsid w:val="00DA6C0C"/>
    <w:rsid w:val="00DD1FD3"/>
    <w:rsid w:val="00DD6C33"/>
    <w:rsid w:val="00DE649D"/>
    <w:rsid w:val="00DE7727"/>
    <w:rsid w:val="00DE7DA7"/>
    <w:rsid w:val="00DF6884"/>
    <w:rsid w:val="00E04A99"/>
    <w:rsid w:val="00E052BA"/>
    <w:rsid w:val="00E071A6"/>
    <w:rsid w:val="00E13E7D"/>
    <w:rsid w:val="00E17382"/>
    <w:rsid w:val="00E22357"/>
    <w:rsid w:val="00E25BDF"/>
    <w:rsid w:val="00E35DE3"/>
    <w:rsid w:val="00E364BF"/>
    <w:rsid w:val="00E3658D"/>
    <w:rsid w:val="00E404C4"/>
    <w:rsid w:val="00E41486"/>
    <w:rsid w:val="00E415BE"/>
    <w:rsid w:val="00E450A4"/>
    <w:rsid w:val="00E46E7F"/>
    <w:rsid w:val="00E47E43"/>
    <w:rsid w:val="00E51975"/>
    <w:rsid w:val="00E5296F"/>
    <w:rsid w:val="00E55785"/>
    <w:rsid w:val="00E611CC"/>
    <w:rsid w:val="00E649B2"/>
    <w:rsid w:val="00E66FB3"/>
    <w:rsid w:val="00E70B30"/>
    <w:rsid w:val="00E71F79"/>
    <w:rsid w:val="00E73556"/>
    <w:rsid w:val="00E7692A"/>
    <w:rsid w:val="00E81A07"/>
    <w:rsid w:val="00E918E1"/>
    <w:rsid w:val="00E937A2"/>
    <w:rsid w:val="00E96B64"/>
    <w:rsid w:val="00E97550"/>
    <w:rsid w:val="00EA50E9"/>
    <w:rsid w:val="00EB2F64"/>
    <w:rsid w:val="00EB5952"/>
    <w:rsid w:val="00EC0F4E"/>
    <w:rsid w:val="00EC2C4E"/>
    <w:rsid w:val="00ED0F1D"/>
    <w:rsid w:val="00ED23F8"/>
    <w:rsid w:val="00ED3ED5"/>
    <w:rsid w:val="00ED4039"/>
    <w:rsid w:val="00ED5BAA"/>
    <w:rsid w:val="00EE1588"/>
    <w:rsid w:val="00EF06BD"/>
    <w:rsid w:val="00EF2867"/>
    <w:rsid w:val="00EF48FB"/>
    <w:rsid w:val="00F00364"/>
    <w:rsid w:val="00F01B14"/>
    <w:rsid w:val="00F03148"/>
    <w:rsid w:val="00F04968"/>
    <w:rsid w:val="00F10EC3"/>
    <w:rsid w:val="00F11DD9"/>
    <w:rsid w:val="00F11FEF"/>
    <w:rsid w:val="00F14297"/>
    <w:rsid w:val="00F16889"/>
    <w:rsid w:val="00F205D6"/>
    <w:rsid w:val="00F22E3F"/>
    <w:rsid w:val="00F23A2F"/>
    <w:rsid w:val="00F24532"/>
    <w:rsid w:val="00F2453F"/>
    <w:rsid w:val="00F257AF"/>
    <w:rsid w:val="00F26E62"/>
    <w:rsid w:val="00F27BE5"/>
    <w:rsid w:val="00F325EE"/>
    <w:rsid w:val="00F36B2C"/>
    <w:rsid w:val="00F37255"/>
    <w:rsid w:val="00F4171D"/>
    <w:rsid w:val="00F42B69"/>
    <w:rsid w:val="00F43291"/>
    <w:rsid w:val="00F44964"/>
    <w:rsid w:val="00F471F3"/>
    <w:rsid w:val="00F503E5"/>
    <w:rsid w:val="00F505D1"/>
    <w:rsid w:val="00F52B8B"/>
    <w:rsid w:val="00F56E55"/>
    <w:rsid w:val="00F600A5"/>
    <w:rsid w:val="00F612AE"/>
    <w:rsid w:val="00F720BD"/>
    <w:rsid w:val="00F74184"/>
    <w:rsid w:val="00F74E57"/>
    <w:rsid w:val="00F77A53"/>
    <w:rsid w:val="00F8018E"/>
    <w:rsid w:val="00F83797"/>
    <w:rsid w:val="00F870D5"/>
    <w:rsid w:val="00F9696A"/>
    <w:rsid w:val="00F97721"/>
    <w:rsid w:val="00FA14A6"/>
    <w:rsid w:val="00FA649B"/>
    <w:rsid w:val="00FB0611"/>
    <w:rsid w:val="00FB24A8"/>
    <w:rsid w:val="00FB2DF4"/>
    <w:rsid w:val="00FB54E3"/>
    <w:rsid w:val="00FC0029"/>
    <w:rsid w:val="00FC1855"/>
    <w:rsid w:val="00FC194C"/>
    <w:rsid w:val="00FC19F1"/>
    <w:rsid w:val="00FC7AD6"/>
    <w:rsid w:val="00FC7B8D"/>
    <w:rsid w:val="00FD1630"/>
    <w:rsid w:val="00FE0717"/>
    <w:rsid w:val="00FE66F4"/>
    <w:rsid w:val="00FF348F"/>
    <w:rsid w:val="00FF468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F8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Table Grid" w:uiPriority="59"/>
    <w:lsdException w:name="Placeholder Text" w:uiPriority="67"/>
    <w:lsdException w:name="No Spacing" w:qFormat="1"/>
    <w:lsdException w:name="Light Shading Accent 1" w:uiPriority="60"/>
    <w:lsdException w:name="Light List Accent 1" w:uiPriority="61"/>
    <w:lsdException w:name="Medium Shading 1 Accent 1" w:uiPriority="68"/>
    <w:lsdException w:name="Revision" w:uiPriority="99"/>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2A45E2"/>
    <w:pPr>
      <w:suppressAutoHyphens/>
      <w:spacing w:before="40" w:after="40"/>
      <w:jc w:val="both"/>
    </w:pPr>
    <w:rPr>
      <w:rFonts w:asciiTheme="minorHAnsi" w:eastAsia="Times New Roman" w:hAnsiTheme="minorHAns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uiPriority w:val="9"/>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uiPriority w:val="9"/>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uiPriority w:val="9"/>
    <w:rsid w:val="00D3209A"/>
    <w:rPr>
      <w:rFonts w:ascii="Calibri" w:eastAsia="Times New Roman" w:hAnsi="Calibri"/>
      <w:b/>
      <w:bCs/>
      <w:i/>
      <w:iCs/>
      <w:sz w:val="28"/>
      <w:szCs w:val="28"/>
      <w:lang w:eastAsia="fr-FR"/>
    </w:rPr>
  </w:style>
  <w:style w:type="character" w:customStyle="1" w:styleId="Heading3Char">
    <w:name w:val="Heading 3 Char"/>
    <w:link w:val="Heading3"/>
    <w:uiPriority w:val="9"/>
    <w:rsid w:val="00D3209A"/>
    <w:rPr>
      <w:rFonts w:ascii="Calibri" w:eastAsia="Times New Roman" w:hAnsi="Calibri"/>
      <w:b/>
      <w:bCs/>
      <w:sz w:val="26"/>
      <w:szCs w:val="26"/>
      <w:lang w:eastAsia="fr-FR"/>
    </w:rPr>
  </w:style>
  <w:style w:type="character" w:customStyle="1" w:styleId="Heading4Char">
    <w:name w:val="Heading 4 Char"/>
    <w:link w:val="Heading4"/>
    <w:uiPriority w:val="9"/>
    <w:rsid w:val="00D3209A"/>
    <w:rPr>
      <w:rFonts w:eastAsia="Times New Roman"/>
      <w:b/>
      <w:bCs/>
      <w:sz w:val="28"/>
      <w:szCs w:val="28"/>
      <w:lang w:eastAsia="fr-FR"/>
    </w:rPr>
  </w:style>
  <w:style w:type="character" w:customStyle="1" w:styleId="Heading5Char">
    <w:name w:val="Heading 5 Char"/>
    <w:link w:val="Heading5"/>
    <w:uiPriority w:val="9"/>
    <w:rsid w:val="00D3209A"/>
    <w:rPr>
      <w:rFonts w:eastAsia="Times New Roman"/>
      <w:b/>
      <w:bCs/>
      <w:i/>
      <w:iCs/>
      <w:sz w:val="26"/>
      <w:szCs w:val="26"/>
      <w:lang w:eastAsia="fr-FR"/>
    </w:rPr>
  </w:style>
  <w:style w:type="character" w:customStyle="1" w:styleId="Heading6Char">
    <w:name w:val="Heading 6 Char"/>
    <w:link w:val="Heading6"/>
    <w:uiPriority w:val="9"/>
    <w:rsid w:val="00D3209A"/>
    <w:rPr>
      <w:rFonts w:eastAsia="Times New Roman"/>
      <w:b/>
      <w:bCs/>
      <w:sz w:val="22"/>
      <w:szCs w:val="22"/>
      <w:lang w:eastAsia="fr-FR"/>
    </w:rPr>
  </w:style>
  <w:style w:type="character" w:customStyle="1" w:styleId="Heading7Char">
    <w:name w:val="Heading 7 Char"/>
    <w:link w:val="Heading7"/>
    <w:uiPriority w:val="9"/>
    <w:rsid w:val="00D3209A"/>
    <w:rPr>
      <w:rFonts w:eastAsia="Times New Roman"/>
      <w:sz w:val="24"/>
      <w:szCs w:val="24"/>
      <w:lang w:eastAsia="fr-FR"/>
    </w:rPr>
  </w:style>
  <w:style w:type="character" w:customStyle="1" w:styleId="Heading8Char">
    <w:name w:val="Heading 8 Char"/>
    <w:link w:val="Heading8"/>
    <w:uiPriority w:val="9"/>
    <w:rsid w:val="00D3209A"/>
    <w:rPr>
      <w:rFonts w:eastAsia="Times New Roman"/>
      <w:i/>
      <w:iCs/>
      <w:sz w:val="24"/>
      <w:szCs w:val="24"/>
      <w:lang w:eastAsia="fr-FR"/>
    </w:rPr>
  </w:style>
  <w:style w:type="character" w:customStyle="1" w:styleId="Heading9Char">
    <w:name w:val="Heading 9 Char"/>
    <w:link w:val="Heading9"/>
    <w:uiPriority w:val="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uiPriority w:val="39"/>
    <w:rsid w:val="0031291C"/>
    <w:pPr>
      <w:spacing w:before="0" w:after="0"/>
      <w:ind w:left="880"/>
      <w:jc w:val="left"/>
    </w:pPr>
    <w:rPr>
      <w:rFonts w:ascii="Cambria" w:hAnsi="Cambria"/>
      <w:sz w:val="20"/>
    </w:rPr>
  </w:style>
  <w:style w:type="paragraph" w:styleId="TOC6">
    <w:name w:val="toc 6"/>
    <w:basedOn w:val="Normal"/>
    <w:next w:val="Normal"/>
    <w:autoRedefine/>
    <w:uiPriority w:val="39"/>
    <w:rsid w:val="0031291C"/>
    <w:pPr>
      <w:spacing w:before="0" w:after="0"/>
      <w:ind w:left="1100"/>
      <w:jc w:val="left"/>
    </w:pPr>
    <w:rPr>
      <w:rFonts w:ascii="Cambria" w:hAnsi="Cambria"/>
      <w:sz w:val="20"/>
    </w:rPr>
  </w:style>
  <w:style w:type="paragraph" w:styleId="TOC7">
    <w:name w:val="toc 7"/>
    <w:basedOn w:val="Normal"/>
    <w:next w:val="Normal"/>
    <w:autoRedefine/>
    <w:uiPriority w:val="39"/>
    <w:rsid w:val="0031291C"/>
    <w:pPr>
      <w:spacing w:before="0" w:after="0"/>
      <w:ind w:left="1320"/>
      <w:jc w:val="left"/>
    </w:pPr>
    <w:rPr>
      <w:rFonts w:ascii="Cambria" w:hAnsi="Cambria"/>
      <w:sz w:val="20"/>
    </w:rPr>
  </w:style>
  <w:style w:type="paragraph" w:styleId="TOC8">
    <w:name w:val="toc 8"/>
    <w:basedOn w:val="Normal"/>
    <w:next w:val="Normal"/>
    <w:autoRedefine/>
    <w:uiPriority w:val="39"/>
    <w:rsid w:val="0031291C"/>
    <w:pPr>
      <w:spacing w:before="0" w:after="0"/>
      <w:ind w:left="1540"/>
      <w:jc w:val="left"/>
    </w:pPr>
    <w:rPr>
      <w:rFonts w:ascii="Cambria" w:hAnsi="Cambria"/>
      <w:sz w:val="20"/>
    </w:rPr>
  </w:style>
  <w:style w:type="paragraph" w:styleId="TO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link w:val="ListParagraphChar"/>
    <w:uiPriority w:val="34"/>
    <w:qFormat/>
    <w:rsid w:val="003F1E19"/>
    <w:pPr>
      <w:ind w:left="720"/>
      <w:contextualSpacing/>
    </w:pPr>
  </w:style>
  <w:style w:type="paragraph" w:styleId="FootnoteText">
    <w:name w:val="footnote text"/>
    <w:aliases w:val="Schriftart: 9 pt,Schriftart: 10 pt,Schriftart: 8 pt,WB-Fußnotentext,fn,Footnotes,Footnote ak,Footnote ak Carattere Carattere,Footnote ak Carattere"/>
    <w:basedOn w:val="Normal"/>
    <w:link w:val="FootnoteTextChar"/>
    <w:qFormat/>
    <w:rsid w:val="00E41486"/>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E41486"/>
    <w:rPr>
      <w:rFonts w:ascii="Times New Roman" w:eastAsia="Times New Roman" w:hAnsi="Times New Roman"/>
      <w:lang w:eastAsia="fr-FR"/>
    </w:rPr>
  </w:style>
  <w:style w:type="character" w:styleId="FootnoteReference">
    <w:name w:val="footnote reference"/>
    <w:aliases w:val="Footnote symbol"/>
    <w:basedOn w:val="DefaultParagraphFont"/>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uiPriority w:val="99"/>
    <w:rsid w:val="007A497A"/>
    <w:pPr>
      <w:spacing w:after="40"/>
    </w:pPr>
    <w:rPr>
      <w:b/>
      <w:bCs/>
      <w:sz w:val="20"/>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uiPriority w:val="59"/>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uiPriority w:val="99"/>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 w:type="character" w:customStyle="1" w:styleId="WW8Num2z0">
    <w:name w:val="WW8Num2z0"/>
    <w:rsid w:val="00001B40"/>
    <w:rPr>
      <w:rFonts w:ascii="Symbol" w:hAnsi="Symbol" w:cs="OpenSymbol"/>
    </w:rPr>
  </w:style>
  <w:style w:type="character" w:customStyle="1" w:styleId="Absatz-Standardschriftart">
    <w:name w:val="Absatz-Standardschriftart"/>
    <w:rsid w:val="00001B40"/>
  </w:style>
  <w:style w:type="character" w:customStyle="1" w:styleId="WW8Num1z0">
    <w:name w:val="WW8Num1z0"/>
    <w:rsid w:val="00001B40"/>
    <w:rPr>
      <w:rFonts w:ascii="Symbol" w:hAnsi="Symbol" w:cs="OpenSymbol"/>
    </w:rPr>
  </w:style>
  <w:style w:type="character" w:customStyle="1" w:styleId="WW8Num1z1">
    <w:name w:val="WW8Num1z1"/>
    <w:rsid w:val="00001B40"/>
    <w:rPr>
      <w:rFonts w:ascii="OpenSymbol" w:hAnsi="OpenSymbol" w:cs="OpenSymbol"/>
    </w:rPr>
  </w:style>
  <w:style w:type="character" w:customStyle="1" w:styleId="WW8Num2z1">
    <w:name w:val="WW8Num2z1"/>
    <w:rsid w:val="00001B40"/>
    <w:rPr>
      <w:rFonts w:ascii="OpenSymbol" w:hAnsi="OpenSymbol" w:cs="OpenSymbol"/>
    </w:rPr>
  </w:style>
  <w:style w:type="character" w:customStyle="1" w:styleId="WW8Num3z0">
    <w:name w:val="WW8Num3z0"/>
    <w:rsid w:val="00001B40"/>
    <w:rPr>
      <w:rFonts w:ascii="Symbol" w:hAnsi="Symbol" w:cs="OpenSymbol"/>
    </w:rPr>
  </w:style>
  <w:style w:type="character" w:customStyle="1" w:styleId="WW8Num3z1">
    <w:name w:val="WW8Num3z1"/>
    <w:rsid w:val="00001B40"/>
    <w:rPr>
      <w:rFonts w:ascii="OpenSymbol" w:hAnsi="OpenSymbol" w:cs="OpenSymbol"/>
    </w:rPr>
  </w:style>
  <w:style w:type="character" w:customStyle="1" w:styleId="WW-DefaultParagraphFont">
    <w:name w:val="WW-Default Paragraph Font"/>
    <w:rsid w:val="00001B40"/>
  </w:style>
  <w:style w:type="character" w:customStyle="1" w:styleId="CommentReference1">
    <w:name w:val="Comment Reference1"/>
    <w:basedOn w:val="WW-DefaultParagraphFont"/>
    <w:rsid w:val="00001B40"/>
  </w:style>
  <w:style w:type="character" w:customStyle="1" w:styleId="Bullets">
    <w:name w:val="Bullets"/>
    <w:rsid w:val="00001B40"/>
    <w:rPr>
      <w:rFonts w:ascii="OpenSymbol" w:eastAsia="OpenSymbol" w:hAnsi="OpenSymbol" w:cs="OpenSymbol"/>
    </w:rPr>
  </w:style>
  <w:style w:type="character" w:customStyle="1" w:styleId="hp">
    <w:name w:val="hp"/>
    <w:rsid w:val="00001B40"/>
  </w:style>
  <w:style w:type="paragraph" w:customStyle="1" w:styleId="Heading">
    <w:name w:val="Heading"/>
    <w:basedOn w:val="Normal"/>
    <w:next w:val="BodyText"/>
    <w:rsid w:val="00001B40"/>
    <w:pPr>
      <w:keepNext/>
      <w:spacing w:before="240" w:after="120" w:line="276" w:lineRule="auto"/>
    </w:pPr>
    <w:rPr>
      <w:rFonts w:ascii="Arial" w:eastAsia="SimSun" w:hAnsi="Arial" w:cs="Mangal"/>
      <w:sz w:val="28"/>
      <w:szCs w:val="28"/>
      <w:lang w:eastAsia="de-DE"/>
    </w:rPr>
  </w:style>
  <w:style w:type="paragraph" w:styleId="List">
    <w:name w:val="List"/>
    <w:basedOn w:val="BodyText"/>
    <w:rsid w:val="00001B40"/>
    <w:pPr>
      <w:spacing w:line="276" w:lineRule="auto"/>
    </w:pPr>
    <w:rPr>
      <w:rFonts w:asciiTheme="majorHAnsi" w:eastAsia="Times New Roman" w:hAnsiTheme="majorHAnsi" w:cs="Mangal"/>
      <w:szCs w:val="24"/>
      <w:lang w:eastAsia="de-DE"/>
    </w:rPr>
  </w:style>
  <w:style w:type="paragraph" w:customStyle="1" w:styleId="Index">
    <w:name w:val="Index"/>
    <w:basedOn w:val="Normal"/>
    <w:rsid w:val="00001B40"/>
    <w:pPr>
      <w:suppressLineNumbers/>
      <w:spacing w:line="276" w:lineRule="auto"/>
    </w:pPr>
    <w:rPr>
      <w:rFonts w:asciiTheme="majorHAnsi" w:hAnsiTheme="majorHAnsi" w:cs="Mangal"/>
      <w:szCs w:val="24"/>
      <w:lang w:eastAsia="de-DE"/>
    </w:rPr>
  </w:style>
  <w:style w:type="paragraph" w:customStyle="1" w:styleId="CommentText1">
    <w:name w:val="Comment Text1"/>
    <w:basedOn w:val="Normal"/>
    <w:uiPriority w:val="99"/>
    <w:rsid w:val="00001B40"/>
    <w:pPr>
      <w:spacing w:line="276" w:lineRule="auto"/>
    </w:pPr>
    <w:rPr>
      <w:rFonts w:asciiTheme="majorHAnsi" w:hAnsiTheme="majorHAnsi"/>
      <w:szCs w:val="24"/>
      <w:lang w:eastAsia="de-DE"/>
    </w:rPr>
  </w:style>
  <w:style w:type="paragraph" w:customStyle="1" w:styleId="CommentSubject1">
    <w:name w:val="Comment Subject1"/>
    <w:basedOn w:val="CommentText1"/>
    <w:rsid w:val="00001B40"/>
  </w:style>
  <w:style w:type="character" w:customStyle="1" w:styleId="BalloonTextChar1">
    <w:name w:val="Balloon Text Char1"/>
    <w:basedOn w:val="DefaultParagraphFont"/>
    <w:rsid w:val="00001B40"/>
    <w:rPr>
      <w:rFonts w:asciiTheme="majorHAnsi" w:hAnsiTheme="majorHAnsi"/>
      <w:sz w:val="22"/>
      <w:lang w:val="en-GB" w:eastAsia="de-DE"/>
    </w:rPr>
  </w:style>
  <w:style w:type="paragraph" w:customStyle="1" w:styleId="TableContents">
    <w:name w:val="Table Contents"/>
    <w:basedOn w:val="Normal"/>
    <w:rsid w:val="00001B40"/>
    <w:pPr>
      <w:suppressLineNumbers/>
      <w:spacing w:line="276" w:lineRule="auto"/>
    </w:pPr>
    <w:rPr>
      <w:rFonts w:asciiTheme="majorHAnsi" w:hAnsiTheme="majorHAnsi"/>
      <w:szCs w:val="24"/>
      <w:lang w:eastAsia="de-DE"/>
    </w:rPr>
  </w:style>
  <w:style w:type="paragraph" w:customStyle="1" w:styleId="TableHeading">
    <w:name w:val="Table Heading"/>
    <w:basedOn w:val="TableContents"/>
    <w:rsid w:val="00001B40"/>
    <w:pPr>
      <w:jc w:val="center"/>
    </w:pPr>
    <w:rPr>
      <w:b/>
      <w:bCs/>
    </w:rPr>
  </w:style>
  <w:style w:type="paragraph" w:customStyle="1" w:styleId="PreformattedText">
    <w:name w:val="Preformatted Text"/>
    <w:basedOn w:val="Normal"/>
    <w:rsid w:val="00001B40"/>
    <w:pPr>
      <w:spacing w:line="276" w:lineRule="auto"/>
    </w:pPr>
    <w:rPr>
      <w:rFonts w:ascii="Courier New" w:eastAsia="Courier New" w:hAnsi="Courier New" w:cs="Courier New"/>
      <w:sz w:val="20"/>
      <w:lang w:eastAsia="de-DE"/>
    </w:rPr>
  </w:style>
  <w:style w:type="paragraph" w:customStyle="1" w:styleId="Framecontents">
    <w:name w:val="Frame contents"/>
    <w:basedOn w:val="BodyText"/>
    <w:rsid w:val="00001B40"/>
    <w:pPr>
      <w:spacing w:line="276" w:lineRule="auto"/>
    </w:pPr>
    <w:rPr>
      <w:rFonts w:asciiTheme="majorHAnsi" w:eastAsia="Times New Roman" w:hAnsiTheme="majorHAnsi"/>
      <w:szCs w:val="24"/>
      <w:lang w:eastAsia="de-DE"/>
    </w:rPr>
  </w:style>
  <w:style w:type="paragraph" w:styleId="Title">
    <w:name w:val="Title"/>
    <w:basedOn w:val="Normal"/>
    <w:next w:val="Normal"/>
    <w:link w:val="TitleChar"/>
    <w:uiPriority w:val="10"/>
    <w:qFormat/>
    <w:rsid w:val="00001B40"/>
    <w:pPr>
      <w:spacing w:before="240" w:after="60" w:line="276" w:lineRule="auto"/>
      <w:jc w:val="center"/>
      <w:outlineLvl w:val="0"/>
    </w:pPr>
    <w:rPr>
      <w:rFonts w:ascii="Cambria" w:hAnsi="Cambria"/>
      <w:b/>
      <w:bCs/>
      <w:kern w:val="28"/>
      <w:sz w:val="32"/>
      <w:szCs w:val="32"/>
      <w:lang w:eastAsia="de-DE"/>
    </w:rPr>
  </w:style>
  <w:style w:type="character" w:customStyle="1" w:styleId="TitleChar">
    <w:name w:val="Title Char"/>
    <w:basedOn w:val="DefaultParagraphFont"/>
    <w:link w:val="Title"/>
    <w:uiPriority w:val="10"/>
    <w:rsid w:val="00001B40"/>
    <w:rPr>
      <w:rFonts w:eastAsia="Times New Roman"/>
      <w:b/>
      <w:bCs/>
      <w:kern w:val="28"/>
      <w:sz w:val="32"/>
      <w:szCs w:val="32"/>
      <w:lang w:eastAsia="de-DE"/>
    </w:rPr>
  </w:style>
  <w:style w:type="character" w:customStyle="1" w:styleId="CommentTextChar1">
    <w:name w:val="Comment Text Char1"/>
    <w:basedOn w:val="DefaultParagraphFont"/>
    <w:uiPriority w:val="99"/>
    <w:rsid w:val="00001B40"/>
    <w:rPr>
      <w:rFonts w:asciiTheme="majorHAnsi" w:hAnsiTheme="majorHAnsi"/>
      <w:sz w:val="20"/>
      <w:szCs w:val="20"/>
      <w:lang w:val="en-GB" w:eastAsia="de-DE"/>
    </w:rPr>
  </w:style>
  <w:style w:type="paragraph" w:styleId="EndnoteText">
    <w:name w:val="endnote text"/>
    <w:basedOn w:val="Normal"/>
    <w:link w:val="EndnoteTextChar"/>
    <w:uiPriority w:val="99"/>
    <w:unhideWhenUsed/>
    <w:rsid w:val="00001B40"/>
    <w:pPr>
      <w:spacing w:line="276" w:lineRule="auto"/>
    </w:pPr>
    <w:rPr>
      <w:rFonts w:asciiTheme="majorHAnsi" w:hAnsiTheme="majorHAnsi"/>
      <w:sz w:val="20"/>
      <w:lang w:eastAsia="de-DE"/>
    </w:rPr>
  </w:style>
  <w:style w:type="character" w:customStyle="1" w:styleId="EndnoteTextChar">
    <w:name w:val="Endnote Text Char"/>
    <w:basedOn w:val="DefaultParagraphFont"/>
    <w:link w:val="EndnoteText"/>
    <w:uiPriority w:val="99"/>
    <w:rsid w:val="00001B40"/>
    <w:rPr>
      <w:rFonts w:asciiTheme="majorHAnsi" w:eastAsia="Times New Roman" w:hAnsiTheme="majorHAnsi"/>
      <w:lang w:eastAsia="de-DE"/>
    </w:rPr>
  </w:style>
  <w:style w:type="character" w:styleId="EndnoteReference">
    <w:name w:val="endnote reference"/>
    <w:uiPriority w:val="99"/>
    <w:unhideWhenUsed/>
    <w:rsid w:val="00001B40"/>
    <w:rPr>
      <w:vertAlign w:val="superscript"/>
    </w:rPr>
  </w:style>
  <w:style w:type="character" w:customStyle="1" w:styleId="CommentSubjectChar1">
    <w:name w:val="Comment Subject Char1"/>
    <w:basedOn w:val="CommentTextChar1"/>
    <w:uiPriority w:val="99"/>
    <w:semiHidden/>
    <w:rsid w:val="00001B40"/>
    <w:rPr>
      <w:rFonts w:asciiTheme="majorHAnsi" w:hAnsiTheme="majorHAnsi"/>
      <w:b/>
      <w:bCs/>
      <w:sz w:val="20"/>
      <w:szCs w:val="20"/>
      <w:lang w:val="en-GB" w:eastAsia="de-DE"/>
    </w:rPr>
  </w:style>
  <w:style w:type="character" w:styleId="FollowedHyperlink">
    <w:name w:val="FollowedHyperlink"/>
    <w:uiPriority w:val="99"/>
    <w:unhideWhenUsed/>
    <w:rsid w:val="00001B40"/>
    <w:rPr>
      <w:color w:val="800080"/>
      <w:u w:val="single"/>
    </w:rPr>
  </w:style>
  <w:style w:type="table" w:styleId="LightShading-Accent1">
    <w:name w:val="Light Shading Accent 1"/>
    <w:basedOn w:val="TableNormal"/>
    <w:uiPriority w:val="60"/>
    <w:rsid w:val="00001B40"/>
    <w:rPr>
      <w:rFonts w:asciiTheme="minorHAnsi" w:eastAsiaTheme="minorEastAsia" w:hAnsiTheme="minorHAnsi" w:cstheme="minorBidi"/>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rsid w:val="00001B40"/>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001B40"/>
    <w:rPr>
      <w:rFonts w:ascii="Times New Roman" w:eastAsia="Times New Roman" w:hAnsi="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iPriority w:val="99"/>
    <w:unhideWhenUsed/>
    <w:rsid w:val="00001B40"/>
  </w:style>
  <w:style w:type="paragraph" w:styleId="TOCHeading">
    <w:name w:val="TOC Heading"/>
    <w:basedOn w:val="Heading1"/>
    <w:next w:val="Normal"/>
    <w:uiPriority w:val="39"/>
    <w:unhideWhenUsed/>
    <w:qFormat/>
    <w:rsid w:val="00001B40"/>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customStyle="1" w:styleId="Style1">
    <w:name w:val="Style1"/>
    <w:basedOn w:val="Normal"/>
    <w:qFormat/>
    <w:rsid w:val="00001B40"/>
    <w:pPr>
      <w:spacing w:line="276" w:lineRule="auto"/>
    </w:pPr>
    <w:rPr>
      <w:rFonts w:asciiTheme="majorHAnsi" w:hAnsiTheme="majorHAnsi"/>
      <w:b/>
      <w:i/>
      <w:szCs w:val="22"/>
      <w:lang w:eastAsia="de-DE"/>
    </w:rPr>
  </w:style>
  <w:style w:type="character" w:styleId="PlaceholderText">
    <w:name w:val="Placeholder Text"/>
    <w:basedOn w:val="DefaultParagraphFont"/>
    <w:uiPriority w:val="67"/>
    <w:rsid w:val="00001B40"/>
    <w:rPr>
      <w:color w:val="808080"/>
    </w:rPr>
  </w:style>
  <w:style w:type="paragraph" w:styleId="DocumentMap">
    <w:name w:val="Document Map"/>
    <w:basedOn w:val="Normal"/>
    <w:link w:val="DocumentMapChar"/>
    <w:uiPriority w:val="99"/>
    <w:unhideWhenUsed/>
    <w:rsid w:val="00001B40"/>
    <w:pPr>
      <w:spacing w:before="0" w:after="0"/>
    </w:pPr>
    <w:rPr>
      <w:rFonts w:ascii="Lucida Grande" w:hAnsi="Lucida Grande" w:cs="Lucida Grande"/>
      <w:sz w:val="24"/>
      <w:szCs w:val="24"/>
      <w:lang w:eastAsia="de-DE"/>
    </w:rPr>
  </w:style>
  <w:style w:type="character" w:customStyle="1" w:styleId="DocumentMapChar">
    <w:name w:val="Document Map Char"/>
    <w:basedOn w:val="DefaultParagraphFont"/>
    <w:link w:val="DocumentMap"/>
    <w:uiPriority w:val="99"/>
    <w:rsid w:val="00001B40"/>
    <w:rPr>
      <w:rFonts w:ascii="Lucida Grande" w:eastAsia="Times New Roman" w:hAnsi="Lucida Grande" w:cs="Lucida Grande"/>
      <w:sz w:val="24"/>
      <w:szCs w:val="24"/>
      <w:lang w:eastAsia="de-DE"/>
    </w:rPr>
  </w:style>
  <w:style w:type="paragraph" w:customStyle="1" w:styleId="Default">
    <w:name w:val="Default"/>
    <w:rsid w:val="00001B40"/>
    <w:pPr>
      <w:autoSpaceDE w:val="0"/>
      <w:autoSpaceDN w:val="0"/>
      <w:adjustRightInd w:val="0"/>
    </w:pPr>
    <w:rPr>
      <w:rFonts w:ascii="Times New Roman" w:eastAsia="Times New Roman" w:hAnsi="Times New Roman"/>
      <w:color w:val="000000"/>
      <w:sz w:val="24"/>
      <w:szCs w:val="24"/>
      <w:lang w:val="nl-NL" w:eastAsia="en-US"/>
    </w:rPr>
  </w:style>
  <w:style w:type="table" w:customStyle="1" w:styleId="TableGrid2">
    <w:name w:val="Table Grid2"/>
    <w:basedOn w:val="TableNormal"/>
    <w:next w:val="TableGrid"/>
    <w:uiPriority w:val="59"/>
    <w:rsid w:val="00FC7B8D"/>
    <w:rPr>
      <w:rFonts w:ascii="Times New Roman" w:eastAsia="Times New Roman" w:hAnsi="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11DD9"/>
    <w:pPr>
      <w:suppressAutoHyphens/>
      <w:autoSpaceDN w:val="0"/>
      <w:spacing w:before="40" w:after="40"/>
      <w:jc w:val="both"/>
      <w:textAlignment w:val="baseline"/>
    </w:pPr>
    <w:rPr>
      <w:rFonts w:ascii="Times New Roman" w:eastAsia="Times New Roman" w:hAnsi="Times New Roman"/>
      <w:kern w:val="3"/>
      <w:sz w:val="22"/>
      <w:lang w:eastAsia="fr-FR"/>
    </w:rPr>
  </w:style>
  <w:style w:type="numbering" w:customStyle="1" w:styleId="WWNum6">
    <w:name w:val="WWNum6"/>
    <w:basedOn w:val="NoList"/>
    <w:rsid w:val="00F11DD9"/>
    <w:pPr>
      <w:numPr>
        <w:numId w:val="17"/>
      </w:numPr>
    </w:pPr>
  </w:style>
  <w:style w:type="character" w:customStyle="1" w:styleId="ListParagraphChar">
    <w:name w:val="List Paragraph Char"/>
    <w:link w:val="ListParagraph"/>
    <w:uiPriority w:val="34"/>
    <w:locked/>
    <w:rsid w:val="00F11DD9"/>
    <w:rPr>
      <w:rFonts w:asciiTheme="minorHAnsi" w:eastAsia="Times New Roman" w:hAnsiTheme="minorHAnsi"/>
      <w:sz w:val="22"/>
      <w:lang w:eastAsia="fr-FR"/>
    </w:rPr>
  </w:style>
  <w:style w:type="character" w:styleId="IntenseEmphasis">
    <w:name w:val="Intense Emphasis"/>
    <w:basedOn w:val="DefaultParagraphFont"/>
    <w:qFormat/>
    <w:rsid w:val="006260D4"/>
    <w:rPr>
      <w:b/>
      <w:bCs/>
      <w:i/>
      <w:iCs/>
      <w:color w:val="4F81BD" w:themeColor="accent1"/>
    </w:rPr>
  </w:style>
  <w:style w:type="table" w:styleId="LightList-Accent1">
    <w:name w:val="Light List Accent 1"/>
    <w:basedOn w:val="TableNormal"/>
    <w:uiPriority w:val="61"/>
    <w:rsid w:val="00A8728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Table Grid" w:uiPriority="59"/>
    <w:lsdException w:name="Placeholder Text" w:uiPriority="67"/>
    <w:lsdException w:name="No Spacing" w:qFormat="1"/>
    <w:lsdException w:name="Light Shading Accent 1" w:uiPriority="60"/>
    <w:lsdException w:name="Light List Accent 1" w:uiPriority="61"/>
    <w:lsdException w:name="Medium Shading 1 Accent 1" w:uiPriority="68"/>
    <w:lsdException w:name="Revision" w:uiPriority="99"/>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2A45E2"/>
    <w:pPr>
      <w:suppressAutoHyphens/>
      <w:spacing w:before="40" w:after="40"/>
      <w:jc w:val="both"/>
    </w:pPr>
    <w:rPr>
      <w:rFonts w:asciiTheme="minorHAnsi" w:eastAsia="Times New Roman" w:hAnsiTheme="minorHAns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uiPriority w:val="9"/>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uiPriority w:val="9"/>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uiPriority w:val="9"/>
    <w:rsid w:val="00D3209A"/>
    <w:rPr>
      <w:rFonts w:ascii="Calibri" w:eastAsia="Times New Roman" w:hAnsi="Calibri"/>
      <w:b/>
      <w:bCs/>
      <w:i/>
      <w:iCs/>
      <w:sz w:val="28"/>
      <w:szCs w:val="28"/>
      <w:lang w:eastAsia="fr-FR"/>
    </w:rPr>
  </w:style>
  <w:style w:type="character" w:customStyle="1" w:styleId="Heading3Char">
    <w:name w:val="Heading 3 Char"/>
    <w:link w:val="Heading3"/>
    <w:uiPriority w:val="9"/>
    <w:rsid w:val="00D3209A"/>
    <w:rPr>
      <w:rFonts w:ascii="Calibri" w:eastAsia="Times New Roman" w:hAnsi="Calibri"/>
      <w:b/>
      <w:bCs/>
      <w:sz w:val="26"/>
      <w:szCs w:val="26"/>
      <w:lang w:eastAsia="fr-FR"/>
    </w:rPr>
  </w:style>
  <w:style w:type="character" w:customStyle="1" w:styleId="Heading4Char">
    <w:name w:val="Heading 4 Char"/>
    <w:link w:val="Heading4"/>
    <w:uiPriority w:val="9"/>
    <w:rsid w:val="00D3209A"/>
    <w:rPr>
      <w:rFonts w:eastAsia="Times New Roman"/>
      <w:b/>
      <w:bCs/>
      <w:sz w:val="28"/>
      <w:szCs w:val="28"/>
      <w:lang w:eastAsia="fr-FR"/>
    </w:rPr>
  </w:style>
  <w:style w:type="character" w:customStyle="1" w:styleId="Heading5Char">
    <w:name w:val="Heading 5 Char"/>
    <w:link w:val="Heading5"/>
    <w:uiPriority w:val="9"/>
    <w:rsid w:val="00D3209A"/>
    <w:rPr>
      <w:rFonts w:eastAsia="Times New Roman"/>
      <w:b/>
      <w:bCs/>
      <w:i/>
      <w:iCs/>
      <w:sz w:val="26"/>
      <w:szCs w:val="26"/>
      <w:lang w:eastAsia="fr-FR"/>
    </w:rPr>
  </w:style>
  <w:style w:type="character" w:customStyle="1" w:styleId="Heading6Char">
    <w:name w:val="Heading 6 Char"/>
    <w:link w:val="Heading6"/>
    <w:uiPriority w:val="9"/>
    <w:rsid w:val="00D3209A"/>
    <w:rPr>
      <w:rFonts w:eastAsia="Times New Roman"/>
      <w:b/>
      <w:bCs/>
      <w:sz w:val="22"/>
      <w:szCs w:val="22"/>
      <w:lang w:eastAsia="fr-FR"/>
    </w:rPr>
  </w:style>
  <w:style w:type="character" w:customStyle="1" w:styleId="Heading7Char">
    <w:name w:val="Heading 7 Char"/>
    <w:link w:val="Heading7"/>
    <w:uiPriority w:val="9"/>
    <w:rsid w:val="00D3209A"/>
    <w:rPr>
      <w:rFonts w:eastAsia="Times New Roman"/>
      <w:sz w:val="24"/>
      <w:szCs w:val="24"/>
      <w:lang w:eastAsia="fr-FR"/>
    </w:rPr>
  </w:style>
  <w:style w:type="character" w:customStyle="1" w:styleId="Heading8Char">
    <w:name w:val="Heading 8 Char"/>
    <w:link w:val="Heading8"/>
    <w:uiPriority w:val="9"/>
    <w:rsid w:val="00D3209A"/>
    <w:rPr>
      <w:rFonts w:eastAsia="Times New Roman"/>
      <w:i/>
      <w:iCs/>
      <w:sz w:val="24"/>
      <w:szCs w:val="24"/>
      <w:lang w:eastAsia="fr-FR"/>
    </w:rPr>
  </w:style>
  <w:style w:type="character" w:customStyle="1" w:styleId="Heading9Char">
    <w:name w:val="Heading 9 Char"/>
    <w:link w:val="Heading9"/>
    <w:uiPriority w:val="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uiPriority w:val="39"/>
    <w:rsid w:val="0031291C"/>
    <w:pPr>
      <w:spacing w:before="0" w:after="0"/>
      <w:ind w:left="880"/>
      <w:jc w:val="left"/>
    </w:pPr>
    <w:rPr>
      <w:rFonts w:ascii="Cambria" w:hAnsi="Cambria"/>
      <w:sz w:val="20"/>
    </w:rPr>
  </w:style>
  <w:style w:type="paragraph" w:styleId="TOC6">
    <w:name w:val="toc 6"/>
    <w:basedOn w:val="Normal"/>
    <w:next w:val="Normal"/>
    <w:autoRedefine/>
    <w:uiPriority w:val="39"/>
    <w:rsid w:val="0031291C"/>
    <w:pPr>
      <w:spacing w:before="0" w:after="0"/>
      <w:ind w:left="1100"/>
      <w:jc w:val="left"/>
    </w:pPr>
    <w:rPr>
      <w:rFonts w:ascii="Cambria" w:hAnsi="Cambria"/>
      <w:sz w:val="20"/>
    </w:rPr>
  </w:style>
  <w:style w:type="paragraph" w:styleId="TOC7">
    <w:name w:val="toc 7"/>
    <w:basedOn w:val="Normal"/>
    <w:next w:val="Normal"/>
    <w:autoRedefine/>
    <w:uiPriority w:val="39"/>
    <w:rsid w:val="0031291C"/>
    <w:pPr>
      <w:spacing w:before="0" w:after="0"/>
      <w:ind w:left="1320"/>
      <w:jc w:val="left"/>
    </w:pPr>
    <w:rPr>
      <w:rFonts w:ascii="Cambria" w:hAnsi="Cambria"/>
      <w:sz w:val="20"/>
    </w:rPr>
  </w:style>
  <w:style w:type="paragraph" w:styleId="TOC8">
    <w:name w:val="toc 8"/>
    <w:basedOn w:val="Normal"/>
    <w:next w:val="Normal"/>
    <w:autoRedefine/>
    <w:uiPriority w:val="39"/>
    <w:rsid w:val="0031291C"/>
    <w:pPr>
      <w:spacing w:before="0" w:after="0"/>
      <w:ind w:left="1540"/>
      <w:jc w:val="left"/>
    </w:pPr>
    <w:rPr>
      <w:rFonts w:ascii="Cambria" w:hAnsi="Cambria"/>
      <w:sz w:val="20"/>
    </w:rPr>
  </w:style>
  <w:style w:type="paragraph" w:styleId="TO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link w:val="ListParagraphChar"/>
    <w:uiPriority w:val="34"/>
    <w:qFormat/>
    <w:rsid w:val="003F1E19"/>
    <w:pPr>
      <w:ind w:left="720"/>
      <w:contextualSpacing/>
    </w:pPr>
  </w:style>
  <w:style w:type="paragraph" w:styleId="FootnoteText">
    <w:name w:val="footnote text"/>
    <w:aliases w:val="Schriftart: 9 pt,Schriftart: 10 pt,Schriftart: 8 pt,WB-Fußnotentext,fn,Footnotes,Footnote ak,Footnote ak Carattere Carattere,Footnote ak Carattere"/>
    <w:basedOn w:val="Normal"/>
    <w:link w:val="FootnoteTextChar"/>
    <w:qFormat/>
    <w:rsid w:val="00E41486"/>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E41486"/>
    <w:rPr>
      <w:rFonts w:ascii="Times New Roman" w:eastAsia="Times New Roman" w:hAnsi="Times New Roman"/>
      <w:lang w:eastAsia="fr-FR"/>
    </w:rPr>
  </w:style>
  <w:style w:type="character" w:styleId="FootnoteReference">
    <w:name w:val="footnote reference"/>
    <w:aliases w:val="Footnote symbol"/>
    <w:basedOn w:val="DefaultParagraphFont"/>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uiPriority w:val="99"/>
    <w:rsid w:val="007A497A"/>
    <w:pPr>
      <w:spacing w:after="40"/>
    </w:pPr>
    <w:rPr>
      <w:b/>
      <w:bCs/>
      <w:sz w:val="20"/>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uiPriority w:val="59"/>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uiPriority w:val="99"/>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 w:type="character" w:customStyle="1" w:styleId="WW8Num2z0">
    <w:name w:val="WW8Num2z0"/>
    <w:rsid w:val="00001B40"/>
    <w:rPr>
      <w:rFonts w:ascii="Symbol" w:hAnsi="Symbol" w:cs="OpenSymbol"/>
    </w:rPr>
  </w:style>
  <w:style w:type="character" w:customStyle="1" w:styleId="Absatz-Standardschriftart">
    <w:name w:val="Absatz-Standardschriftart"/>
    <w:rsid w:val="00001B40"/>
  </w:style>
  <w:style w:type="character" w:customStyle="1" w:styleId="WW8Num1z0">
    <w:name w:val="WW8Num1z0"/>
    <w:rsid w:val="00001B40"/>
    <w:rPr>
      <w:rFonts w:ascii="Symbol" w:hAnsi="Symbol" w:cs="OpenSymbol"/>
    </w:rPr>
  </w:style>
  <w:style w:type="character" w:customStyle="1" w:styleId="WW8Num1z1">
    <w:name w:val="WW8Num1z1"/>
    <w:rsid w:val="00001B40"/>
    <w:rPr>
      <w:rFonts w:ascii="OpenSymbol" w:hAnsi="OpenSymbol" w:cs="OpenSymbol"/>
    </w:rPr>
  </w:style>
  <w:style w:type="character" w:customStyle="1" w:styleId="WW8Num2z1">
    <w:name w:val="WW8Num2z1"/>
    <w:rsid w:val="00001B40"/>
    <w:rPr>
      <w:rFonts w:ascii="OpenSymbol" w:hAnsi="OpenSymbol" w:cs="OpenSymbol"/>
    </w:rPr>
  </w:style>
  <w:style w:type="character" w:customStyle="1" w:styleId="WW8Num3z0">
    <w:name w:val="WW8Num3z0"/>
    <w:rsid w:val="00001B40"/>
    <w:rPr>
      <w:rFonts w:ascii="Symbol" w:hAnsi="Symbol" w:cs="OpenSymbol"/>
    </w:rPr>
  </w:style>
  <w:style w:type="character" w:customStyle="1" w:styleId="WW8Num3z1">
    <w:name w:val="WW8Num3z1"/>
    <w:rsid w:val="00001B40"/>
    <w:rPr>
      <w:rFonts w:ascii="OpenSymbol" w:hAnsi="OpenSymbol" w:cs="OpenSymbol"/>
    </w:rPr>
  </w:style>
  <w:style w:type="character" w:customStyle="1" w:styleId="WW-DefaultParagraphFont">
    <w:name w:val="WW-Default Paragraph Font"/>
    <w:rsid w:val="00001B40"/>
  </w:style>
  <w:style w:type="character" w:customStyle="1" w:styleId="CommentReference1">
    <w:name w:val="Comment Reference1"/>
    <w:basedOn w:val="WW-DefaultParagraphFont"/>
    <w:rsid w:val="00001B40"/>
  </w:style>
  <w:style w:type="character" w:customStyle="1" w:styleId="Bullets">
    <w:name w:val="Bullets"/>
    <w:rsid w:val="00001B40"/>
    <w:rPr>
      <w:rFonts w:ascii="OpenSymbol" w:eastAsia="OpenSymbol" w:hAnsi="OpenSymbol" w:cs="OpenSymbol"/>
    </w:rPr>
  </w:style>
  <w:style w:type="character" w:customStyle="1" w:styleId="hp">
    <w:name w:val="hp"/>
    <w:rsid w:val="00001B40"/>
  </w:style>
  <w:style w:type="paragraph" w:customStyle="1" w:styleId="Heading">
    <w:name w:val="Heading"/>
    <w:basedOn w:val="Normal"/>
    <w:next w:val="BodyText"/>
    <w:rsid w:val="00001B40"/>
    <w:pPr>
      <w:keepNext/>
      <w:spacing w:before="240" w:after="120" w:line="276" w:lineRule="auto"/>
    </w:pPr>
    <w:rPr>
      <w:rFonts w:ascii="Arial" w:eastAsia="SimSun" w:hAnsi="Arial" w:cs="Mangal"/>
      <w:sz w:val="28"/>
      <w:szCs w:val="28"/>
      <w:lang w:eastAsia="de-DE"/>
    </w:rPr>
  </w:style>
  <w:style w:type="paragraph" w:styleId="List">
    <w:name w:val="List"/>
    <w:basedOn w:val="BodyText"/>
    <w:rsid w:val="00001B40"/>
    <w:pPr>
      <w:spacing w:line="276" w:lineRule="auto"/>
    </w:pPr>
    <w:rPr>
      <w:rFonts w:asciiTheme="majorHAnsi" w:eastAsia="Times New Roman" w:hAnsiTheme="majorHAnsi" w:cs="Mangal"/>
      <w:szCs w:val="24"/>
      <w:lang w:eastAsia="de-DE"/>
    </w:rPr>
  </w:style>
  <w:style w:type="paragraph" w:customStyle="1" w:styleId="Index">
    <w:name w:val="Index"/>
    <w:basedOn w:val="Normal"/>
    <w:rsid w:val="00001B40"/>
    <w:pPr>
      <w:suppressLineNumbers/>
      <w:spacing w:line="276" w:lineRule="auto"/>
    </w:pPr>
    <w:rPr>
      <w:rFonts w:asciiTheme="majorHAnsi" w:hAnsiTheme="majorHAnsi" w:cs="Mangal"/>
      <w:szCs w:val="24"/>
      <w:lang w:eastAsia="de-DE"/>
    </w:rPr>
  </w:style>
  <w:style w:type="paragraph" w:customStyle="1" w:styleId="CommentText1">
    <w:name w:val="Comment Text1"/>
    <w:basedOn w:val="Normal"/>
    <w:uiPriority w:val="99"/>
    <w:rsid w:val="00001B40"/>
    <w:pPr>
      <w:spacing w:line="276" w:lineRule="auto"/>
    </w:pPr>
    <w:rPr>
      <w:rFonts w:asciiTheme="majorHAnsi" w:hAnsiTheme="majorHAnsi"/>
      <w:szCs w:val="24"/>
      <w:lang w:eastAsia="de-DE"/>
    </w:rPr>
  </w:style>
  <w:style w:type="paragraph" w:customStyle="1" w:styleId="CommentSubject1">
    <w:name w:val="Comment Subject1"/>
    <w:basedOn w:val="CommentText1"/>
    <w:rsid w:val="00001B40"/>
  </w:style>
  <w:style w:type="character" w:customStyle="1" w:styleId="BalloonTextChar1">
    <w:name w:val="Balloon Text Char1"/>
    <w:basedOn w:val="DefaultParagraphFont"/>
    <w:rsid w:val="00001B40"/>
    <w:rPr>
      <w:rFonts w:asciiTheme="majorHAnsi" w:hAnsiTheme="majorHAnsi"/>
      <w:sz w:val="22"/>
      <w:lang w:val="en-GB" w:eastAsia="de-DE"/>
    </w:rPr>
  </w:style>
  <w:style w:type="paragraph" w:customStyle="1" w:styleId="TableContents">
    <w:name w:val="Table Contents"/>
    <w:basedOn w:val="Normal"/>
    <w:rsid w:val="00001B40"/>
    <w:pPr>
      <w:suppressLineNumbers/>
      <w:spacing w:line="276" w:lineRule="auto"/>
    </w:pPr>
    <w:rPr>
      <w:rFonts w:asciiTheme="majorHAnsi" w:hAnsiTheme="majorHAnsi"/>
      <w:szCs w:val="24"/>
      <w:lang w:eastAsia="de-DE"/>
    </w:rPr>
  </w:style>
  <w:style w:type="paragraph" w:customStyle="1" w:styleId="TableHeading">
    <w:name w:val="Table Heading"/>
    <w:basedOn w:val="TableContents"/>
    <w:rsid w:val="00001B40"/>
    <w:pPr>
      <w:jc w:val="center"/>
    </w:pPr>
    <w:rPr>
      <w:b/>
      <w:bCs/>
    </w:rPr>
  </w:style>
  <w:style w:type="paragraph" w:customStyle="1" w:styleId="PreformattedText">
    <w:name w:val="Preformatted Text"/>
    <w:basedOn w:val="Normal"/>
    <w:rsid w:val="00001B40"/>
    <w:pPr>
      <w:spacing w:line="276" w:lineRule="auto"/>
    </w:pPr>
    <w:rPr>
      <w:rFonts w:ascii="Courier New" w:eastAsia="Courier New" w:hAnsi="Courier New" w:cs="Courier New"/>
      <w:sz w:val="20"/>
      <w:lang w:eastAsia="de-DE"/>
    </w:rPr>
  </w:style>
  <w:style w:type="paragraph" w:customStyle="1" w:styleId="Framecontents">
    <w:name w:val="Frame contents"/>
    <w:basedOn w:val="BodyText"/>
    <w:rsid w:val="00001B40"/>
    <w:pPr>
      <w:spacing w:line="276" w:lineRule="auto"/>
    </w:pPr>
    <w:rPr>
      <w:rFonts w:asciiTheme="majorHAnsi" w:eastAsia="Times New Roman" w:hAnsiTheme="majorHAnsi"/>
      <w:szCs w:val="24"/>
      <w:lang w:eastAsia="de-DE"/>
    </w:rPr>
  </w:style>
  <w:style w:type="paragraph" w:styleId="Title">
    <w:name w:val="Title"/>
    <w:basedOn w:val="Normal"/>
    <w:next w:val="Normal"/>
    <w:link w:val="TitleChar"/>
    <w:uiPriority w:val="10"/>
    <w:qFormat/>
    <w:rsid w:val="00001B40"/>
    <w:pPr>
      <w:spacing w:before="240" w:after="60" w:line="276" w:lineRule="auto"/>
      <w:jc w:val="center"/>
      <w:outlineLvl w:val="0"/>
    </w:pPr>
    <w:rPr>
      <w:rFonts w:ascii="Cambria" w:hAnsi="Cambria"/>
      <w:b/>
      <w:bCs/>
      <w:kern w:val="28"/>
      <w:sz w:val="32"/>
      <w:szCs w:val="32"/>
      <w:lang w:eastAsia="de-DE"/>
    </w:rPr>
  </w:style>
  <w:style w:type="character" w:customStyle="1" w:styleId="TitleChar">
    <w:name w:val="Title Char"/>
    <w:basedOn w:val="DefaultParagraphFont"/>
    <w:link w:val="Title"/>
    <w:uiPriority w:val="10"/>
    <w:rsid w:val="00001B40"/>
    <w:rPr>
      <w:rFonts w:eastAsia="Times New Roman"/>
      <w:b/>
      <w:bCs/>
      <w:kern w:val="28"/>
      <w:sz w:val="32"/>
      <w:szCs w:val="32"/>
      <w:lang w:eastAsia="de-DE"/>
    </w:rPr>
  </w:style>
  <w:style w:type="character" w:customStyle="1" w:styleId="CommentTextChar1">
    <w:name w:val="Comment Text Char1"/>
    <w:basedOn w:val="DefaultParagraphFont"/>
    <w:uiPriority w:val="99"/>
    <w:rsid w:val="00001B40"/>
    <w:rPr>
      <w:rFonts w:asciiTheme="majorHAnsi" w:hAnsiTheme="majorHAnsi"/>
      <w:sz w:val="20"/>
      <w:szCs w:val="20"/>
      <w:lang w:val="en-GB" w:eastAsia="de-DE"/>
    </w:rPr>
  </w:style>
  <w:style w:type="paragraph" w:styleId="EndnoteText">
    <w:name w:val="endnote text"/>
    <w:basedOn w:val="Normal"/>
    <w:link w:val="EndnoteTextChar"/>
    <w:uiPriority w:val="99"/>
    <w:unhideWhenUsed/>
    <w:rsid w:val="00001B40"/>
    <w:pPr>
      <w:spacing w:line="276" w:lineRule="auto"/>
    </w:pPr>
    <w:rPr>
      <w:rFonts w:asciiTheme="majorHAnsi" w:hAnsiTheme="majorHAnsi"/>
      <w:sz w:val="20"/>
      <w:lang w:eastAsia="de-DE"/>
    </w:rPr>
  </w:style>
  <w:style w:type="character" w:customStyle="1" w:styleId="EndnoteTextChar">
    <w:name w:val="Endnote Text Char"/>
    <w:basedOn w:val="DefaultParagraphFont"/>
    <w:link w:val="EndnoteText"/>
    <w:uiPriority w:val="99"/>
    <w:rsid w:val="00001B40"/>
    <w:rPr>
      <w:rFonts w:asciiTheme="majorHAnsi" w:eastAsia="Times New Roman" w:hAnsiTheme="majorHAnsi"/>
      <w:lang w:eastAsia="de-DE"/>
    </w:rPr>
  </w:style>
  <w:style w:type="character" w:styleId="EndnoteReference">
    <w:name w:val="endnote reference"/>
    <w:uiPriority w:val="99"/>
    <w:unhideWhenUsed/>
    <w:rsid w:val="00001B40"/>
    <w:rPr>
      <w:vertAlign w:val="superscript"/>
    </w:rPr>
  </w:style>
  <w:style w:type="character" w:customStyle="1" w:styleId="CommentSubjectChar1">
    <w:name w:val="Comment Subject Char1"/>
    <w:basedOn w:val="CommentTextChar1"/>
    <w:uiPriority w:val="99"/>
    <w:semiHidden/>
    <w:rsid w:val="00001B40"/>
    <w:rPr>
      <w:rFonts w:asciiTheme="majorHAnsi" w:hAnsiTheme="majorHAnsi"/>
      <w:b/>
      <w:bCs/>
      <w:sz w:val="20"/>
      <w:szCs w:val="20"/>
      <w:lang w:val="en-GB" w:eastAsia="de-DE"/>
    </w:rPr>
  </w:style>
  <w:style w:type="character" w:styleId="FollowedHyperlink">
    <w:name w:val="FollowedHyperlink"/>
    <w:uiPriority w:val="99"/>
    <w:unhideWhenUsed/>
    <w:rsid w:val="00001B40"/>
    <w:rPr>
      <w:color w:val="800080"/>
      <w:u w:val="single"/>
    </w:rPr>
  </w:style>
  <w:style w:type="table" w:styleId="LightShading-Accent1">
    <w:name w:val="Light Shading Accent 1"/>
    <w:basedOn w:val="TableNormal"/>
    <w:uiPriority w:val="60"/>
    <w:rsid w:val="00001B40"/>
    <w:rPr>
      <w:rFonts w:asciiTheme="minorHAnsi" w:eastAsiaTheme="minorEastAsia" w:hAnsiTheme="minorHAnsi" w:cstheme="minorBidi"/>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rsid w:val="00001B40"/>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001B40"/>
    <w:rPr>
      <w:rFonts w:ascii="Times New Roman" w:eastAsia="Times New Roman" w:hAnsi="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iPriority w:val="99"/>
    <w:unhideWhenUsed/>
    <w:rsid w:val="00001B40"/>
  </w:style>
  <w:style w:type="paragraph" w:styleId="TOCHeading">
    <w:name w:val="TOC Heading"/>
    <w:basedOn w:val="Heading1"/>
    <w:next w:val="Normal"/>
    <w:uiPriority w:val="39"/>
    <w:unhideWhenUsed/>
    <w:qFormat/>
    <w:rsid w:val="00001B40"/>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customStyle="1" w:styleId="Style1">
    <w:name w:val="Style1"/>
    <w:basedOn w:val="Normal"/>
    <w:qFormat/>
    <w:rsid w:val="00001B40"/>
    <w:pPr>
      <w:spacing w:line="276" w:lineRule="auto"/>
    </w:pPr>
    <w:rPr>
      <w:rFonts w:asciiTheme="majorHAnsi" w:hAnsiTheme="majorHAnsi"/>
      <w:b/>
      <w:i/>
      <w:szCs w:val="22"/>
      <w:lang w:eastAsia="de-DE"/>
    </w:rPr>
  </w:style>
  <w:style w:type="character" w:styleId="PlaceholderText">
    <w:name w:val="Placeholder Text"/>
    <w:basedOn w:val="DefaultParagraphFont"/>
    <w:uiPriority w:val="67"/>
    <w:rsid w:val="00001B40"/>
    <w:rPr>
      <w:color w:val="808080"/>
    </w:rPr>
  </w:style>
  <w:style w:type="paragraph" w:styleId="DocumentMap">
    <w:name w:val="Document Map"/>
    <w:basedOn w:val="Normal"/>
    <w:link w:val="DocumentMapChar"/>
    <w:uiPriority w:val="99"/>
    <w:unhideWhenUsed/>
    <w:rsid w:val="00001B40"/>
    <w:pPr>
      <w:spacing w:before="0" w:after="0"/>
    </w:pPr>
    <w:rPr>
      <w:rFonts w:ascii="Lucida Grande" w:hAnsi="Lucida Grande" w:cs="Lucida Grande"/>
      <w:sz w:val="24"/>
      <w:szCs w:val="24"/>
      <w:lang w:eastAsia="de-DE"/>
    </w:rPr>
  </w:style>
  <w:style w:type="character" w:customStyle="1" w:styleId="DocumentMapChar">
    <w:name w:val="Document Map Char"/>
    <w:basedOn w:val="DefaultParagraphFont"/>
    <w:link w:val="DocumentMap"/>
    <w:uiPriority w:val="99"/>
    <w:rsid w:val="00001B40"/>
    <w:rPr>
      <w:rFonts w:ascii="Lucida Grande" w:eastAsia="Times New Roman" w:hAnsi="Lucida Grande" w:cs="Lucida Grande"/>
      <w:sz w:val="24"/>
      <w:szCs w:val="24"/>
      <w:lang w:eastAsia="de-DE"/>
    </w:rPr>
  </w:style>
  <w:style w:type="paragraph" w:customStyle="1" w:styleId="Default">
    <w:name w:val="Default"/>
    <w:rsid w:val="00001B40"/>
    <w:pPr>
      <w:autoSpaceDE w:val="0"/>
      <w:autoSpaceDN w:val="0"/>
      <w:adjustRightInd w:val="0"/>
    </w:pPr>
    <w:rPr>
      <w:rFonts w:ascii="Times New Roman" w:eastAsia="Times New Roman" w:hAnsi="Times New Roman"/>
      <w:color w:val="000000"/>
      <w:sz w:val="24"/>
      <w:szCs w:val="24"/>
      <w:lang w:val="nl-NL" w:eastAsia="en-US"/>
    </w:rPr>
  </w:style>
  <w:style w:type="table" w:customStyle="1" w:styleId="TableGrid2">
    <w:name w:val="Table Grid2"/>
    <w:basedOn w:val="TableNormal"/>
    <w:next w:val="TableGrid"/>
    <w:uiPriority w:val="59"/>
    <w:rsid w:val="00FC7B8D"/>
    <w:rPr>
      <w:rFonts w:ascii="Times New Roman" w:eastAsia="Times New Roman" w:hAnsi="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F11DD9"/>
    <w:pPr>
      <w:suppressAutoHyphens/>
      <w:autoSpaceDN w:val="0"/>
      <w:spacing w:before="40" w:after="40"/>
      <w:jc w:val="both"/>
      <w:textAlignment w:val="baseline"/>
    </w:pPr>
    <w:rPr>
      <w:rFonts w:ascii="Times New Roman" w:eastAsia="Times New Roman" w:hAnsi="Times New Roman"/>
      <w:kern w:val="3"/>
      <w:sz w:val="22"/>
      <w:lang w:eastAsia="fr-FR"/>
    </w:rPr>
  </w:style>
  <w:style w:type="numbering" w:customStyle="1" w:styleId="WWNum6">
    <w:name w:val="WWNum6"/>
    <w:basedOn w:val="NoList"/>
    <w:rsid w:val="00F11DD9"/>
    <w:pPr>
      <w:numPr>
        <w:numId w:val="17"/>
      </w:numPr>
    </w:pPr>
  </w:style>
  <w:style w:type="character" w:customStyle="1" w:styleId="ListParagraphChar">
    <w:name w:val="List Paragraph Char"/>
    <w:link w:val="ListParagraph"/>
    <w:uiPriority w:val="34"/>
    <w:locked/>
    <w:rsid w:val="00F11DD9"/>
    <w:rPr>
      <w:rFonts w:asciiTheme="minorHAnsi" w:eastAsia="Times New Roman" w:hAnsiTheme="minorHAnsi"/>
      <w:sz w:val="22"/>
      <w:lang w:eastAsia="fr-FR"/>
    </w:rPr>
  </w:style>
  <w:style w:type="character" w:styleId="IntenseEmphasis">
    <w:name w:val="Intense Emphasis"/>
    <w:basedOn w:val="DefaultParagraphFont"/>
    <w:qFormat/>
    <w:rsid w:val="006260D4"/>
    <w:rPr>
      <w:b/>
      <w:bCs/>
      <w:i/>
      <w:iCs/>
      <w:color w:val="4F81BD" w:themeColor="accent1"/>
    </w:rPr>
  </w:style>
  <w:style w:type="table" w:styleId="LightList-Accent1">
    <w:name w:val="Light List Accent 1"/>
    <w:basedOn w:val="TableNormal"/>
    <w:uiPriority w:val="61"/>
    <w:rsid w:val="00A8728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9626">
      <w:bodyDiv w:val="1"/>
      <w:marLeft w:val="0"/>
      <w:marRight w:val="0"/>
      <w:marTop w:val="0"/>
      <w:marBottom w:val="0"/>
      <w:divBdr>
        <w:top w:val="none" w:sz="0" w:space="0" w:color="auto"/>
        <w:left w:val="none" w:sz="0" w:space="0" w:color="auto"/>
        <w:bottom w:val="none" w:sz="0" w:space="0" w:color="auto"/>
        <w:right w:val="none" w:sz="0" w:space="0" w:color="auto"/>
      </w:divBdr>
    </w:div>
    <w:div w:id="128669859">
      <w:bodyDiv w:val="1"/>
      <w:marLeft w:val="0"/>
      <w:marRight w:val="0"/>
      <w:marTop w:val="0"/>
      <w:marBottom w:val="0"/>
      <w:divBdr>
        <w:top w:val="none" w:sz="0" w:space="0" w:color="auto"/>
        <w:left w:val="none" w:sz="0" w:space="0" w:color="auto"/>
        <w:bottom w:val="none" w:sz="0" w:space="0" w:color="auto"/>
        <w:right w:val="none" w:sz="0" w:space="0" w:color="auto"/>
      </w:divBdr>
    </w:div>
    <w:div w:id="176892248">
      <w:bodyDiv w:val="1"/>
      <w:marLeft w:val="0"/>
      <w:marRight w:val="0"/>
      <w:marTop w:val="0"/>
      <w:marBottom w:val="0"/>
      <w:divBdr>
        <w:top w:val="none" w:sz="0" w:space="0" w:color="auto"/>
        <w:left w:val="none" w:sz="0" w:space="0" w:color="auto"/>
        <w:bottom w:val="none" w:sz="0" w:space="0" w:color="auto"/>
        <w:right w:val="none" w:sz="0" w:space="0" w:color="auto"/>
      </w:divBdr>
    </w:div>
    <w:div w:id="252513167">
      <w:bodyDiv w:val="1"/>
      <w:marLeft w:val="0"/>
      <w:marRight w:val="0"/>
      <w:marTop w:val="0"/>
      <w:marBottom w:val="0"/>
      <w:divBdr>
        <w:top w:val="none" w:sz="0" w:space="0" w:color="auto"/>
        <w:left w:val="none" w:sz="0" w:space="0" w:color="auto"/>
        <w:bottom w:val="none" w:sz="0" w:space="0" w:color="auto"/>
        <w:right w:val="none" w:sz="0" w:space="0" w:color="auto"/>
      </w:divBdr>
    </w:div>
    <w:div w:id="428701348">
      <w:bodyDiv w:val="1"/>
      <w:marLeft w:val="0"/>
      <w:marRight w:val="0"/>
      <w:marTop w:val="0"/>
      <w:marBottom w:val="0"/>
      <w:divBdr>
        <w:top w:val="none" w:sz="0" w:space="0" w:color="auto"/>
        <w:left w:val="none" w:sz="0" w:space="0" w:color="auto"/>
        <w:bottom w:val="none" w:sz="0" w:space="0" w:color="auto"/>
        <w:right w:val="none" w:sz="0" w:space="0" w:color="auto"/>
      </w:divBdr>
      <w:divsChild>
        <w:div w:id="664943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535933">
      <w:bodyDiv w:val="1"/>
      <w:marLeft w:val="0"/>
      <w:marRight w:val="0"/>
      <w:marTop w:val="0"/>
      <w:marBottom w:val="0"/>
      <w:divBdr>
        <w:top w:val="none" w:sz="0" w:space="0" w:color="auto"/>
        <w:left w:val="none" w:sz="0" w:space="0" w:color="auto"/>
        <w:bottom w:val="none" w:sz="0" w:space="0" w:color="auto"/>
        <w:right w:val="none" w:sz="0" w:space="0" w:color="auto"/>
      </w:divBdr>
    </w:div>
    <w:div w:id="544484176">
      <w:bodyDiv w:val="1"/>
      <w:marLeft w:val="0"/>
      <w:marRight w:val="0"/>
      <w:marTop w:val="0"/>
      <w:marBottom w:val="0"/>
      <w:divBdr>
        <w:top w:val="none" w:sz="0" w:space="0" w:color="auto"/>
        <w:left w:val="none" w:sz="0" w:space="0" w:color="auto"/>
        <w:bottom w:val="none" w:sz="0" w:space="0" w:color="auto"/>
        <w:right w:val="none" w:sz="0" w:space="0" w:color="auto"/>
      </w:divBdr>
    </w:div>
    <w:div w:id="622812367">
      <w:bodyDiv w:val="1"/>
      <w:marLeft w:val="0"/>
      <w:marRight w:val="0"/>
      <w:marTop w:val="0"/>
      <w:marBottom w:val="0"/>
      <w:divBdr>
        <w:top w:val="none" w:sz="0" w:space="0" w:color="auto"/>
        <w:left w:val="none" w:sz="0" w:space="0" w:color="auto"/>
        <w:bottom w:val="none" w:sz="0" w:space="0" w:color="auto"/>
        <w:right w:val="none" w:sz="0" w:space="0" w:color="auto"/>
      </w:divBdr>
      <w:divsChild>
        <w:div w:id="72245043">
          <w:marLeft w:val="0"/>
          <w:marRight w:val="0"/>
          <w:marTop w:val="0"/>
          <w:marBottom w:val="0"/>
          <w:divBdr>
            <w:top w:val="none" w:sz="0" w:space="0" w:color="auto"/>
            <w:left w:val="none" w:sz="0" w:space="0" w:color="auto"/>
            <w:bottom w:val="none" w:sz="0" w:space="0" w:color="auto"/>
            <w:right w:val="none" w:sz="0" w:space="0" w:color="auto"/>
          </w:divBdr>
        </w:div>
        <w:div w:id="1377579129">
          <w:marLeft w:val="0"/>
          <w:marRight w:val="0"/>
          <w:marTop w:val="0"/>
          <w:marBottom w:val="0"/>
          <w:divBdr>
            <w:top w:val="none" w:sz="0" w:space="0" w:color="auto"/>
            <w:left w:val="none" w:sz="0" w:space="0" w:color="auto"/>
            <w:bottom w:val="none" w:sz="0" w:space="0" w:color="auto"/>
            <w:right w:val="none" w:sz="0" w:space="0" w:color="auto"/>
          </w:divBdr>
        </w:div>
      </w:divsChild>
    </w:div>
    <w:div w:id="687683065">
      <w:bodyDiv w:val="1"/>
      <w:marLeft w:val="0"/>
      <w:marRight w:val="0"/>
      <w:marTop w:val="0"/>
      <w:marBottom w:val="0"/>
      <w:divBdr>
        <w:top w:val="none" w:sz="0" w:space="0" w:color="auto"/>
        <w:left w:val="none" w:sz="0" w:space="0" w:color="auto"/>
        <w:bottom w:val="none" w:sz="0" w:space="0" w:color="auto"/>
        <w:right w:val="none" w:sz="0" w:space="0" w:color="auto"/>
      </w:divBdr>
    </w:div>
    <w:div w:id="772894858">
      <w:bodyDiv w:val="1"/>
      <w:marLeft w:val="0"/>
      <w:marRight w:val="0"/>
      <w:marTop w:val="0"/>
      <w:marBottom w:val="0"/>
      <w:divBdr>
        <w:top w:val="none" w:sz="0" w:space="0" w:color="auto"/>
        <w:left w:val="none" w:sz="0" w:space="0" w:color="auto"/>
        <w:bottom w:val="none" w:sz="0" w:space="0" w:color="auto"/>
        <w:right w:val="none" w:sz="0" w:space="0" w:color="auto"/>
      </w:divBdr>
    </w:div>
    <w:div w:id="1130897624">
      <w:bodyDiv w:val="1"/>
      <w:marLeft w:val="0"/>
      <w:marRight w:val="0"/>
      <w:marTop w:val="0"/>
      <w:marBottom w:val="0"/>
      <w:divBdr>
        <w:top w:val="none" w:sz="0" w:space="0" w:color="auto"/>
        <w:left w:val="none" w:sz="0" w:space="0" w:color="auto"/>
        <w:bottom w:val="none" w:sz="0" w:space="0" w:color="auto"/>
        <w:right w:val="none" w:sz="0" w:space="0" w:color="auto"/>
      </w:divBdr>
    </w:div>
    <w:div w:id="1146816468">
      <w:bodyDiv w:val="1"/>
      <w:marLeft w:val="0"/>
      <w:marRight w:val="0"/>
      <w:marTop w:val="0"/>
      <w:marBottom w:val="0"/>
      <w:divBdr>
        <w:top w:val="none" w:sz="0" w:space="0" w:color="auto"/>
        <w:left w:val="none" w:sz="0" w:space="0" w:color="auto"/>
        <w:bottom w:val="none" w:sz="0" w:space="0" w:color="auto"/>
        <w:right w:val="none" w:sz="0" w:space="0" w:color="auto"/>
      </w:divBdr>
      <w:divsChild>
        <w:div w:id="1138768431">
          <w:marLeft w:val="0"/>
          <w:marRight w:val="0"/>
          <w:marTop w:val="0"/>
          <w:marBottom w:val="0"/>
          <w:divBdr>
            <w:top w:val="none" w:sz="0" w:space="0" w:color="auto"/>
            <w:left w:val="none" w:sz="0" w:space="0" w:color="auto"/>
            <w:bottom w:val="none" w:sz="0" w:space="0" w:color="auto"/>
            <w:right w:val="none" w:sz="0" w:space="0" w:color="auto"/>
          </w:divBdr>
        </w:div>
        <w:div w:id="937636441">
          <w:marLeft w:val="0"/>
          <w:marRight w:val="0"/>
          <w:marTop w:val="0"/>
          <w:marBottom w:val="0"/>
          <w:divBdr>
            <w:top w:val="none" w:sz="0" w:space="0" w:color="auto"/>
            <w:left w:val="none" w:sz="0" w:space="0" w:color="auto"/>
            <w:bottom w:val="none" w:sz="0" w:space="0" w:color="auto"/>
            <w:right w:val="none" w:sz="0" w:space="0" w:color="auto"/>
          </w:divBdr>
        </w:div>
        <w:div w:id="106320672">
          <w:marLeft w:val="0"/>
          <w:marRight w:val="0"/>
          <w:marTop w:val="0"/>
          <w:marBottom w:val="0"/>
          <w:divBdr>
            <w:top w:val="none" w:sz="0" w:space="0" w:color="auto"/>
            <w:left w:val="none" w:sz="0" w:space="0" w:color="auto"/>
            <w:bottom w:val="none" w:sz="0" w:space="0" w:color="auto"/>
            <w:right w:val="none" w:sz="0" w:space="0" w:color="auto"/>
          </w:divBdr>
        </w:div>
        <w:div w:id="167402753">
          <w:marLeft w:val="0"/>
          <w:marRight w:val="0"/>
          <w:marTop w:val="0"/>
          <w:marBottom w:val="0"/>
          <w:divBdr>
            <w:top w:val="none" w:sz="0" w:space="0" w:color="auto"/>
            <w:left w:val="none" w:sz="0" w:space="0" w:color="auto"/>
            <w:bottom w:val="none" w:sz="0" w:space="0" w:color="auto"/>
            <w:right w:val="none" w:sz="0" w:space="0" w:color="auto"/>
          </w:divBdr>
        </w:div>
        <w:div w:id="161547219">
          <w:marLeft w:val="0"/>
          <w:marRight w:val="0"/>
          <w:marTop w:val="0"/>
          <w:marBottom w:val="0"/>
          <w:divBdr>
            <w:top w:val="none" w:sz="0" w:space="0" w:color="auto"/>
            <w:left w:val="none" w:sz="0" w:space="0" w:color="auto"/>
            <w:bottom w:val="none" w:sz="0" w:space="0" w:color="auto"/>
            <w:right w:val="none" w:sz="0" w:space="0" w:color="auto"/>
          </w:divBdr>
        </w:div>
        <w:div w:id="881021757">
          <w:marLeft w:val="0"/>
          <w:marRight w:val="0"/>
          <w:marTop w:val="0"/>
          <w:marBottom w:val="0"/>
          <w:divBdr>
            <w:top w:val="none" w:sz="0" w:space="0" w:color="auto"/>
            <w:left w:val="none" w:sz="0" w:space="0" w:color="auto"/>
            <w:bottom w:val="none" w:sz="0" w:space="0" w:color="auto"/>
            <w:right w:val="none" w:sz="0" w:space="0" w:color="auto"/>
          </w:divBdr>
        </w:div>
        <w:div w:id="2016958965">
          <w:marLeft w:val="0"/>
          <w:marRight w:val="0"/>
          <w:marTop w:val="0"/>
          <w:marBottom w:val="0"/>
          <w:divBdr>
            <w:top w:val="none" w:sz="0" w:space="0" w:color="auto"/>
            <w:left w:val="none" w:sz="0" w:space="0" w:color="auto"/>
            <w:bottom w:val="none" w:sz="0" w:space="0" w:color="auto"/>
            <w:right w:val="none" w:sz="0" w:space="0" w:color="auto"/>
          </w:divBdr>
        </w:div>
        <w:div w:id="754787059">
          <w:marLeft w:val="0"/>
          <w:marRight w:val="0"/>
          <w:marTop w:val="0"/>
          <w:marBottom w:val="0"/>
          <w:divBdr>
            <w:top w:val="none" w:sz="0" w:space="0" w:color="auto"/>
            <w:left w:val="none" w:sz="0" w:space="0" w:color="auto"/>
            <w:bottom w:val="none" w:sz="0" w:space="0" w:color="auto"/>
            <w:right w:val="none" w:sz="0" w:space="0" w:color="auto"/>
          </w:divBdr>
        </w:div>
      </w:divsChild>
    </w:div>
    <w:div w:id="1544832409">
      <w:bodyDiv w:val="1"/>
      <w:marLeft w:val="0"/>
      <w:marRight w:val="0"/>
      <w:marTop w:val="0"/>
      <w:marBottom w:val="0"/>
      <w:divBdr>
        <w:top w:val="none" w:sz="0" w:space="0" w:color="auto"/>
        <w:left w:val="none" w:sz="0" w:space="0" w:color="auto"/>
        <w:bottom w:val="none" w:sz="0" w:space="0" w:color="auto"/>
        <w:right w:val="none" w:sz="0" w:space="0" w:color="auto"/>
      </w:divBdr>
    </w:div>
    <w:div w:id="1758020499">
      <w:bodyDiv w:val="1"/>
      <w:marLeft w:val="0"/>
      <w:marRight w:val="0"/>
      <w:marTop w:val="0"/>
      <w:marBottom w:val="0"/>
      <w:divBdr>
        <w:top w:val="none" w:sz="0" w:space="0" w:color="auto"/>
        <w:left w:val="none" w:sz="0" w:space="0" w:color="auto"/>
        <w:bottom w:val="none" w:sz="0" w:space="0" w:color="auto"/>
        <w:right w:val="none" w:sz="0" w:space="0" w:color="auto"/>
      </w:divBdr>
    </w:div>
    <w:div w:id="1832716914">
      <w:bodyDiv w:val="1"/>
      <w:marLeft w:val="0"/>
      <w:marRight w:val="0"/>
      <w:marTop w:val="0"/>
      <w:marBottom w:val="0"/>
      <w:divBdr>
        <w:top w:val="none" w:sz="0" w:space="0" w:color="auto"/>
        <w:left w:val="none" w:sz="0" w:space="0" w:color="auto"/>
        <w:bottom w:val="none" w:sz="0" w:space="0" w:color="auto"/>
        <w:right w:val="none" w:sz="0" w:space="0" w:color="auto"/>
      </w:divBdr>
      <w:divsChild>
        <w:div w:id="31462598">
          <w:marLeft w:val="0"/>
          <w:marRight w:val="0"/>
          <w:marTop w:val="0"/>
          <w:marBottom w:val="0"/>
          <w:divBdr>
            <w:top w:val="none" w:sz="0" w:space="0" w:color="auto"/>
            <w:left w:val="none" w:sz="0" w:space="0" w:color="auto"/>
            <w:bottom w:val="none" w:sz="0" w:space="0" w:color="auto"/>
            <w:right w:val="none" w:sz="0" w:space="0" w:color="auto"/>
          </w:divBdr>
        </w:div>
      </w:divsChild>
    </w:div>
    <w:div w:id="1870485988">
      <w:bodyDiv w:val="1"/>
      <w:marLeft w:val="0"/>
      <w:marRight w:val="0"/>
      <w:marTop w:val="0"/>
      <w:marBottom w:val="0"/>
      <w:divBdr>
        <w:top w:val="none" w:sz="0" w:space="0" w:color="auto"/>
        <w:left w:val="none" w:sz="0" w:space="0" w:color="auto"/>
        <w:bottom w:val="none" w:sz="0" w:space="0" w:color="auto"/>
        <w:right w:val="none" w:sz="0" w:space="0" w:color="auto"/>
      </w:divBdr>
      <w:divsChild>
        <w:div w:id="1233811275">
          <w:marLeft w:val="0"/>
          <w:marRight w:val="0"/>
          <w:marTop w:val="0"/>
          <w:marBottom w:val="0"/>
          <w:divBdr>
            <w:top w:val="none" w:sz="0" w:space="0" w:color="auto"/>
            <w:left w:val="none" w:sz="0" w:space="0" w:color="auto"/>
            <w:bottom w:val="none" w:sz="0" w:space="0" w:color="auto"/>
            <w:right w:val="none" w:sz="0" w:space="0" w:color="auto"/>
          </w:divBdr>
        </w:div>
        <w:div w:id="471139181">
          <w:marLeft w:val="0"/>
          <w:marRight w:val="0"/>
          <w:marTop w:val="0"/>
          <w:marBottom w:val="0"/>
          <w:divBdr>
            <w:top w:val="none" w:sz="0" w:space="0" w:color="auto"/>
            <w:left w:val="none" w:sz="0" w:space="0" w:color="auto"/>
            <w:bottom w:val="none" w:sz="0" w:space="0" w:color="auto"/>
            <w:right w:val="none" w:sz="0" w:space="0" w:color="auto"/>
          </w:divBdr>
        </w:div>
        <w:div w:id="1761634103">
          <w:marLeft w:val="0"/>
          <w:marRight w:val="0"/>
          <w:marTop w:val="0"/>
          <w:marBottom w:val="0"/>
          <w:divBdr>
            <w:top w:val="none" w:sz="0" w:space="0" w:color="auto"/>
            <w:left w:val="none" w:sz="0" w:space="0" w:color="auto"/>
            <w:bottom w:val="none" w:sz="0" w:space="0" w:color="auto"/>
            <w:right w:val="none" w:sz="0" w:space="0" w:color="auto"/>
          </w:divBdr>
        </w:div>
        <w:div w:id="1228297826">
          <w:marLeft w:val="0"/>
          <w:marRight w:val="0"/>
          <w:marTop w:val="0"/>
          <w:marBottom w:val="0"/>
          <w:divBdr>
            <w:top w:val="none" w:sz="0" w:space="0" w:color="auto"/>
            <w:left w:val="none" w:sz="0" w:space="0" w:color="auto"/>
            <w:bottom w:val="none" w:sz="0" w:space="0" w:color="auto"/>
            <w:right w:val="none" w:sz="0" w:space="0" w:color="auto"/>
          </w:divBdr>
        </w:div>
        <w:div w:id="425880940">
          <w:marLeft w:val="0"/>
          <w:marRight w:val="0"/>
          <w:marTop w:val="0"/>
          <w:marBottom w:val="0"/>
          <w:divBdr>
            <w:top w:val="none" w:sz="0" w:space="0" w:color="auto"/>
            <w:left w:val="none" w:sz="0" w:space="0" w:color="auto"/>
            <w:bottom w:val="none" w:sz="0" w:space="0" w:color="auto"/>
            <w:right w:val="none" w:sz="0" w:space="0" w:color="auto"/>
          </w:divBdr>
        </w:div>
        <w:div w:id="1781795625">
          <w:marLeft w:val="0"/>
          <w:marRight w:val="0"/>
          <w:marTop w:val="0"/>
          <w:marBottom w:val="0"/>
          <w:divBdr>
            <w:top w:val="none" w:sz="0" w:space="0" w:color="auto"/>
            <w:left w:val="none" w:sz="0" w:space="0" w:color="auto"/>
            <w:bottom w:val="none" w:sz="0" w:space="0" w:color="auto"/>
            <w:right w:val="none" w:sz="0" w:space="0" w:color="auto"/>
          </w:divBdr>
        </w:div>
        <w:div w:id="840855236">
          <w:marLeft w:val="0"/>
          <w:marRight w:val="0"/>
          <w:marTop w:val="0"/>
          <w:marBottom w:val="0"/>
          <w:divBdr>
            <w:top w:val="none" w:sz="0" w:space="0" w:color="auto"/>
            <w:left w:val="none" w:sz="0" w:space="0" w:color="auto"/>
            <w:bottom w:val="none" w:sz="0" w:space="0" w:color="auto"/>
            <w:right w:val="none" w:sz="0" w:space="0" w:color="auto"/>
          </w:divBdr>
        </w:div>
      </w:divsChild>
    </w:div>
    <w:div w:id="1946037245">
      <w:bodyDiv w:val="1"/>
      <w:marLeft w:val="0"/>
      <w:marRight w:val="0"/>
      <w:marTop w:val="0"/>
      <w:marBottom w:val="0"/>
      <w:divBdr>
        <w:top w:val="none" w:sz="0" w:space="0" w:color="auto"/>
        <w:left w:val="none" w:sz="0" w:space="0" w:color="auto"/>
        <w:bottom w:val="none" w:sz="0" w:space="0" w:color="auto"/>
        <w:right w:val="none" w:sz="0" w:space="0" w:color="auto"/>
      </w:divBdr>
    </w:div>
    <w:div w:id="2058121016">
      <w:bodyDiv w:val="1"/>
      <w:marLeft w:val="0"/>
      <w:marRight w:val="0"/>
      <w:marTop w:val="0"/>
      <w:marBottom w:val="0"/>
      <w:divBdr>
        <w:top w:val="none" w:sz="0" w:space="0" w:color="auto"/>
        <w:left w:val="none" w:sz="0" w:space="0" w:color="auto"/>
        <w:bottom w:val="none" w:sz="0" w:space="0" w:color="auto"/>
        <w:right w:val="none" w:sz="0" w:space="0" w:color="auto"/>
      </w:divBdr>
      <w:divsChild>
        <w:div w:id="657735182">
          <w:marLeft w:val="547"/>
          <w:marRight w:val="0"/>
          <w:marTop w:val="106"/>
          <w:marBottom w:val="0"/>
          <w:divBdr>
            <w:top w:val="none" w:sz="0" w:space="0" w:color="auto"/>
            <w:left w:val="none" w:sz="0" w:space="0" w:color="auto"/>
            <w:bottom w:val="none" w:sz="0" w:space="0" w:color="auto"/>
            <w:right w:val="none" w:sz="0" w:space="0" w:color="auto"/>
          </w:divBdr>
        </w:div>
        <w:div w:id="996499643">
          <w:marLeft w:val="1166"/>
          <w:marRight w:val="0"/>
          <w:marTop w:val="96"/>
          <w:marBottom w:val="0"/>
          <w:divBdr>
            <w:top w:val="none" w:sz="0" w:space="0" w:color="auto"/>
            <w:left w:val="none" w:sz="0" w:space="0" w:color="auto"/>
            <w:bottom w:val="none" w:sz="0" w:space="0" w:color="auto"/>
            <w:right w:val="none" w:sz="0" w:space="0" w:color="auto"/>
          </w:divBdr>
        </w:div>
        <w:div w:id="1427733088">
          <w:marLeft w:val="547"/>
          <w:marRight w:val="0"/>
          <w:marTop w:val="106"/>
          <w:marBottom w:val="0"/>
          <w:divBdr>
            <w:top w:val="none" w:sz="0" w:space="0" w:color="auto"/>
            <w:left w:val="none" w:sz="0" w:space="0" w:color="auto"/>
            <w:bottom w:val="none" w:sz="0" w:space="0" w:color="auto"/>
            <w:right w:val="none" w:sz="0" w:space="0" w:color="auto"/>
          </w:divBdr>
        </w:div>
        <w:div w:id="994990944">
          <w:marLeft w:val="1166"/>
          <w:marRight w:val="0"/>
          <w:marTop w:val="96"/>
          <w:marBottom w:val="0"/>
          <w:divBdr>
            <w:top w:val="none" w:sz="0" w:space="0" w:color="auto"/>
            <w:left w:val="none" w:sz="0" w:space="0" w:color="auto"/>
            <w:bottom w:val="none" w:sz="0" w:space="0" w:color="auto"/>
            <w:right w:val="none" w:sz="0" w:space="0" w:color="auto"/>
          </w:divBdr>
        </w:div>
        <w:div w:id="1314869429">
          <w:marLeft w:val="547"/>
          <w:marRight w:val="0"/>
          <w:marTop w:val="106"/>
          <w:marBottom w:val="0"/>
          <w:divBdr>
            <w:top w:val="none" w:sz="0" w:space="0" w:color="auto"/>
            <w:left w:val="none" w:sz="0" w:space="0" w:color="auto"/>
            <w:bottom w:val="none" w:sz="0" w:space="0" w:color="auto"/>
            <w:right w:val="none" w:sz="0" w:space="0" w:color="auto"/>
          </w:divBdr>
        </w:div>
        <w:div w:id="1676953110">
          <w:marLeft w:val="1166"/>
          <w:marRight w:val="0"/>
          <w:marTop w:val="96"/>
          <w:marBottom w:val="0"/>
          <w:divBdr>
            <w:top w:val="none" w:sz="0" w:space="0" w:color="auto"/>
            <w:left w:val="none" w:sz="0" w:space="0" w:color="auto"/>
            <w:bottom w:val="none" w:sz="0" w:space="0" w:color="auto"/>
            <w:right w:val="none" w:sz="0" w:space="0" w:color="auto"/>
          </w:divBdr>
        </w:div>
        <w:div w:id="1605572190">
          <w:marLeft w:val="1166"/>
          <w:marRight w:val="0"/>
          <w:marTop w:val="96"/>
          <w:marBottom w:val="0"/>
          <w:divBdr>
            <w:top w:val="none" w:sz="0" w:space="0" w:color="auto"/>
            <w:left w:val="none" w:sz="0" w:space="0" w:color="auto"/>
            <w:bottom w:val="none" w:sz="0" w:space="0" w:color="auto"/>
            <w:right w:val="none" w:sz="0" w:space="0" w:color="auto"/>
          </w:divBdr>
        </w:div>
        <w:div w:id="2016298001">
          <w:marLeft w:val="547"/>
          <w:marRight w:val="0"/>
          <w:marTop w:val="106"/>
          <w:marBottom w:val="0"/>
          <w:divBdr>
            <w:top w:val="none" w:sz="0" w:space="0" w:color="auto"/>
            <w:left w:val="none" w:sz="0" w:space="0" w:color="auto"/>
            <w:bottom w:val="none" w:sz="0" w:space="0" w:color="auto"/>
            <w:right w:val="none" w:sz="0" w:space="0" w:color="auto"/>
          </w:divBdr>
        </w:div>
        <w:div w:id="294257640">
          <w:marLeft w:val="1166"/>
          <w:marRight w:val="0"/>
          <w:marTop w:val="96"/>
          <w:marBottom w:val="0"/>
          <w:divBdr>
            <w:top w:val="none" w:sz="0" w:space="0" w:color="auto"/>
            <w:left w:val="none" w:sz="0" w:space="0" w:color="auto"/>
            <w:bottom w:val="none" w:sz="0" w:space="0" w:color="auto"/>
            <w:right w:val="none" w:sz="0" w:space="0" w:color="auto"/>
          </w:divBdr>
        </w:div>
        <w:div w:id="505173270">
          <w:marLeft w:val="547"/>
          <w:marRight w:val="0"/>
          <w:marTop w:val="106"/>
          <w:marBottom w:val="0"/>
          <w:divBdr>
            <w:top w:val="none" w:sz="0" w:space="0" w:color="auto"/>
            <w:left w:val="none" w:sz="0" w:space="0" w:color="auto"/>
            <w:bottom w:val="none" w:sz="0" w:space="0" w:color="auto"/>
            <w:right w:val="none" w:sz="0" w:space="0" w:color="auto"/>
          </w:divBdr>
        </w:div>
        <w:div w:id="70931284">
          <w:marLeft w:val="1166"/>
          <w:marRight w:val="0"/>
          <w:marTop w:val="96"/>
          <w:marBottom w:val="0"/>
          <w:divBdr>
            <w:top w:val="none" w:sz="0" w:space="0" w:color="auto"/>
            <w:left w:val="none" w:sz="0" w:space="0" w:color="auto"/>
            <w:bottom w:val="none" w:sz="0" w:space="0" w:color="auto"/>
            <w:right w:val="none" w:sz="0" w:space="0" w:color="auto"/>
          </w:divBdr>
        </w:div>
        <w:div w:id="1260597465">
          <w:marLeft w:val="547"/>
          <w:marRight w:val="0"/>
          <w:marTop w:val="106"/>
          <w:marBottom w:val="0"/>
          <w:divBdr>
            <w:top w:val="none" w:sz="0" w:space="0" w:color="auto"/>
            <w:left w:val="none" w:sz="0" w:space="0" w:color="auto"/>
            <w:bottom w:val="none" w:sz="0" w:space="0" w:color="auto"/>
            <w:right w:val="none" w:sz="0" w:space="0" w:color="auto"/>
          </w:divBdr>
        </w:div>
      </w:divsChild>
    </w:div>
    <w:div w:id="2067295859">
      <w:bodyDiv w:val="1"/>
      <w:marLeft w:val="0"/>
      <w:marRight w:val="0"/>
      <w:marTop w:val="0"/>
      <w:marBottom w:val="0"/>
      <w:divBdr>
        <w:top w:val="none" w:sz="0" w:space="0" w:color="auto"/>
        <w:left w:val="none" w:sz="0" w:space="0" w:color="auto"/>
        <w:bottom w:val="none" w:sz="0" w:space="0" w:color="auto"/>
        <w:right w:val="none" w:sz="0" w:space="0" w:color="auto"/>
      </w:divBdr>
    </w:div>
    <w:div w:id="208641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cuments.egi.eu/public/Statistics" TargetMode="External"/><Relationship Id="rId21" Type="http://schemas.openxmlformats.org/officeDocument/2006/relationships/hyperlink" Target="https://wiki.egi.eu/wiki/Review_process_for_deliverables_and_milestones%20" TargetMode="External"/><Relationship Id="rId22" Type="http://schemas.openxmlformats.org/officeDocument/2006/relationships/hyperlink" Target="https://pptevm.cern.ch/egi/ui/main.do" TargetMode="External"/><Relationship Id="rId23" Type="http://schemas.openxmlformats.org/officeDocument/2006/relationships/hyperlink" Target="http://www.egi.eu/" TargetMode="External"/><Relationship Id="rId24" Type="http://schemas.openxmlformats.org/officeDocument/2006/relationships/hyperlink" Target="https://wiki.egi.eu/wiki/Main_Page" TargetMode="External"/><Relationship Id="rId25" Type="http://schemas.openxmlformats.org/officeDocument/2006/relationships/hyperlink" Target="https://www.egi.eu/indico/" TargetMode="External"/><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image" Target="media/image6.png"/><Relationship Id="rId29" Type="http://schemas.openxmlformats.org/officeDocument/2006/relationships/image" Target="media/image7.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metrics.egi.eu/quarterly_report/QR12/" TargetMode="External"/><Relationship Id="rId31" Type="http://schemas.openxmlformats.org/officeDocument/2006/relationships/hyperlink" Target="http://metrics.egi.eu/quarterly_report/QR11/" TargetMode="External"/><Relationship Id="rId32" Type="http://schemas.openxmlformats.org/officeDocument/2006/relationships/hyperlink" Target="http://metrics.egi.eu/quarterly_report/QR10/" TargetMode="Externa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metrics.egi.eu/quarterly_report/QR16/" TargetMode="External"/><Relationship Id="rId34" Type="http://schemas.openxmlformats.org/officeDocument/2006/relationships/hyperlink" Target="http://go.egi.eu/vision" TargetMode="External"/><Relationship Id="rId35" Type="http://schemas.openxmlformats.org/officeDocument/2006/relationships/image" Target="media/image8.png"/><Relationship Id="rId36" Type="http://schemas.openxmlformats.org/officeDocument/2006/relationships/footer" Target="footer2.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egi.eu/about/egi-inspire/metrics/index.html" TargetMode="External"/><Relationship Id="rId14" Type="http://schemas.openxmlformats.org/officeDocument/2006/relationships/hyperlink" Target="http://metrics.egi.eu/" TargetMode="External"/><Relationship Id="rId15" Type="http://schemas.openxmlformats.org/officeDocument/2006/relationships/hyperlink" Target="https://wiki.egi.eu/wiki/Tools" TargetMode="External"/><Relationship Id="rId16" Type="http://schemas.openxmlformats.org/officeDocument/2006/relationships/hyperlink" Target="https://wiki.egi.eu/wiki/Performance" TargetMode="External"/><Relationship Id="rId17" Type="http://schemas.openxmlformats.org/officeDocument/2006/relationships/hyperlink" Target="https://wiki.egi.eu/wiki/Activity_Management_Board" TargetMode="External"/><Relationship Id="rId18" Type="http://schemas.openxmlformats.org/officeDocument/2006/relationships/hyperlink" Target="https://wiki.egi.eu/wiki/Project_Deliverables_and_Milestones" TargetMode="External"/><Relationship Id="rId19" Type="http://schemas.openxmlformats.org/officeDocument/2006/relationships/hyperlink" Target="https://wiki.egi.eu/wiki/Review_procedure"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9" Type="http://schemas.openxmlformats.org/officeDocument/2006/relationships/hyperlink" Target="http://www.egi.eu/services/catalogue/" TargetMode="External"/><Relationship Id="rId20" Type="http://schemas.openxmlformats.org/officeDocument/2006/relationships/hyperlink" Target="http://www.egi.eu/community/collaborations/LSGC.html" TargetMode="External"/><Relationship Id="rId21" Type="http://schemas.openxmlformats.org/officeDocument/2006/relationships/hyperlink" Target="https://documents.egi.eu/document/1587" TargetMode="External"/><Relationship Id="rId22" Type="http://schemas.openxmlformats.org/officeDocument/2006/relationships/hyperlink" Target="http://ec.europa.eu/europe2020/index_en.htm" TargetMode="External"/><Relationship Id="rId10" Type="http://schemas.openxmlformats.org/officeDocument/2006/relationships/hyperlink" Target="https://www.egi.eu/indico/categoryDisplay.py?categId=13" TargetMode="External"/><Relationship Id="rId11" Type="http://schemas.openxmlformats.org/officeDocument/2006/relationships/hyperlink" Target="http://www.egi.eu/projects/egi-inspire/metrics/" TargetMode="External"/><Relationship Id="rId12" Type="http://schemas.openxmlformats.org/officeDocument/2006/relationships/hyperlink" Target="https://documents.egi.eu/secure/SearchForm" TargetMode="External"/><Relationship Id="rId13" Type="http://schemas.openxmlformats.org/officeDocument/2006/relationships/hyperlink" Target="https://wiki.egi.eu/wiki/Metadata_management" TargetMode="External"/><Relationship Id="rId14" Type="http://schemas.openxmlformats.org/officeDocument/2006/relationships/hyperlink" Target="http://www.egi.eu/about/egi-inspire/templates/" TargetMode="External"/><Relationship Id="rId15" Type="http://schemas.openxmlformats.org/officeDocument/2006/relationships/hyperlink" Target="https://wiki.egi.eu/wiki/Main_Page" TargetMode="External"/><Relationship Id="rId16" Type="http://schemas.openxmlformats.org/officeDocument/2006/relationships/hyperlink" Target="http://go.egi.eu/strategy" TargetMode="External"/><Relationship Id="rId17" Type="http://schemas.openxmlformats.org/officeDocument/2006/relationships/hyperlink" Target="https://documents.egi.eu/document/1757" TargetMode="External"/><Relationship Id="rId18" Type="http://schemas.openxmlformats.org/officeDocument/2006/relationships/hyperlink" Target="http://ec.europa.eu/dgs/connect/en/content/einfrastructures-computational-infrastructure" TargetMode="External"/><Relationship Id="rId19" Type="http://schemas.openxmlformats.org/officeDocument/2006/relationships/hyperlink" Target="https://e-grant.egi.eu/" TargetMode="External"/><Relationship Id="rId1" Type="http://schemas.openxmlformats.org/officeDocument/2006/relationships/hyperlink" Target="https://documents.egi.eu/document/1757" TargetMode="External"/><Relationship Id="rId2" Type="http://schemas.openxmlformats.org/officeDocument/2006/relationships/hyperlink" Target="https://documents.egi.eu/document/2183" TargetMode="External"/><Relationship Id="rId3" Type="http://schemas.openxmlformats.org/officeDocument/2006/relationships/hyperlink" Target="https://documents.egi.eu/document/2111" TargetMode="External"/><Relationship Id="rId4" Type="http://schemas.openxmlformats.org/officeDocument/2006/relationships/hyperlink" Target="https://documents.egi.eu/document/2079" TargetMode="External"/><Relationship Id="rId5" Type="http://schemas.openxmlformats.org/officeDocument/2006/relationships/hyperlink" Target="http://www.fedsm.eu/fitsm" TargetMode="External"/><Relationship Id="rId6" Type="http://schemas.openxmlformats.org/officeDocument/2006/relationships/hyperlink" Target="https://documents.egi.eu/document/2239" TargetMode="External"/><Relationship Id="rId7" Type="http://schemas.openxmlformats.org/officeDocument/2006/relationships/hyperlink" Target="https://appdb.egi.eu/" TargetMode="External"/><Relationship Id="rId8" Type="http://schemas.openxmlformats.org/officeDocument/2006/relationships/hyperlink" Target="http://www.fedsm.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D0629-8247-D543-8ED6-C3EEB3F8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13032</Words>
  <Characters>72067</Characters>
  <Application>Microsoft Macintosh Word</Application>
  <DocSecurity>0</DocSecurity>
  <Lines>2573</Lines>
  <Paragraphs>1849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83250</CharactersWithSpaces>
  <SharedDoc>false</SharedDoc>
  <HLinks>
    <vt:vector size="54" baseType="variant">
      <vt:variant>
        <vt:i4>7798889</vt:i4>
      </vt:variant>
      <vt:variant>
        <vt:i4>111</vt:i4>
      </vt:variant>
      <vt:variant>
        <vt:i4>0</vt:i4>
      </vt:variant>
      <vt:variant>
        <vt:i4>5</vt:i4>
      </vt:variant>
      <vt:variant>
        <vt:lpwstr>http://agenda.cern.ch/monitor.php?categories=41</vt:lpwstr>
      </vt:variant>
      <vt:variant>
        <vt:lpwstr/>
      </vt:variant>
      <vt:variant>
        <vt:i4>6881401</vt:i4>
      </vt:variant>
      <vt:variant>
        <vt:i4>108</vt:i4>
      </vt:variant>
      <vt:variant>
        <vt:i4>0</vt:i4>
      </vt:variant>
      <vt:variant>
        <vt:i4>5</vt:i4>
      </vt:variant>
      <vt:variant>
        <vt:lpwstr>http://www.eu-egee.org/</vt:lpwstr>
      </vt:variant>
      <vt:variant>
        <vt:lpwstr/>
      </vt:variant>
      <vt:variant>
        <vt:i4>983132</vt:i4>
      </vt:variant>
      <vt:variant>
        <vt:i4>105</vt:i4>
      </vt:variant>
      <vt:variant>
        <vt:i4>0</vt:i4>
      </vt:variant>
      <vt:variant>
        <vt:i4>5</vt:i4>
      </vt:variant>
      <vt:variant>
        <vt:lpwstr>https://pptevm.cern.ch/egeeiii/ui/main.do</vt:lpwstr>
      </vt:variant>
      <vt:variant>
        <vt:lpwstr/>
      </vt:variant>
      <vt:variant>
        <vt:i4>4653137</vt:i4>
      </vt:variant>
      <vt:variant>
        <vt:i4>102</vt:i4>
      </vt:variant>
      <vt:variant>
        <vt:i4>0</vt:i4>
      </vt:variant>
      <vt:variant>
        <vt:i4>5</vt:i4>
      </vt:variant>
      <vt:variant>
        <vt:lpwstr>https://edms.cern.ch/nav/CERN-0000074316</vt:lpwstr>
      </vt:variant>
      <vt:variant>
        <vt:lpwstr/>
      </vt:variant>
      <vt:variant>
        <vt:i4>5439506</vt:i4>
      </vt:variant>
      <vt:variant>
        <vt:i4>99</vt:i4>
      </vt:variant>
      <vt:variant>
        <vt:i4>0</vt:i4>
      </vt:variant>
      <vt:variant>
        <vt:i4>5</vt:i4>
      </vt:variant>
      <vt:variant>
        <vt:lpwstr>http://egee-jra2.web.cern.ch/EGEE-JRA2/Procedures/RiskManagement/RiskManagementProcedure.htm</vt:lpwstr>
      </vt:variant>
      <vt:variant>
        <vt:lpwstr/>
      </vt:variant>
      <vt:variant>
        <vt:i4>3538993</vt:i4>
      </vt:variant>
      <vt:variant>
        <vt:i4>96</vt:i4>
      </vt:variant>
      <vt:variant>
        <vt:i4>0</vt:i4>
      </vt:variant>
      <vt:variant>
        <vt:i4>5</vt:i4>
      </vt:variant>
      <vt:variant>
        <vt:lpwstr>http://egee-intranet.web.cern.ch/egee-intranet/EGEE-II/Registration/renewal.htm</vt:lpwstr>
      </vt:variant>
      <vt:variant>
        <vt:lpwstr/>
      </vt:variant>
      <vt:variant>
        <vt:i4>393305</vt:i4>
      </vt:variant>
      <vt:variant>
        <vt:i4>93</vt:i4>
      </vt:variant>
      <vt:variant>
        <vt:i4>0</vt:i4>
      </vt:variant>
      <vt:variant>
        <vt:i4>5</vt:i4>
      </vt:variant>
      <vt:variant>
        <vt:lpwstr>http://egee-jra2.web.cern.ch/EGEE-JRA2/Procedures/ReportingProcedures/ReportingProcedure.htm</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3</cp:revision>
  <cp:lastPrinted>2014-06-19T11:24:00Z</cp:lastPrinted>
  <dcterms:created xsi:type="dcterms:W3CDTF">2014-06-19T11:24:00Z</dcterms:created>
  <dcterms:modified xsi:type="dcterms:W3CDTF">2014-06-19T11:27:00Z</dcterms:modified>
</cp:coreProperties>
</file>