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A24724" w:rsidRDefault="00A24724" w:rsidP="00804A7B">
      <w:pPr>
        <w:jc w:val="center"/>
        <w:rPr>
          <w:rFonts w:asciiTheme="minorHAnsi" w:hAnsiTheme="minorHAnsi" w:cs="Open Sans"/>
        </w:rPr>
      </w:pPr>
      <w:r>
        <w:rPr>
          <w:rFonts w:asciiTheme="minorHAnsi" w:hAnsiTheme="minorHAnsi" w:cs="Open Sans"/>
          <w:noProof/>
          <w:lang w:eastAsia="en-GB"/>
        </w:rPr>
        <w:drawing>
          <wp:inline distT="0" distB="0" distL="0" distR="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A24724" w:rsidRDefault="007701A7" w:rsidP="007701A7">
      <w:pPr>
        <w:pStyle w:val="DocTitle"/>
        <w:tabs>
          <w:tab w:val="center" w:pos="4536"/>
          <w:tab w:val="left" w:pos="7845"/>
        </w:tabs>
        <w:rPr>
          <w:rFonts w:asciiTheme="minorHAnsi" w:eastAsia="Calibri" w:hAnsiTheme="minorHAnsi" w:cs="Open Sans"/>
          <w:color w:val="000000"/>
        </w:rPr>
      </w:pPr>
      <w:r w:rsidRPr="00A24724">
        <w:rPr>
          <w:rFonts w:asciiTheme="minorHAnsi" w:eastAsia="Calibri" w:hAnsiTheme="minorHAnsi" w:cs="Open Sans"/>
          <w:color w:val="000000"/>
        </w:rPr>
        <w:t>EGI.eu</w:t>
      </w:r>
    </w:p>
    <w:p w:rsidR="0040570A" w:rsidRPr="00A24724" w:rsidRDefault="00FB0AA1" w:rsidP="00E5127D">
      <w:pPr>
        <w:pStyle w:val="DocTitle"/>
        <w:tabs>
          <w:tab w:val="center" w:pos="4536"/>
          <w:tab w:val="left" w:pos="7845"/>
        </w:tabs>
        <w:rPr>
          <w:rFonts w:asciiTheme="minorHAnsi" w:hAnsiTheme="minorHAnsi" w:cs="Open Sans"/>
          <w:color w:val="000000"/>
        </w:rPr>
      </w:pPr>
      <w:r w:rsidRPr="00A24724">
        <w:rPr>
          <w:rFonts w:asciiTheme="minorHAnsi" w:eastAsia="Calibri" w:hAnsiTheme="minorHAnsi" w:cs="Open Sans"/>
          <w:color w:val="000000"/>
        </w:rPr>
        <w:t>OLA</w:t>
      </w:r>
      <w:r w:rsidR="00AF6778" w:rsidRPr="00A24724">
        <w:rPr>
          <w:rFonts w:asciiTheme="minorHAnsi" w:eastAsia="Calibri" w:hAnsiTheme="minorHAnsi" w:cs="Open Sans"/>
          <w:color w:val="000000"/>
        </w:rPr>
        <w:t xml:space="preserve"> </w:t>
      </w:r>
      <w:r w:rsidR="00FF3F17" w:rsidRPr="00A24724">
        <w:rPr>
          <w:rFonts w:asciiTheme="minorHAnsi" w:eastAsia="Calibri" w:hAnsiTheme="minorHAnsi" w:cs="Open Sans"/>
          <w:color w:val="000000"/>
        </w:rPr>
        <w:t xml:space="preserve">Performance </w:t>
      </w:r>
      <w:r w:rsidR="00AF6778" w:rsidRPr="00A24724">
        <w:rPr>
          <w:rFonts w:asciiTheme="minorHAnsi" w:eastAsia="Calibri" w:hAnsiTheme="minorHAnsi" w:cs="Open Sans"/>
          <w:color w:val="000000"/>
        </w:rPr>
        <w:t>Report</w:t>
      </w:r>
    </w:p>
    <w:p w:rsidR="0040570A" w:rsidRPr="00A24724"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A24724">
        <w:trPr>
          <w:cantSplit/>
          <w:trHeight w:val="526"/>
          <w:jc w:val="center"/>
        </w:trPr>
        <w:tc>
          <w:tcPr>
            <w:tcW w:w="2645" w:type="dxa"/>
            <w:tcBorders>
              <w:top w:val="single" w:sz="20" w:space="0" w:color="000080"/>
            </w:tcBorders>
            <w:shd w:val="clear" w:color="auto" w:fill="auto"/>
            <w:vAlign w:val="center"/>
          </w:tcPr>
          <w:p w:rsidR="0040570A" w:rsidRPr="00A24724" w:rsidRDefault="00AF6778" w:rsidP="00543D10">
            <w:pPr>
              <w:snapToGrid w:val="0"/>
              <w:spacing w:before="120" w:after="120"/>
              <w:rPr>
                <w:rFonts w:asciiTheme="minorHAnsi" w:hAnsiTheme="minorHAnsi" w:cs="Open Sans"/>
                <w:b/>
              </w:rPr>
            </w:pPr>
            <w:r w:rsidRPr="00A24724">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A24724" w:rsidRDefault="00B93223" w:rsidP="00A24724">
            <w:pPr>
              <w:snapToGrid w:val="0"/>
              <w:spacing w:before="120" w:after="120"/>
              <w:jc w:val="left"/>
              <w:rPr>
                <w:rFonts w:asciiTheme="minorHAnsi" w:hAnsiTheme="minorHAnsi" w:cs="Open Sans"/>
              </w:rPr>
            </w:pPr>
            <w:r w:rsidRPr="00A24724">
              <w:rPr>
                <w:rFonts w:asciiTheme="minorHAnsi" w:hAnsiTheme="minorHAnsi" w:cs="Open Sans"/>
              </w:rPr>
              <w:t>EGI</w:t>
            </w:r>
            <w:r w:rsidR="00AF6778" w:rsidRPr="00A24724">
              <w:rPr>
                <w:rFonts w:asciiTheme="minorHAnsi" w:hAnsiTheme="minorHAnsi" w:cs="Open Sans"/>
              </w:rPr>
              <w:t xml:space="preserve">.eu </w:t>
            </w:r>
            <w:r w:rsidR="00FB0AA1" w:rsidRPr="00A24724">
              <w:rPr>
                <w:rFonts w:asciiTheme="minorHAnsi" w:hAnsiTheme="minorHAnsi" w:cs="Open Sans"/>
              </w:rPr>
              <w:t xml:space="preserve">OLA </w:t>
            </w:r>
            <w:r w:rsidR="00C27E5D" w:rsidRPr="00A24724">
              <w:rPr>
                <w:rFonts w:asciiTheme="minorHAnsi" w:hAnsiTheme="minorHAnsi" w:cs="Open Sans"/>
              </w:rPr>
              <w:t>–</w:t>
            </w:r>
            <w:r w:rsidR="00387141" w:rsidRPr="00A24724">
              <w:rPr>
                <w:rFonts w:asciiTheme="minorHAnsi" w:hAnsiTheme="minorHAnsi" w:cs="Open Sans"/>
              </w:rPr>
              <w:t xml:space="preserve"> </w:t>
            </w:r>
            <w:r w:rsidR="00FF3F17" w:rsidRPr="00A24724">
              <w:rPr>
                <w:rFonts w:asciiTheme="minorHAnsi" w:hAnsiTheme="minorHAnsi" w:cs="Open Sans"/>
              </w:rPr>
              <w:t xml:space="preserve">performance </w:t>
            </w:r>
            <w:r w:rsidR="00AF6778" w:rsidRPr="00A24724">
              <w:rPr>
                <w:rFonts w:asciiTheme="minorHAnsi" w:hAnsiTheme="minorHAnsi" w:cs="Open Sans"/>
              </w:rPr>
              <w:t>report</w:t>
            </w:r>
          </w:p>
        </w:tc>
      </w:tr>
      <w:tr w:rsidR="00AF6778" w:rsidRPr="00A24724">
        <w:trPr>
          <w:cantSplit/>
          <w:trHeight w:val="508"/>
          <w:jc w:val="center"/>
        </w:trPr>
        <w:tc>
          <w:tcPr>
            <w:tcW w:w="2645" w:type="dxa"/>
            <w:shd w:val="clear" w:color="auto" w:fill="auto"/>
            <w:vAlign w:val="center"/>
          </w:tcPr>
          <w:p w:rsidR="00AF6778" w:rsidRPr="00A24724" w:rsidRDefault="00AF6778" w:rsidP="00AF6778">
            <w:pPr>
              <w:snapToGrid w:val="0"/>
              <w:spacing w:before="120" w:after="120"/>
              <w:rPr>
                <w:rFonts w:asciiTheme="minorHAnsi" w:hAnsiTheme="minorHAnsi" w:cs="Open Sans"/>
                <w:b/>
              </w:rPr>
            </w:pPr>
            <w:r w:rsidRPr="00A24724">
              <w:rPr>
                <w:rFonts w:asciiTheme="minorHAnsi" w:hAnsiTheme="minorHAnsi" w:cs="Open Sans"/>
                <w:b/>
              </w:rPr>
              <w:t>Provider</w:t>
            </w:r>
          </w:p>
        </w:tc>
        <w:tc>
          <w:tcPr>
            <w:tcW w:w="3968" w:type="dxa"/>
            <w:shd w:val="clear" w:color="auto" w:fill="auto"/>
            <w:vAlign w:val="center"/>
          </w:tcPr>
          <w:p w:rsidR="00AF6778" w:rsidRPr="00A24724" w:rsidRDefault="00AF6778" w:rsidP="00AF6778">
            <w:pPr>
              <w:snapToGrid w:val="0"/>
              <w:spacing w:before="120" w:after="120"/>
              <w:jc w:val="left"/>
              <w:rPr>
                <w:rFonts w:asciiTheme="minorHAnsi" w:hAnsiTheme="minorHAnsi" w:cs="Open Sans"/>
              </w:rPr>
            </w:pP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Service</w:t>
            </w:r>
          </w:p>
        </w:tc>
        <w:tc>
          <w:tcPr>
            <w:tcW w:w="3968" w:type="dxa"/>
            <w:shd w:val="clear" w:color="auto" w:fill="auto"/>
            <w:vAlign w:val="center"/>
          </w:tcPr>
          <w:p w:rsidR="00AF6778" w:rsidRPr="00A24724" w:rsidRDefault="00AF6778" w:rsidP="00F730F0">
            <w:pPr>
              <w:pStyle w:val="DocDate"/>
              <w:snapToGrid w:val="0"/>
              <w:jc w:val="left"/>
              <w:rPr>
                <w:rFonts w:asciiTheme="minorHAnsi" w:hAnsiTheme="minorHAnsi" w:cs="Open Sans"/>
                <w:b w:val="0"/>
              </w:rPr>
            </w:pP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Produced by</w:t>
            </w:r>
          </w:p>
        </w:tc>
        <w:tc>
          <w:tcPr>
            <w:tcW w:w="3968" w:type="dxa"/>
            <w:shd w:val="clear" w:color="auto" w:fill="auto"/>
            <w:vAlign w:val="center"/>
          </w:tcPr>
          <w:p w:rsidR="00AF6778" w:rsidRPr="00A24724" w:rsidRDefault="00AF6778" w:rsidP="00A24724">
            <w:pPr>
              <w:rPr>
                <w:rFonts w:asciiTheme="minorHAnsi" w:hAnsiTheme="minorHAnsi" w:cs="Open Sans"/>
                <w:b/>
              </w:rPr>
            </w:pP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Audience</w:t>
            </w:r>
          </w:p>
        </w:tc>
        <w:tc>
          <w:tcPr>
            <w:tcW w:w="3968" w:type="dxa"/>
            <w:shd w:val="clear" w:color="auto" w:fill="auto"/>
            <w:vAlign w:val="center"/>
          </w:tcPr>
          <w:p w:rsidR="00AF6778" w:rsidRPr="00A24724" w:rsidRDefault="005C0FC6">
            <w:pPr>
              <w:pStyle w:val="DocDate"/>
              <w:snapToGrid w:val="0"/>
              <w:jc w:val="left"/>
              <w:rPr>
                <w:rFonts w:asciiTheme="minorHAnsi" w:hAnsiTheme="minorHAnsi" w:cs="Open Sans"/>
                <w:b w:val="0"/>
              </w:rPr>
            </w:pPr>
            <w:r w:rsidRPr="00A24724">
              <w:rPr>
                <w:rFonts w:asciiTheme="minorHAnsi" w:hAnsiTheme="minorHAnsi" w:cs="Open Sans"/>
                <w:b w:val="0"/>
              </w:rPr>
              <w:t>EGI.eu Operations</w:t>
            </w:r>
          </w:p>
          <w:p w:rsidR="00305388" w:rsidRPr="00A24724" w:rsidRDefault="00305388">
            <w:pPr>
              <w:pStyle w:val="DocDate"/>
              <w:snapToGrid w:val="0"/>
              <w:jc w:val="left"/>
              <w:rPr>
                <w:rFonts w:asciiTheme="minorHAnsi" w:hAnsiTheme="minorHAnsi" w:cs="Open Sans"/>
                <w:b w:val="0"/>
              </w:rPr>
            </w:pPr>
            <w:r w:rsidRPr="00A24724">
              <w:rPr>
                <w:rFonts w:asciiTheme="minorHAnsi" w:hAnsiTheme="minorHAnsi" w:cs="Open Sans"/>
                <w:b w:val="0"/>
              </w:rPr>
              <w:t>operations@egi.eu</w:t>
            </w: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Purpose</w:t>
            </w:r>
          </w:p>
        </w:tc>
        <w:tc>
          <w:tcPr>
            <w:tcW w:w="3968" w:type="dxa"/>
            <w:shd w:val="clear" w:color="auto" w:fill="auto"/>
            <w:vAlign w:val="center"/>
          </w:tcPr>
          <w:p w:rsidR="00AF6778" w:rsidRPr="00A24724" w:rsidRDefault="00AF6778" w:rsidP="00FB0AA1">
            <w:pPr>
              <w:pStyle w:val="DocDate"/>
              <w:snapToGrid w:val="0"/>
              <w:jc w:val="left"/>
              <w:rPr>
                <w:rFonts w:asciiTheme="minorHAnsi" w:hAnsiTheme="minorHAnsi" w:cs="Open Sans"/>
                <w:b w:val="0"/>
              </w:rPr>
            </w:pPr>
            <w:r w:rsidRPr="00A24724">
              <w:rPr>
                <w:rFonts w:asciiTheme="minorHAnsi" w:hAnsiTheme="minorHAnsi" w:cs="Open Sans"/>
                <w:b w:val="0"/>
              </w:rPr>
              <w:t xml:space="preserve">Report on performance of the </w:t>
            </w:r>
            <w:r w:rsidR="00FB0AA1" w:rsidRPr="00A24724">
              <w:rPr>
                <w:rFonts w:asciiTheme="minorHAnsi" w:hAnsiTheme="minorHAnsi" w:cs="Open Sans"/>
                <w:b w:val="0"/>
              </w:rPr>
              <w:t>service</w:t>
            </w: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Period</w:t>
            </w:r>
          </w:p>
        </w:tc>
        <w:tc>
          <w:tcPr>
            <w:tcW w:w="3968" w:type="dxa"/>
            <w:shd w:val="clear" w:color="auto" w:fill="auto"/>
            <w:vAlign w:val="center"/>
          </w:tcPr>
          <w:p w:rsidR="00AF6778" w:rsidRPr="00A24724" w:rsidRDefault="00AF6778" w:rsidP="00FB0AA1">
            <w:pPr>
              <w:pStyle w:val="DocDate"/>
              <w:snapToGrid w:val="0"/>
              <w:jc w:val="left"/>
              <w:rPr>
                <w:rFonts w:asciiTheme="minorHAnsi" w:hAnsiTheme="minorHAnsi" w:cs="Open Sans"/>
                <w:b w:val="0"/>
              </w:rPr>
            </w:pPr>
          </w:p>
        </w:tc>
      </w:tr>
      <w:tr w:rsidR="00AF6778" w:rsidRPr="00A24724">
        <w:trPr>
          <w:cantSplit/>
          <w:trHeight w:val="508"/>
          <w:jc w:val="center"/>
        </w:trPr>
        <w:tc>
          <w:tcPr>
            <w:tcW w:w="2645" w:type="dxa"/>
            <w:shd w:val="clear" w:color="auto" w:fill="auto"/>
            <w:vAlign w:val="center"/>
          </w:tcPr>
          <w:p w:rsidR="00AF6778" w:rsidRPr="00A24724" w:rsidRDefault="00AF6778">
            <w:pPr>
              <w:snapToGrid w:val="0"/>
              <w:spacing w:before="120" w:after="120"/>
              <w:rPr>
                <w:rFonts w:asciiTheme="minorHAnsi" w:hAnsiTheme="minorHAnsi" w:cs="Open Sans"/>
                <w:b/>
              </w:rPr>
            </w:pPr>
            <w:r w:rsidRPr="00A24724">
              <w:rPr>
                <w:rFonts w:asciiTheme="minorHAnsi" w:hAnsiTheme="minorHAnsi" w:cs="Open Sans"/>
                <w:b/>
              </w:rPr>
              <w:t>Related agreements</w:t>
            </w:r>
          </w:p>
        </w:tc>
        <w:tc>
          <w:tcPr>
            <w:tcW w:w="3968" w:type="dxa"/>
            <w:shd w:val="clear" w:color="auto" w:fill="auto"/>
            <w:vAlign w:val="center"/>
          </w:tcPr>
          <w:p w:rsidR="00AF6778" w:rsidRPr="00025C54" w:rsidRDefault="00025C54" w:rsidP="00025C54">
            <w:pPr>
              <w:jc w:val="left"/>
              <w:rPr>
                <w:rFonts w:ascii="Calibri" w:hAnsi="Calibri"/>
                <w:color w:val="0000FF"/>
                <w:u w:val="single"/>
              </w:rPr>
            </w:pPr>
            <w:hyperlink r:id="rId10" w:history="1">
              <w:r>
                <w:rPr>
                  <w:rStyle w:val="Hyperlink"/>
                  <w:rFonts w:ascii="Calibri" w:eastAsia="Verdana" w:hAnsi="Calibri"/>
                </w:rPr>
                <w:t>https://documents.egi.eu/document/2456</w:t>
              </w:r>
            </w:hyperlink>
            <w:bookmarkStart w:id="0" w:name="_GoBack"/>
            <w:bookmarkEnd w:id="0"/>
          </w:p>
        </w:tc>
      </w:tr>
      <w:tr w:rsidR="00AF6778" w:rsidRPr="00A24724" w:rsidTr="00543D10">
        <w:trPr>
          <w:cantSplit/>
          <w:trHeight w:val="526"/>
          <w:jc w:val="center"/>
        </w:trPr>
        <w:tc>
          <w:tcPr>
            <w:tcW w:w="2645" w:type="dxa"/>
            <w:tcBorders>
              <w:bottom w:val="single" w:sz="20" w:space="0" w:color="000080"/>
            </w:tcBorders>
            <w:shd w:val="clear" w:color="auto" w:fill="auto"/>
            <w:vAlign w:val="center"/>
          </w:tcPr>
          <w:p w:rsidR="00AF6778" w:rsidRPr="00A24724" w:rsidRDefault="00AF6778">
            <w:pPr>
              <w:pStyle w:val="Header"/>
              <w:snapToGrid w:val="0"/>
              <w:spacing w:before="120" w:after="120"/>
              <w:rPr>
                <w:rFonts w:asciiTheme="minorHAnsi" w:hAnsiTheme="minorHAnsi" w:cs="Open Sans"/>
                <w:b/>
              </w:rPr>
            </w:pPr>
            <w:r w:rsidRPr="00A24724">
              <w:rPr>
                <w:rFonts w:asciiTheme="minorHAnsi" w:hAnsiTheme="minorHAnsi" w:cs="Open Sans"/>
                <w:b/>
              </w:rPr>
              <w:t>Document</w:t>
            </w:r>
            <w:r w:rsidRPr="00A24724">
              <w:rPr>
                <w:rFonts w:asciiTheme="minorHAnsi" w:eastAsia="Calibri" w:hAnsiTheme="minorHAnsi" w:cs="Open Sans"/>
                <w:b/>
              </w:rPr>
              <w:t xml:space="preserve"> </w:t>
            </w:r>
            <w:r w:rsidRPr="00A24724">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025C54" w:rsidRDefault="00025C54" w:rsidP="00025C54">
            <w:pPr>
              <w:jc w:val="left"/>
              <w:rPr>
                <w:rFonts w:ascii="Calibri" w:hAnsi="Calibri"/>
                <w:color w:val="0000FF"/>
                <w:u w:val="single"/>
              </w:rPr>
            </w:pPr>
            <w:hyperlink r:id="rId11" w:history="1">
              <w:r>
                <w:rPr>
                  <w:rStyle w:val="Hyperlink"/>
                  <w:rFonts w:ascii="Calibri" w:eastAsia="Verdana" w:hAnsi="Calibri"/>
                </w:rPr>
                <w:t>https://documents.egi.eu/document/2596</w:t>
              </w:r>
            </w:hyperlink>
          </w:p>
        </w:tc>
      </w:tr>
    </w:tbl>
    <w:p w:rsidR="00463E7E" w:rsidRPr="00A24724" w:rsidRDefault="00463E7E">
      <w:pPr>
        <w:pStyle w:val="TOC1"/>
        <w:rPr>
          <w:rFonts w:asciiTheme="minorHAnsi" w:hAnsiTheme="minorHAnsi" w:cs="Open Sans"/>
        </w:rPr>
      </w:pPr>
    </w:p>
    <w:p w:rsidR="00463E7E" w:rsidRDefault="00463E7E">
      <w:pPr>
        <w:pStyle w:val="TOC1"/>
        <w:rPr>
          <w:rFonts w:asciiTheme="minorHAnsi" w:hAnsiTheme="minorHAnsi" w:cs="Open Sans"/>
        </w:rPr>
      </w:pPr>
    </w:p>
    <w:p w:rsidR="00D563D2" w:rsidRDefault="00D563D2" w:rsidP="00D563D2"/>
    <w:p w:rsidR="00D563D2" w:rsidRDefault="00D563D2" w:rsidP="00D563D2"/>
    <w:p w:rsidR="00D563D2" w:rsidRDefault="00D563D2" w:rsidP="00D563D2"/>
    <w:p w:rsidR="00D563D2" w:rsidRDefault="00D563D2" w:rsidP="00D563D2"/>
    <w:p w:rsidR="00D563D2" w:rsidRPr="00D563D2" w:rsidRDefault="00D563D2" w:rsidP="00D563D2"/>
    <w:sdt>
      <w:sdtPr>
        <w:rPr>
          <w:rFonts w:ascii="Open Sans" w:eastAsia="Times New Roman" w:hAnsi="Open Sans"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Default="00D563D2">
          <w:pPr>
            <w:pStyle w:val="TOCHeading"/>
          </w:pPr>
          <w:r>
            <w:t>Contents</w:t>
          </w:r>
        </w:p>
        <w:p w:rsidR="00D563D2" w:rsidRDefault="00D563D2">
          <w:pPr>
            <w:pStyle w:val="TOC1"/>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431288902" w:history="1">
            <w:r w:rsidRPr="00617D56">
              <w:rPr>
                <w:rStyle w:val="Hyperlink"/>
                <w:rFonts w:cs="Open Sans"/>
                <w:noProof/>
              </w:rPr>
              <w:t>1</w:t>
            </w:r>
            <w:r>
              <w:rPr>
                <w:rFonts w:asciiTheme="minorHAnsi" w:eastAsiaTheme="minorEastAsia" w:hAnsiTheme="minorHAnsi" w:cstheme="minorBidi"/>
                <w:b w:val="0"/>
                <w:caps w:val="0"/>
                <w:noProof/>
                <w:sz w:val="22"/>
                <w:szCs w:val="22"/>
                <w:lang w:eastAsia="en-GB"/>
              </w:rPr>
              <w:tab/>
            </w:r>
            <w:r w:rsidRPr="00617D56">
              <w:rPr>
                <w:rStyle w:val="Hyperlink"/>
                <w:rFonts w:cs="Open Sans"/>
                <w:noProof/>
              </w:rPr>
              <w:t>Effort</w:t>
            </w:r>
            <w:r>
              <w:rPr>
                <w:noProof/>
                <w:webHidden/>
              </w:rPr>
              <w:tab/>
            </w:r>
            <w:r>
              <w:rPr>
                <w:noProof/>
                <w:webHidden/>
              </w:rPr>
              <w:fldChar w:fldCharType="begin"/>
            </w:r>
            <w:r>
              <w:rPr>
                <w:noProof/>
                <w:webHidden/>
              </w:rPr>
              <w:instrText xml:space="preserve"> PAGEREF _Toc431288902 \h </w:instrText>
            </w:r>
            <w:r>
              <w:rPr>
                <w:noProof/>
                <w:webHidden/>
              </w:rPr>
            </w:r>
            <w:r>
              <w:rPr>
                <w:noProof/>
                <w:webHidden/>
              </w:rPr>
              <w:fldChar w:fldCharType="separate"/>
            </w:r>
            <w:r>
              <w:rPr>
                <w:noProof/>
                <w:webHidden/>
              </w:rPr>
              <w:t>3</w:t>
            </w:r>
            <w:r>
              <w:rPr>
                <w:noProof/>
                <w:webHidden/>
              </w:rPr>
              <w:fldChar w:fldCharType="end"/>
            </w:r>
          </w:hyperlink>
        </w:p>
        <w:p w:rsidR="00D563D2" w:rsidRDefault="007B4327">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17D56">
              <w:rPr>
                <w:rStyle w:val="Hyperlink"/>
                <w:rFonts w:cs="Open Sans"/>
                <w:noProof/>
              </w:rPr>
              <w:t>2</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General overview of Activity in the period</w:t>
            </w:r>
            <w:r w:rsidR="00D563D2">
              <w:rPr>
                <w:noProof/>
                <w:webHidden/>
              </w:rPr>
              <w:tab/>
            </w:r>
            <w:r w:rsidR="00D563D2">
              <w:rPr>
                <w:noProof/>
                <w:webHidden/>
              </w:rPr>
              <w:fldChar w:fldCharType="begin"/>
            </w:r>
            <w:r w:rsidR="00D563D2">
              <w:rPr>
                <w:noProof/>
                <w:webHidden/>
              </w:rPr>
              <w:instrText xml:space="preserve"> PAGEREF _Toc431288903 \h </w:instrText>
            </w:r>
            <w:r w:rsidR="00D563D2">
              <w:rPr>
                <w:noProof/>
                <w:webHidden/>
              </w:rPr>
            </w:r>
            <w:r w:rsidR="00D563D2">
              <w:rPr>
                <w:noProof/>
                <w:webHidden/>
              </w:rPr>
              <w:fldChar w:fldCharType="separate"/>
            </w:r>
            <w:r w:rsidR="00D563D2">
              <w:rPr>
                <w:noProof/>
                <w:webHidden/>
              </w:rPr>
              <w:t>3</w:t>
            </w:r>
            <w:r w:rsidR="00D563D2">
              <w:rPr>
                <w:noProof/>
                <w:webHidden/>
              </w:rPr>
              <w:fldChar w:fldCharType="end"/>
            </w:r>
          </w:hyperlink>
        </w:p>
        <w:p w:rsidR="00D563D2" w:rsidRDefault="007B4327">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17D56">
              <w:rPr>
                <w:rStyle w:val="Hyperlink"/>
                <w:rFonts w:cs="Open Sans"/>
                <w:noProof/>
              </w:rPr>
              <w:t>3</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Performance against Service Targets</w:t>
            </w:r>
            <w:r w:rsidR="00D563D2">
              <w:rPr>
                <w:noProof/>
                <w:webHidden/>
              </w:rPr>
              <w:tab/>
            </w:r>
            <w:r w:rsidR="00D563D2">
              <w:rPr>
                <w:noProof/>
                <w:webHidden/>
              </w:rPr>
              <w:fldChar w:fldCharType="begin"/>
            </w:r>
            <w:r w:rsidR="00D563D2">
              <w:rPr>
                <w:noProof/>
                <w:webHidden/>
              </w:rPr>
              <w:instrText xml:space="preserve"> PAGEREF _Toc431288904 \h </w:instrText>
            </w:r>
            <w:r w:rsidR="00D563D2">
              <w:rPr>
                <w:noProof/>
                <w:webHidden/>
              </w:rPr>
            </w:r>
            <w:r w:rsidR="00D563D2">
              <w:rPr>
                <w:noProof/>
                <w:webHidden/>
              </w:rPr>
              <w:fldChar w:fldCharType="separate"/>
            </w:r>
            <w:r w:rsidR="00D563D2">
              <w:rPr>
                <w:noProof/>
                <w:webHidden/>
              </w:rPr>
              <w:t>3</w:t>
            </w:r>
            <w:r w:rsidR="00D563D2">
              <w:rPr>
                <w:noProof/>
                <w:webHidden/>
              </w:rPr>
              <w:fldChar w:fldCharType="end"/>
            </w:r>
          </w:hyperlink>
        </w:p>
        <w:p w:rsidR="00D563D2" w:rsidRDefault="007B4327">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17D56">
              <w:rPr>
                <w:rStyle w:val="Hyperlink"/>
                <w:rFonts w:cs="Open Sans"/>
                <w:noProof/>
              </w:rPr>
              <w:t>4</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Issues arising in the period</w:t>
            </w:r>
            <w:r w:rsidR="00D563D2">
              <w:rPr>
                <w:noProof/>
                <w:webHidden/>
              </w:rPr>
              <w:tab/>
            </w:r>
            <w:r w:rsidR="00D563D2">
              <w:rPr>
                <w:noProof/>
                <w:webHidden/>
              </w:rPr>
              <w:fldChar w:fldCharType="begin"/>
            </w:r>
            <w:r w:rsidR="00D563D2">
              <w:rPr>
                <w:noProof/>
                <w:webHidden/>
              </w:rPr>
              <w:instrText xml:space="preserve"> PAGEREF _Toc431288905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7B4327">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17D56">
              <w:rPr>
                <w:rStyle w:val="Hyperlink"/>
                <w:rFonts w:cs="Open Sans"/>
                <w:noProof/>
              </w:rPr>
              <w:t>5</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Measures planned</w:t>
            </w:r>
            <w:r w:rsidR="00D563D2">
              <w:rPr>
                <w:noProof/>
                <w:webHidden/>
              </w:rPr>
              <w:tab/>
            </w:r>
            <w:r w:rsidR="00D563D2">
              <w:rPr>
                <w:noProof/>
                <w:webHidden/>
              </w:rPr>
              <w:fldChar w:fldCharType="begin"/>
            </w:r>
            <w:r w:rsidR="00D563D2">
              <w:rPr>
                <w:noProof/>
                <w:webHidden/>
              </w:rPr>
              <w:instrText xml:space="preserve"> PAGEREF _Toc431288906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7B4327">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17D56">
              <w:rPr>
                <w:rStyle w:val="Hyperlink"/>
                <w:rFonts w:cs="Open Sans"/>
                <w:noProof/>
              </w:rPr>
              <w:t>6</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Foreseen activities and changes</w:t>
            </w:r>
            <w:r w:rsidR="00D563D2">
              <w:rPr>
                <w:noProof/>
                <w:webHidden/>
              </w:rPr>
              <w:tab/>
            </w:r>
            <w:r w:rsidR="00D563D2">
              <w:rPr>
                <w:noProof/>
                <w:webHidden/>
              </w:rPr>
              <w:fldChar w:fldCharType="begin"/>
            </w:r>
            <w:r w:rsidR="00D563D2">
              <w:rPr>
                <w:noProof/>
                <w:webHidden/>
              </w:rPr>
              <w:instrText xml:space="preserve"> PAGEREF _Toc431288907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D563D2">
          <w:r>
            <w:rPr>
              <w:b/>
              <w:bCs/>
              <w:noProof/>
            </w:rPr>
            <w:fldChar w:fldCharType="end"/>
          </w:r>
        </w:p>
      </w:sdtContent>
    </w:sdt>
    <w:p w:rsidR="00FB0AA1" w:rsidRPr="00A24724" w:rsidRDefault="00545FF1" w:rsidP="00FB0AA1">
      <w:pPr>
        <w:pStyle w:val="Heading1"/>
        <w:numPr>
          <w:ilvl w:val="0"/>
          <w:numId w:val="0"/>
        </w:numPr>
        <w:ind w:left="431"/>
        <w:rPr>
          <w:rFonts w:asciiTheme="minorHAnsi" w:hAnsiTheme="minorHAnsi" w:cs="Open Sans"/>
        </w:rPr>
      </w:pPr>
      <w:r w:rsidRPr="00A24724">
        <w:rPr>
          <w:rFonts w:asciiTheme="minorHAnsi" w:hAnsiTheme="minorHAnsi" w:cs="Open Sans"/>
        </w:rPr>
        <w:br w:type="page"/>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lastRenderedPageBreak/>
        <w:t>-------REMOVE BEGIN--------</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D537B2" w:rsidRDefault="00B2372A" w:rsidP="00B2372A">
      <w:pPr>
        <w:spacing w:after="120"/>
        <w:rPr>
          <w:rFonts w:asciiTheme="minorHAnsi" w:hAnsiTheme="minorHAnsi"/>
          <w:i/>
        </w:rPr>
      </w:pPr>
      <w:r w:rsidRPr="00D537B2">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1" w:name="_Toc431207009"/>
      <w:bookmarkStart w:id="2" w:name="_Toc431207023"/>
      <w:r w:rsidRPr="00395CE0">
        <w:rPr>
          <w:rFonts w:asciiTheme="minorHAnsi" w:hAnsiTheme="minorHAnsi" w:cs="Open Sans"/>
          <w:color w:val="0070C0"/>
        </w:rPr>
        <w:t>Effort</w:t>
      </w:r>
      <w:bookmarkEnd w:id="1"/>
      <w:bookmarkEnd w:id="2"/>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Please provide effort (PM) spent by each partner during the whole reporting period.</w:t>
      </w:r>
    </w:p>
    <w:p w:rsidR="00B2372A" w:rsidRPr="0091729E"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3" w:name="_Toc431207010"/>
      <w:bookmarkStart w:id="4" w:name="_Toc431207024"/>
      <w:r w:rsidRPr="00395CE0">
        <w:rPr>
          <w:rFonts w:asciiTheme="minorHAnsi" w:hAnsiTheme="minorHAnsi" w:cs="Open Sans"/>
          <w:color w:val="0070C0"/>
        </w:rPr>
        <w:t>General overview of Activity in the period</w:t>
      </w:r>
      <w:bookmarkEnd w:id="3"/>
      <w:bookmarkEnd w:id="4"/>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91729E"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5" w:name="_Toc431207011"/>
      <w:bookmarkStart w:id="6" w:name="_Toc431207025"/>
      <w:r w:rsidRPr="00395CE0">
        <w:rPr>
          <w:rFonts w:asciiTheme="minorHAnsi" w:hAnsiTheme="minorHAnsi" w:cs="Open Sans"/>
          <w:color w:val="0070C0"/>
        </w:rPr>
        <w:t>Performance againSt Service Targets</w:t>
      </w:r>
      <w:bookmarkEnd w:id="5"/>
      <w:bookmarkEnd w:id="6"/>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D537B2">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AF522A"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B2372A" w:rsidRPr="00D537B2" w:rsidRDefault="00B2372A" w:rsidP="00B2372A">
      <w:pPr>
        <w:rPr>
          <w:rFonts w:asciiTheme="minorHAnsi" w:hAnsiTheme="minorHAnsi" w:cs="Open Sans"/>
        </w:rPr>
      </w:pPr>
      <w:r w:rsidRPr="00D537B2">
        <w:rPr>
          <w:rFonts w:asciiTheme="minorHAnsi" w:hAnsiTheme="minorHAnsi" w:cs="Open Sans"/>
        </w:rPr>
        <w:t>The following table shows performance against targets:</w:t>
      </w:r>
    </w:p>
    <w:p w:rsidR="00B2372A" w:rsidRPr="00D537B2"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D537B2" w:rsidTr="0095217F">
        <w:tc>
          <w:tcPr>
            <w:tcW w:w="1395"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Service level parameter</w:t>
            </w:r>
          </w:p>
        </w:tc>
        <w:tc>
          <w:tcPr>
            <w:tcW w:w="1283" w:type="dxa"/>
            <w:shd w:val="clear" w:color="auto" w:fill="95B3D7" w:themeFill="accent1" w:themeFillTint="99"/>
          </w:tcPr>
          <w:p w:rsidR="00B2372A" w:rsidRPr="00D537B2" w:rsidRDefault="00B2372A" w:rsidP="0095217F">
            <w:pPr>
              <w:rPr>
                <w:rFonts w:asciiTheme="minorHAnsi" w:hAnsiTheme="minorHAnsi" w:cs="Open Sans"/>
                <w:b/>
              </w:rPr>
            </w:pPr>
            <w:r w:rsidRPr="00D537B2">
              <w:rPr>
                <w:rFonts w:asciiTheme="minorHAnsi" w:hAnsiTheme="minorHAnsi" w:cs="Open Sans"/>
                <w:b/>
              </w:rPr>
              <w:t>Target</w:t>
            </w:r>
          </w:p>
          <w:p w:rsidR="00B2372A" w:rsidRPr="00D537B2" w:rsidRDefault="00B2372A" w:rsidP="0095217F">
            <w:pPr>
              <w:rPr>
                <w:rFonts w:asciiTheme="minorHAnsi" w:hAnsiTheme="minorHAnsi" w:cs="Open Sans"/>
                <w:b/>
              </w:rPr>
            </w:pPr>
          </w:p>
        </w:tc>
        <w:tc>
          <w:tcPr>
            <w:tcW w:w="1317"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M1 average</w:t>
            </w:r>
          </w:p>
        </w:tc>
        <w:tc>
          <w:tcPr>
            <w:tcW w:w="1231"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M2 average</w:t>
            </w:r>
          </w:p>
        </w:tc>
        <w:tc>
          <w:tcPr>
            <w:tcW w:w="1231"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M3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M4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M5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M6 average</w:t>
            </w: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Availability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Reliability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Support priority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w:t>
            </w:r>
            <w:r w:rsidRPr="00395CE0">
              <w:rPr>
                <w:rFonts w:asciiTheme="minorHAnsi" w:hAnsiTheme="minorHAnsi" w:cs="Open Sans"/>
                <w:b/>
                <w:highlight w:val="yellow"/>
              </w:rPr>
              <w:t>Other</w:t>
            </w:r>
            <w:r w:rsidRPr="00395CE0">
              <w:rPr>
                <w:rFonts w:asciiTheme="minorHAnsi" w:hAnsiTheme="minorHAnsi" w:cs="Open Sans"/>
                <w:b/>
              </w:rPr>
              <w:t xml:space="preserve"> </w:t>
            </w:r>
            <w:r w:rsidRPr="00395CE0">
              <w:rPr>
                <w:rFonts w:asciiTheme="minorHAnsi" w:hAnsiTheme="minorHAnsi" w:cs="Open Sans"/>
                <w:b/>
                <w:highlight w:val="yellow"/>
              </w:rPr>
              <w:lastRenderedPageBreak/>
              <w:t>parameter</w:t>
            </w:r>
            <w:r w:rsidRPr="00395CE0">
              <w:rPr>
                <w:rFonts w:asciiTheme="minorHAnsi" w:hAnsiTheme="minorHAnsi" w:cs="Open Sans"/>
                <w:b/>
              </w:rPr>
              <w:t>]</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bl>
    <w:p w:rsidR="00B2372A" w:rsidRPr="00395CE0" w:rsidRDefault="00B2372A" w:rsidP="00B2372A">
      <w:pPr>
        <w:pStyle w:val="Heading1"/>
        <w:rPr>
          <w:rFonts w:asciiTheme="minorHAnsi" w:hAnsiTheme="minorHAnsi" w:cs="Open Sans"/>
          <w:color w:val="0070C0"/>
        </w:rPr>
      </w:pPr>
      <w:bookmarkStart w:id="9" w:name="_Toc431207012"/>
      <w:bookmarkStart w:id="10" w:name="_Toc431207026"/>
      <w:r w:rsidRPr="00395CE0">
        <w:rPr>
          <w:rFonts w:asciiTheme="minorHAnsi" w:hAnsiTheme="minorHAnsi" w:cs="Open Sans"/>
          <w:color w:val="0070C0"/>
        </w:rPr>
        <w:lastRenderedPageBreak/>
        <w:t>Issues arising in the period</w:t>
      </w:r>
      <w:bookmarkEnd w:id="9"/>
      <w:bookmarkEnd w:id="10"/>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rPr>
      </w:pPr>
      <w:r w:rsidRPr="00D537B2">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D537B2">
        <w:rPr>
          <w:rFonts w:asciiTheme="minorHAnsi" w:hAnsiTheme="minorHAnsi"/>
          <w:i/>
          <w:iCs/>
        </w:rPr>
        <w:t> </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B2372A" w:rsidRPr="00395CE0" w:rsidRDefault="00B2372A" w:rsidP="00B2372A">
      <w:pPr>
        <w:pStyle w:val="Heading1"/>
        <w:rPr>
          <w:rFonts w:asciiTheme="minorHAnsi" w:hAnsiTheme="minorHAnsi" w:cs="Open Sans"/>
          <w:color w:val="0070C0"/>
        </w:rPr>
      </w:pPr>
      <w:bookmarkStart w:id="11" w:name="_Toc431207013"/>
      <w:bookmarkStart w:id="12" w:name="_Toc431207027"/>
      <w:r w:rsidRPr="00395CE0">
        <w:rPr>
          <w:rFonts w:asciiTheme="minorHAnsi" w:hAnsiTheme="minorHAnsi" w:cs="Open Sans"/>
          <w:color w:val="0070C0"/>
        </w:rPr>
        <w:t>Measures planned</w:t>
      </w:r>
      <w:bookmarkEnd w:id="11"/>
      <w:bookmarkEnd w:id="12"/>
      <w:r w:rsidRPr="00395CE0">
        <w:rPr>
          <w:rFonts w:asciiTheme="minorHAnsi" w:hAnsiTheme="minorHAnsi" w:cs="Open Sans"/>
          <w:color w:val="0070C0"/>
        </w:rPr>
        <w:t xml:space="preserve"> </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Explain measures planned to mitigate issues in this period.</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bookmarkEnd w:id="7"/>
    <w:bookmarkEnd w:id="8"/>
    <w:p w:rsidR="00B2372A" w:rsidRPr="00395CE0" w:rsidRDefault="00B2372A" w:rsidP="00B2372A">
      <w:pPr>
        <w:pStyle w:val="Heading1"/>
        <w:rPr>
          <w:rFonts w:asciiTheme="minorHAnsi" w:hAnsiTheme="minorHAnsi" w:cs="Open Sans"/>
          <w:color w:val="0070C0"/>
        </w:rPr>
      </w:pPr>
      <w:r w:rsidRPr="00395CE0">
        <w:rPr>
          <w:rFonts w:asciiTheme="minorHAnsi" w:hAnsiTheme="minorHAnsi" w:cs="Open Sans"/>
          <w:color w:val="0070C0"/>
        </w:rPr>
        <w:t xml:space="preserve"> </w:t>
      </w:r>
      <w:bookmarkStart w:id="13" w:name="_Toc431207014"/>
      <w:bookmarkStart w:id="14" w:name="_Toc431207028"/>
      <w:r w:rsidRPr="00395CE0">
        <w:rPr>
          <w:rFonts w:asciiTheme="minorHAnsi" w:hAnsiTheme="minorHAnsi" w:cs="Open Sans"/>
          <w:color w:val="0070C0"/>
        </w:rPr>
        <w:t>Foreseen activities and changes</w:t>
      </w:r>
      <w:bookmarkEnd w:id="13"/>
      <w:bookmarkEnd w:id="14"/>
      <w:r w:rsidRPr="00395CE0">
        <w:rPr>
          <w:rFonts w:asciiTheme="minorHAnsi" w:hAnsiTheme="minorHAnsi" w:cs="Open Sans"/>
          <w:color w:val="0070C0"/>
        </w:rPr>
        <w:t xml:space="preserve"> </w:t>
      </w:r>
    </w:p>
    <w:p w:rsidR="00B2372A" w:rsidRPr="00D537B2" w:rsidRDefault="00B2372A" w:rsidP="00B2372A">
      <w:pPr>
        <w:rPr>
          <w:rFonts w:asciiTheme="minorHAnsi" w:hAnsiTheme="minorHAnsi"/>
          <w:i/>
          <w:iCs/>
        </w:rPr>
      </w:pP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rPr>
          <w:rFonts w:asciiTheme="minorHAnsi" w:hAnsiTheme="minorHAnsi"/>
          <w:i/>
          <w:iCs/>
        </w:rPr>
      </w:pPr>
      <w:r w:rsidRPr="00D537B2">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A80D0B" w:rsidRPr="00A24724" w:rsidRDefault="00A80D0B" w:rsidP="005421E0">
      <w:pPr>
        <w:rPr>
          <w:rFonts w:asciiTheme="minorHAnsi" w:hAnsiTheme="minorHAnsi" w:cs="Open Sans"/>
        </w:rPr>
      </w:pPr>
    </w:p>
    <w:sectPr w:rsidR="00A80D0B" w:rsidRPr="00A24724" w:rsidSect="00D563D2">
      <w:headerReference w:type="default" r:id="rId12"/>
      <w:footerReference w:type="default" r:id="rId13"/>
      <w:footerReference w:type="first" r:id="rId14"/>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327" w:rsidRDefault="007B4327">
      <w:pPr>
        <w:spacing w:before="0" w:after="0"/>
      </w:pPr>
      <w:r>
        <w:separator/>
      </w:r>
    </w:p>
  </w:endnote>
  <w:endnote w:type="continuationSeparator" w:id="0">
    <w:p w:rsidR="007B4327" w:rsidRDefault="007B43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025C54">
            <w:rPr>
              <w:noProof/>
            </w:rPr>
            <w:t>2</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7B4327"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327" w:rsidRDefault="007B4327">
      <w:pPr>
        <w:spacing w:before="0" w:after="0"/>
      </w:pPr>
      <w:r>
        <w:separator/>
      </w:r>
    </w:p>
  </w:footnote>
  <w:footnote w:type="continuationSeparator" w:id="0">
    <w:p w:rsidR="007B4327" w:rsidRDefault="007B432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25C54"/>
    <w:rsid w:val="0003018E"/>
    <w:rsid w:val="00030871"/>
    <w:rsid w:val="0003490C"/>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4327"/>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A4C80"/>
    <w:rsid w:val="009A5C31"/>
    <w:rsid w:val="009B6C67"/>
    <w:rsid w:val="009B6F71"/>
    <w:rsid w:val="009C33C1"/>
    <w:rsid w:val="009D0263"/>
    <w:rsid w:val="009D080B"/>
    <w:rsid w:val="009E0260"/>
    <w:rsid w:val="009E1259"/>
    <w:rsid w:val="009F195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5DF2"/>
    <w:rsid w:val="00B30E37"/>
    <w:rsid w:val="00B34F68"/>
    <w:rsid w:val="00B45B15"/>
    <w:rsid w:val="00B555C3"/>
    <w:rsid w:val="00B55DC6"/>
    <w:rsid w:val="00B56EAE"/>
    <w:rsid w:val="00B62B43"/>
    <w:rsid w:val="00B67465"/>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5763305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77180454">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59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uments.egi.eu/document/245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F0D0FD28-41DF-46AC-8600-C1633A6D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3417</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5</cp:revision>
  <cp:lastPrinted>2012-01-19T13:53:00Z</cp:lastPrinted>
  <dcterms:created xsi:type="dcterms:W3CDTF">2015-09-29T09:19:00Z</dcterms:created>
  <dcterms:modified xsi:type="dcterms:W3CDTF">2015-09-29T09:22:00Z</dcterms:modified>
</cp:coreProperties>
</file>