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bookmarkStart w:id="0" w:name="_GoBack"/>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0915D8" w:rsidP="000915D8">
            <w:pPr>
              <w:jc w:val="left"/>
              <w:rPr>
                <w:rFonts w:asciiTheme="minorHAnsi" w:hAnsiTheme="minorHAnsi" w:cs="Open Sans"/>
                <w:color w:val="000000"/>
              </w:rPr>
            </w:pPr>
            <w:r w:rsidRPr="00603417">
              <w:rPr>
                <w:rFonts w:asciiTheme="minorHAnsi" w:hAnsiTheme="minorHAnsi" w:cs="Open Sans"/>
                <w:color w:val="000000"/>
              </w:rPr>
              <w:t>IBERGRID</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603417" w:rsidRDefault="00B23DBC" w:rsidP="005256A9">
            <w:pPr>
              <w:jc w:val="left"/>
              <w:rPr>
                <w:rFonts w:asciiTheme="minorHAnsi" w:hAnsiTheme="minorHAnsi" w:cs="Open Sans"/>
                <w:color w:val="000000"/>
              </w:rPr>
            </w:pPr>
            <w:r w:rsidRPr="00603417">
              <w:rPr>
                <w:rFonts w:asciiTheme="minorHAnsi" w:hAnsiTheme="minorHAnsi" w:cs="Open Sans"/>
                <w:color w:val="000000"/>
              </w:rPr>
              <w:t>Accounting And Metrics Portal</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B23DBC" w:rsidRPr="00603417" w:rsidRDefault="00B23DBC" w:rsidP="00437D76">
            <w:pPr>
              <w:rPr>
                <w:rFonts w:asciiTheme="minorHAnsi" w:hAnsiTheme="minorHAnsi" w:cs="Open Sans"/>
                <w:color w:val="000000"/>
              </w:rPr>
            </w:pPr>
            <w:r w:rsidRPr="00603417">
              <w:rPr>
                <w:rFonts w:asciiTheme="minorHAnsi" w:hAnsiTheme="minorHAnsi" w:cs="Open Sans"/>
                <w:color w:val="000000"/>
              </w:rPr>
              <w:t xml:space="preserve">Carlos </w:t>
            </w:r>
            <w:proofErr w:type="spellStart"/>
            <w:r w:rsidRPr="00603417">
              <w:rPr>
                <w:rFonts w:asciiTheme="minorHAnsi" w:hAnsiTheme="minorHAnsi" w:cs="Open Sans"/>
                <w:color w:val="000000"/>
              </w:rPr>
              <w:t>Fernández</w:t>
            </w:r>
            <w:proofErr w:type="spellEnd"/>
            <w:r w:rsidRPr="00603417">
              <w:rPr>
                <w:rFonts w:asciiTheme="minorHAnsi" w:hAnsiTheme="minorHAnsi" w:cs="Open Sans"/>
                <w:color w:val="000000"/>
              </w:rPr>
              <w:tab/>
            </w:r>
          </w:p>
          <w:p w:rsidR="000915D8" w:rsidRPr="00603417" w:rsidRDefault="00B23DBC" w:rsidP="00437D76">
            <w:pPr>
              <w:rPr>
                <w:rFonts w:asciiTheme="minorHAnsi" w:hAnsiTheme="minorHAnsi" w:cs="Open Sans"/>
                <w:color w:val="000000"/>
              </w:rPr>
            </w:pPr>
            <w:r w:rsidRPr="00603417">
              <w:rPr>
                <w:rFonts w:asciiTheme="minorHAnsi" w:hAnsiTheme="minorHAnsi" w:cs="Open Sans"/>
                <w:color w:val="000000"/>
              </w:rPr>
              <w:t>Site Operations Manager</w:t>
            </w:r>
          </w:p>
          <w:p w:rsidR="00B23DBC" w:rsidRPr="00603417" w:rsidRDefault="00B23DBC" w:rsidP="00437D76">
            <w:pPr>
              <w:rPr>
                <w:rFonts w:asciiTheme="minorHAnsi" w:hAnsiTheme="minorHAnsi"/>
                <w:color w:val="0000FF"/>
                <w:u w:val="single"/>
              </w:rPr>
            </w:pPr>
            <w:hyperlink r:id="rId10" w:history="1">
              <w:r w:rsidRPr="00603417">
                <w:rPr>
                  <w:rStyle w:val="Hyperlink"/>
                  <w:rFonts w:asciiTheme="minorHAnsi" w:eastAsia="Verdana" w:hAnsiTheme="minorHAnsi"/>
                </w:rPr>
                <w:t>carlosf@cesga.es</w:t>
              </w:r>
            </w:hyperlink>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764DC8"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764DC8"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764DC8">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764DC8">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764DC8">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764DC8">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764DC8">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roofErr w:type="gramStart"/>
      <w:r w:rsidRPr="00603417">
        <w:rPr>
          <w:rFonts w:asciiTheme="minorHAnsi" w:hAnsiTheme="minorHAnsi"/>
          <w:i/>
          <w:highlight w:val="yellow"/>
        </w:rPr>
        <w:t>..</w:t>
      </w:r>
      <w:proofErr w:type="gramEnd"/>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0"/>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C8" w:rsidRDefault="00764DC8">
      <w:pPr>
        <w:spacing w:before="0" w:after="0"/>
      </w:pPr>
      <w:r>
        <w:separator/>
      </w:r>
    </w:p>
  </w:endnote>
  <w:endnote w:type="continuationSeparator" w:id="0">
    <w:p w:rsidR="00764DC8" w:rsidRDefault="00764D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603417">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764DC8"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C8" w:rsidRDefault="00764DC8">
      <w:pPr>
        <w:spacing w:before="0" w:after="0"/>
      </w:pPr>
      <w:r>
        <w:separator/>
      </w:r>
    </w:p>
  </w:footnote>
  <w:footnote w:type="continuationSeparator" w:id="0">
    <w:p w:rsidR="00764DC8" w:rsidRDefault="00764DC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arlosf@cesga.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3E0FD9E-CBD4-4EED-BCBD-F44F8FFD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3574</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11</cp:revision>
  <cp:lastPrinted>2012-01-19T13:53:00Z</cp:lastPrinted>
  <dcterms:created xsi:type="dcterms:W3CDTF">2015-09-29T09:19:00Z</dcterms:created>
  <dcterms:modified xsi:type="dcterms:W3CDTF">2015-09-29T09:25:00Z</dcterms:modified>
</cp:coreProperties>
</file>