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39">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3B">
      <w:pPr>
        <w:rPr>
          <w:color w:val="0000ff"/>
          <w:u w:val="single"/>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3E">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54">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The Component Provider(s) is (are) bound by the terms and conditions of the Corporate-level EGI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57">
      <w:pPr>
        <w:pStyle w:val="Heading1"/>
        <w:numPr>
          <w:ilvl w:val="0"/>
          <w:numId w:val="3"/>
        </w:numPr>
        <w:ind w:left="432" w:hanging="432"/>
        <w:rPr/>
      </w:pPr>
      <w:bookmarkStart w:colFirst="0" w:colLast="0" w:name="_30j0zll" w:id="1"/>
      <w:bookmarkEnd w:id="1"/>
      <w:r w:rsidDel="00000000" w:rsidR="00000000" w:rsidRPr="00000000">
        <w:rPr>
          <w:rtl w:val="0"/>
        </w:rPr>
        <w:t xml:space="preserve">The Services</w:t>
      </w:r>
    </w:p>
    <w:p w:rsidR="00000000" w:rsidDel="00000000" w:rsidP="00000000" w:rsidRDefault="00000000" w:rsidRPr="00000000" w14:paraId="00000058">
      <w:pPr>
        <w:rPr/>
      </w:pPr>
      <w:r w:rsidDel="00000000" w:rsidR="00000000" w:rsidRPr="00000000">
        <w:rPr>
          <w:rtl w:val="0"/>
        </w:rPr>
        <w:t xml:space="preserve">The Services are defined by the following properties:</w:t>
      </w:r>
    </w:p>
    <w:p w:rsidR="00000000" w:rsidDel="00000000" w:rsidP="00000000" w:rsidRDefault="00000000" w:rsidRPr="00000000" w14:paraId="00000059">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5B">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5D">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5F">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0">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63">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numPr>
          <w:ilvl w:val="0"/>
          <w:numId w:val="3"/>
        </w:numPr>
        <w:ind w:left="432" w:hanging="432"/>
        <w:rPr/>
      </w:pPr>
      <w:bookmarkStart w:colFirst="0" w:colLast="0" w:name="_1fob9te" w:id="2"/>
      <w:bookmarkEnd w:id="2"/>
      <w:r w:rsidDel="00000000" w:rsidR="00000000" w:rsidRPr="00000000">
        <w:rPr>
          <w:rtl w:val="0"/>
        </w:rPr>
        <w:t xml:space="preserve">Service hours and exceptions</w:t>
      </w:r>
    </w:p>
    <w:p w:rsidR="00000000" w:rsidDel="00000000" w:rsidP="00000000" w:rsidRDefault="00000000" w:rsidRPr="00000000" w14:paraId="00000066">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67">
      <w:pPr>
        <w:rPr>
          <w:highlight w:val="yellow"/>
        </w:rPr>
      </w:pPr>
      <w:r w:rsidDel="00000000" w:rsidR="00000000" w:rsidRPr="00000000">
        <w:rPr>
          <w:highlight w:val="yellow"/>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6A">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6C">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6D">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3"/>
        </w:numPr>
        <w:ind w:left="432" w:hanging="432"/>
        <w:rPr/>
      </w:pPr>
      <w:bookmarkStart w:colFirst="0" w:colLast="0" w:name="_3znysh7" w:id="3"/>
      <w:bookmarkEnd w:id="3"/>
      <w:r w:rsidDel="00000000" w:rsidR="00000000" w:rsidRPr="00000000">
        <w:rPr>
          <w:rtl w:val="0"/>
        </w:rPr>
        <w:t xml:space="preserve">Support</w:t>
      </w:r>
    </w:p>
    <w:p w:rsidR="00000000" w:rsidDel="00000000" w:rsidP="00000000" w:rsidRDefault="00000000" w:rsidRPr="00000000" w14:paraId="00000070">
      <w:pPr>
        <w:rPr/>
      </w:pPr>
      <w:bookmarkStart w:colFirst="0" w:colLast="0" w:name="_2et92p0" w:id="4"/>
      <w:bookmarkEnd w:id="4"/>
      <w:r w:rsidDel="00000000" w:rsidR="00000000" w:rsidRPr="00000000">
        <w:rPr>
          <w:rtl w:val="0"/>
        </w:rPr>
        <w:t xml:space="preserve">As defined in Corporate-level EGI Operational Level Agreement.</w:t>
      </w:r>
    </w:p>
    <w:p w:rsidR="00000000" w:rsidDel="00000000" w:rsidP="00000000" w:rsidRDefault="00000000" w:rsidRPr="00000000" w14:paraId="00000071">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highlight w:val="yellow"/>
        </w:rPr>
      </w:pPr>
      <w:r w:rsidDel="00000000" w:rsidR="00000000" w:rsidRPr="00000000">
        <w:rPr>
          <w:highlight w:val="yellow"/>
          <w:rtl w:val="0"/>
        </w:rPr>
        <w:t xml:space="preserve">--------------------------------------------------------------</w:t>
      </w:r>
    </w:p>
    <w:p w:rsidR="00000000" w:rsidDel="00000000" w:rsidP="00000000" w:rsidRDefault="00000000" w:rsidRPr="00000000" w14:paraId="00000074">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75">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76">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77">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78">
      <w:pPr>
        <w:rPr>
          <w:highlight w:val="yellow"/>
        </w:rPr>
      </w:pPr>
      <w:r w:rsidDel="00000000" w:rsidR="00000000" w:rsidRPr="00000000">
        <w:rPr>
          <w:rtl w:val="0"/>
        </w:rPr>
      </w:r>
    </w:p>
    <w:p w:rsidR="00000000" w:rsidDel="00000000" w:rsidP="00000000" w:rsidRDefault="00000000" w:rsidRPr="00000000" w14:paraId="00000079">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7A">
      <w:pPr>
        <w:pStyle w:val="Heading2"/>
        <w:numPr>
          <w:ilvl w:val="1"/>
          <w:numId w:val="3"/>
        </w:numPr>
        <w:ind w:left="576" w:hanging="576"/>
        <w:rPr/>
      </w:pPr>
      <w:bookmarkStart w:colFirst="0" w:colLast="0" w:name="_tyjcwt" w:id="5"/>
      <w:bookmarkEnd w:id="5"/>
      <w:r w:rsidDel="00000000" w:rsidR="00000000" w:rsidRPr="00000000">
        <w:rPr>
          <w:rtl w:val="0"/>
        </w:rPr>
        <w:t xml:space="preserve">Incident handling</w:t>
      </w:r>
    </w:p>
    <w:p w:rsidR="00000000" w:rsidDel="00000000" w:rsidP="00000000" w:rsidRDefault="00000000" w:rsidRPr="00000000" w14:paraId="0000007B">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7C">
      <w:pPr>
        <w:rPr>
          <w:highlight w:val="yellow"/>
        </w:rPr>
      </w:pPr>
      <w:r w:rsidDel="00000000" w:rsidR="00000000" w:rsidRPr="00000000">
        <w:rPr>
          <w:highlight w:val="yellow"/>
          <w:rtl w:val="0"/>
        </w:rPr>
        <w:t xml:space="preserve">--------------------------------------------------------------</w:t>
      </w:r>
    </w:p>
    <w:p w:rsidR="00000000" w:rsidDel="00000000" w:rsidP="00000000" w:rsidRDefault="00000000" w:rsidRPr="00000000" w14:paraId="0000007D">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7E">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7F">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0">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1">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2">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3">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84">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5">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86">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7">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88">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89">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8A">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8B">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8C">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D">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F">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0">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1">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2">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93">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4">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97">
      <w:pPr>
        <w:rPr>
          <w:highlight w:val="yellow"/>
        </w:rPr>
      </w:pPr>
      <w:r w:rsidDel="00000000" w:rsidR="00000000" w:rsidRPr="00000000">
        <w:rPr>
          <w:rtl w:val="0"/>
        </w:rPr>
      </w:r>
    </w:p>
    <w:p w:rsidR="00000000" w:rsidDel="00000000" w:rsidP="00000000" w:rsidRDefault="00000000" w:rsidRPr="00000000" w14:paraId="00000098">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numPr>
          <w:ilvl w:val="1"/>
          <w:numId w:val="3"/>
        </w:numPr>
        <w:ind w:left="576" w:hanging="576"/>
        <w:rPr/>
      </w:pPr>
      <w:bookmarkStart w:colFirst="0" w:colLast="0" w:name="_3dy6vkm" w:id="6"/>
      <w:bookmarkEnd w:id="6"/>
      <w:r w:rsidDel="00000000" w:rsidR="00000000" w:rsidRPr="00000000">
        <w:rPr>
          <w:rtl w:val="0"/>
        </w:rPr>
        <w:t xml:space="preserve">Service requests</w:t>
      </w:r>
    </w:p>
    <w:p w:rsidR="00000000" w:rsidDel="00000000" w:rsidP="00000000" w:rsidRDefault="00000000" w:rsidRPr="00000000" w14:paraId="0000009B">
      <w:pPr>
        <w:rPr/>
      </w:pPr>
      <w:bookmarkStart w:colFirst="0" w:colLast="0" w:name="_1t3h5sf" w:id="7"/>
      <w:bookmarkEnd w:id="7"/>
      <w:r w:rsidDel="00000000" w:rsidR="00000000" w:rsidRPr="00000000">
        <w:rPr>
          <w:rtl w:val="0"/>
        </w:rPr>
        <w:t xml:space="preserve">As defined in Corporate-level EGI Operational Level Agreement.</w:t>
      </w:r>
    </w:p>
    <w:p w:rsidR="00000000" w:rsidDel="00000000" w:rsidP="00000000" w:rsidRDefault="00000000" w:rsidRPr="00000000" w14:paraId="0000009C">
      <w:pPr>
        <w:rPr>
          <w:highlight w:val="yellow"/>
        </w:rPr>
      </w:pPr>
      <w:r w:rsidDel="00000000" w:rsidR="00000000" w:rsidRPr="00000000">
        <w:rPr>
          <w:highlight w:val="yellow"/>
          <w:rtl w:val="0"/>
        </w:rPr>
        <w:t xml:space="preserve">--------------------------------------------------------------</w:t>
      </w:r>
    </w:p>
    <w:p w:rsidR="00000000" w:rsidDel="00000000" w:rsidP="00000000" w:rsidRDefault="00000000" w:rsidRPr="00000000" w14:paraId="0000009D">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1"/>
        <w:numPr>
          <w:ilvl w:val="0"/>
          <w:numId w:val="3"/>
        </w:numPr>
        <w:ind w:left="432" w:hanging="432"/>
        <w:rPr/>
      </w:pPr>
      <w:bookmarkStart w:colFirst="0" w:colLast="0" w:name="_4d34og8" w:id="8"/>
      <w:bookmarkEnd w:id="8"/>
      <w:r w:rsidDel="00000000" w:rsidR="00000000" w:rsidRPr="00000000">
        <w:rPr>
          <w:rtl w:val="0"/>
        </w:rPr>
        <w:t xml:space="preserve">Service level targets</w:t>
      </w:r>
    </w:p>
    <w:p w:rsidR="00000000" w:rsidDel="00000000" w:rsidP="00000000" w:rsidRDefault="00000000" w:rsidRPr="00000000" w14:paraId="000000A0">
      <w:pPr>
        <w:rPr>
          <w:b w:val="1"/>
        </w:rPr>
      </w:pPr>
      <w:r w:rsidDel="00000000" w:rsidR="00000000" w:rsidRPr="00000000">
        <w:rPr>
          <w:b w:val="1"/>
          <w:rtl w:val="0"/>
        </w:rPr>
        <w:t xml:space="preserve">Monthly Availability </w:t>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Monthly Reliability</w:t>
      </w:r>
    </w:p>
    <w:p w:rsidR="00000000" w:rsidDel="00000000" w:rsidP="00000000" w:rsidRDefault="00000000" w:rsidRPr="00000000" w14:paraId="000000A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A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Quality of Support level</w:t>
      </w:r>
    </w:p>
    <w:p w:rsidR="00000000" w:rsidDel="00000000" w:rsidP="00000000" w:rsidRDefault="00000000" w:rsidRPr="00000000" w14:paraId="000000A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A8">
      <w:pPr>
        <w:pStyle w:val="Heading1"/>
        <w:numPr>
          <w:ilvl w:val="0"/>
          <w:numId w:val="3"/>
        </w:numPr>
        <w:ind w:left="432" w:hanging="432"/>
        <w:rPr/>
      </w:pPr>
      <w:bookmarkStart w:colFirst="0" w:colLast="0" w:name="_2s8eyo1" w:id="9"/>
      <w:bookmarkEnd w:id="9"/>
      <w:r w:rsidDel="00000000" w:rsidR="00000000" w:rsidRPr="00000000">
        <w:rPr>
          <w:rtl w:val="0"/>
        </w:rPr>
        <w:t xml:space="preserve">Limitations and constraints</w:t>
      </w:r>
    </w:p>
    <w:p w:rsidR="00000000" w:rsidDel="00000000" w:rsidP="00000000" w:rsidRDefault="00000000" w:rsidRPr="00000000" w14:paraId="000000A9">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AA">
      <w:pPr>
        <w:rPr>
          <w:highlight w:val="yellow"/>
        </w:rPr>
      </w:pPr>
      <w:r w:rsidDel="00000000" w:rsidR="00000000" w:rsidRPr="00000000">
        <w:rPr>
          <w:highlight w:val="yellow"/>
          <w:rtl w:val="0"/>
        </w:rPr>
        <w:t xml:space="preserve">--------------------------------------------------------------</w:t>
      </w:r>
    </w:p>
    <w:p w:rsidR="00000000" w:rsidDel="00000000" w:rsidP="00000000" w:rsidRDefault="00000000" w:rsidRPr="00000000" w14:paraId="000000AB">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AC">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AD">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AE">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AF">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0">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1">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1"/>
        <w:numPr>
          <w:ilvl w:val="0"/>
          <w:numId w:val="3"/>
        </w:numPr>
        <w:ind w:left="432" w:hanging="432"/>
        <w:rPr/>
      </w:pPr>
      <w:bookmarkStart w:colFirst="0" w:colLast="0" w:name="_17dp8vu" w:id="10"/>
      <w:bookmarkEnd w:id="10"/>
      <w:r w:rsidDel="00000000" w:rsidR="00000000" w:rsidRPr="00000000">
        <w:rPr>
          <w:rtl w:val="0"/>
        </w:rPr>
        <w:t xml:space="preserve">Communication, reporting and escalation</w:t>
      </w:r>
    </w:p>
    <w:p w:rsidR="00000000" w:rsidDel="00000000" w:rsidP="00000000" w:rsidRDefault="00000000" w:rsidRPr="00000000" w14:paraId="000000B4">
      <w:pPr>
        <w:pStyle w:val="Heading2"/>
        <w:numPr>
          <w:ilvl w:val="1"/>
          <w:numId w:val="3"/>
        </w:numPr>
        <w:ind w:left="576" w:hanging="576"/>
        <w:rPr/>
      </w:pPr>
      <w:bookmarkStart w:colFirst="0" w:colLast="0" w:name="_3rdcrjn" w:id="11"/>
      <w:bookmarkEnd w:id="11"/>
      <w:r w:rsidDel="00000000" w:rsidR="00000000" w:rsidRPr="00000000">
        <w:rPr>
          <w:rtl w:val="0"/>
        </w:rPr>
        <w:t xml:space="preserve">General communication</w:t>
      </w:r>
    </w:p>
    <w:p w:rsidR="00000000" w:rsidDel="00000000" w:rsidP="00000000" w:rsidRDefault="00000000" w:rsidRPr="00000000" w14:paraId="000000B5">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B6">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B7">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B8">
            <w:pPr>
              <w:rPr/>
            </w:pPr>
            <w:r w:rsidDel="00000000" w:rsidR="00000000" w:rsidRPr="00000000">
              <w:rPr>
                <w:rtl w:val="0"/>
              </w:rPr>
              <w:t xml:space="preserve">Alessandro Paolini</w:t>
            </w:r>
          </w:p>
          <w:p w:rsidR="00000000" w:rsidDel="00000000" w:rsidP="00000000" w:rsidRDefault="00000000" w:rsidRPr="00000000" w14:paraId="000000B9">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A">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BB">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BC">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BD">
            <w:pPr>
              <w:rPr>
                <w:highlight w:val="yellow"/>
              </w:rPr>
            </w:pPr>
            <w:r w:rsidDel="00000000" w:rsidR="00000000" w:rsidRPr="00000000">
              <w:rPr>
                <w:highlight w:val="yellow"/>
                <w:rtl w:val="0"/>
              </w:rPr>
              <w:t xml:space="preserve">[email] </w:t>
            </w:r>
          </w:p>
          <w:p w:rsidR="00000000" w:rsidDel="00000000" w:rsidP="00000000" w:rsidRDefault="00000000" w:rsidRPr="00000000" w14:paraId="000000BE">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BF">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0">
            <w:pPr>
              <w:rPr/>
            </w:pPr>
            <w:r w:rsidDel="00000000" w:rsidR="00000000" w:rsidRPr="00000000">
              <w:rPr>
                <w:rtl w:val="0"/>
              </w:rPr>
              <w:t xml:space="preserve">See Section 3</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numPr>
          <w:ilvl w:val="1"/>
          <w:numId w:val="3"/>
        </w:numPr>
        <w:ind w:left="576" w:hanging="576"/>
        <w:rPr/>
      </w:pPr>
      <w:bookmarkStart w:colFirst="0" w:colLast="0" w:name="_26in1rg" w:id="12"/>
      <w:bookmarkEnd w:id="12"/>
      <w:r w:rsidDel="00000000" w:rsidR="00000000" w:rsidRPr="00000000">
        <w:rPr>
          <w:rtl w:val="0"/>
        </w:rPr>
        <w:t xml:space="preserve">Regular reporting</w:t>
      </w:r>
    </w:p>
    <w:p w:rsidR="00000000" w:rsidDel="00000000" w:rsidP="00000000" w:rsidRDefault="00000000" w:rsidRPr="00000000" w14:paraId="000000C3">
      <w:pPr>
        <w:rPr/>
      </w:pPr>
      <w:bookmarkStart w:colFirst="0" w:colLast="0" w:name="_lnxbz9" w:id="13"/>
      <w:bookmarkEnd w:id="13"/>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C5">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C6">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C8">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C9">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CA">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CB">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CC">
            <w:pPr>
              <w:jc w:val="left"/>
              <w:rPr>
                <w:sz w:val="18"/>
                <w:szCs w:val="18"/>
                <w:highlight w:val="green"/>
              </w:rPr>
            </w:pPr>
            <w:commentRangeStart w:id="2"/>
            <w:commentRangeStart w:id="3"/>
            <w:r w:rsidDel="00000000" w:rsidR="00000000" w:rsidRPr="00000000">
              <w:rPr>
                <w:sz w:val="18"/>
                <w:szCs w:val="18"/>
                <w:highlight w:val="yellow"/>
                <w:rtl w:val="0"/>
              </w:rPr>
              <w:t xml:space="preserve">Every 6 months starting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c>
          <w:tcPr/>
          <w:p w:rsidR="00000000" w:rsidDel="00000000" w:rsidP="00000000" w:rsidRDefault="00000000" w:rsidRPr="00000000" w14:paraId="000000CD">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CE">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r>
        <w:tc>
          <w:tcPr>
            <w:shd w:fill="auto" w:val="clear"/>
          </w:tcPr>
          <w:p w:rsidR="00000000" w:rsidDel="00000000" w:rsidP="00000000" w:rsidRDefault="00000000" w:rsidRPr="00000000" w14:paraId="000000CF">
            <w:pPr>
              <w:jc w:val="left"/>
              <w:rPr>
                <w:highlight w:val="yellow"/>
              </w:rPr>
            </w:pPr>
            <w:r w:rsidDel="00000000" w:rsidR="00000000" w:rsidRPr="00000000">
              <w:rPr>
                <w:sz w:val="18"/>
                <w:szCs w:val="18"/>
                <w:highlight w:val="yellow"/>
                <w:rtl w:val="0"/>
              </w:rPr>
              <w:t xml:space="preserve">Platform Service report</w:t>
            </w:r>
            <w:r w:rsidDel="00000000" w:rsidR="00000000" w:rsidRPr="00000000">
              <w:rPr>
                <w:rtl w:val="0"/>
              </w:rPr>
            </w:r>
          </w:p>
        </w:tc>
        <w:tc>
          <w:tcPr>
            <w:shd w:fill="auto" w:val="clear"/>
          </w:tcPr>
          <w:p w:rsidR="00000000" w:rsidDel="00000000" w:rsidP="00000000" w:rsidRDefault="00000000" w:rsidRPr="00000000" w14:paraId="000000D0">
            <w:pPr>
              <w:jc w:val="left"/>
              <w:rPr>
                <w:highlight w:val="yellow"/>
              </w:rPr>
            </w:pPr>
            <w:r w:rsidDel="00000000" w:rsidR="00000000" w:rsidRPr="00000000">
              <w:rPr>
                <w:sz w:val="18"/>
                <w:szCs w:val="18"/>
                <w:highlight w:val="yellow"/>
                <w:rtl w:val="0"/>
              </w:rPr>
              <w:t xml:space="preserve">The document provides usage records (resources used, users) of the Customer service during the last 6 months</w:t>
            </w:r>
            <w:r w:rsidDel="00000000" w:rsidR="00000000" w:rsidRPr="00000000">
              <w:rPr>
                <w:rtl w:val="0"/>
              </w:rPr>
            </w:r>
          </w:p>
        </w:tc>
        <w:tc>
          <w:tcPr>
            <w:shd w:fill="auto" w:val="clear"/>
          </w:tcPr>
          <w:p w:rsidR="00000000" w:rsidDel="00000000" w:rsidP="00000000" w:rsidRDefault="00000000" w:rsidRPr="00000000" w14:paraId="000000D1">
            <w:pPr>
              <w:jc w:val="left"/>
              <w:rPr>
                <w:highlight w:val="yellow"/>
              </w:rPr>
            </w:pPr>
            <w:r w:rsidDel="00000000" w:rsidR="00000000" w:rsidRPr="00000000">
              <w:rPr>
                <w:sz w:val="18"/>
                <w:szCs w:val="18"/>
                <w:highlight w:val="yellow"/>
                <w:rtl w:val="0"/>
              </w:rPr>
              <w:t xml:space="preserve">Yearly and with the Agreement ending.</w:t>
            </w:r>
            <w:r w:rsidDel="00000000" w:rsidR="00000000" w:rsidRPr="00000000">
              <w:rPr>
                <w:rtl w:val="0"/>
              </w:rPr>
            </w:r>
          </w:p>
        </w:tc>
        <w:tc>
          <w:tcPr/>
          <w:p w:rsidR="00000000" w:rsidDel="00000000" w:rsidP="00000000" w:rsidRDefault="00000000" w:rsidRPr="00000000" w14:paraId="000000D2">
            <w:pPr>
              <w:jc w:val="left"/>
              <w:rPr>
                <w:highlight w:val="yellow"/>
              </w:rPr>
            </w:pPr>
            <w:r w:rsidDel="00000000" w:rsidR="00000000" w:rsidRPr="00000000">
              <w:rPr>
                <w:sz w:val="18"/>
                <w:szCs w:val="18"/>
                <w:highlight w:val="yellow"/>
                <w:rtl w:val="0"/>
              </w:rPr>
              <w:t xml:space="preserve">EGI Foundation</w:t>
            </w:r>
            <w:r w:rsidDel="00000000" w:rsidR="00000000" w:rsidRPr="00000000">
              <w:rPr>
                <w:rtl w:val="0"/>
              </w:rPr>
            </w:r>
          </w:p>
        </w:tc>
        <w:tc>
          <w:tcPr>
            <w:shd w:fill="auto" w:val="clear"/>
          </w:tcPr>
          <w:p w:rsidR="00000000" w:rsidDel="00000000" w:rsidP="00000000" w:rsidRDefault="00000000" w:rsidRPr="00000000" w14:paraId="000000D3">
            <w:pPr>
              <w:jc w:val="left"/>
              <w:rPr>
                <w:sz w:val="18"/>
                <w:szCs w:val="18"/>
                <w:highlight w:val="yellow"/>
              </w:rPr>
            </w:pPr>
            <w:r w:rsidDel="00000000" w:rsidR="00000000" w:rsidRPr="00000000">
              <w:rPr>
                <w:sz w:val="18"/>
                <w:szCs w:val="18"/>
                <w:highlight w:val="yellow"/>
                <w:rtl w:val="0"/>
              </w:rPr>
              <w:t xml:space="preserve">Email to </w:t>
            </w:r>
            <w:r w:rsidDel="00000000" w:rsidR="00000000" w:rsidRPr="00000000">
              <w:rPr>
                <w:rFonts w:ascii="Calibri" w:cs="Calibri" w:eastAsia="Calibri" w:hAnsi="Calibri"/>
                <w:sz w:val="18"/>
                <w:szCs w:val="18"/>
                <w:highlight w:val="yellow"/>
                <w:rtl w:val="0"/>
              </w:rPr>
              <w:t xml:space="preserve">EGI Foundation</w:t>
            </w:r>
            <w:r w:rsidDel="00000000" w:rsidR="00000000" w:rsidRPr="00000000">
              <w:rPr>
                <w:sz w:val="18"/>
                <w:szCs w:val="18"/>
                <w:highlight w:val="yellow"/>
                <w:rtl w:val="0"/>
              </w:rPr>
              <w:t xml:space="preserve"> contact</w:t>
            </w:r>
          </w:p>
        </w:tc>
      </w:tr>
      <w:tr>
        <w:tc>
          <w:tcPr>
            <w:shd w:fill="auto" w:val="clear"/>
          </w:tcPr>
          <w:p w:rsidR="00000000" w:rsidDel="00000000" w:rsidP="00000000" w:rsidRDefault="00000000" w:rsidRPr="00000000" w14:paraId="000000D4">
            <w:pPr>
              <w:jc w:val="left"/>
              <w:rPr>
                <w:sz w:val="18"/>
                <w:szCs w:val="18"/>
                <w:highlight w:val="yellow"/>
              </w:rPr>
            </w:pPr>
            <w:r w:rsidDel="00000000" w:rsidR="00000000" w:rsidRPr="00000000">
              <w:rPr>
                <w:sz w:val="18"/>
                <w:szCs w:val="18"/>
                <w:highlight w:val="yellow"/>
                <w:rtl w:val="0"/>
              </w:rPr>
              <w:t xml:space="preserve">Scientific Publications report</w:t>
            </w:r>
          </w:p>
        </w:tc>
        <w:tc>
          <w:tcPr>
            <w:shd w:fill="auto" w:val="clear"/>
          </w:tcPr>
          <w:p w:rsidR="00000000" w:rsidDel="00000000" w:rsidP="00000000" w:rsidRDefault="00000000" w:rsidRPr="00000000" w14:paraId="000000D5">
            <w:pPr>
              <w:jc w:val="left"/>
              <w:rPr>
                <w:sz w:val="18"/>
                <w:szCs w:val="18"/>
                <w:highlight w:val="yellow"/>
              </w:rPr>
            </w:pPr>
            <w:r w:rsidDel="00000000" w:rsidR="00000000" w:rsidRPr="00000000">
              <w:rPr>
                <w:sz w:val="18"/>
                <w:szCs w:val="18"/>
                <w:highlight w:val="yellow"/>
                <w:rtl w:val="0"/>
              </w:rPr>
              <w:t xml:space="preserve">The document provides a list of scientific publications benefiting from the Service.</w:t>
            </w:r>
          </w:p>
        </w:tc>
        <w:tc>
          <w:tcPr>
            <w:shd w:fill="auto" w:val="clear"/>
          </w:tcPr>
          <w:p w:rsidR="00000000" w:rsidDel="00000000" w:rsidP="00000000" w:rsidRDefault="00000000" w:rsidRPr="00000000" w14:paraId="000000D6">
            <w:pPr>
              <w:jc w:val="left"/>
              <w:rPr>
                <w:sz w:val="18"/>
                <w:szCs w:val="18"/>
                <w:highlight w:val="yellow"/>
              </w:rPr>
            </w:pPr>
            <w:r w:rsidDel="00000000" w:rsidR="00000000" w:rsidRPr="00000000">
              <w:rPr>
                <w:sz w:val="18"/>
                <w:szCs w:val="18"/>
                <w:highlight w:val="yellow"/>
                <w:rtl w:val="0"/>
              </w:rPr>
              <w:t xml:space="preserve">Yearly and with the Agreement ending.</w:t>
            </w:r>
          </w:p>
        </w:tc>
        <w:tc>
          <w:tcPr/>
          <w:p w:rsidR="00000000" w:rsidDel="00000000" w:rsidP="00000000" w:rsidRDefault="00000000" w:rsidRPr="00000000" w14:paraId="000000D7">
            <w:pPr>
              <w:jc w:val="left"/>
              <w:rPr>
                <w:sz w:val="18"/>
                <w:szCs w:val="18"/>
                <w:highlight w:val="yellow"/>
              </w:rPr>
            </w:pPr>
            <w:r w:rsidDel="00000000" w:rsidR="00000000" w:rsidRPr="00000000">
              <w:rPr>
                <w:sz w:val="18"/>
                <w:szCs w:val="18"/>
                <w:highlight w:val="yellow"/>
                <w:rtl w:val="0"/>
              </w:rPr>
              <w:t xml:space="preserve">EGI Foundation</w:t>
            </w:r>
          </w:p>
        </w:tc>
        <w:tc>
          <w:tcPr>
            <w:shd w:fill="auto" w:val="clear"/>
          </w:tcPr>
          <w:p w:rsidR="00000000" w:rsidDel="00000000" w:rsidP="00000000" w:rsidRDefault="00000000" w:rsidRPr="00000000" w14:paraId="000000D8">
            <w:pPr>
              <w:jc w:val="left"/>
              <w:rPr>
                <w:sz w:val="18"/>
                <w:szCs w:val="18"/>
                <w:highlight w:val="yellow"/>
              </w:rPr>
            </w:pPr>
            <w:r w:rsidDel="00000000" w:rsidR="00000000" w:rsidRPr="00000000">
              <w:rPr>
                <w:sz w:val="18"/>
                <w:szCs w:val="18"/>
                <w:highlight w:val="yellow"/>
                <w:rtl w:val="0"/>
              </w:rPr>
              <w:t xml:space="preserve">Email to </w:t>
            </w:r>
            <w:r w:rsidDel="00000000" w:rsidR="00000000" w:rsidRPr="00000000">
              <w:rPr>
                <w:rFonts w:ascii="Calibri" w:cs="Calibri" w:eastAsia="Calibri" w:hAnsi="Calibri"/>
                <w:sz w:val="18"/>
                <w:szCs w:val="18"/>
                <w:highlight w:val="yellow"/>
                <w:rtl w:val="0"/>
              </w:rPr>
              <w:t xml:space="preserve">EGI Foundation</w:t>
            </w:r>
            <w:r w:rsidDel="00000000" w:rsidR="00000000" w:rsidRPr="00000000">
              <w:rPr>
                <w:sz w:val="18"/>
                <w:szCs w:val="18"/>
                <w:highlight w:val="yellow"/>
                <w:rtl w:val="0"/>
              </w:rPr>
              <w:t xml:space="preserve"> contact</w:t>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B">
      <w:pPr>
        <w:pStyle w:val="Heading2"/>
        <w:numPr>
          <w:ilvl w:val="1"/>
          <w:numId w:val="3"/>
        </w:numPr>
        <w:ind w:left="576" w:hanging="576"/>
        <w:rPr/>
      </w:pPr>
      <w:bookmarkStart w:colFirst="0" w:colLast="0" w:name="_35nkun2" w:id="14"/>
      <w:bookmarkEnd w:id="14"/>
      <w:r w:rsidDel="00000000" w:rsidR="00000000" w:rsidRPr="00000000">
        <w:rPr>
          <w:rtl w:val="0"/>
        </w:rPr>
        <w:t xml:space="preserve">Violations</w:t>
      </w:r>
    </w:p>
    <w:p w:rsidR="00000000" w:rsidDel="00000000" w:rsidP="00000000" w:rsidRDefault="00000000" w:rsidRPr="00000000" w14:paraId="000000DC">
      <w:pPr>
        <w:rPr/>
      </w:pPr>
      <w:bookmarkStart w:colFirst="0" w:colLast="0" w:name="_1ksv4uv" w:id="15"/>
      <w:bookmarkEnd w:id="15"/>
      <w:r w:rsidDel="00000000" w:rsidR="00000000" w:rsidRPr="00000000">
        <w:rPr>
          <w:rtl w:val="0"/>
        </w:rPr>
        <w:t xml:space="preserve">As defined in Corporate-level EGI Operational Level Agreement.</w:t>
      </w:r>
    </w:p>
    <w:p w:rsidR="00000000" w:rsidDel="00000000" w:rsidP="00000000" w:rsidRDefault="00000000" w:rsidRPr="00000000" w14:paraId="000000DD">
      <w:pPr>
        <w:rPr>
          <w:highlight w:val="yellow"/>
        </w:rPr>
      </w:pPr>
      <w:r w:rsidDel="00000000" w:rsidR="00000000" w:rsidRPr="00000000">
        <w:rPr>
          <w:highlight w:val="yellow"/>
          <w:rtl w:val="0"/>
        </w:rPr>
        <w:t xml:space="preserve">--------------------------------------------------------------</w:t>
      </w:r>
    </w:p>
    <w:p w:rsidR="00000000" w:rsidDel="00000000" w:rsidP="00000000" w:rsidRDefault="00000000" w:rsidRPr="00000000" w14:paraId="000000DE">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DF">
      <w:pPr>
        <w:numPr>
          <w:ilvl w:val="0"/>
          <w:numId w:val="9"/>
        </w:numPr>
        <w:spacing w:after="0" w:afterAutospacing="0"/>
        <w:ind w:left="720" w:hanging="360"/>
        <w:rPr>
          <w:highlight w:val="yellow"/>
          <w:u w:val="none"/>
        </w:rPr>
      </w:pPr>
      <w:r w:rsidDel="00000000" w:rsidR="00000000" w:rsidRPr="00000000">
        <w:rPr>
          <w:highlight w:val="yellow"/>
          <w:rtl w:val="0"/>
        </w:rPr>
        <w:t xml:space="preserve">In case of </w:t>
      </w:r>
      <w:commentRangeStart w:id="4"/>
      <w:r w:rsidDel="00000000" w:rsidR="00000000" w:rsidRPr="00000000">
        <w:rPr>
          <w:highlight w:val="yellow"/>
          <w:rtl w:val="0"/>
        </w:rPr>
        <w:t xml:space="preserve">any violations</w:t>
      </w:r>
      <w:commentRangeEnd w:id="4"/>
      <w:r w:rsidDel="00000000" w:rsidR="00000000" w:rsidRPr="00000000">
        <w:commentReference w:id="4"/>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E0">
      <w:pPr>
        <w:numPr>
          <w:ilvl w:val="0"/>
          <w:numId w:val="9"/>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E1">
      <w:pPr>
        <w:pStyle w:val="Heading2"/>
        <w:numPr>
          <w:ilvl w:val="1"/>
          <w:numId w:val="3"/>
        </w:numPr>
        <w:ind w:left="576" w:hanging="576"/>
        <w:rPr/>
      </w:pPr>
      <w:bookmarkStart w:colFirst="0" w:colLast="0" w:name="_44sinio" w:id="16"/>
      <w:bookmarkEnd w:id="16"/>
      <w:r w:rsidDel="00000000" w:rsidR="00000000" w:rsidRPr="00000000">
        <w:rPr>
          <w:rtl w:val="0"/>
        </w:rPr>
        <w:t xml:space="preserve">Escalation and complaints</w:t>
      </w:r>
    </w:p>
    <w:p w:rsidR="00000000" w:rsidDel="00000000" w:rsidP="00000000" w:rsidRDefault="00000000" w:rsidRPr="00000000" w14:paraId="000000E2">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E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1"/>
        <w:numPr>
          <w:ilvl w:val="0"/>
          <w:numId w:val="3"/>
        </w:numPr>
        <w:ind w:left="432" w:hanging="432"/>
        <w:rPr/>
      </w:pPr>
      <w:bookmarkStart w:colFirst="0" w:colLast="0" w:name="_2jxsxqh" w:id="17"/>
      <w:bookmarkEnd w:id="17"/>
      <w:r w:rsidDel="00000000" w:rsidR="00000000" w:rsidRPr="00000000">
        <w:rPr>
          <w:rtl w:val="0"/>
        </w:rPr>
        <w:t xml:space="preserve">Information security and data protection</w:t>
      </w:r>
    </w:p>
    <w:p w:rsidR="00000000" w:rsidDel="00000000" w:rsidP="00000000" w:rsidRDefault="00000000" w:rsidRPr="00000000" w14:paraId="000000E7">
      <w:pPr>
        <w:rPr/>
      </w:pPr>
      <w:bookmarkStart w:colFirst="0" w:colLast="0" w:name="_z337ya" w:id="18"/>
      <w:bookmarkEnd w:id="18"/>
      <w:r w:rsidDel="00000000" w:rsidR="00000000" w:rsidRPr="00000000">
        <w:rPr>
          <w:rtl w:val="0"/>
        </w:rPr>
        <w:t xml:space="preserve">As defined in Corporate-level EGI Operational Level Agreement</w:t>
      </w:r>
    </w:p>
    <w:p w:rsidR="00000000" w:rsidDel="00000000" w:rsidP="00000000" w:rsidRDefault="00000000" w:rsidRPr="00000000" w14:paraId="000000E8">
      <w:pPr>
        <w:rPr>
          <w:highlight w:val="yellow"/>
        </w:rPr>
      </w:pPr>
      <w:r w:rsidDel="00000000" w:rsidR="00000000" w:rsidRPr="00000000">
        <w:rPr>
          <w:highlight w:val="yellow"/>
          <w:rtl w:val="0"/>
        </w:rPr>
        <w:t xml:space="preserve">--------------------------------------------------------------</w:t>
      </w:r>
    </w:p>
    <w:p w:rsidR="00000000" w:rsidDel="00000000" w:rsidP="00000000" w:rsidRDefault="00000000" w:rsidRPr="00000000" w14:paraId="000000E9">
      <w:pPr>
        <w:rPr>
          <w:highlight w:val="yellow"/>
        </w:rPr>
      </w:pPr>
      <w:r w:rsidDel="00000000" w:rsidR="00000000" w:rsidRPr="00000000">
        <w:rPr>
          <w:highlight w:val="yellow"/>
          <w:rtl w:val="0"/>
        </w:rPr>
        <w:t xml:space="preserve">The following rules for information security and data protection apply:</w:t>
      </w:r>
    </w:p>
    <w:p w:rsidR="00000000" w:rsidDel="00000000" w:rsidP="00000000" w:rsidRDefault="00000000" w:rsidRPr="00000000" w14:paraId="000000E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Assertion of absolute security in IT systems is impossible. The Component  Provider is making every effort to maximize security level of users’ data and minimalize possible harm in the event of an incident.</w:t>
      </w:r>
    </w:p>
    <w:p w:rsidR="00000000" w:rsidDel="00000000" w:rsidP="00000000" w:rsidRDefault="00000000" w:rsidRPr="00000000" w14:paraId="000000EB">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The Component Provider must define and abide by an information security and data </w:t>
        <w:br w:type="textWrapping"/>
        <w:t xml:space="preserve">protection policy related to the service being provided. </w:t>
      </w:r>
    </w:p>
    <w:p w:rsidR="00000000" w:rsidDel="00000000" w:rsidP="00000000" w:rsidRDefault="00000000" w:rsidRPr="00000000" w14:paraId="000000EC">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This must meet all requirements of any relevant EGI policies or procedures</w:t>
      </w:r>
      <w:r w:rsidDel="00000000" w:rsidR="00000000" w:rsidRPr="00000000">
        <w:rPr>
          <w:highlight w:val="yellow"/>
          <w:vertAlign w:val="superscript"/>
        </w:rPr>
        <w:footnoteReference w:customMarkFollows="0" w:id="8"/>
      </w:r>
      <w:r w:rsidDel="00000000" w:rsidR="00000000" w:rsidRPr="00000000">
        <w:rPr>
          <w:highlight w:val="yellow"/>
          <w:rtl w:val="0"/>
        </w:rPr>
        <w:t xml:space="preserve"> and also must be compliant with the relevant national legislation.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1"/>
        <w:numPr>
          <w:ilvl w:val="0"/>
          <w:numId w:val="3"/>
        </w:numPr>
        <w:ind w:left="432" w:hanging="432"/>
        <w:rPr/>
      </w:pPr>
      <w:bookmarkStart w:colFirst="0" w:colLast="0" w:name="_3j2qqm3" w:id="19"/>
      <w:bookmarkEnd w:id="19"/>
      <w:r w:rsidDel="00000000" w:rsidR="00000000" w:rsidRPr="00000000">
        <w:rPr>
          <w:rtl w:val="0"/>
        </w:rPr>
        <w:t xml:space="preserve">Responsibilities </w:t>
      </w:r>
    </w:p>
    <w:p w:rsidR="00000000" w:rsidDel="00000000" w:rsidP="00000000" w:rsidRDefault="00000000" w:rsidRPr="00000000" w14:paraId="000000EF">
      <w:pPr>
        <w:pStyle w:val="Heading2"/>
        <w:numPr>
          <w:ilvl w:val="1"/>
          <w:numId w:val="3"/>
        </w:numPr>
        <w:ind w:left="576" w:hanging="576"/>
        <w:rPr/>
      </w:pPr>
      <w:bookmarkStart w:colFirst="0" w:colLast="0" w:name="_1y810tw" w:id="20"/>
      <w:bookmarkEnd w:id="20"/>
      <w:r w:rsidDel="00000000" w:rsidR="00000000" w:rsidRPr="00000000">
        <w:rPr>
          <w:rtl w:val="0"/>
        </w:rPr>
        <w:t xml:space="preserve">Of the Component Provider</w:t>
      </w:r>
    </w:p>
    <w:p w:rsidR="00000000" w:rsidDel="00000000" w:rsidP="00000000" w:rsidRDefault="00000000" w:rsidRPr="00000000" w14:paraId="000000F0">
      <w:pPr>
        <w:rPr/>
      </w:pPr>
      <w:bookmarkStart w:colFirst="0" w:colLast="0" w:name="_4i7ojhp" w:id="21"/>
      <w:bookmarkEnd w:id="21"/>
      <w:r w:rsidDel="00000000" w:rsidR="00000000" w:rsidRPr="00000000">
        <w:rPr>
          <w:rtl w:val="0"/>
        </w:rPr>
        <w:t xml:space="preserve">Additional responsibilities of the Component Provider are as follows:</w:t>
      </w:r>
    </w:p>
    <w:p w:rsidR="00000000" w:rsidDel="00000000" w:rsidP="00000000" w:rsidRDefault="00000000" w:rsidRPr="00000000" w14:paraId="000000F1">
      <w:pPr>
        <w:numPr>
          <w:ilvl w:val="0"/>
          <w:numId w:val="8"/>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9"/>
      </w:r>
      <w:r w:rsidDel="00000000" w:rsidR="00000000" w:rsidRPr="00000000">
        <w:rPr>
          <w:rtl w:val="0"/>
        </w:rPr>
        <w:t xml:space="preserve"> and to other policy documents referenced therein;</w:t>
      </w:r>
    </w:p>
    <w:p w:rsidR="00000000" w:rsidDel="00000000" w:rsidP="00000000" w:rsidRDefault="00000000" w:rsidRPr="00000000" w14:paraId="000000F2">
      <w:pPr>
        <w:numPr>
          <w:ilvl w:val="0"/>
          <w:numId w:val="8"/>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F3">
      <w:pPr>
        <w:numPr>
          <w:ilvl w:val="0"/>
          <w:numId w:val="8"/>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0"/>
      </w:r>
      <w:r w:rsidDel="00000000" w:rsidR="00000000" w:rsidRPr="00000000">
        <w:rPr>
          <w:rtl w:val="0"/>
        </w:rPr>
        <w:t xml:space="preserve"> and other operations meeting when needed;</w:t>
      </w:r>
    </w:p>
    <w:p w:rsidR="00000000" w:rsidDel="00000000" w:rsidP="00000000" w:rsidRDefault="00000000" w:rsidRPr="00000000" w14:paraId="000000F4">
      <w:pPr>
        <w:numPr>
          <w:ilvl w:val="0"/>
          <w:numId w:val="8"/>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0F5">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0F6">
      <w:pPr>
        <w:numPr>
          <w:ilvl w:val="0"/>
          <w:numId w:val="8"/>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1"/>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F7">
      <w:pPr>
        <w:numPr>
          <w:ilvl w:val="0"/>
          <w:numId w:val="8"/>
        </w:numPr>
        <w:spacing w:after="200" w:lineRule="auto"/>
        <w:ind w:left="720" w:hanging="360"/>
        <w:jc w:val="left"/>
        <w:rPr/>
      </w:pPr>
      <w:commentRangeStart w:id="5"/>
      <w:r w:rsidDel="00000000" w:rsidR="00000000" w:rsidRPr="00000000">
        <w:rPr>
          <w:rtl w:val="0"/>
        </w:rPr>
        <w:t xml:space="preserve">Changes in the system must be rolled in production in a controlled way in order to avoid service disruption.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F8">
      <w:pPr>
        <w:pStyle w:val="Heading2"/>
        <w:numPr>
          <w:ilvl w:val="1"/>
          <w:numId w:val="3"/>
        </w:numPr>
        <w:ind w:left="576" w:hanging="576"/>
        <w:rPr/>
      </w:pPr>
      <w:bookmarkStart w:colFirst="0" w:colLast="0" w:name="_2xcytpi" w:id="22"/>
      <w:bookmarkEnd w:id="22"/>
      <w:r w:rsidDel="00000000" w:rsidR="00000000" w:rsidRPr="00000000">
        <w:rPr>
          <w:rtl w:val="0"/>
        </w:rPr>
        <w:t xml:space="preserve">Of the Service Provider</w:t>
      </w:r>
    </w:p>
    <w:p w:rsidR="00000000" w:rsidDel="00000000" w:rsidP="00000000" w:rsidRDefault="00000000" w:rsidRPr="00000000" w14:paraId="000000F9">
      <w:pPr>
        <w:rPr/>
      </w:pPr>
      <w:r w:rsidDel="00000000" w:rsidR="00000000" w:rsidRPr="00000000">
        <w:rPr>
          <w:rtl w:val="0"/>
        </w:rPr>
        <w:t xml:space="preserve">The responsibilities of the Service Provider are:</w:t>
      </w:r>
    </w:p>
    <w:p w:rsidR="00000000" w:rsidDel="00000000" w:rsidP="00000000" w:rsidRDefault="00000000" w:rsidRPr="00000000" w14:paraId="000000FA">
      <w:pPr>
        <w:numPr>
          <w:ilvl w:val="0"/>
          <w:numId w:val="8"/>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0FB">
      <w:pPr>
        <w:numPr>
          <w:ilvl w:val="0"/>
          <w:numId w:val="8"/>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0FC">
      <w:pPr>
        <w:numPr>
          <w:ilvl w:val="0"/>
          <w:numId w:val="8"/>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0FD">
      <w:pPr>
        <w:numPr>
          <w:ilvl w:val="0"/>
          <w:numId w:val="8"/>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0FE">
      <w:pPr>
        <w:pStyle w:val="Heading1"/>
        <w:numPr>
          <w:ilvl w:val="0"/>
          <w:numId w:val="3"/>
        </w:numPr>
        <w:ind w:left="432" w:hanging="432"/>
        <w:rPr/>
      </w:pPr>
      <w:bookmarkStart w:colFirst="0" w:colLast="0" w:name="_1ci93xb" w:id="23"/>
      <w:bookmarkEnd w:id="23"/>
      <w:r w:rsidDel="00000000" w:rsidR="00000000" w:rsidRPr="00000000">
        <w:rPr>
          <w:rtl w:val="0"/>
        </w:rPr>
        <w:t xml:space="preserve">Review, extensions and termination</w:t>
      </w:r>
    </w:p>
    <w:p w:rsidR="00000000" w:rsidDel="00000000" w:rsidP="00000000" w:rsidRDefault="00000000" w:rsidRPr="00000000" w14:paraId="000000FF">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00">
      <w:pPr>
        <w:keepLines w:val="1"/>
        <w:widowControl w:val="0"/>
        <w:spacing w:after="40" w:before="40" w:line="240" w:lineRule="auto"/>
        <w:rPr/>
      </w:pPr>
      <w:r w:rsidDel="00000000" w:rsidR="00000000" w:rsidRPr="00000000">
        <w:rPr>
          <w:rtl w:val="0"/>
        </w:rPr>
        <w:t xml:space="preserve">•</w:t>
        <w:tab/>
        <w:t xml:space="preserve">Technical content of the agreement and targets will be reviewed on a yearly basis.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footerReference r:id="rId12" w:type="default"/>
      <w:footerReference r:id="rId13" w:type="first"/>
      <w:pgSz w:h="16838" w:w="11906"/>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4" w:date="2019-08-08T10:07:37Z">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lgorzata Krakowian" w:id="0" w:date="2016-09-07T14:55:00Z">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5" w:date="2018-07-03T11:33:00Z">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paolini" w:id="2" w:date="2018-06-27T15:02:00Z">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EGI Core Services, now the reporting period is 9 months</w:t>
      </w:r>
    </w:p>
  </w:comment>
  <w:comment w:author="Alessandro Paolini" w:id="3" w:date="2019-08-08T09:53:53Z">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 EOSC-hub reporting)</w:t>
      </w:r>
    </w:p>
  </w:comment>
  <w:comment w:author="Malgorzata Krakowian" w:id="1" w:date="2016-09-07T15:01:00Z">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4.png"/>
                <a:graphic>
                  <a:graphicData uri="http://schemas.openxmlformats.org/drawingml/2006/picture">
                    <pic:pic>
                      <pic:nvPicPr>
                        <pic:cNvPr descr="/Users/owen/Google Drive/ETL online/FedSM/FitSM/FitSM Branding/FitSM v1.2/FitSM logo-only-1.2.png" id="0" name="image4.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tl w:val="0"/>
        </w:rPr>
      </w:r>
    </w:p>
  </w:footnote>
  <w:footnote w:id="9">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irector@egi.eu" TargetMode="External"/><Relationship Id="rId10" Type="http://schemas.openxmlformats.org/officeDocument/2006/relationships/hyperlink" Target="mailto:operations@egi.eu"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image" Target="media/image4.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OMB" TargetMode="External"/><Relationship Id="rId10" Type="http://schemas.openxmlformats.org/officeDocument/2006/relationships/hyperlink" Target="https://www.egi.eu/about/policy/policies_procedures.html" TargetMode="External"/><Relationship Id="rId13" Type="http://schemas.openxmlformats.org/officeDocument/2006/relationships/hyperlink" Target="https://goc.egi.eu/portal/index.php?Page_Type=NGI&amp;id=4" TargetMode="External"/><Relationship Id="rId12" Type="http://schemas.openxmlformats.org/officeDocument/2006/relationships/hyperlink" Target="http://goc.egi.eu/"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