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F3A5A5F" w:rsidR="003F375A" w:rsidRPr="003F375A" w:rsidRDefault="002C551F" w:rsidP="0053196A">
            <w:pPr>
              <w:pStyle w:val="DocDate"/>
              <w:snapToGrid w:val="0"/>
              <w:jc w:val="left"/>
              <w:rPr>
                <w:rFonts w:asciiTheme="minorHAnsi" w:hAnsiTheme="minorHAnsi" w:cs="Open Sans"/>
                <w:b w:val="0"/>
              </w:rPr>
            </w:pPr>
            <w:r w:rsidRPr="00C062E3">
              <w:rPr>
                <w:rFonts w:asciiTheme="minorHAnsi" w:hAnsiTheme="minorHAnsi"/>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6D1955" w:rsidRDefault="001C1B39" w:rsidP="0053196A">
            <w:pPr>
              <w:pStyle w:val="Header"/>
              <w:snapToGrid w:val="0"/>
              <w:spacing w:before="120" w:after="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lastRenderedPageBreak/>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446FF7">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446FF7">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4D66A6A" w14:textId="594E9A92" w:rsidR="00D37CDC" w:rsidRDefault="003F3E5A" w:rsidP="00D37CDC">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D37CDC">
      <w:pPr>
        <w:pStyle w:val="ListParagraph"/>
        <w:numPr>
          <w:ilvl w:val="2"/>
          <w:numId w:val="18"/>
        </w:numPr>
        <w:rPr>
          <w:b/>
          <w:highlight w:val="yellow"/>
        </w:rPr>
      </w:pPr>
      <w:r w:rsidRPr="003B3E2E">
        <w:rPr>
          <w:highlight w:val="yellow"/>
        </w:rPr>
        <w:t>Number of Virtual CPU cores:</w:t>
      </w:r>
    </w:p>
    <w:p w14:paraId="6527757F" w14:textId="77777777" w:rsidR="002C551F" w:rsidRPr="00FE6B7D" w:rsidRDefault="002C551F" w:rsidP="00D37CDC">
      <w:pPr>
        <w:pStyle w:val="ListParagraph"/>
        <w:numPr>
          <w:ilvl w:val="2"/>
          <w:numId w:val="18"/>
        </w:numPr>
        <w:rPr>
          <w:b/>
          <w:highlight w:val="yellow"/>
        </w:rPr>
      </w:pPr>
      <w:r w:rsidRPr="003B3E2E">
        <w:rPr>
          <w:highlight w:val="yellow"/>
        </w:rPr>
        <w:t>Memory:</w:t>
      </w:r>
      <w:r w:rsidRPr="00FE6B7D">
        <w:rPr>
          <w:highlight w:val="yellow"/>
        </w:rPr>
        <w:t xml:space="preserve"> </w:t>
      </w:r>
    </w:p>
    <w:p w14:paraId="35D36466" w14:textId="39AA7E4F" w:rsidR="002C551F" w:rsidRPr="00FE6B7D" w:rsidRDefault="002C551F" w:rsidP="00D37CDC">
      <w:pPr>
        <w:pStyle w:val="ListParagraph"/>
        <w:numPr>
          <w:ilvl w:val="2"/>
          <w:numId w:val="18"/>
        </w:numPr>
        <w:rPr>
          <w:b/>
          <w:highlight w:val="yellow"/>
        </w:rPr>
      </w:pPr>
      <w:r w:rsidRPr="00FE6B7D">
        <w:rPr>
          <w:highlight w:val="yellow"/>
        </w:rPr>
        <w:t xml:space="preserve">Scratch/ephemeral storage: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77777777" w:rsidR="002C551F" w:rsidRPr="00FE6B7D" w:rsidRDefault="002C551F" w:rsidP="00D37CDC">
      <w:pPr>
        <w:pStyle w:val="ListParagraph"/>
        <w:numPr>
          <w:ilvl w:val="2"/>
          <w:numId w:val="18"/>
        </w:numPr>
        <w:rPr>
          <w:b/>
          <w:highlight w:val="yellow"/>
        </w:rPr>
      </w:pPr>
      <w:r w:rsidRPr="00FE6B7D">
        <w:rPr>
          <w:highlight w:val="yellow"/>
        </w:rPr>
        <w:t>Access 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443297" w:rsidRDefault="00443297" w:rsidP="00D37CDC">
      <w:pPr>
        <w:pStyle w:val="ListParagraph"/>
        <w:numPr>
          <w:ilvl w:val="2"/>
          <w:numId w:val="18"/>
        </w:numPr>
        <w:rPr>
          <w:b/>
          <w:highlight w:val="yellow"/>
        </w:rPr>
      </w:pPr>
      <w:r>
        <w:rPr>
          <w:highlight w:val="yellow"/>
        </w:rPr>
        <w:t>Supported VOs:</w:t>
      </w:r>
    </w:p>
    <w:p w14:paraId="744F1597" w14:textId="77777777" w:rsidR="002C551F" w:rsidRPr="0059011D" w:rsidRDefault="002C551F" w:rsidP="002C551F">
      <w:pPr>
        <w:pStyle w:val="ListParagraph"/>
        <w:ind w:left="1080"/>
        <w:rPr>
          <w:b/>
        </w:rPr>
      </w:pP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lastRenderedPageBreak/>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D37CDC" w:rsidRDefault="002C551F" w:rsidP="00D37CDC">
      <w:pPr>
        <w:rPr>
          <w:b/>
        </w:rPr>
      </w:pPr>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bookmarkStart w:id="1" w:name="_GoBack"/>
      <w:bookmarkEnd w:id="1"/>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8138E8"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443297" w:rsidRDefault="002C551F" w:rsidP="00D37CDC">
      <w:pPr>
        <w:pStyle w:val="ListParagraph"/>
        <w:numPr>
          <w:ilvl w:val="2"/>
          <w:numId w:val="18"/>
        </w:numPr>
        <w:rPr>
          <w:b/>
        </w:rPr>
      </w:pPr>
      <w:r w:rsidRPr="00876CB0">
        <w:rPr>
          <w:highlight w:val="yellow"/>
        </w:rPr>
        <w:t>Duration:</w:t>
      </w:r>
    </w:p>
    <w:p w14:paraId="595EDFE9" w14:textId="4898256A" w:rsidR="00D37CDC" w:rsidRPr="00D37CDC" w:rsidRDefault="002C551F" w:rsidP="00D37CDC">
      <w:pPr>
        <w:pStyle w:val="ListParagraph"/>
        <w:numPr>
          <w:ilvl w:val="1"/>
          <w:numId w:val="18"/>
        </w:numPr>
        <w:rPr>
          <w:highlight w:val="yellow"/>
        </w:rPr>
      </w:pPr>
      <w:r w:rsidRPr="00FE6B7D">
        <w:rPr>
          <w:highlight w:val="yellow"/>
        </w:rPr>
        <w:t>File Storage</w:t>
      </w:r>
    </w:p>
    <w:p w14:paraId="30716006" w14:textId="77777777" w:rsidR="002C551F" w:rsidRPr="00FE6B7D" w:rsidRDefault="002C551F" w:rsidP="00D37CDC">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8F146C" w:rsidRDefault="002C551F" w:rsidP="00D37CDC">
      <w:pPr>
        <w:pStyle w:val="ListParagraph"/>
        <w:numPr>
          <w:ilvl w:val="2"/>
          <w:numId w:val="18"/>
        </w:numPr>
        <w:rPr>
          <w:b/>
          <w:highlight w:val="yellow"/>
        </w:rPr>
      </w:pPr>
      <w:r w:rsidRPr="00FE6B7D">
        <w:rPr>
          <w:highlight w:val="yellow"/>
        </w:rPr>
        <w:t>Opportunistic storage capacity [TB]:</w:t>
      </w:r>
    </w:p>
    <w:p w14:paraId="54236C00"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D37CDC">
      <w:pPr>
        <w:pStyle w:val="ListParagraph"/>
        <w:numPr>
          <w:ilvl w:val="2"/>
          <w:numId w:val="18"/>
        </w:numPr>
        <w:rPr>
          <w:b/>
        </w:rPr>
      </w:pPr>
      <w:r w:rsidRPr="00876CB0">
        <w:rPr>
          <w:highlight w:val="yellow"/>
        </w:rPr>
        <w:t>Duration:</w:t>
      </w:r>
    </w:p>
    <w:p w14:paraId="51505B58" w14:textId="77777777" w:rsidR="00443297" w:rsidRPr="00443297" w:rsidRDefault="002C551F" w:rsidP="00D37CDC">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46997F36" w14:textId="6ED3C347" w:rsidR="002C551F" w:rsidRPr="00443297" w:rsidRDefault="00443297" w:rsidP="00D37CDC">
      <w:pPr>
        <w:pStyle w:val="ListParagraph"/>
        <w:numPr>
          <w:ilvl w:val="1"/>
          <w:numId w:val="18"/>
        </w:numPr>
        <w:rPr>
          <w:b/>
        </w:rPr>
      </w:pPr>
      <w:r w:rsidRPr="00443297">
        <w:rPr>
          <w:highlight w:val="yellow"/>
        </w:rPr>
        <w:t>Supported VOs:</w:t>
      </w:r>
      <w:r>
        <w:tab/>
      </w: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lastRenderedPageBreak/>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446FF7"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lastRenderedPageBreak/>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D9D9" w14:textId="77777777" w:rsidR="00446FF7" w:rsidRDefault="00446FF7" w:rsidP="00835E24">
      <w:pPr>
        <w:spacing w:after="0" w:line="240" w:lineRule="auto"/>
      </w:pPr>
      <w:r>
        <w:separator/>
      </w:r>
    </w:p>
  </w:endnote>
  <w:endnote w:type="continuationSeparator" w:id="0">
    <w:p w14:paraId="00889D7F" w14:textId="77777777" w:rsidR="00446FF7" w:rsidRDefault="00446FF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46FF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C3DA4">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46FF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E3BAD" w14:textId="77777777" w:rsidR="00446FF7" w:rsidRDefault="00446FF7" w:rsidP="00835E24">
      <w:pPr>
        <w:spacing w:after="0" w:line="240" w:lineRule="auto"/>
      </w:pPr>
      <w:r>
        <w:separator/>
      </w:r>
    </w:p>
  </w:footnote>
  <w:footnote w:type="continuationSeparator" w:id="0">
    <w:p w14:paraId="3AF33BAA" w14:textId="77777777" w:rsidR="00446FF7" w:rsidRDefault="00446FF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254B-4F58-4916-A8B0-A49AEBE8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70</cp:revision>
  <cp:lastPrinted>2015-12-11T13:29:00Z</cp:lastPrinted>
  <dcterms:created xsi:type="dcterms:W3CDTF">2015-11-24T16:38:00Z</dcterms:created>
  <dcterms:modified xsi:type="dcterms:W3CDTF">2016-03-10T16:07:00Z</dcterms:modified>
</cp:coreProperties>
</file>