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[date of final agreement]</w:t>
            </w:r>
          </w:p>
        </w:tc>
      </w:tr>
      <w:tr>
        <w:trPr>
          <w:trHeight w:val="520" w:hRule="atLeast"/>
        </w:trPr>
        <w:tc>
          <w:tcPr>
            <w:tcBorders>
              <w:bottom w:color="000000" w:space="0" w:sz="8"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00" w:space="0" w:sz="8"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[link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r>
        <w:trPr>
          <w:trHeight w:val="520" w:hRule="atLeast"/>
        </w:trPr>
        <w:tc>
          <w:tcPr>
            <w:tcBorders>
              <w:top w:color="000000" w:space="0" w:sz="8" w:val="single"/>
              <w:bottom w:color="000080" w:space="0" w:sz="20" w:val="single"/>
            </w:tcBorders>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Version</w:t>
            </w:r>
            <w:r w:rsidDel="00000000" w:rsidR="00000000" w:rsidRPr="00000000">
              <w:rPr>
                <w:rtl w:val="0"/>
              </w:rPr>
            </w:r>
          </w:p>
        </w:tc>
        <w:tc>
          <w:tcPr>
            <w:tcBorders>
              <w:top w:color="000000" w:space="0" w:sz="8" w:val="single"/>
              <w:bottom w:color="000080" w:space="0" w:sz="20" w:val="single"/>
            </w:tcBorders>
            <w:shd w:fill="auto" w:val="clear"/>
            <w:vAlign w:val="center"/>
          </w:tcPr>
          <w:p w:rsidR="00000000" w:rsidDel="00000000" w:rsidP="00000000" w:rsidRDefault="00000000" w:rsidRPr="00000000" w14:paraId="00000017">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sz w:val="20"/>
                <w:szCs w:val="20"/>
                <w:highlight w:val="yellow"/>
                <w:rtl w:val="0"/>
              </w:rPr>
              <w:t xml:space="preserve">[v2.12]</w:t>
            </w:r>
            <w:r w:rsidDel="00000000" w:rsidR="00000000" w:rsidRPr="00000000">
              <w:rPr>
                <w:rtl w:val="0"/>
              </w:rPr>
            </w:r>
          </w:p>
        </w:tc>
      </w:tr>
    </w:tbl>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15"/>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Pledged</w:t>
      </w:r>
      <w:r w:rsidDel="00000000" w:rsidR="00000000" w:rsidRPr="00000000">
        <w:rPr>
          <w:color w:val="000000"/>
          <w:rtl w:val="0"/>
        </w:rPr>
        <w:t xml:space="preserve">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Opportunistic</w:t>
      </w:r>
      <w:r w:rsidDel="00000000" w:rsidR="00000000" w:rsidRPr="00000000">
        <w:rPr>
          <w:color w:val="000000"/>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Time allocation</w:t>
      </w:r>
      <w:r w:rsidDel="00000000" w:rsidR="00000000" w:rsidRPr="00000000">
        <w:rPr>
          <w:color w:val="000000"/>
          <w:rtl w:val="0"/>
        </w:rPr>
        <w:t xml:space="preserve"> - Resources are available in fair share-like mode for a fixed time period.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Possible payment mode offer:</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Sponsored</w:t>
      </w:r>
      <w:r w:rsidDel="00000000" w:rsidR="00000000" w:rsidRPr="00000000">
        <w:rPr>
          <w:color w:val="000000"/>
          <w:rtl w:val="0"/>
        </w:rPr>
        <w:t xml:space="preserve">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Pay</w:t>
      </w:r>
      <w:r w:rsidDel="00000000" w:rsidR="00000000" w:rsidRPr="00000000">
        <w:rPr>
          <w:b w:val="1"/>
          <w:rtl w:val="0"/>
        </w:rPr>
        <w:t xml:space="preserve">-for</w:t>
      </w:r>
      <w:r w:rsidDel="00000000" w:rsidR="00000000" w:rsidRPr="00000000">
        <w:rPr>
          <w:b w:val="1"/>
          <w:color w:val="000000"/>
          <w:rtl w:val="0"/>
        </w:rPr>
        <w:t xml:space="preserve">-use</w:t>
      </w:r>
      <w:r w:rsidDel="00000000" w:rsidR="00000000" w:rsidRPr="00000000">
        <w:rPr>
          <w:color w:val="000000"/>
          <w:rtl w:val="0"/>
        </w:rPr>
        <w:t xml:space="preserve"> - Model where </w:t>
      </w:r>
      <w:r w:rsidDel="00000000" w:rsidR="00000000" w:rsidRPr="00000000">
        <w:rPr>
          <w:rtl w:val="0"/>
        </w:rPr>
        <w:t xml:space="preserve">customers</w:t>
      </w:r>
      <w:r w:rsidDel="00000000" w:rsidR="00000000" w:rsidRPr="00000000">
        <w:rPr>
          <w:color w:val="000000"/>
          <w:rtl w:val="0"/>
        </w:rPr>
        <w:t xml:space="preserve"> directly pay for the service used.</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Services are defined by the following properties:</w:t>
      </w:r>
    </w:p>
    <w:p w:rsidR="00000000" w:rsidDel="00000000" w:rsidP="00000000" w:rsidRDefault="00000000" w:rsidRPr="00000000" w14:paraId="00000050">
      <w:pPr>
        <w:rPr>
          <w:b w:val="1"/>
        </w:rPr>
      </w:pPr>
      <w:r w:rsidDel="00000000" w:rsidR="00000000" w:rsidRPr="00000000">
        <w:rPr>
          <w:b w:val="1"/>
          <w:rtl w:val="0"/>
        </w:rPr>
        <w:t xml:space="preserve">Cloud Compute (category: Compute)</w:t>
      </w:r>
    </w:p>
    <w:p w:rsidR="00000000" w:rsidDel="00000000" w:rsidP="00000000" w:rsidRDefault="00000000" w:rsidRPr="00000000" w14:paraId="00000051">
      <w:pPr>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3">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55">
      <w:pPr>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6">
      <w:pPr>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7">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8">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9">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A">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5B">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62">
      <w:pPr>
        <w:numPr>
          <w:ilvl w:val="1"/>
          <w:numId w:val="9"/>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5">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7">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8">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69">
      <w:pPr>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A">
      <w:pPr>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B">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D">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E">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6F">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highlight w:val="yellow"/>
          <w:u w:val="no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9">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B">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D">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E">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7F">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1">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2">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3">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5">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p>
    <w:p w:rsidR="00000000" w:rsidDel="00000000" w:rsidP="00000000" w:rsidRDefault="00000000" w:rsidRPr="00000000" w14:paraId="0000008A">
      <w:pPr>
        <w:numPr>
          <w:ilvl w:val="1"/>
          <w:numId w:val="9"/>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Online Storage (category: Storage)</w:t>
      </w:r>
    </w:p>
    <w:p w:rsidR="00000000" w:rsidDel="00000000" w:rsidP="00000000" w:rsidRDefault="00000000" w:rsidRPr="00000000" w14:paraId="0000008D">
      <w:pPr>
        <w:rPr>
          <w:b w:val="1"/>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1800" w:hanging="720"/>
        <w:rPr>
          <w:b w:val="1"/>
          <w:color w:val="000000"/>
        </w:rPr>
      </w:pPr>
      <w:r w:rsidDel="00000000" w:rsidR="00000000" w:rsidRPr="00000000">
        <w:rPr>
          <w:rtl w:val="0"/>
        </w:rPr>
      </w:r>
    </w:p>
    <w:p w:rsidR="00000000" w:rsidDel="00000000" w:rsidP="00000000" w:rsidRDefault="00000000" w:rsidRPr="00000000" w14:paraId="0000008F">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90">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1">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2">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3">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5">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6">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7">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2bn6wsx"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p>
    <w:p w:rsidR="00000000" w:rsidDel="00000000" w:rsidP="00000000" w:rsidRDefault="00000000" w:rsidRPr="00000000" w14:paraId="0000009C">
      <w:pPr>
        <w:numPr>
          <w:ilvl w:val="1"/>
          <w:numId w:val="9"/>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D">
      <w:pPr>
        <w:rPr>
          <w:highlight w:val="yellow"/>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Notebooks (category: Applications)</w:t>
      </w:r>
    </w:p>
    <w:p w:rsidR="00000000" w:rsidDel="00000000" w:rsidP="00000000" w:rsidRDefault="00000000" w:rsidRPr="00000000" w14:paraId="0000009F">
      <w:pPr>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ab/>
      </w:r>
    </w:p>
    <w:p w:rsidR="00000000" w:rsidDel="00000000" w:rsidP="00000000" w:rsidRDefault="00000000" w:rsidRPr="00000000" w14:paraId="000000AD">
      <w:pPr>
        <w:rPr>
          <w:b w:val="1"/>
        </w:rPr>
      </w:pPr>
      <w:r w:rsidDel="00000000" w:rsidR="00000000" w:rsidRPr="00000000">
        <w:rPr>
          <w:b w:val="1"/>
          <w:rtl w:val="0"/>
        </w:rPr>
        <w:t xml:space="preserve">Check-In (category: Security)</w:t>
      </w:r>
    </w:p>
    <w:p w:rsidR="00000000" w:rsidDel="00000000" w:rsidP="00000000" w:rsidRDefault="00000000" w:rsidRPr="00000000" w14:paraId="000000AE">
      <w:pPr>
        <w:rPr/>
      </w:pPr>
      <w:r w:rsidDel="00000000" w:rsidR="00000000" w:rsidRPr="00000000">
        <w:rPr>
          <w:rtl w:val="0"/>
        </w:rPr>
        <w:t xml:space="preserve">Description: </w:t>
      </w:r>
      <w:hyperlink r:id="rId14">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F">
      <w:pPr>
        <w:numPr>
          <w:ilvl w:val="0"/>
          <w:numId w:val="1"/>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B0">
      <w:pPr>
        <w:numPr>
          <w:ilvl w:val="1"/>
          <w:numId w:val="1"/>
        </w:numPr>
        <w:spacing w:after="0" w:lineRule="auto"/>
        <w:ind w:left="1080" w:hanging="360"/>
        <w:rPr>
          <w:highlight w:val="yellow"/>
          <w:u w:val="none"/>
        </w:rPr>
      </w:pPr>
      <w:r w:rsidDel="00000000" w:rsidR="00000000" w:rsidRPr="00000000">
        <w:rPr>
          <w:highlight w:val="yellow"/>
          <w:rtl w:val="0"/>
        </w:rPr>
        <w:t xml:space="preserve">Check-In (as community AAI):</w:t>
      </w:r>
    </w:p>
    <w:p w:rsidR="00000000" w:rsidDel="00000000" w:rsidP="00000000" w:rsidRDefault="00000000" w:rsidRPr="00000000" w14:paraId="000000B1">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2">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4"/>
      </w:r>
      <w:r w:rsidDel="00000000" w:rsidR="00000000" w:rsidRPr="00000000">
        <w:rPr>
          <w:rtl w:val="0"/>
        </w:rPr>
      </w:r>
    </w:p>
    <w:p w:rsidR="00000000" w:rsidDel="00000000" w:rsidP="00000000" w:rsidRDefault="00000000" w:rsidRPr="00000000" w14:paraId="000000B3">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5">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6">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7">
      <w:pPr>
        <w:numPr>
          <w:ilvl w:val="1"/>
          <w:numId w:val="1"/>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8">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9">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9"/>
      </w:r>
      <w:r w:rsidDel="00000000" w:rsidR="00000000" w:rsidRPr="00000000">
        <w:rPr>
          <w:rtl w:val="0"/>
        </w:rPr>
      </w:r>
    </w:p>
    <w:p w:rsidR="00000000" w:rsidDel="00000000" w:rsidP="00000000" w:rsidRDefault="00000000" w:rsidRPr="00000000" w14:paraId="000000BA">
      <w:pPr>
        <w:numPr>
          <w:ilvl w:val="1"/>
          <w:numId w:val="1"/>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B">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C">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D">
      <w:pPr>
        <w:numPr>
          <w:ilvl w:val="2"/>
          <w:numId w:val="1"/>
        </w:numPr>
        <w:spacing w:after="0" w:lineRule="auto"/>
        <w:ind w:left="1800" w:hanging="360"/>
        <w:rPr>
          <w:highlight w:val="yellow"/>
          <w:u w:val="none"/>
        </w:rPr>
      </w:pPr>
      <w:r w:rsidDel="00000000" w:rsidR="00000000" w:rsidRPr="00000000">
        <w:rPr>
          <w:highlight w:val="yellow"/>
          <w:rtl w:val="0"/>
        </w:rPr>
        <w:t xml:space="preserve">EGI services to be connected:</w:t>
      </w:r>
    </w:p>
    <w:p w:rsidR="00000000" w:rsidDel="00000000" w:rsidP="00000000" w:rsidRDefault="00000000" w:rsidRPr="00000000" w14:paraId="000000BE">
      <w:pPr>
        <w:pStyle w:val="Heading1"/>
        <w:numPr>
          <w:ilvl w:val="0"/>
          <w:numId w:val="15"/>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BF">
      <w:pPr>
        <w:rPr/>
      </w:pPr>
      <w:r w:rsidDel="00000000" w:rsidR="00000000" w:rsidRPr="00000000">
        <w:rPr>
          <w:rtl w:val="0"/>
        </w:rPr>
        <w:t xml:space="preserve">As defined in Resource Center OLA.</w:t>
      </w:r>
    </w:p>
    <w:p w:rsidR="00000000" w:rsidDel="00000000" w:rsidP="00000000" w:rsidRDefault="00000000" w:rsidRPr="00000000" w14:paraId="000000C0">
      <w:pPr>
        <w:pStyle w:val="Heading1"/>
        <w:numPr>
          <w:ilvl w:val="0"/>
          <w:numId w:val="15"/>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C1">
      <w:pPr>
        <w:rPr/>
      </w:pPr>
      <w:bookmarkStart w:colFirst="0" w:colLast="0" w:name="_2et92p0" w:id="5"/>
      <w:bookmarkEnd w:id="5"/>
      <w:r w:rsidDel="00000000" w:rsidR="00000000" w:rsidRPr="00000000">
        <w:rPr>
          <w:rtl w:val="0"/>
        </w:rPr>
        <w:t xml:space="preserve">As defined in Resource Center OLA.</w:t>
      </w:r>
    </w:p>
    <w:p w:rsidR="00000000" w:rsidDel="00000000" w:rsidP="00000000" w:rsidRDefault="00000000" w:rsidRPr="00000000" w14:paraId="000000C2">
      <w:pPr>
        <w:pStyle w:val="Heading2"/>
        <w:numPr>
          <w:ilvl w:val="1"/>
          <w:numId w:val="15"/>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C3">
      <w:pPr>
        <w:rPr/>
      </w:pPr>
      <w:r w:rsidDel="00000000" w:rsidR="00000000" w:rsidRPr="00000000">
        <w:rPr>
          <w:rtl w:val="0"/>
        </w:rPr>
        <w:t xml:space="preserve">As defined in Resource Center OLA.</w:t>
      </w:r>
    </w:p>
    <w:p w:rsidR="00000000" w:rsidDel="00000000" w:rsidP="00000000" w:rsidRDefault="00000000" w:rsidRPr="00000000" w14:paraId="000000C4">
      <w:pPr>
        <w:pStyle w:val="Heading2"/>
        <w:numPr>
          <w:ilvl w:val="1"/>
          <w:numId w:val="15"/>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C5">
      <w:pPr>
        <w:rPr/>
      </w:pPr>
      <w:bookmarkStart w:colFirst="0" w:colLast="0" w:name="_1t3h5sf" w:id="8"/>
      <w:bookmarkEnd w:id="8"/>
      <w:r w:rsidDel="00000000" w:rsidR="00000000" w:rsidRPr="00000000">
        <w:rPr>
          <w:rtl w:val="0"/>
        </w:rPr>
        <w:t xml:space="preserve">As defined in Resource Center OLA.</w:t>
      </w:r>
    </w:p>
    <w:p w:rsidR="00000000" w:rsidDel="00000000" w:rsidP="00000000" w:rsidRDefault="00000000" w:rsidRPr="00000000" w14:paraId="000000C6">
      <w:pPr>
        <w:pStyle w:val="Heading1"/>
        <w:numPr>
          <w:ilvl w:val="0"/>
          <w:numId w:val="15"/>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C7">
      <w:pPr>
        <w:rPr>
          <w:b w:val="1"/>
        </w:rPr>
      </w:pPr>
      <w:r w:rsidDel="00000000" w:rsidR="00000000" w:rsidRPr="00000000">
        <w:rPr>
          <w:b w:val="1"/>
          <w:rtl w:val="0"/>
        </w:rPr>
        <w:t xml:space="preserve">Monthly Availability </w:t>
      </w:r>
    </w:p>
    <w:p w:rsidR="00000000" w:rsidDel="00000000" w:rsidP="00000000" w:rsidRDefault="00000000" w:rsidRPr="00000000" w14:paraId="000000C8">
      <w:pPr>
        <w:numPr>
          <w:ilvl w:val="0"/>
          <w:numId w:val="7"/>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Monthly Reliability</w:t>
      </w:r>
    </w:p>
    <w:p w:rsidR="00000000" w:rsidDel="00000000" w:rsidP="00000000" w:rsidRDefault="00000000" w:rsidRPr="00000000" w14:paraId="000000CB">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Quality of Support level</w:t>
      </w:r>
    </w:p>
    <w:p w:rsidR="00000000" w:rsidDel="00000000" w:rsidP="00000000" w:rsidRDefault="00000000" w:rsidRPr="00000000" w14:paraId="000000CE">
      <w:pPr>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CF">
      <w:pPr>
        <w:pStyle w:val="Heading1"/>
        <w:numPr>
          <w:ilvl w:val="0"/>
          <w:numId w:val="15"/>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D0">
      <w:pPr>
        <w:rPr/>
      </w:pPr>
      <w:r w:rsidDel="00000000" w:rsidR="00000000" w:rsidRPr="00000000">
        <w:rPr>
          <w:rtl w:val="0"/>
        </w:rPr>
        <w:t xml:space="preserve">As defined in Resource Center OLA and:</w:t>
      </w:r>
    </w:p>
    <w:p w:rsidR="00000000" w:rsidDel="00000000" w:rsidP="00000000" w:rsidRDefault="00000000" w:rsidRPr="00000000" w14:paraId="000000D1">
      <w:pPr>
        <w:numPr>
          <w:ilvl w:val="0"/>
          <w:numId w:val="1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D2">
      <w:pPr>
        <w:numPr>
          <w:ilvl w:val="0"/>
          <w:numId w:val="1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D3">
      <w:pPr>
        <w:pStyle w:val="Heading1"/>
        <w:numPr>
          <w:ilvl w:val="0"/>
          <w:numId w:val="15"/>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D4">
      <w:pPr>
        <w:pStyle w:val="Heading2"/>
        <w:numPr>
          <w:ilvl w:val="1"/>
          <w:numId w:val="15"/>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D5">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D6">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D7">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D8">
            <w:pPr>
              <w:rPr/>
            </w:pPr>
            <w:r w:rsidDel="00000000" w:rsidR="00000000" w:rsidRPr="00000000">
              <w:rPr>
                <w:rtl w:val="0"/>
              </w:rPr>
              <w:t xml:space="preserve">Małgorzata Krakowian</w:t>
            </w:r>
          </w:p>
          <w:p w:rsidR="00000000" w:rsidDel="00000000" w:rsidP="00000000" w:rsidRDefault="00000000" w:rsidRPr="00000000" w14:paraId="000000D9">
            <w:pPr>
              <w:rPr>
                <w:highlight w:val="yellow"/>
              </w:rPr>
            </w:pPr>
            <w:hyperlink r:id="rId15">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A">
            <w:pPr>
              <w:rPr>
                <w:highlight w:val="yellow"/>
              </w:rPr>
            </w:pPr>
            <w:r w:rsidDel="00000000" w:rsidR="00000000" w:rsidRPr="00000000">
              <w:rPr>
                <w:rtl w:val="0"/>
              </w:rPr>
              <w:t xml:space="preserve">SLA Coordinator at EGI Foundation  </w:t>
            </w:r>
            <w:r w:rsidDel="00000000" w:rsidR="00000000" w:rsidRPr="00000000">
              <w:rPr>
                <w:rtl w:val="0"/>
              </w:rPr>
            </w:r>
          </w:p>
        </w:tc>
      </w:tr>
      <w:tr>
        <w:tc>
          <w:tcPr>
            <w:shd w:fill="b8cce4" w:val="clear"/>
          </w:tcPr>
          <w:p w:rsidR="00000000" w:rsidDel="00000000" w:rsidP="00000000" w:rsidRDefault="00000000" w:rsidRPr="00000000" w14:paraId="000000DB">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DC">
            <w:pPr>
              <w:jc w:val="left"/>
              <w:rPr/>
            </w:pPr>
            <w:r w:rsidDel="00000000" w:rsidR="00000000" w:rsidRPr="00000000">
              <w:rPr>
                <w:rtl w:val="0"/>
              </w:rPr>
              <w:t xml:space="preserve">Matthew Viljoen </w:t>
              <w:br w:type="textWrapping"/>
            </w:r>
            <w:hyperlink r:id="rId16">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DD">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DE">
            <w:pPr>
              <w:rPr>
                <w:highlight w:val="yellow"/>
              </w:rPr>
            </w:pPr>
            <w:r w:rsidDel="00000000" w:rsidR="00000000" w:rsidRPr="00000000">
              <w:rPr>
                <w:highlight w:val="yellow"/>
                <w:rtl w:val="0"/>
              </w:rPr>
              <w:t xml:space="preserve">[name]</w:t>
            </w:r>
          </w:p>
          <w:p w:rsidR="00000000" w:rsidDel="00000000" w:rsidP="00000000" w:rsidRDefault="00000000" w:rsidRPr="00000000" w14:paraId="000000DF">
            <w:pPr>
              <w:rPr>
                <w:highlight w:val="yellow"/>
              </w:rPr>
            </w:pPr>
            <w:r w:rsidDel="00000000" w:rsidR="00000000" w:rsidRPr="00000000">
              <w:rPr>
                <w:highlight w:val="yellow"/>
                <w:rtl w:val="0"/>
              </w:rPr>
              <w:t xml:space="preserve">[email] </w:t>
            </w:r>
          </w:p>
          <w:p w:rsidR="00000000" w:rsidDel="00000000" w:rsidP="00000000" w:rsidRDefault="00000000" w:rsidRPr="00000000" w14:paraId="000000E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E1">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E2">
            <w:pPr>
              <w:rPr>
                <w:highlight w:val="yellow"/>
              </w:rPr>
            </w:pPr>
            <w:r w:rsidDel="00000000" w:rsidR="00000000" w:rsidRPr="00000000">
              <w:rPr>
                <w:highlight w:val="yellow"/>
                <w:rtl w:val="0"/>
              </w:rPr>
              <w:t xml:space="preserve">[name]</w:t>
            </w:r>
          </w:p>
          <w:p w:rsidR="00000000" w:rsidDel="00000000" w:rsidP="00000000" w:rsidRDefault="00000000" w:rsidRPr="00000000" w14:paraId="000000E3">
            <w:pPr>
              <w:rPr>
                <w:highlight w:val="yellow"/>
              </w:rPr>
            </w:pPr>
            <w:r w:rsidDel="00000000" w:rsidR="00000000" w:rsidRPr="00000000">
              <w:rPr>
                <w:highlight w:val="yellow"/>
                <w:rtl w:val="0"/>
              </w:rPr>
              <w:t xml:space="preserve">[email] </w:t>
            </w:r>
          </w:p>
          <w:p w:rsidR="00000000" w:rsidDel="00000000" w:rsidP="00000000" w:rsidRDefault="00000000" w:rsidRPr="00000000" w14:paraId="000000E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0E5">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E6">
            <w:pPr>
              <w:rPr/>
            </w:pPr>
            <w:r w:rsidDel="00000000" w:rsidR="00000000" w:rsidRPr="00000000">
              <w:rPr>
                <w:rtl w:val="0"/>
              </w:rPr>
              <w:t xml:space="preserve">See Section 3</w:t>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numPr>
          <w:ilvl w:val="1"/>
          <w:numId w:val="15"/>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E9">
      <w:pPr>
        <w:rPr/>
      </w:pPr>
      <w:bookmarkStart w:colFirst="0" w:colLast="0" w:name="_lnxbz9" w:id="14"/>
      <w:bookmarkEnd w:id="14"/>
      <w:r w:rsidDel="00000000" w:rsidR="00000000" w:rsidRPr="00000000">
        <w:rPr>
          <w:rtl w:val="0"/>
        </w:rPr>
        <w:t xml:space="preserve">As defined in Resource Center OLA.</w:t>
      </w:r>
    </w:p>
    <w:p w:rsidR="00000000" w:rsidDel="00000000" w:rsidP="00000000" w:rsidRDefault="00000000" w:rsidRPr="00000000" w14:paraId="000000EA">
      <w:pPr>
        <w:pStyle w:val="Heading2"/>
        <w:numPr>
          <w:ilvl w:val="1"/>
          <w:numId w:val="15"/>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EB">
      <w:pPr>
        <w:rPr/>
      </w:pPr>
      <w:bookmarkStart w:colFirst="0" w:colLast="0" w:name="_1ksv4uv" w:id="16"/>
      <w:bookmarkEnd w:id="16"/>
      <w:r w:rsidDel="00000000" w:rsidR="00000000" w:rsidRPr="00000000">
        <w:rPr>
          <w:rtl w:val="0"/>
        </w:rPr>
        <w:t xml:space="preserve">The following rules are agreed for communication in the event of violation:</w:t>
      </w:r>
    </w:p>
    <w:p w:rsidR="00000000" w:rsidDel="00000000" w:rsidP="00000000" w:rsidRDefault="00000000" w:rsidRPr="00000000" w14:paraId="000000EC">
      <w:pPr>
        <w:numPr>
          <w:ilvl w:val="0"/>
          <w:numId w:val="10"/>
        </w:numPr>
        <w:spacing w:after="0" w:afterAutospacing="0"/>
        <w:ind w:left="720" w:hanging="360"/>
        <w:rPr>
          <w:u w:val="none"/>
        </w:rPr>
      </w:pPr>
      <w:bookmarkStart w:colFirst="0" w:colLast="0" w:name="_7yvdosy9mg7t" w:id="17"/>
      <w:bookmarkEnd w:id="17"/>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 </w:t>
      </w:r>
    </w:p>
    <w:p w:rsidR="00000000" w:rsidDel="00000000" w:rsidP="00000000" w:rsidRDefault="00000000" w:rsidRPr="00000000" w14:paraId="000000ED">
      <w:pPr>
        <w:numPr>
          <w:ilvl w:val="0"/>
          <w:numId w:val="10"/>
        </w:numPr>
        <w:ind w:left="720" w:hanging="360"/>
        <w:rPr>
          <w:u w:val="none"/>
        </w:rPr>
      </w:pPr>
      <w:bookmarkStart w:colFirst="0" w:colLast="0" w:name="_nfg9egqlf8dw" w:id="18"/>
      <w:bookmarkEnd w:id="18"/>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0EE">
      <w:pPr>
        <w:rPr/>
      </w:pPr>
      <w:bookmarkStart w:colFirst="0" w:colLast="0" w:name="_57d2syald3pq" w:id="19"/>
      <w:bookmarkEnd w:id="19"/>
      <w:r w:rsidDel="00000000" w:rsidR="00000000" w:rsidRPr="00000000">
        <w:rPr>
          <w:rtl w:val="0"/>
        </w:rPr>
      </w:r>
    </w:p>
    <w:p w:rsidR="00000000" w:rsidDel="00000000" w:rsidP="00000000" w:rsidRDefault="00000000" w:rsidRPr="00000000" w14:paraId="000000EF">
      <w:pPr>
        <w:pStyle w:val="Heading2"/>
        <w:numPr>
          <w:ilvl w:val="1"/>
          <w:numId w:val="15"/>
        </w:numPr>
        <w:ind w:left="576" w:hanging="576"/>
        <w:rPr/>
      </w:pPr>
      <w:bookmarkStart w:colFirst="0" w:colLast="0" w:name="_44sinio" w:id="20"/>
      <w:bookmarkEnd w:id="20"/>
      <w:r w:rsidDel="00000000" w:rsidR="00000000" w:rsidRPr="00000000">
        <w:rPr>
          <w:rtl w:val="0"/>
        </w:rPr>
        <w:t xml:space="preserve">Escalation and complaints</w:t>
      </w:r>
    </w:p>
    <w:p w:rsidR="00000000" w:rsidDel="00000000" w:rsidP="00000000" w:rsidRDefault="00000000" w:rsidRPr="00000000" w14:paraId="000000F0">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0F1">
      <w:pPr>
        <w:numPr>
          <w:ilvl w:val="0"/>
          <w:numId w:val="11"/>
        </w:numPr>
        <w:spacing w:after="0" w:afterAutospacing="0"/>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p>
    <w:p w:rsidR="00000000" w:rsidDel="00000000" w:rsidP="00000000" w:rsidRDefault="00000000" w:rsidRPr="00000000" w14:paraId="000000F2">
      <w:pPr>
        <w:numPr>
          <w:ilvl w:val="0"/>
          <w:numId w:val="11"/>
        </w:numPr>
        <w:ind w:left="720" w:hanging="360"/>
        <w:rPr>
          <w:u w:val="none"/>
        </w:rPr>
      </w:pPr>
      <w:r w:rsidDel="00000000" w:rsidR="00000000" w:rsidRPr="00000000">
        <w:rPr>
          <w:rtl w:val="0"/>
        </w:rPr>
        <w:t xml:space="preserve">Complaints or concerns about the Services provided directed to the EGI Foundation contact will be shared with the Service component provider. </w:t>
      </w:r>
    </w:p>
    <w:p w:rsidR="00000000" w:rsidDel="00000000" w:rsidP="00000000" w:rsidRDefault="00000000" w:rsidRPr="00000000" w14:paraId="000000F3">
      <w:pPr>
        <w:pStyle w:val="Heading1"/>
        <w:numPr>
          <w:ilvl w:val="0"/>
          <w:numId w:val="15"/>
        </w:numPr>
        <w:ind w:left="432" w:hanging="432"/>
        <w:rPr/>
      </w:pPr>
      <w:bookmarkStart w:colFirst="0" w:colLast="0" w:name="_2jxsxqh" w:id="21"/>
      <w:bookmarkEnd w:id="21"/>
      <w:r w:rsidDel="00000000" w:rsidR="00000000" w:rsidRPr="00000000">
        <w:rPr>
          <w:rtl w:val="0"/>
        </w:rPr>
        <w:t xml:space="preserve">Information security and data protection</w:t>
      </w:r>
    </w:p>
    <w:p w:rsidR="00000000" w:rsidDel="00000000" w:rsidP="00000000" w:rsidRDefault="00000000" w:rsidRPr="00000000" w14:paraId="000000F4">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0F5">
      <w:pPr>
        <w:numPr>
          <w:ilvl w:val="0"/>
          <w:numId w:val="16"/>
        </w:numPr>
        <w:spacing w:after="0" w:lineRule="auto"/>
        <w:ind w:left="720" w:hanging="360"/>
        <w:rPr>
          <w:u w:val="none"/>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p>
    <w:p w:rsidR="00000000" w:rsidDel="00000000" w:rsidP="00000000" w:rsidRDefault="00000000" w:rsidRPr="00000000" w14:paraId="000000F6">
      <w:pPr>
        <w:numPr>
          <w:ilvl w:val="0"/>
          <w:numId w:val="16"/>
        </w:numPr>
        <w:spacing w:after="0" w:lineRule="auto"/>
        <w:ind w:left="720" w:hanging="360"/>
        <w:rPr>
          <w:u w:val="none"/>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0F7">
      <w:pPr>
        <w:numPr>
          <w:ilvl w:val="0"/>
          <w:numId w:val="16"/>
        </w:numPr>
        <w:spacing w:after="0" w:afterAutospacing="0"/>
        <w:ind w:left="720" w:hanging="360"/>
        <w:rPr>
          <w:u w:val="none"/>
        </w:rPr>
      </w:pPr>
      <w:r w:rsidDel="00000000" w:rsidR="00000000" w:rsidRPr="00000000">
        <w:rPr>
          <w:rtl w:val="0"/>
        </w:rPr>
        <w:t xml:space="preserve">The parties of the Agreement will meet all requirements of any relevant policy or procedure of the Provider</w:t>
      </w:r>
      <w:r w:rsidDel="00000000" w:rsidR="00000000" w:rsidRPr="00000000">
        <w:rPr>
          <w:vertAlign w:val="superscript"/>
        </w:rPr>
        <w:footnoteReference w:customMarkFollows="0" w:id="10"/>
      </w:r>
      <w:r w:rsidDel="00000000" w:rsidR="00000000" w:rsidRPr="00000000">
        <w:rPr>
          <w:rtl w:val="0"/>
        </w:rPr>
        <w:t xml:space="preserve"> and will comply with the applicable national legislation.</w:t>
      </w:r>
    </w:p>
    <w:p w:rsidR="00000000" w:rsidDel="00000000" w:rsidP="00000000" w:rsidRDefault="00000000" w:rsidRPr="00000000" w14:paraId="000000F8">
      <w:pPr>
        <w:numPr>
          <w:ilvl w:val="0"/>
          <w:numId w:val="16"/>
        </w:numPr>
        <w:ind w:left="720" w:hanging="360"/>
        <w:rPr>
          <w:u w:val="none"/>
        </w:rPr>
      </w:pPr>
      <w:r w:rsidDel="00000000" w:rsidR="00000000" w:rsidRPr="00000000">
        <w:rPr>
          <w:rtl w:val="0"/>
        </w:rPr>
        <w:t xml:space="preserve">The Component provider holds the role of the data controller.</w:t>
      </w:r>
    </w:p>
    <w:p w:rsidR="00000000" w:rsidDel="00000000" w:rsidP="00000000" w:rsidRDefault="00000000" w:rsidRPr="00000000" w14:paraId="000000F9">
      <w:pPr>
        <w:pStyle w:val="Heading1"/>
        <w:numPr>
          <w:ilvl w:val="0"/>
          <w:numId w:val="15"/>
        </w:numPr>
        <w:ind w:left="432" w:hanging="432"/>
        <w:rPr/>
      </w:pPr>
      <w:bookmarkStart w:colFirst="0" w:colLast="0" w:name="_3j2qqm3" w:id="22"/>
      <w:bookmarkEnd w:id="22"/>
      <w:r w:rsidDel="00000000" w:rsidR="00000000" w:rsidRPr="00000000">
        <w:rPr>
          <w:rtl w:val="0"/>
        </w:rPr>
        <w:t xml:space="preserve">Responsibilities </w:t>
      </w:r>
    </w:p>
    <w:p w:rsidR="00000000" w:rsidDel="00000000" w:rsidP="00000000" w:rsidRDefault="00000000" w:rsidRPr="00000000" w14:paraId="000000FA">
      <w:pPr>
        <w:pStyle w:val="Heading2"/>
        <w:numPr>
          <w:ilvl w:val="1"/>
          <w:numId w:val="15"/>
        </w:numPr>
        <w:ind w:left="576" w:hanging="576"/>
        <w:rPr/>
      </w:pPr>
      <w:bookmarkStart w:colFirst="0" w:colLast="0" w:name="_1y810tw" w:id="23"/>
      <w:bookmarkEnd w:id="23"/>
      <w:r w:rsidDel="00000000" w:rsidR="00000000" w:rsidRPr="00000000">
        <w:rPr>
          <w:rtl w:val="0"/>
        </w:rPr>
        <w:t xml:space="preserve">Of the Component Provider</w:t>
      </w:r>
    </w:p>
    <w:p w:rsidR="00000000" w:rsidDel="00000000" w:rsidP="00000000" w:rsidRDefault="00000000" w:rsidRPr="00000000" w14:paraId="000000FB">
      <w:pPr>
        <w:rPr/>
      </w:pPr>
      <w:bookmarkStart w:colFirst="0" w:colLast="0" w:name="_4i7ojhp" w:id="24"/>
      <w:bookmarkEnd w:id="24"/>
      <w:r w:rsidDel="00000000" w:rsidR="00000000" w:rsidRPr="00000000">
        <w:rPr>
          <w:rtl w:val="0"/>
        </w:rPr>
        <w:t xml:space="preserve">As defined in Resource Center OLA.</w:t>
      </w:r>
    </w:p>
    <w:p w:rsidR="00000000" w:rsidDel="00000000" w:rsidP="00000000" w:rsidRDefault="00000000" w:rsidRPr="00000000" w14:paraId="000000FC">
      <w:pPr>
        <w:numPr>
          <w:ilvl w:val="0"/>
          <w:numId w:val="12"/>
        </w:numPr>
        <w:ind w:left="720" w:hanging="360"/>
        <w:rPr>
          <w:u w:val="none"/>
        </w:rPr>
      </w:pPr>
      <w:bookmarkStart w:colFirst="0" w:colLast="0" w:name="_x07vvrxqfznh" w:id="25"/>
      <w:bookmarkEnd w:id="25"/>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0FD">
      <w:pPr>
        <w:pStyle w:val="Heading2"/>
        <w:numPr>
          <w:ilvl w:val="1"/>
          <w:numId w:val="15"/>
        </w:numPr>
        <w:ind w:left="576" w:hanging="576"/>
        <w:rPr/>
      </w:pPr>
      <w:bookmarkStart w:colFirst="0" w:colLast="0" w:name="_2xcytpi" w:id="26"/>
      <w:bookmarkEnd w:id="26"/>
      <w:r w:rsidDel="00000000" w:rsidR="00000000" w:rsidRPr="00000000">
        <w:rPr>
          <w:rtl w:val="0"/>
        </w:rPr>
        <w:t xml:space="preserve">Of EGI Foundation</w:t>
      </w:r>
    </w:p>
    <w:p w:rsidR="00000000" w:rsidDel="00000000" w:rsidP="00000000" w:rsidRDefault="00000000" w:rsidRPr="00000000" w14:paraId="000000FE">
      <w:pPr>
        <w:rPr/>
      </w:pPr>
      <w:r w:rsidDel="00000000" w:rsidR="00000000" w:rsidRPr="00000000">
        <w:rPr>
          <w:rtl w:val="0"/>
        </w:rPr>
        <w:t xml:space="preserve">As defined in Resource Center OLA and:</w:t>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Support coordination and conflict resolution with the User;</w:t>
      </w:r>
    </w:p>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ind w:left="1080" w:hanging="720"/>
        <w:rPr>
          <w:u w:val="none"/>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102">
      <w:pPr>
        <w:pStyle w:val="Heading2"/>
        <w:numPr>
          <w:ilvl w:val="1"/>
          <w:numId w:val="15"/>
        </w:numPr>
        <w:ind w:left="576" w:hanging="576"/>
        <w:rPr/>
      </w:pPr>
      <w:bookmarkStart w:colFirst="0" w:colLast="0" w:name="_1ci93xb" w:id="27"/>
      <w:bookmarkEnd w:id="27"/>
      <w:r w:rsidDel="00000000" w:rsidR="00000000" w:rsidRPr="00000000">
        <w:rPr>
          <w:rtl w:val="0"/>
        </w:rPr>
        <w:t xml:space="preserve">Of the Customer</w:t>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User are listed in relevant VO SLA.</w:t>
      </w:r>
    </w:p>
    <w:p w:rsidR="00000000" w:rsidDel="00000000" w:rsidP="00000000" w:rsidRDefault="00000000" w:rsidRPr="00000000" w14:paraId="00000104">
      <w:pPr>
        <w:pStyle w:val="Heading1"/>
        <w:numPr>
          <w:ilvl w:val="0"/>
          <w:numId w:val="15"/>
        </w:numPr>
        <w:ind w:left="432" w:hanging="432"/>
        <w:rPr/>
      </w:pPr>
      <w:bookmarkStart w:colFirst="0" w:colLast="0" w:name="_3whwml4" w:id="28"/>
      <w:bookmarkEnd w:id="28"/>
      <w:r w:rsidDel="00000000" w:rsidR="00000000" w:rsidRPr="00000000">
        <w:rPr>
          <w:rtl w:val="0"/>
        </w:rPr>
        <w:t xml:space="preserve">Review, extensions and termination</w:t>
      </w:r>
    </w:p>
    <w:p w:rsidR="00000000" w:rsidDel="00000000" w:rsidP="00000000" w:rsidRDefault="00000000" w:rsidRPr="00000000" w14:paraId="00000105">
      <w:pPr>
        <w:rPr/>
      </w:pPr>
      <w:r w:rsidDel="00000000" w:rsidR="00000000" w:rsidRPr="00000000">
        <w:rPr>
          <w:rtl w:val="0"/>
        </w:rPr>
        <w:t xml:space="preserve">As defined in Resource Center OLA.</w:t>
      </w:r>
    </w:p>
    <w:p w:rsidR="00000000" w:rsidDel="00000000" w:rsidP="00000000" w:rsidRDefault="00000000" w:rsidRPr="00000000" w14:paraId="00000106">
      <w:pPr>
        <w:rPr/>
      </w:pPr>
      <w:r w:rsidDel="00000000" w:rsidR="00000000" w:rsidRPr="00000000">
        <w:rPr>
          <w:rtl w:val="0"/>
        </w:rPr>
      </w:r>
    </w:p>
    <w:sectPr>
      <w:footerReference r:id="rId17" w:type="default"/>
      <w:footerReference r:id="rId18"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4">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10">
    <w:p w:rsidR="00000000" w:rsidDel="00000000" w:rsidP="00000000" w:rsidRDefault="00000000" w:rsidRPr="00000000" w14:paraId="000001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18">
      <w:pPr>
        <w:widowControl w:val="0"/>
        <w:spacing w:after="0" w:line="276" w:lineRule="auto"/>
        <w:jc w:val="left"/>
        <w:rPr>
          <w:sz w:val="20"/>
          <w:szCs w:val="20"/>
        </w:rPr>
      </w:pPr>
      <w:r w:rsidDel="00000000" w:rsidR="00000000" w:rsidRPr="00000000">
        <w:fldChar w:fldCharType="end"/>
      </w:r>
      <w:r w:rsidDel="00000000" w:rsidR="00000000" w:rsidRPr="00000000">
        <w:rPr>
          <w:rtl w:val="0"/>
        </w:rPr>
      </w:r>
    </w:p>
  </w:footnote>
  <w:footnote w:id="3">
    <w:p w:rsidR="00000000" w:rsidDel="00000000" w:rsidP="00000000" w:rsidRDefault="00000000" w:rsidRPr="00000000" w14:paraId="0000011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4">
    <w:p w:rsidR="00000000" w:rsidDel="00000000" w:rsidP="00000000" w:rsidRDefault="00000000" w:rsidRPr="00000000" w14:paraId="0000011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5">
    <w:p w:rsidR="00000000" w:rsidDel="00000000" w:rsidP="00000000" w:rsidRDefault="00000000" w:rsidRPr="00000000" w14:paraId="0000011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6">
    <w:p w:rsidR="00000000" w:rsidDel="00000000" w:rsidP="00000000" w:rsidRDefault="00000000" w:rsidRPr="00000000" w14:paraId="0000011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7">
    <w:p w:rsidR="00000000" w:rsidDel="00000000" w:rsidP="00000000" w:rsidRDefault="00000000" w:rsidRPr="00000000" w14:paraId="0000011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8">
    <w:p w:rsidR="00000000" w:rsidDel="00000000" w:rsidP="00000000" w:rsidRDefault="00000000" w:rsidRPr="00000000" w14:paraId="0000011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9">
    <w:p w:rsidR="00000000" w:rsidDel="00000000" w:rsidP="00000000" w:rsidRDefault="00000000" w:rsidRPr="00000000" w14:paraId="0000011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notebooks/" TargetMode="External"/><Relationship Id="rId12" Type="http://schemas.openxmlformats.org/officeDocument/2006/relationships/hyperlink" Target="https://www.egi.eu/services/online-stor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15" Type="http://schemas.openxmlformats.org/officeDocument/2006/relationships/hyperlink" Target="mailto:sla@mailman.egi.eu" TargetMode="External"/><Relationship Id="rId14" Type="http://schemas.openxmlformats.org/officeDocument/2006/relationships/hyperlink" Target="https://www.egi.eu/services/check-in/" TargetMode="External"/><Relationship Id="rId17" Type="http://schemas.openxmlformats.org/officeDocument/2006/relationships/footer" Target="footer1.xml"/><Relationship Id="rId16" Type="http://schemas.openxmlformats.org/officeDocument/2006/relationships/hyperlink" Target="mailto:operations@egi.eu"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