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e</w:t>
            </w:r>
            <w:r w:rsidDel="00000000" w:rsidR="00000000" w:rsidRPr="00000000">
              <w:rPr>
                <w:color w:val="000000"/>
                <w:sz w:val="20"/>
                <w:szCs w:val="20"/>
                <w:highlight w:val="yellow"/>
                <w:rtl w:val="0"/>
              </w:rPr>
              <w:t xml:space="preserv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w:t>
            </w:r>
            <w:r w:rsidDel="00000000" w:rsidR="00000000" w:rsidRPr="00000000">
              <w:rPr>
                <w:sz w:val="20"/>
                <w:szCs w:val="20"/>
                <w:highlight w:val="yellow"/>
                <w:rtl w:val="0"/>
              </w:rPr>
              <w:t xml:space="preserve">RAFT</w:t>
            </w:r>
            <w:r w:rsidDel="00000000" w:rsidR="00000000" w:rsidRPr="00000000">
              <w:rPr>
                <w:color w:val="000000"/>
                <w:sz w:val="20"/>
                <w:szCs w:val="20"/>
                <w:highlight w:val="yellow"/>
                <w:rtl w:val="0"/>
              </w:rPr>
              <w:t xml:space="preserve">/F</w:t>
            </w:r>
            <w:r w:rsidDel="00000000" w:rsidR="00000000" w:rsidRPr="00000000">
              <w:rPr>
                <w:sz w:val="20"/>
                <w:szCs w:val="20"/>
                <w:highlight w:val="yellow"/>
                <w:rtl w:val="0"/>
              </w:rPr>
              <w:t xml:space="preserve">INAL</w:t>
            </w:r>
            <w:r w:rsidDel="00000000" w:rsidR="00000000" w:rsidRPr="00000000">
              <w:rPr>
                <w:color w:val="000000"/>
                <w:sz w:val="20"/>
                <w:szCs w:val="20"/>
                <w:highlight w:val="yellow"/>
                <w:rtl w:val="0"/>
              </w:rPr>
              <w:t xml:space="preserv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D</w:t>
            </w:r>
            <w:r w:rsidDel="00000000" w:rsidR="00000000" w:rsidRPr="00000000">
              <w:rPr>
                <w:color w:val="000000"/>
                <w:sz w:val="20"/>
                <w:szCs w:val="20"/>
                <w:highlight w:val="yellow"/>
                <w:rtl w:val="0"/>
              </w:rPr>
              <w:t xml:space="preserve">ate of final agreement]</w:t>
            </w:r>
          </w:p>
        </w:tc>
      </w:tr>
      <w:tr>
        <w:trPr>
          <w:trHeight w:val="520" w:hRule="atLeast"/>
        </w:trPr>
        <w:tc>
          <w:tcPr>
            <w:tcBorders>
              <w:bottom w:color="000000" w:space="0" w:sz="8"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00" w:space="0" w:sz="8"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L</w:t>
            </w:r>
            <w:r w:rsidDel="00000000" w:rsidR="00000000" w:rsidRPr="00000000">
              <w:rPr>
                <w:color w:val="000000"/>
                <w:sz w:val="20"/>
                <w:szCs w:val="20"/>
                <w:highlight w:val="yellow"/>
                <w:rtl w:val="0"/>
              </w:rPr>
              <w:t xml:space="preserve">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r>
        <w:trPr>
          <w:trHeight w:val="520" w:hRule="atLeast"/>
        </w:trPr>
        <w:tc>
          <w:tcPr>
            <w:tcBorders>
              <w:top w:color="000000" w:space="0" w:sz="8" w:val="single"/>
              <w:bottom w:color="000080" w:space="0" w:sz="20" w:val="single"/>
            </w:tcBorders>
            <w:shd w:fill="auto"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sz w:val="20"/>
                <w:szCs w:val="20"/>
                <w:rtl w:val="0"/>
              </w:rPr>
              <w:t xml:space="preserve">Template Version</w:t>
            </w:r>
            <w:r w:rsidDel="00000000" w:rsidR="00000000" w:rsidRPr="00000000">
              <w:rPr>
                <w:rtl w:val="0"/>
              </w:rPr>
            </w:r>
          </w:p>
        </w:tc>
        <w:tc>
          <w:tcPr>
            <w:tcBorders>
              <w:top w:color="000000" w:space="0" w:sz="8" w:val="single"/>
              <w:bottom w:color="000080" w:space="0" w:sz="20" w:val="single"/>
            </w:tcBorders>
            <w:shd w:fill="auto" w:val="clear"/>
            <w:vAlign w:val="center"/>
          </w:tcPr>
          <w:p w:rsidR="00000000" w:rsidDel="00000000" w:rsidP="00000000" w:rsidRDefault="00000000" w:rsidRPr="00000000" w14:paraId="00000017">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v2.12</w:t>
            </w:r>
            <w:r w:rsidDel="00000000" w:rsidR="00000000" w:rsidRPr="00000000">
              <w:rPr>
                <w:rtl w:val="0"/>
              </w:rPr>
            </w:r>
          </w:p>
        </w:tc>
      </w:tr>
    </w:tbl>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rPr/>
      </w:pPr>
      <w:r w:rsidDel="00000000" w:rsidR="00000000" w:rsidRPr="00000000">
        <w:rPr>
          <w:rtl w:val="0"/>
        </w:rPr>
        <w:t xml:space="preserve">The Agreement was discussed and approved by the EGI Foundation 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numPr>
          <w:ilvl w:val="0"/>
          <w:numId w:val="15"/>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Pledged</w:t>
      </w:r>
      <w:r w:rsidDel="00000000" w:rsidR="00000000" w:rsidRPr="00000000">
        <w:rPr>
          <w:color w:val="000000"/>
          <w:rtl w:val="0"/>
        </w:rPr>
        <w:t xml:space="preserve">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Opportunistic</w:t>
      </w:r>
      <w:r w:rsidDel="00000000" w:rsidR="00000000" w:rsidRPr="00000000">
        <w:rPr>
          <w:color w:val="000000"/>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Time allocation</w:t>
      </w:r>
      <w:r w:rsidDel="00000000" w:rsidR="00000000" w:rsidRPr="00000000">
        <w:rPr>
          <w:color w:val="000000"/>
          <w:rtl w:val="0"/>
        </w:rPr>
        <w:t xml:space="preserve"> - Resources are available in fair share-like mode for a fixed time period.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Possible payment mode offer:</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Sponsored</w:t>
      </w:r>
      <w:r w:rsidDel="00000000" w:rsidR="00000000" w:rsidRPr="00000000">
        <w:rPr>
          <w:color w:val="000000"/>
          <w:rtl w:val="0"/>
        </w:rPr>
        <w:t xml:space="preserve">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Pay</w:t>
      </w:r>
      <w:r w:rsidDel="00000000" w:rsidR="00000000" w:rsidRPr="00000000">
        <w:rPr>
          <w:b w:val="1"/>
          <w:rtl w:val="0"/>
        </w:rPr>
        <w:t xml:space="preserve">-for</w:t>
      </w:r>
      <w:r w:rsidDel="00000000" w:rsidR="00000000" w:rsidRPr="00000000">
        <w:rPr>
          <w:b w:val="1"/>
          <w:color w:val="000000"/>
          <w:rtl w:val="0"/>
        </w:rPr>
        <w:t xml:space="preserve">-use</w:t>
      </w:r>
      <w:r w:rsidDel="00000000" w:rsidR="00000000" w:rsidRPr="00000000">
        <w:rPr>
          <w:color w:val="000000"/>
          <w:rtl w:val="0"/>
        </w:rPr>
        <w:t xml:space="preserve"> - Model where the </w:t>
      </w:r>
      <w:r w:rsidDel="00000000" w:rsidR="00000000" w:rsidRPr="00000000">
        <w:rPr>
          <w:rtl w:val="0"/>
        </w:rPr>
        <w:t xml:space="preserve">C</w:t>
      </w:r>
      <w:r w:rsidDel="00000000" w:rsidR="00000000" w:rsidRPr="00000000">
        <w:rPr>
          <w:rtl w:val="0"/>
        </w:rPr>
        <w:t xml:space="preserve">ustomer</w:t>
      </w:r>
      <w:r w:rsidDel="00000000" w:rsidR="00000000" w:rsidRPr="00000000">
        <w:rPr>
          <w:color w:val="000000"/>
          <w:rtl w:val="0"/>
        </w:rPr>
        <w:t xml:space="preserve"> directly pays for the service used.</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Services are defined by the following properties:</w:t>
      </w:r>
    </w:p>
    <w:p w:rsidR="00000000" w:rsidDel="00000000" w:rsidP="00000000" w:rsidRDefault="00000000" w:rsidRPr="00000000" w14:paraId="00000050">
      <w:pPr>
        <w:rPr>
          <w:b w:val="1"/>
        </w:rPr>
      </w:pPr>
      <w:r w:rsidDel="00000000" w:rsidR="00000000" w:rsidRPr="00000000">
        <w:rPr>
          <w:b w:val="1"/>
          <w:rtl w:val="0"/>
        </w:rPr>
        <w:t xml:space="preserve">Cloud Compute (category: Compute)</w:t>
      </w:r>
    </w:p>
    <w:p w:rsidR="00000000" w:rsidDel="00000000" w:rsidP="00000000" w:rsidRDefault="00000000" w:rsidRPr="00000000" w14:paraId="00000051">
      <w:pPr>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3">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 </w:t>
      </w:r>
    </w:p>
    <w:p w:rsidR="00000000" w:rsidDel="00000000" w:rsidP="00000000" w:rsidRDefault="00000000" w:rsidRPr="00000000" w14:paraId="00000055">
      <w:pPr>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6">
      <w:pPr>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7">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8">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9">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A">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w:t>
      </w:r>
      <w:r w:rsidDel="00000000" w:rsidR="00000000" w:rsidRPr="00000000">
        <w:rPr>
          <w:highlight w:val="yellow"/>
          <w:rtl w:val="0"/>
        </w:rPr>
        <w:t xml:space="preserve">for</w:t>
      </w:r>
      <w:r w:rsidDel="00000000" w:rsidR="00000000" w:rsidRPr="00000000">
        <w:rPr>
          <w:color w:val="000000"/>
          <w:highlight w:val="yellow"/>
          <w:rtl w:val="0"/>
        </w:rPr>
        <w:t xml:space="preserve">-use</w:t>
      </w:r>
      <w:r w:rsidDel="00000000" w:rsidR="00000000" w:rsidRPr="00000000">
        <w:rPr>
          <w:rtl w:val="0"/>
        </w:rPr>
      </w:r>
    </w:p>
    <w:p w:rsidR="00000000" w:rsidDel="00000000" w:rsidP="00000000" w:rsidRDefault="00000000" w:rsidRPr="00000000" w14:paraId="0000005B">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5">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7">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8">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69">
      <w:pPr>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A">
      <w:pPr>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B">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D">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E">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Sponsored/Pay-for-use</w:t>
      </w:r>
      <w:r w:rsidDel="00000000" w:rsidR="00000000" w:rsidRPr="00000000">
        <w:rPr>
          <w:rtl w:val="0"/>
        </w:rPr>
      </w:r>
    </w:p>
    <w:p w:rsidR="00000000" w:rsidDel="00000000" w:rsidP="00000000" w:rsidRDefault="00000000" w:rsidRPr="00000000" w14:paraId="0000006F">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0">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9">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B">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D">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E">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7F">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0">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1">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2">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3">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5">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order offer:</w:t>
      </w:r>
      <w:r w:rsidDel="00000000" w:rsidR="00000000" w:rsidRPr="00000000">
        <w:rPr>
          <w:color w:val="000000"/>
          <w:rtl w:val="0"/>
        </w:rPr>
        <w:t xml:space="preserve"> Sponsored/Pay-for-use</w:t>
      </w:r>
      <w:r w:rsidDel="00000000" w:rsidR="00000000" w:rsidRPr="00000000">
        <w:rPr>
          <w:rtl w:val="0"/>
        </w:rPr>
      </w:r>
    </w:p>
    <w:p w:rsidR="00000000" w:rsidDel="00000000" w:rsidP="00000000" w:rsidRDefault="00000000" w:rsidRPr="00000000" w14:paraId="0000008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Online Storage (category: Storage)</w:t>
      </w:r>
    </w:p>
    <w:p w:rsidR="00000000" w:rsidDel="00000000" w:rsidP="00000000" w:rsidRDefault="00000000" w:rsidRPr="00000000" w14:paraId="0000008D">
      <w:pPr>
        <w:rPr>
          <w:b w:val="1"/>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E">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8F">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0">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1">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2">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3">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2"/>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5">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6">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t xml:space="preserve">P</w:t>
      </w:r>
      <w:r w:rsidDel="00000000" w:rsidR="00000000" w:rsidRPr="00000000">
        <w:rPr>
          <w:color w:val="000000"/>
          <w:rtl w:val="0"/>
        </w:rPr>
        <w:t xml:space="preserve">ay-for-use</w:t>
      </w:r>
      <w:r w:rsidDel="00000000" w:rsidR="00000000" w:rsidRPr="00000000">
        <w:rPr>
          <w:rtl w:val="0"/>
        </w:rPr>
      </w:r>
    </w:p>
    <w:p w:rsidR="00000000" w:rsidDel="00000000" w:rsidP="00000000" w:rsidRDefault="00000000" w:rsidRPr="00000000" w14:paraId="0000009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2bn6wsx" w:id="2"/>
      <w:bookmarkEnd w:id="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9C">
      <w:pPr>
        <w:rPr>
          <w:highlight w:val="yellow"/>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Notebooks (category: Applications)</w:t>
      </w:r>
    </w:p>
    <w:p w:rsidR="00000000" w:rsidDel="00000000" w:rsidP="00000000" w:rsidRDefault="00000000" w:rsidRPr="00000000" w14:paraId="0000009E">
      <w:pPr>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highlight w:val="yellow"/>
          <w:rtl w:val="0"/>
        </w:rPr>
        <w:t xml:space="preserve">Pay-for-use</w:t>
      </w:r>
      <w:r w:rsidDel="00000000" w:rsidR="00000000" w:rsidRPr="00000000">
        <w:rPr>
          <w:rtl w:val="0"/>
        </w:rPr>
      </w:r>
    </w:p>
    <w:p w:rsidR="00000000" w:rsidDel="00000000" w:rsidP="00000000" w:rsidRDefault="00000000" w:rsidRPr="00000000" w14:paraId="000000A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ab/>
      </w:r>
    </w:p>
    <w:p w:rsidR="00000000" w:rsidDel="00000000" w:rsidP="00000000" w:rsidRDefault="00000000" w:rsidRPr="00000000" w14:paraId="000000AC">
      <w:pPr>
        <w:rPr>
          <w:b w:val="1"/>
        </w:rPr>
      </w:pPr>
      <w:r w:rsidDel="00000000" w:rsidR="00000000" w:rsidRPr="00000000">
        <w:rPr>
          <w:b w:val="1"/>
          <w:rtl w:val="0"/>
        </w:rPr>
        <w:t xml:space="preserve">Check-In (category: Security)</w:t>
      </w:r>
    </w:p>
    <w:p w:rsidR="00000000" w:rsidDel="00000000" w:rsidP="00000000" w:rsidRDefault="00000000" w:rsidRPr="00000000" w14:paraId="000000AD">
      <w:pPr>
        <w:rPr/>
      </w:pPr>
      <w:r w:rsidDel="00000000" w:rsidR="00000000" w:rsidRPr="00000000">
        <w:rPr>
          <w:rtl w:val="0"/>
        </w:rPr>
        <w:t xml:space="preserve">Description: </w:t>
      </w:r>
      <w:hyperlink r:id="rId14">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AE">
      <w:pPr>
        <w:numPr>
          <w:ilvl w:val="0"/>
          <w:numId w:val="1"/>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F">
      <w:pPr>
        <w:numPr>
          <w:ilvl w:val="1"/>
          <w:numId w:val="1"/>
        </w:numPr>
        <w:spacing w:after="0" w:lineRule="auto"/>
        <w:ind w:left="1080" w:hanging="360"/>
        <w:rPr>
          <w:highlight w:val="yellow"/>
          <w:u w:val="none"/>
        </w:rPr>
      </w:pPr>
      <w:r w:rsidDel="00000000" w:rsidR="00000000" w:rsidRPr="00000000">
        <w:rPr>
          <w:highlight w:val="yellow"/>
          <w:rtl w:val="0"/>
        </w:rPr>
        <w:t xml:space="preserve">Check-In (as community AAI):</w:t>
      </w:r>
    </w:p>
    <w:p w:rsidR="00000000" w:rsidDel="00000000" w:rsidP="00000000" w:rsidRDefault="00000000" w:rsidRPr="00000000" w14:paraId="000000B0">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4"/>
      </w:r>
      <w:r w:rsidDel="00000000" w:rsidR="00000000" w:rsidRPr="00000000">
        <w:rPr>
          <w:rtl w:val="0"/>
        </w:rPr>
      </w:r>
    </w:p>
    <w:p w:rsidR="00000000" w:rsidDel="00000000" w:rsidP="00000000" w:rsidRDefault="00000000" w:rsidRPr="00000000" w14:paraId="000000B2">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B5">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6">
      <w:pPr>
        <w:numPr>
          <w:ilvl w:val="1"/>
          <w:numId w:val="1"/>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7">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8">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9"/>
      </w:r>
      <w:r w:rsidDel="00000000" w:rsidR="00000000" w:rsidRPr="00000000">
        <w:rPr>
          <w:rtl w:val="0"/>
        </w:rPr>
      </w:r>
    </w:p>
    <w:p w:rsidR="00000000" w:rsidDel="00000000" w:rsidP="00000000" w:rsidRDefault="00000000" w:rsidRPr="00000000" w14:paraId="000000B9">
      <w:pPr>
        <w:numPr>
          <w:ilvl w:val="1"/>
          <w:numId w:val="1"/>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A">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B">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C">
      <w:pPr>
        <w:numPr>
          <w:ilvl w:val="2"/>
          <w:numId w:val="1"/>
        </w:numPr>
        <w:spacing w:after="0" w:lineRule="auto"/>
        <w:ind w:left="1800" w:hanging="360"/>
        <w:rPr>
          <w:highlight w:val="yellow"/>
          <w:u w:val="none"/>
        </w:rPr>
      </w:pPr>
      <w:r w:rsidDel="00000000" w:rsidR="00000000" w:rsidRPr="00000000">
        <w:rPr>
          <w:highlight w:val="yellow"/>
          <w:rtl w:val="0"/>
        </w:rPr>
        <w:t xml:space="preserve">EGI services to be connected:</w:t>
      </w:r>
    </w:p>
    <w:p w:rsidR="00000000" w:rsidDel="00000000" w:rsidP="00000000" w:rsidRDefault="00000000" w:rsidRPr="00000000" w14:paraId="000000BD">
      <w:pPr>
        <w:spacing w:after="0" w:lineRule="auto"/>
        <w:rPr>
          <w:highlight w:val="yellow"/>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1"/>
        </w:rPr>
      </w:pPr>
      <w:r w:rsidDel="00000000" w:rsidR="00000000" w:rsidRPr="00000000">
        <w:rPr>
          <w:b w:val="1"/>
          <w:rtl w:val="0"/>
        </w:rPr>
        <w:t xml:space="preserve">DataHub (category: Storage and Data)</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highlight w:val="yellow"/>
        </w:rPr>
      </w:pPr>
      <w:r w:rsidDel="00000000" w:rsidR="00000000" w:rsidRPr="00000000">
        <w:rPr>
          <w:rtl w:val="0"/>
        </w:rPr>
        <w:t xml:space="preserve">Description: </w:t>
      </w:r>
      <w:hyperlink r:id="rId15">
        <w:r w:rsidDel="00000000" w:rsidR="00000000" w:rsidRPr="00000000">
          <w:rPr>
            <w:color w:val="1155cc"/>
            <w:u w:val="single"/>
            <w:rtl w:val="0"/>
          </w:rPr>
          <w:t xml:space="preserve">https://www.egi.eu/services/datahub</w:t>
        </w:r>
      </w:hyperlink>
      <w:r w:rsidDel="00000000" w:rsidR="00000000" w:rsidRPr="00000000">
        <w:rPr>
          <w:color w:val="1155cc"/>
          <w:u w:val="single"/>
          <w:rtl w:val="0"/>
        </w:rPr>
        <w:t xml:space="preserve">/</w:t>
      </w: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0">
      <w:pPr>
        <w:numPr>
          <w:ilvl w:val="0"/>
          <w:numId w:val="16"/>
        </w:numPr>
        <w:spacing w:after="0" w:lineRule="auto"/>
        <w:ind w:left="720" w:hanging="360"/>
        <w:rPr>
          <w:highlight w:val="yellow"/>
          <w:u w:val="none"/>
        </w:rPr>
      </w:pPr>
      <w:r w:rsidDel="00000000" w:rsidR="00000000" w:rsidRPr="00000000">
        <w:rPr>
          <w:highlight w:val="yellow"/>
          <w:rtl w:val="0"/>
        </w:rPr>
        <w:t xml:space="preserve">Component Provider:</w:t>
      </w:r>
    </w:p>
    <w:p w:rsidR="00000000" w:rsidDel="00000000" w:rsidP="00000000" w:rsidRDefault="00000000" w:rsidRPr="00000000" w14:paraId="000000C1">
      <w:pPr>
        <w:numPr>
          <w:ilvl w:val="1"/>
          <w:numId w:val="16"/>
        </w:numPr>
        <w:spacing w:after="0" w:lineRule="auto"/>
        <w:ind w:left="1440" w:hanging="360"/>
        <w:rPr>
          <w:highlight w:val="yellow"/>
          <w:u w:val="none"/>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p>
    <w:p w:rsidR="00000000" w:rsidDel="00000000" w:rsidP="00000000" w:rsidRDefault="00000000" w:rsidRPr="00000000" w14:paraId="000000C2">
      <w:pPr>
        <w:numPr>
          <w:ilvl w:val="2"/>
          <w:numId w:val="16"/>
        </w:numPr>
        <w:spacing w:after="0" w:lineRule="auto"/>
        <w:ind w:left="2160" w:hanging="360"/>
        <w:rPr>
          <w:highlight w:val="yellow"/>
          <w:u w:val="none"/>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p>
    <w:p w:rsidR="00000000" w:rsidDel="00000000" w:rsidP="00000000" w:rsidRDefault="00000000" w:rsidRPr="00000000" w14:paraId="000000C3">
      <w:pPr>
        <w:numPr>
          <w:ilvl w:val="2"/>
          <w:numId w:val="16"/>
        </w:numPr>
        <w:spacing w:after="0" w:lineRule="auto"/>
        <w:ind w:left="2160" w:hanging="360"/>
        <w:rPr>
          <w:highlight w:val="yellow"/>
          <w:u w:val="none"/>
        </w:rPr>
      </w:pPr>
      <w:r w:rsidDel="00000000" w:rsidR="00000000" w:rsidRPr="00000000">
        <w:rPr>
          <w:highlight w:val="yellow"/>
          <w:rtl w:val="0"/>
        </w:rPr>
        <w:t xml:space="preserve">Name of the space: </w:t>
      </w:r>
    </w:p>
    <w:p w:rsidR="00000000" w:rsidDel="00000000" w:rsidP="00000000" w:rsidRDefault="00000000" w:rsidRPr="00000000" w14:paraId="000000C4">
      <w:pPr>
        <w:numPr>
          <w:ilvl w:val="1"/>
          <w:numId w:val="16"/>
        </w:numPr>
        <w:spacing w:after="0" w:lineRule="auto"/>
        <w:ind w:left="1440" w:hanging="360"/>
        <w:rPr>
          <w:highlight w:val="yellow"/>
          <w:u w:val="none"/>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p>
    <w:p w:rsidR="00000000" w:rsidDel="00000000" w:rsidP="00000000" w:rsidRDefault="00000000" w:rsidRPr="00000000" w14:paraId="000000C5">
      <w:pPr>
        <w:numPr>
          <w:ilvl w:val="2"/>
          <w:numId w:val="16"/>
        </w:numPr>
        <w:spacing w:after="0" w:lineRule="auto"/>
        <w:ind w:left="2160" w:hanging="360"/>
        <w:rPr>
          <w:highlight w:val="yellow"/>
          <w:u w:val="none"/>
        </w:rPr>
      </w:pPr>
      <w:r w:rsidDel="00000000" w:rsidR="00000000" w:rsidRPr="00000000">
        <w:rPr>
          <w:highlight w:val="yellow"/>
          <w:rtl w:val="0"/>
        </w:rPr>
        <w:t xml:space="preserve">Hosted by:</w:t>
      </w:r>
    </w:p>
    <w:p w:rsidR="00000000" w:rsidDel="00000000" w:rsidP="00000000" w:rsidRDefault="00000000" w:rsidRPr="00000000" w14:paraId="000000C6">
      <w:pPr>
        <w:numPr>
          <w:ilvl w:val="3"/>
          <w:numId w:val="16"/>
        </w:numPr>
        <w:spacing w:after="0" w:lineRule="auto"/>
        <w:ind w:left="2880" w:hanging="360"/>
        <w:rPr>
          <w:highlight w:val="yellow"/>
          <w:u w:val="none"/>
        </w:rPr>
      </w:pPr>
      <w:r w:rsidDel="00000000" w:rsidR="00000000" w:rsidRPr="00000000">
        <w:rPr>
          <w:highlight w:val="yellow"/>
          <w:rtl w:val="0"/>
        </w:rPr>
        <w:t xml:space="preserve">List of resource providers:</w:t>
      </w:r>
    </w:p>
    <w:p w:rsidR="00000000" w:rsidDel="00000000" w:rsidP="00000000" w:rsidRDefault="00000000" w:rsidRPr="00000000" w14:paraId="000000C7">
      <w:pPr>
        <w:numPr>
          <w:ilvl w:val="3"/>
          <w:numId w:val="16"/>
        </w:numPr>
        <w:spacing w:after="0" w:lineRule="auto"/>
        <w:ind w:left="2880" w:hanging="360"/>
        <w:rPr>
          <w:highlight w:val="yellow"/>
          <w:u w:val="none"/>
        </w:rPr>
      </w:pPr>
      <w:r w:rsidDel="00000000" w:rsidR="00000000" w:rsidRPr="00000000">
        <w:rPr>
          <w:highlight w:val="yellow"/>
          <w:rtl w:val="0"/>
        </w:rPr>
        <w:t xml:space="preserve">Storage capacity:</w:t>
      </w:r>
    </w:p>
    <w:p w:rsidR="00000000" w:rsidDel="00000000" w:rsidP="00000000" w:rsidRDefault="00000000" w:rsidRPr="00000000" w14:paraId="000000C8">
      <w:pPr>
        <w:numPr>
          <w:ilvl w:val="3"/>
          <w:numId w:val="16"/>
        </w:numPr>
        <w:spacing w:after="0" w:lineRule="auto"/>
        <w:ind w:left="2880" w:hanging="360"/>
        <w:rPr>
          <w:highlight w:val="yellow"/>
          <w:u w:val="none"/>
        </w:rPr>
      </w:pPr>
      <w:r w:rsidDel="00000000" w:rsidR="00000000" w:rsidRPr="00000000">
        <w:rPr>
          <w:highlight w:val="yellow"/>
          <w:rtl w:val="0"/>
        </w:rPr>
        <w:t xml:space="preserve">Enable Notebooks support?: Yes/No</w:t>
      </w:r>
    </w:p>
    <w:p w:rsidR="00000000" w:rsidDel="00000000" w:rsidP="00000000" w:rsidRDefault="00000000" w:rsidRPr="00000000" w14:paraId="000000C9">
      <w:pPr>
        <w:numPr>
          <w:ilvl w:val="3"/>
          <w:numId w:val="16"/>
        </w:numPr>
        <w:spacing w:after="0" w:lineRule="auto"/>
        <w:ind w:left="2880" w:hanging="360"/>
        <w:rPr>
          <w:highlight w:val="yellow"/>
          <w:u w:val="none"/>
        </w:rPr>
      </w:pPr>
      <w:r w:rsidDel="00000000" w:rsidR="00000000" w:rsidRPr="00000000">
        <w:rPr>
          <w:highlight w:val="yellow"/>
          <w:rtl w:val="0"/>
        </w:rPr>
        <w:t xml:space="preserve">Number of VM:</w:t>
      </w:r>
    </w:p>
    <w:p w:rsidR="00000000" w:rsidDel="00000000" w:rsidP="00000000" w:rsidRDefault="00000000" w:rsidRPr="00000000" w14:paraId="000000CA">
      <w:pPr>
        <w:numPr>
          <w:ilvl w:val="3"/>
          <w:numId w:val="16"/>
        </w:numPr>
        <w:spacing w:after="0" w:lineRule="auto"/>
        <w:ind w:left="2880" w:hanging="360"/>
        <w:rPr>
          <w:highlight w:val="yellow"/>
          <w:u w:val="none"/>
        </w:rPr>
      </w:pPr>
      <w:r w:rsidDel="00000000" w:rsidR="00000000" w:rsidRPr="00000000">
        <w:rPr>
          <w:highlight w:val="yellow"/>
          <w:rtl w:val="0"/>
        </w:rPr>
        <w:t xml:space="preserve">Number of virtual CPU cores:</w:t>
      </w:r>
    </w:p>
    <w:p w:rsidR="00000000" w:rsidDel="00000000" w:rsidP="00000000" w:rsidRDefault="00000000" w:rsidRPr="00000000" w14:paraId="000000CB">
      <w:pPr>
        <w:numPr>
          <w:ilvl w:val="3"/>
          <w:numId w:val="16"/>
        </w:numPr>
        <w:spacing w:after="0" w:lineRule="auto"/>
        <w:ind w:left="2880" w:hanging="360"/>
        <w:rPr>
          <w:highlight w:val="yellow"/>
          <w:u w:val="none"/>
        </w:rPr>
      </w:pPr>
      <w:r w:rsidDel="00000000" w:rsidR="00000000" w:rsidRPr="00000000">
        <w:rPr>
          <w:highlight w:val="yellow"/>
          <w:rtl w:val="0"/>
        </w:rPr>
        <w:t xml:space="preserve">Memory per core (GB): </w:t>
      </w:r>
    </w:p>
    <w:p w:rsidR="00000000" w:rsidDel="00000000" w:rsidP="00000000" w:rsidRDefault="00000000" w:rsidRPr="00000000" w14:paraId="000000CC">
      <w:pPr>
        <w:numPr>
          <w:ilvl w:val="3"/>
          <w:numId w:val="16"/>
        </w:numPr>
        <w:spacing w:after="0" w:lineRule="auto"/>
        <w:ind w:left="2880" w:hanging="360"/>
        <w:rPr>
          <w:highlight w:val="yellow"/>
          <w:u w:val="none"/>
        </w:rPr>
      </w:pPr>
      <w:r w:rsidDel="00000000" w:rsidR="00000000" w:rsidRPr="00000000">
        <w:rPr>
          <w:highlight w:val="yellow"/>
          <w:rtl w:val="0"/>
        </w:rPr>
        <w:t xml:space="preserve">Local disk (GB): </w:t>
      </w:r>
    </w:p>
    <w:p w:rsidR="00000000" w:rsidDel="00000000" w:rsidP="00000000" w:rsidRDefault="00000000" w:rsidRPr="00000000" w14:paraId="000000CD">
      <w:pPr>
        <w:numPr>
          <w:ilvl w:val="3"/>
          <w:numId w:val="16"/>
        </w:numPr>
        <w:spacing w:after="0" w:lineRule="auto"/>
        <w:ind w:left="2880" w:hanging="360"/>
        <w:rPr>
          <w:highlight w:val="yellow"/>
          <w:u w:val="none"/>
        </w:rPr>
      </w:pPr>
      <w:r w:rsidDel="00000000" w:rsidR="00000000" w:rsidRPr="00000000">
        <w:rPr>
          <w:highlight w:val="yellow"/>
          <w:rtl w:val="0"/>
        </w:rPr>
        <w:t xml:space="preserve">Requested dataset:</w:t>
      </w:r>
    </w:p>
    <w:p w:rsidR="00000000" w:rsidDel="00000000" w:rsidP="00000000" w:rsidRDefault="00000000" w:rsidRPr="00000000" w14:paraId="000000CE">
      <w:pPr>
        <w:numPr>
          <w:ilvl w:val="2"/>
          <w:numId w:val="16"/>
        </w:numPr>
        <w:spacing w:after="0" w:lineRule="auto"/>
        <w:ind w:left="2160" w:hanging="360"/>
        <w:rPr>
          <w:highlight w:val="yellow"/>
          <w:u w:val="none"/>
        </w:rPr>
      </w:pPr>
      <w:r w:rsidDel="00000000" w:rsidR="00000000" w:rsidRPr="00000000">
        <w:rPr>
          <w:highlight w:val="yellow"/>
          <w:rtl w:val="0"/>
        </w:rPr>
        <w:t xml:space="preserve">Hosted on own infrastructure:</w:t>
      </w:r>
    </w:p>
    <w:p w:rsidR="00000000" w:rsidDel="00000000" w:rsidP="00000000" w:rsidRDefault="00000000" w:rsidRPr="00000000" w14:paraId="000000CF">
      <w:pPr>
        <w:numPr>
          <w:ilvl w:val="3"/>
          <w:numId w:val="16"/>
        </w:numPr>
        <w:spacing w:after="0" w:lineRule="auto"/>
        <w:ind w:left="2880" w:hanging="360"/>
        <w:rPr>
          <w:highlight w:val="yellow"/>
          <w:u w:val="none"/>
        </w:rPr>
      </w:pPr>
      <w:r w:rsidDel="00000000" w:rsidR="00000000" w:rsidRPr="00000000">
        <w:rPr>
          <w:highlight w:val="yellow"/>
          <w:rtl w:val="0"/>
        </w:rPr>
        <w:t xml:space="preserve">Connecting to EGI DataHub/central onezone:</w:t>
      </w:r>
    </w:p>
    <w:p w:rsidR="00000000" w:rsidDel="00000000" w:rsidP="00000000" w:rsidRDefault="00000000" w:rsidRPr="00000000" w14:paraId="000000D0">
      <w:pPr>
        <w:numPr>
          <w:ilvl w:val="3"/>
          <w:numId w:val="16"/>
        </w:numPr>
        <w:spacing w:after="0" w:lineRule="auto"/>
        <w:ind w:left="2880" w:hanging="360"/>
        <w:rPr>
          <w:highlight w:val="yellow"/>
          <w:u w:val="none"/>
        </w:rPr>
      </w:pPr>
      <w:r w:rsidDel="00000000" w:rsidR="00000000" w:rsidRPr="00000000">
        <w:rPr>
          <w:highlight w:val="yellow"/>
          <w:rtl w:val="0"/>
        </w:rPr>
        <w:t xml:space="preserve">Oneproviders IP:</w:t>
      </w:r>
    </w:p>
    <w:p w:rsidR="00000000" w:rsidDel="00000000" w:rsidP="00000000" w:rsidRDefault="00000000" w:rsidRPr="00000000" w14:paraId="000000D1">
      <w:pPr>
        <w:numPr>
          <w:ilvl w:val="3"/>
          <w:numId w:val="16"/>
        </w:numPr>
        <w:spacing w:after="0" w:lineRule="auto"/>
        <w:ind w:left="2880" w:hanging="360"/>
        <w:rPr>
          <w:highlight w:val="yellow"/>
          <w:u w:val="none"/>
        </w:rPr>
      </w:pPr>
      <w:r w:rsidDel="00000000" w:rsidR="00000000" w:rsidRPr="00000000">
        <w:rPr>
          <w:highlight w:val="yellow"/>
          <w:rtl w:val="0"/>
        </w:rPr>
        <w:t xml:space="preserve">Domain names:</w:t>
      </w:r>
    </w:p>
    <w:p w:rsidR="00000000" w:rsidDel="00000000" w:rsidP="00000000" w:rsidRDefault="00000000" w:rsidRPr="00000000" w14:paraId="000000D2">
      <w:pPr>
        <w:numPr>
          <w:ilvl w:val="3"/>
          <w:numId w:val="16"/>
        </w:numPr>
        <w:spacing w:after="0" w:lineRule="auto"/>
        <w:ind w:left="2880" w:hanging="360"/>
        <w:rPr>
          <w:highlight w:val="yellow"/>
          <w:u w:val="none"/>
        </w:rPr>
      </w:pPr>
      <w:r w:rsidDel="00000000" w:rsidR="00000000" w:rsidRPr="00000000">
        <w:rPr>
          <w:highlight w:val="yellow"/>
          <w:rtl w:val="0"/>
        </w:rPr>
        <w:t xml:space="preserve">Name of the supported dataset/space (optional):</w:t>
      </w:r>
    </w:p>
    <w:p w:rsidR="00000000" w:rsidDel="00000000" w:rsidP="00000000" w:rsidRDefault="00000000" w:rsidRPr="00000000" w14:paraId="000000D3">
      <w:pPr>
        <w:numPr>
          <w:ilvl w:val="1"/>
          <w:numId w:val="16"/>
        </w:numPr>
        <w:spacing w:after="0" w:lineRule="auto"/>
        <w:ind w:left="1440" w:hanging="360"/>
        <w:rPr>
          <w:highlight w:val="yellow"/>
          <w:u w:val="none"/>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3"/>
      </w:r>
      <w:r w:rsidDel="00000000" w:rsidR="00000000" w:rsidRPr="00000000">
        <w:rPr>
          <w:highlight w:val="yellow"/>
          <w:rtl w:val="0"/>
        </w:rPr>
        <w:t xml:space="preserve">:</w:t>
      </w:r>
    </w:p>
    <w:p w:rsidR="00000000" w:rsidDel="00000000" w:rsidP="00000000" w:rsidRDefault="00000000" w:rsidRPr="00000000" w14:paraId="000000D4">
      <w:pPr>
        <w:numPr>
          <w:ilvl w:val="2"/>
          <w:numId w:val="16"/>
        </w:numPr>
        <w:spacing w:after="0" w:lineRule="auto"/>
        <w:ind w:left="2160" w:hanging="360"/>
        <w:rPr>
          <w:highlight w:val="yellow"/>
          <w:u w:val="none"/>
        </w:rPr>
      </w:pPr>
      <w:r w:rsidDel="00000000" w:rsidR="00000000" w:rsidRPr="00000000">
        <w:rPr>
          <w:highlight w:val="yellow"/>
          <w:rtl w:val="0"/>
        </w:rPr>
        <w:t xml:space="preserve">Name of the space:</w:t>
      </w:r>
    </w:p>
    <w:p w:rsidR="00000000" w:rsidDel="00000000" w:rsidP="00000000" w:rsidRDefault="00000000" w:rsidRPr="00000000" w14:paraId="000000D5">
      <w:pPr>
        <w:numPr>
          <w:ilvl w:val="2"/>
          <w:numId w:val="16"/>
        </w:numPr>
        <w:spacing w:after="0" w:lineRule="auto"/>
        <w:ind w:left="2160" w:hanging="360"/>
        <w:rPr>
          <w:highlight w:val="yellow"/>
          <w:u w:val="none"/>
        </w:rPr>
      </w:pPr>
      <w:r w:rsidDel="00000000" w:rsidR="00000000" w:rsidRPr="00000000">
        <w:rPr>
          <w:highlight w:val="yellow"/>
          <w:rtl w:val="0"/>
        </w:rPr>
        <w:t xml:space="preserve">Amount of storage space:</w:t>
      </w:r>
    </w:p>
    <w:p w:rsidR="00000000" w:rsidDel="00000000" w:rsidP="00000000" w:rsidRDefault="00000000" w:rsidRPr="00000000" w14:paraId="000000D6">
      <w:pPr>
        <w:numPr>
          <w:ilvl w:val="2"/>
          <w:numId w:val="16"/>
        </w:numPr>
        <w:spacing w:after="0" w:lineRule="auto"/>
        <w:ind w:left="2160" w:hanging="360"/>
        <w:rPr>
          <w:highlight w:val="yellow"/>
          <w:u w:val="none"/>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4"/>
      </w:r>
      <w:r w:rsidDel="00000000" w:rsidR="00000000" w:rsidRPr="00000000">
        <w:rPr>
          <w:highlight w:val="yellow"/>
          <w:rtl w:val="0"/>
        </w:rPr>
        <w:t xml:space="preserve">: </w:t>
      </w:r>
    </w:p>
    <w:p w:rsidR="00000000" w:rsidDel="00000000" w:rsidP="00000000" w:rsidRDefault="00000000" w:rsidRPr="00000000" w14:paraId="000000D7">
      <w:pPr>
        <w:numPr>
          <w:ilvl w:val="1"/>
          <w:numId w:val="16"/>
        </w:numPr>
        <w:spacing w:after="0" w:lineRule="auto"/>
        <w:ind w:left="1440" w:hanging="360"/>
        <w:rPr>
          <w:highlight w:val="yellow"/>
          <w:u w:val="none"/>
        </w:rPr>
      </w:pPr>
      <w:r w:rsidDel="00000000" w:rsidR="00000000" w:rsidRPr="00000000">
        <w:rPr>
          <w:highlight w:val="yellow"/>
          <w:rtl w:val="0"/>
        </w:rPr>
        <w:t xml:space="preserve">Duration:</w:t>
      </w:r>
    </w:p>
    <w:p w:rsidR="00000000" w:rsidDel="00000000" w:rsidP="00000000" w:rsidRDefault="00000000" w:rsidRPr="00000000" w14:paraId="000000D8">
      <w:pPr>
        <w:pStyle w:val="Heading1"/>
        <w:numPr>
          <w:ilvl w:val="0"/>
          <w:numId w:val="15"/>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D9">
      <w:pPr>
        <w:rPr/>
      </w:pPr>
      <w:r w:rsidDel="00000000" w:rsidR="00000000" w:rsidRPr="00000000">
        <w:rPr>
          <w:rtl w:val="0"/>
        </w:rPr>
        <w:t xml:space="preserve">As defined in Resource Center OLA</w:t>
      </w:r>
      <w:r w:rsidDel="00000000" w:rsidR="00000000" w:rsidRPr="00000000">
        <w:rPr>
          <w:vertAlign w:val="superscript"/>
        </w:rPr>
        <w:footnoteReference w:customMarkFollows="0" w:id="1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A">
      <w:pPr>
        <w:pStyle w:val="Heading1"/>
        <w:numPr>
          <w:ilvl w:val="0"/>
          <w:numId w:val="15"/>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DB">
      <w:pPr>
        <w:rPr/>
      </w:pPr>
      <w:bookmarkStart w:colFirst="0" w:colLast="0" w:name="_2et92p0" w:id="5"/>
      <w:bookmarkEnd w:id="5"/>
      <w:r w:rsidDel="00000000" w:rsidR="00000000" w:rsidRPr="00000000">
        <w:rPr>
          <w:rtl w:val="0"/>
        </w:rPr>
        <w:t xml:space="preserve">As defined in Resource Center OLA</w:t>
      </w:r>
      <w:r w:rsidDel="00000000" w:rsidR="00000000" w:rsidRPr="00000000">
        <w:rPr>
          <w:vertAlign w:val="superscript"/>
        </w:rPr>
        <w:footnoteReference w:customMarkFollows="0" w:id="16"/>
      </w:r>
      <w:r w:rsidDel="00000000" w:rsidR="00000000" w:rsidRPr="00000000">
        <w:rPr>
          <w:rtl w:val="0"/>
        </w:rPr>
        <w:t xml:space="preserve">.</w:t>
      </w:r>
    </w:p>
    <w:p w:rsidR="00000000" w:rsidDel="00000000" w:rsidP="00000000" w:rsidRDefault="00000000" w:rsidRPr="00000000" w14:paraId="000000DC">
      <w:pPr>
        <w:pStyle w:val="Heading2"/>
        <w:numPr>
          <w:ilvl w:val="1"/>
          <w:numId w:val="15"/>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DD">
      <w:pPr>
        <w:rPr/>
      </w:pPr>
      <w:r w:rsidDel="00000000" w:rsidR="00000000" w:rsidRPr="00000000">
        <w:rPr>
          <w:rtl w:val="0"/>
        </w:rPr>
        <w:t xml:space="preserve">As defined in Resource Center OLA.</w:t>
      </w:r>
    </w:p>
    <w:p w:rsidR="00000000" w:rsidDel="00000000" w:rsidP="00000000" w:rsidRDefault="00000000" w:rsidRPr="00000000" w14:paraId="000000DE">
      <w:pPr>
        <w:pStyle w:val="Heading2"/>
        <w:numPr>
          <w:ilvl w:val="1"/>
          <w:numId w:val="15"/>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DF">
      <w:pPr>
        <w:rPr/>
      </w:pPr>
      <w:bookmarkStart w:colFirst="0" w:colLast="0" w:name="_1t3h5sf" w:id="8"/>
      <w:bookmarkEnd w:id="8"/>
      <w:r w:rsidDel="00000000" w:rsidR="00000000" w:rsidRPr="00000000">
        <w:rPr>
          <w:rtl w:val="0"/>
        </w:rPr>
        <w:t xml:space="preserve">As defined in Resource Center OLA</w:t>
      </w:r>
      <w:r w:rsidDel="00000000" w:rsidR="00000000" w:rsidRPr="00000000">
        <w:rPr>
          <w:vertAlign w:val="superscript"/>
        </w:rPr>
        <w:footnoteReference w:customMarkFollows="0" w:id="17"/>
      </w:r>
      <w:r w:rsidDel="00000000" w:rsidR="00000000" w:rsidRPr="00000000">
        <w:rPr>
          <w:rtl w:val="0"/>
        </w:rPr>
        <w:t xml:space="preserve">.</w:t>
      </w:r>
    </w:p>
    <w:p w:rsidR="00000000" w:rsidDel="00000000" w:rsidP="00000000" w:rsidRDefault="00000000" w:rsidRPr="00000000" w14:paraId="000000E0">
      <w:pPr>
        <w:pStyle w:val="Heading1"/>
        <w:numPr>
          <w:ilvl w:val="0"/>
          <w:numId w:val="15"/>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E1">
      <w:pPr>
        <w:rPr>
          <w:b w:val="1"/>
        </w:rPr>
      </w:pPr>
      <w:r w:rsidDel="00000000" w:rsidR="00000000" w:rsidRPr="00000000">
        <w:rPr>
          <w:b w:val="1"/>
          <w:rtl w:val="0"/>
        </w:rPr>
        <w:t xml:space="preserve">Monthly Availability </w:t>
      </w:r>
    </w:p>
    <w:p w:rsidR="00000000" w:rsidDel="00000000" w:rsidP="00000000" w:rsidRDefault="00000000" w:rsidRPr="00000000" w14:paraId="000000E2">
      <w:pPr>
        <w:numPr>
          <w:ilvl w:val="0"/>
          <w:numId w:val="7"/>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E3">
      <w:pPr>
        <w:numPr>
          <w:ilvl w:val="0"/>
          <w:numId w:val="7"/>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Monthly Reliability</w:t>
      </w:r>
    </w:p>
    <w:p w:rsidR="00000000" w:rsidDel="00000000" w:rsidP="00000000" w:rsidRDefault="00000000" w:rsidRPr="00000000" w14:paraId="000000E5">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E6">
      <w:pPr>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Quality of Support level</w:t>
      </w:r>
    </w:p>
    <w:p w:rsidR="00000000" w:rsidDel="00000000" w:rsidP="00000000" w:rsidRDefault="00000000" w:rsidRPr="00000000" w14:paraId="000000E8">
      <w:pPr>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E9">
      <w:pPr>
        <w:pStyle w:val="Heading1"/>
        <w:numPr>
          <w:ilvl w:val="0"/>
          <w:numId w:val="15"/>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EA">
      <w:pPr>
        <w:rPr/>
      </w:pPr>
      <w:r w:rsidDel="00000000" w:rsidR="00000000" w:rsidRPr="00000000">
        <w:rPr>
          <w:rtl w:val="0"/>
        </w:rPr>
        <w:t xml:space="preserve">As defined in Resource Center OLA and:</w:t>
      </w:r>
    </w:p>
    <w:p w:rsidR="00000000" w:rsidDel="00000000" w:rsidP="00000000" w:rsidRDefault="00000000" w:rsidRPr="00000000" w14:paraId="000000EB">
      <w:pPr>
        <w:numPr>
          <w:ilvl w:val="0"/>
          <w:numId w:val="1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EC">
      <w:pPr>
        <w:numPr>
          <w:ilvl w:val="0"/>
          <w:numId w:val="1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ED">
      <w:pPr>
        <w:pStyle w:val="Heading1"/>
        <w:numPr>
          <w:ilvl w:val="0"/>
          <w:numId w:val="15"/>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EE">
      <w:pPr>
        <w:pStyle w:val="Heading2"/>
        <w:numPr>
          <w:ilvl w:val="1"/>
          <w:numId w:val="15"/>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EF">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F0">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F1">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F2">
            <w:pPr>
              <w:rPr/>
            </w:pPr>
            <w:r w:rsidDel="00000000" w:rsidR="00000000" w:rsidRPr="00000000">
              <w:rPr>
                <w:rtl w:val="0"/>
              </w:rPr>
              <w:t xml:space="preserve">Giuseppe La Rocca</w:t>
            </w:r>
          </w:p>
          <w:p w:rsidR="00000000" w:rsidDel="00000000" w:rsidP="00000000" w:rsidRDefault="00000000" w:rsidRPr="00000000" w14:paraId="000000F3">
            <w:pPr>
              <w:rPr>
                <w:highlight w:val="yellow"/>
              </w:rPr>
            </w:pPr>
            <w:hyperlink r:id="rId16">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4">
            <w:pPr>
              <w:rPr>
                <w:highlight w:val="yellow"/>
              </w:rPr>
            </w:pPr>
            <w:r w:rsidDel="00000000" w:rsidR="00000000" w:rsidRPr="00000000">
              <w:rPr>
                <w:rtl w:val="0"/>
              </w:rPr>
              <w:t xml:space="preserve">SLA Coordinator at EGI Foundation  </w:t>
            </w:r>
            <w:r w:rsidDel="00000000" w:rsidR="00000000" w:rsidRPr="00000000">
              <w:rPr>
                <w:rtl w:val="0"/>
              </w:rPr>
            </w:r>
          </w:p>
        </w:tc>
      </w:tr>
      <w:tr>
        <w:tc>
          <w:tcPr>
            <w:shd w:fill="b8cce4" w:val="clear"/>
          </w:tcPr>
          <w:p w:rsidR="00000000" w:rsidDel="00000000" w:rsidP="00000000" w:rsidRDefault="00000000" w:rsidRPr="00000000" w14:paraId="000000F5">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0F6">
            <w:pPr>
              <w:jc w:val="left"/>
              <w:rPr/>
            </w:pPr>
            <w:r w:rsidDel="00000000" w:rsidR="00000000" w:rsidRPr="00000000">
              <w:rPr>
                <w:rtl w:val="0"/>
              </w:rPr>
              <w:t xml:space="preserve">Matthew Viljoen </w:t>
              <w:br w:type="textWrapping"/>
            </w:r>
            <w:hyperlink r:id="rId17">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0F7">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F8">
            <w:pPr>
              <w:rPr>
                <w:highlight w:val="yellow"/>
              </w:rPr>
            </w:pPr>
            <w:r w:rsidDel="00000000" w:rsidR="00000000" w:rsidRPr="00000000">
              <w:rPr>
                <w:highlight w:val="yellow"/>
                <w:rtl w:val="0"/>
              </w:rPr>
              <w:t xml:space="preserve">[name]</w:t>
            </w:r>
          </w:p>
          <w:p w:rsidR="00000000" w:rsidDel="00000000" w:rsidP="00000000" w:rsidRDefault="00000000" w:rsidRPr="00000000" w14:paraId="000000F9">
            <w:pPr>
              <w:rPr>
                <w:highlight w:val="yellow"/>
              </w:rPr>
            </w:pPr>
            <w:r w:rsidDel="00000000" w:rsidR="00000000" w:rsidRPr="00000000">
              <w:rPr>
                <w:highlight w:val="yellow"/>
                <w:rtl w:val="0"/>
              </w:rPr>
              <w:t xml:space="preserve">[email] </w:t>
            </w:r>
          </w:p>
          <w:p w:rsidR="00000000" w:rsidDel="00000000" w:rsidP="00000000" w:rsidRDefault="00000000" w:rsidRPr="00000000" w14:paraId="000000FA">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FB">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FC">
            <w:pPr>
              <w:rPr>
                <w:highlight w:val="yellow"/>
              </w:rPr>
            </w:pPr>
            <w:r w:rsidDel="00000000" w:rsidR="00000000" w:rsidRPr="00000000">
              <w:rPr>
                <w:highlight w:val="yellow"/>
                <w:rtl w:val="0"/>
              </w:rPr>
              <w:t xml:space="preserve">[name]</w:t>
            </w:r>
          </w:p>
          <w:p w:rsidR="00000000" w:rsidDel="00000000" w:rsidP="00000000" w:rsidRDefault="00000000" w:rsidRPr="00000000" w14:paraId="000000FD">
            <w:pPr>
              <w:rPr>
                <w:highlight w:val="yellow"/>
              </w:rPr>
            </w:pPr>
            <w:r w:rsidDel="00000000" w:rsidR="00000000" w:rsidRPr="00000000">
              <w:rPr>
                <w:highlight w:val="yellow"/>
                <w:rtl w:val="0"/>
              </w:rPr>
              <w:t xml:space="preserve">[email] </w:t>
            </w:r>
          </w:p>
          <w:p w:rsidR="00000000" w:rsidDel="00000000" w:rsidP="00000000" w:rsidRDefault="00000000" w:rsidRPr="00000000" w14:paraId="000000FE">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0FF">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0">
            <w:pPr>
              <w:rPr/>
            </w:pPr>
            <w:r w:rsidDel="00000000" w:rsidR="00000000" w:rsidRPr="00000000">
              <w:rPr>
                <w:rtl w:val="0"/>
              </w:rPr>
              <w:t xml:space="preserve">See Section 3</w:t>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2"/>
        <w:numPr>
          <w:ilvl w:val="1"/>
          <w:numId w:val="15"/>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103">
      <w:pPr>
        <w:rPr/>
      </w:pPr>
      <w:bookmarkStart w:colFirst="0" w:colLast="0" w:name="_lnxbz9" w:id="14"/>
      <w:bookmarkEnd w:id="14"/>
      <w:r w:rsidDel="00000000" w:rsidR="00000000" w:rsidRPr="00000000">
        <w:rPr>
          <w:rtl w:val="0"/>
        </w:rPr>
        <w:t xml:space="preserve">As defined in Resource Center OLA.</w:t>
      </w:r>
    </w:p>
    <w:p w:rsidR="00000000" w:rsidDel="00000000" w:rsidP="00000000" w:rsidRDefault="00000000" w:rsidRPr="00000000" w14:paraId="00000104">
      <w:pPr>
        <w:pStyle w:val="Heading2"/>
        <w:numPr>
          <w:ilvl w:val="1"/>
          <w:numId w:val="15"/>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105">
      <w:pPr>
        <w:rPr/>
      </w:pPr>
      <w:bookmarkStart w:colFirst="0" w:colLast="0" w:name="_1ksv4uv" w:id="16"/>
      <w:bookmarkEnd w:id="16"/>
      <w:r w:rsidDel="00000000" w:rsidR="00000000" w:rsidRPr="00000000">
        <w:rPr>
          <w:rtl w:val="0"/>
        </w:rPr>
        <w:t xml:space="preserve">The Component Provider commits to inform the EGI Foundation, if the Agreement is violated or violation is anticipated. </w:t>
      </w:r>
    </w:p>
    <w:p w:rsidR="00000000" w:rsidDel="00000000" w:rsidP="00000000" w:rsidRDefault="00000000" w:rsidRPr="00000000" w14:paraId="00000106">
      <w:pPr>
        <w:rPr/>
      </w:pPr>
      <w:bookmarkStart w:colFirst="0" w:colLast="0" w:name="_olcq7dqy3jqs" w:id="17"/>
      <w:bookmarkEnd w:id="17"/>
      <w:r w:rsidDel="00000000" w:rsidR="00000000" w:rsidRPr="00000000">
        <w:rPr>
          <w:rtl w:val="0"/>
        </w:rPr>
        <w:t xml:space="preserve">The following rules are agreed for communication at the event of the violation:</w:t>
      </w:r>
    </w:p>
    <w:p w:rsidR="00000000" w:rsidDel="00000000" w:rsidP="00000000" w:rsidRDefault="00000000" w:rsidRPr="00000000" w14:paraId="00000107">
      <w:pPr>
        <w:numPr>
          <w:ilvl w:val="0"/>
          <w:numId w:val="10"/>
        </w:numPr>
        <w:spacing w:after="0" w:afterAutospacing="0"/>
        <w:ind w:left="720" w:hanging="360"/>
        <w:rPr>
          <w:u w:val="none"/>
        </w:rPr>
      </w:pPr>
      <w:bookmarkStart w:colFirst="0" w:colLast="0" w:name="_7yvdosy9mg7t" w:id="18"/>
      <w:bookmarkEnd w:id="18"/>
      <w:r w:rsidDel="00000000" w:rsidR="00000000" w:rsidRPr="00000000">
        <w:rPr>
          <w:rtl w:val="0"/>
        </w:rPr>
        <w:t xml:space="preserve">In case of violations of the Services targets for </w:t>
      </w:r>
      <w:r w:rsidDel="00000000" w:rsidR="00000000" w:rsidRPr="00000000">
        <w:rPr>
          <w:b w:val="1"/>
          <w:rtl w:val="0"/>
        </w:rPr>
        <w:t xml:space="preserve">four months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w:t>
      </w:r>
    </w:p>
    <w:p w:rsidR="00000000" w:rsidDel="00000000" w:rsidP="00000000" w:rsidRDefault="00000000" w:rsidRPr="00000000" w14:paraId="00000108">
      <w:pPr>
        <w:numPr>
          <w:ilvl w:val="0"/>
          <w:numId w:val="10"/>
        </w:numPr>
        <w:spacing w:after="0" w:lineRule="auto"/>
        <w:ind w:left="720" w:hanging="360"/>
        <w:rPr>
          <w:rFonts w:ascii="Noto Sans Symbols" w:cs="Noto Sans Symbols" w:eastAsia="Noto Sans Symbols" w:hAnsi="Noto Sans Symbols"/>
        </w:rPr>
      </w:pPr>
      <w:r w:rsidDel="00000000" w:rsidR="00000000" w:rsidRPr="00000000">
        <w:rPr>
          <w:rtl w:val="0"/>
        </w:rPr>
        <w:t xml:space="preserve">In case of service target violation, the Component Provider must provide justifications and a plan for service enhancement </w:t>
      </w:r>
      <w:r w:rsidDel="00000000" w:rsidR="00000000" w:rsidRPr="00000000">
        <w:rPr>
          <w:b w:val="1"/>
          <w:rtl w:val="0"/>
        </w:rPr>
        <w:t xml:space="preserve">within 10 working days </w:t>
      </w:r>
      <w:r w:rsidDel="00000000" w:rsidR="00000000" w:rsidRPr="00000000">
        <w:rPr>
          <w:rtl w:val="0"/>
        </w:rPr>
        <w:t xml:space="preserve">from the date of the notification to/from the EGI Foundation.</w:t>
      </w:r>
    </w:p>
    <w:p w:rsidR="00000000" w:rsidDel="00000000" w:rsidP="00000000" w:rsidRDefault="00000000" w:rsidRPr="00000000" w14:paraId="00000109">
      <w:pPr>
        <w:numPr>
          <w:ilvl w:val="1"/>
          <w:numId w:val="10"/>
        </w:numPr>
        <w:spacing w:after="0" w:lineRule="auto"/>
        <w:ind w:left="1440" w:hanging="360"/>
        <w:rPr>
          <w:rFonts w:ascii="Noto Sans Symbols" w:cs="Noto Sans Symbols" w:eastAsia="Noto Sans Symbols" w:hAnsi="Noto Sans Symbols"/>
        </w:rPr>
      </w:pPr>
      <w:r w:rsidDel="00000000" w:rsidR="00000000" w:rsidRPr="00000000">
        <w:rPr>
          <w:rtl w:val="0"/>
        </w:rPr>
        <w:t xml:space="preserve">In case of no or unsatisfactory justification and plan for improvement, EGI Foundation reserves the right to replace the Component Provider.</w:t>
      </w:r>
      <w:r w:rsidDel="00000000" w:rsidR="00000000" w:rsidRPr="00000000">
        <w:rPr>
          <w:rtl w:val="0"/>
        </w:rPr>
        <w:t xml:space="preserve"> </w:t>
      </w:r>
    </w:p>
    <w:p w:rsidR="00000000" w:rsidDel="00000000" w:rsidP="00000000" w:rsidRDefault="00000000" w:rsidRPr="00000000" w14:paraId="0000010A">
      <w:pPr>
        <w:numPr>
          <w:ilvl w:val="0"/>
          <w:numId w:val="10"/>
        </w:numPr>
        <w:ind w:left="720" w:hanging="360"/>
        <w:rPr>
          <w:u w:val="none"/>
        </w:rPr>
      </w:pPr>
      <w:bookmarkStart w:colFirst="0" w:colLast="0" w:name="_nfg9egqlf8dw" w:id="19"/>
      <w:bookmarkEnd w:id="19"/>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0B">
      <w:pPr>
        <w:pStyle w:val="Heading2"/>
        <w:numPr>
          <w:ilvl w:val="1"/>
          <w:numId w:val="15"/>
        </w:numPr>
        <w:ind w:left="576" w:hanging="576"/>
        <w:rPr/>
      </w:pPr>
      <w:bookmarkStart w:colFirst="0" w:colLast="0" w:name="_44sinio" w:id="20"/>
      <w:bookmarkEnd w:id="20"/>
      <w:r w:rsidDel="00000000" w:rsidR="00000000" w:rsidRPr="00000000">
        <w:rPr>
          <w:rtl w:val="0"/>
        </w:rPr>
        <w:t xml:space="preserve">Escalation and complaints</w:t>
      </w:r>
    </w:p>
    <w:p w:rsidR="00000000" w:rsidDel="00000000" w:rsidP="00000000" w:rsidRDefault="00000000" w:rsidRPr="00000000" w14:paraId="0000010C">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10D">
      <w:pPr>
        <w:numPr>
          <w:ilvl w:val="0"/>
          <w:numId w:val="11"/>
        </w:numPr>
        <w:spacing w:after="0" w:afterAutospacing="0"/>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 </w:t>
      </w:r>
      <w:r w:rsidDel="00000000" w:rsidR="00000000" w:rsidRPr="00000000">
        <w:rPr>
          <w:b w:val="1"/>
          <w:rtl w:val="0"/>
        </w:rPr>
        <w:t xml:space="preserve">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0E">
      <w:pPr>
        <w:numPr>
          <w:ilvl w:val="0"/>
          <w:numId w:val="11"/>
        </w:numPr>
        <w:ind w:left="720" w:hanging="360"/>
        <w:rPr>
          <w:u w:val="none"/>
        </w:rPr>
      </w:pPr>
      <w:r w:rsidDel="00000000" w:rsidR="00000000" w:rsidRPr="00000000">
        <w:rPr>
          <w:rtl w:val="0"/>
        </w:rPr>
        <w:t xml:space="preserve">Customer complaints or concerns about the Service(s) provided directed to the EGI Foundation contact will be shared with corresponding Component Providers. </w:t>
      </w:r>
    </w:p>
    <w:p w:rsidR="00000000" w:rsidDel="00000000" w:rsidP="00000000" w:rsidRDefault="00000000" w:rsidRPr="00000000" w14:paraId="0000010F">
      <w:pPr>
        <w:pStyle w:val="Heading1"/>
        <w:numPr>
          <w:ilvl w:val="0"/>
          <w:numId w:val="15"/>
        </w:numPr>
        <w:ind w:left="432" w:hanging="432"/>
        <w:rPr/>
      </w:pPr>
      <w:bookmarkStart w:colFirst="0" w:colLast="0" w:name="_2jxsxqh" w:id="21"/>
      <w:bookmarkEnd w:id="21"/>
      <w:r w:rsidDel="00000000" w:rsidR="00000000" w:rsidRPr="00000000">
        <w:rPr>
          <w:rtl w:val="0"/>
        </w:rPr>
        <w:t xml:space="preserve">Information security and data protection</w:t>
      </w:r>
    </w:p>
    <w:p w:rsidR="00000000" w:rsidDel="00000000" w:rsidP="00000000" w:rsidRDefault="00000000" w:rsidRPr="00000000" w14:paraId="00000110">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11">
      <w:pPr>
        <w:numPr>
          <w:ilvl w:val="0"/>
          <w:numId w:val="17"/>
        </w:numPr>
        <w:spacing w:after="0" w:lineRule="auto"/>
        <w:ind w:left="720" w:hanging="360"/>
        <w:rPr>
          <w:u w:val="none"/>
        </w:rPr>
      </w:pPr>
      <w:r w:rsidDel="00000000" w:rsidR="00000000" w:rsidRPr="00000000">
        <w:rPr>
          <w:rtl w:val="0"/>
        </w:rPr>
        <w:t xml:space="preserve">Assertion of absolute security in IT systems is impossible. The Component Provider is making every effort to maximize the security level of users’ data and minimise possible harm in the event of an incident.</w:t>
      </w:r>
    </w:p>
    <w:p w:rsidR="00000000" w:rsidDel="00000000" w:rsidP="00000000" w:rsidRDefault="00000000" w:rsidRPr="00000000" w14:paraId="00000112">
      <w:pPr>
        <w:numPr>
          <w:ilvl w:val="0"/>
          <w:numId w:val="17"/>
        </w:numPr>
        <w:spacing w:after="0" w:lineRule="auto"/>
        <w:ind w:left="720" w:hanging="360"/>
        <w:rPr>
          <w:u w:val="none"/>
        </w:rPr>
      </w:pPr>
      <w:r w:rsidDel="00000000" w:rsidR="00000000" w:rsidRPr="00000000">
        <w:rPr>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113">
      <w:pPr>
        <w:numPr>
          <w:ilvl w:val="0"/>
          <w:numId w:val="17"/>
        </w:numPr>
        <w:spacing w:after="0" w:afterAutospacing="0"/>
        <w:ind w:left="720" w:hanging="360"/>
        <w:rPr>
          <w:u w:val="none"/>
        </w:rPr>
      </w:pPr>
      <w:r w:rsidDel="00000000" w:rsidR="00000000" w:rsidRPr="00000000">
        <w:rPr>
          <w:rtl w:val="0"/>
        </w:rPr>
        <w:t xml:space="preserve">The parties of the Agreement will meet all requirements of any relevant policy or procedure to the Component Provider</w:t>
      </w:r>
      <w:r w:rsidDel="00000000" w:rsidR="00000000" w:rsidRPr="00000000">
        <w:rPr>
          <w:vertAlign w:val="superscript"/>
        </w:rPr>
        <w:footnoteReference w:customMarkFollows="0" w:id="18"/>
      </w:r>
      <w:r w:rsidDel="00000000" w:rsidR="00000000" w:rsidRPr="00000000">
        <w:rPr>
          <w:rtl w:val="0"/>
        </w:rPr>
        <w:t xml:space="preserve"> and will comply with the applicable national legislation.</w:t>
      </w:r>
    </w:p>
    <w:p w:rsidR="00000000" w:rsidDel="00000000" w:rsidP="00000000" w:rsidRDefault="00000000" w:rsidRPr="00000000" w14:paraId="00000114">
      <w:pPr>
        <w:numPr>
          <w:ilvl w:val="0"/>
          <w:numId w:val="17"/>
        </w:numPr>
        <w:ind w:left="720" w:hanging="360"/>
        <w:rPr>
          <w:u w:val="none"/>
        </w:rPr>
      </w:pPr>
      <w:r w:rsidDel="00000000" w:rsidR="00000000" w:rsidRPr="00000000">
        <w:rPr>
          <w:rtl w:val="0"/>
        </w:rPr>
        <w:t xml:space="preserve">The Component Provider holds the role of the data controller.</w:t>
      </w:r>
    </w:p>
    <w:p w:rsidR="00000000" w:rsidDel="00000000" w:rsidP="00000000" w:rsidRDefault="00000000" w:rsidRPr="00000000" w14:paraId="00000115">
      <w:pPr>
        <w:pStyle w:val="Heading1"/>
        <w:numPr>
          <w:ilvl w:val="0"/>
          <w:numId w:val="15"/>
        </w:numPr>
        <w:ind w:left="432" w:hanging="432"/>
        <w:rPr/>
      </w:pPr>
      <w:bookmarkStart w:colFirst="0" w:colLast="0" w:name="_3j2qqm3" w:id="22"/>
      <w:bookmarkEnd w:id="22"/>
      <w:r w:rsidDel="00000000" w:rsidR="00000000" w:rsidRPr="00000000">
        <w:rPr>
          <w:rtl w:val="0"/>
        </w:rPr>
        <w:t xml:space="preserve">Responsibilities </w:t>
      </w:r>
    </w:p>
    <w:p w:rsidR="00000000" w:rsidDel="00000000" w:rsidP="00000000" w:rsidRDefault="00000000" w:rsidRPr="00000000" w14:paraId="00000116">
      <w:pPr>
        <w:pStyle w:val="Heading2"/>
        <w:numPr>
          <w:ilvl w:val="1"/>
          <w:numId w:val="15"/>
        </w:numPr>
        <w:ind w:left="576" w:hanging="576"/>
        <w:rPr/>
      </w:pPr>
      <w:bookmarkStart w:colFirst="0" w:colLast="0" w:name="_1y810tw" w:id="23"/>
      <w:bookmarkEnd w:id="23"/>
      <w:r w:rsidDel="00000000" w:rsidR="00000000" w:rsidRPr="00000000">
        <w:rPr>
          <w:rtl w:val="0"/>
        </w:rPr>
        <w:t xml:space="preserve">Of the Component Provider</w:t>
      </w:r>
    </w:p>
    <w:p w:rsidR="00000000" w:rsidDel="00000000" w:rsidP="00000000" w:rsidRDefault="00000000" w:rsidRPr="00000000" w14:paraId="00000117">
      <w:pPr>
        <w:rPr/>
      </w:pPr>
      <w:bookmarkStart w:colFirst="0" w:colLast="0" w:name="_4i7ojhp" w:id="24"/>
      <w:bookmarkEnd w:id="24"/>
      <w:r w:rsidDel="00000000" w:rsidR="00000000" w:rsidRPr="00000000">
        <w:rPr>
          <w:rtl w:val="0"/>
        </w:rPr>
        <w:t xml:space="preserve">As defined in Resource Center OLA</w:t>
      </w:r>
      <w:r w:rsidDel="00000000" w:rsidR="00000000" w:rsidRPr="00000000">
        <w:rPr>
          <w:vertAlign w:val="superscript"/>
        </w:rPr>
        <w:footnoteReference w:customMarkFollows="0" w:id="19"/>
      </w:r>
      <w:r w:rsidDel="00000000" w:rsidR="00000000" w:rsidRPr="00000000">
        <w:rPr>
          <w:rtl w:val="0"/>
        </w:rPr>
        <w:t xml:space="preserve">.</w:t>
      </w:r>
    </w:p>
    <w:p w:rsidR="00000000" w:rsidDel="00000000" w:rsidP="00000000" w:rsidRDefault="00000000" w:rsidRPr="00000000" w14:paraId="00000118">
      <w:pPr>
        <w:rPr/>
      </w:pPr>
      <w:bookmarkStart w:colFirst="0" w:colLast="0" w:name="_jpsljeneo8vv" w:id="25"/>
      <w:bookmarkEnd w:id="25"/>
      <w:r w:rsidDel="00000000" w:rsidR="00000000" w:rsidRPr="00000000">
        <w:rPr>
          <w:rtl w:val="0"/>
        </w:rPr>
        <w:t xml:space="preserve">In addition: </w:t>
      </w:r>
    </w:p>
    <w:p w:rsidR="00000000" w:rsidDel="00000000" w:rsidP="00000000" w:rsidRDefault="00000000" w:rsidRPr="00000000" w14:paraId="00000119">
      <w:pPr>
        <w:numPr>
          <w:ilvl w:val="0"/>
          <w:numId w:val="12"/>
        </w:numPr>
        <w:ind w:left="720" w:hanging="360"/>
        <w:rPr/>
      </w:pPr>
      <w:bookmarkStart w:colFirst="0" w:colLast="0" w:name="_3whwml4" w:id="26"/>
      <w:bookmarkEnd w:id="26"/>
      <w:r w:rsidDel="00000000" w:rsidR="00000000" w:rsidRPr="00000000">
        <w:rPr>
          <w:rtl w:val="0"/>
        </w:rPr>
        <w:t xml:space="preserve">The Component Provider is responsible for monitoring of the usage and taking appropriate action to avoid overuse of resources defined in this agreement. EGI Foundation is not responsible for any costs incurred by over usage of what was otherwise defined in this agreement.</w:t>
      </w:r>
    </w:p>
    <w:p w:rsidR="00000000" w:rsidDel="00000000" w:rsidP="00000000" w:rsidRDefault="00000000" w:rsidRPr="00000000" w14:paraId="0000011A">
      <w:pPr>
        <w:numPr>
          <w:ilvl w:val="0"/>
          <w:numId w:val="12"/>
        </w:numPr>
        <w:spacing w:after="0" w:afterAutospacing="0"/>
        <w:ind w:left="720" w:hanging="360"/>
      </w:pPr>
      <w:bookmarkStart w:colFirst="0" w:colLast="0" w:name="_rqa74pventkm" w:id="27"/>
      <w:bookmarkEnd w:id="27"/>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11B">
      <w:pPr>
        <w:numPr>
          <w:ilvl w:val="1"/>
          <w:numId w:val="12"/>
        </w:numPr>
        <w:ind w:left="1440" w:hanging="360"/>
        <w:rPr/>
      </w:pPr>
      <w:bookmarkStart w:colFirst="0" w:colLast="0" w:name="_a54p6e94fyj5" w:id="28"/>
      <w:bookmarkEnd w:id="28"/>
      <w:r w:rsidDel="00000000" w:rsidR="00000000" w:rsidRPr="00000000">
        <w:rPr>
          <w:rtl w:val="0"/>
        </w:rPr>
        <w:t xml:space="preserve">Notification of resource termination shall be sent to the EGI Foundation 15 calendar days before.</w:t>
      </w:r>
      <w:r w:rsidDel="00000000" w:rsidR="00000000" w:rsidRPr="00000000">
        <w:rPr>
          <w:rtl w:val="0"/>
        </w:rPr>
      </w:r>
    </w:p>
    <w:p w:rsidR="00000000" w:rsidDel="00000000" w:rsidP="00000000" w:rsidRDefault="00000000" w:rsidRPr="00000000" w14:paraId="0000011C">
      <w:pPr>
        <w:pStyle w:val="Heading2"/>
        <w:numPr>
          <w:ilvl w:val="1"/>
          <w:numId w:val="15"/>
        </w:numPr>
        <w:ind w:left="576" w:hanging="576"/>
        <w:rPr/>
      </w:pPr>
      <w:bookmarkStart w:colFirst="0" w:colLast="0" w:name="_2xcytpi" w:id="29"/>
      <w:bookmarkEnd w:id="29"/>
      <w:r w:rsidDel="00000000" w:rsidR="00000000" w:rsidRPr="00000000">
        <w:rPr>
          <w:rtl w:val="0"/>
        </w:rPr>
        <w:t xml:space="preserve">Of EGI Foundation</w:t>
      </w:r>
    </w:p>
    <w:p w:rsidR="00000000" w:rsidDel="00000000" w:rsidP="00000000" w:rsidRDefault="00000000" w:rsidRPr="00000000" w14:paraId="0000011D">
      <w:pPr>
        <w:rPr/>
      </w:pPr>
      <w:r w:rsidDel="00000000" w:rsidR="00000000" w:rsidRPr="00000000">
        <w:rPr>
          <w:rtl w:val="0"/>
        </w:rPr>
        <w:t xml:space="preserve">As defined in Resource Center OLA</w:t>
      </w:r>
      <w:r w:rsidDel="00000000" w:rsidR="00000000" w:rsidRPr="00000000">
        <w:rPr>
          <w:vertAlign w:val="superscript"/>
        </w:rPr>
        <w:footnoteReference w:customMarkFollows="0" w:id="20"/>
      </w:r>
      <w:r w:rsidDel="00000000" w:rsidR="00000000" w:rsidRPr="00000000">
        <w:rPr>
          <w:rtl w:val="0"/>
        </w:rPr>
        <w:t xml:space="preserve"> and:</w:t>
      </w:r>
    </w:p>
    <w:p w:rsidR="00000000" w:rsidDel="00000000" w:rsidP="00000000" w:rsidRDefault="00000000" w:rsidRPr="00000000" w14:paraId="0000011E">
      <w:pPr>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with other Component Providers;</w:t>
      </w:r>
      <w:r w:rsidDel="00000000" w:rsidR="00000000" w:rsidRPr="00000000">
        <w:rPr>
          <w:rtl w:val="0"/>
        </w:rPr>
      </w:r>
    </w:p>
    <w:p w:rsidR="00000000" w:rsidDel="00000000" w:rsidP="00000000" w:rsidRDefault="00000000" w:rsidRPr="00000000" w14:paraId="0000011F">
      <w:pPr>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and conflict resolution with the </w:t>
      </w:r>
      <w:r w:rsidDel="00000000" w:rsidR="00000000" w:rsidRPr="00000000">
        <w:rPr>
          <w:rtl w:val="0"/>
        </w:rPr>
        <w:t xml:space="preserve">Customer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20">
      <w:pPr>
        <w:numPr>
          <w:ilvl w:val="0"/>
          <w:numId w:val="6"/>
        </w:numPr>
        <w:pBdr>
          <w:top w:space="0" w:sz="0" w:val="nil"/>
          <w:left w:space="0" w:sz="0" w:val="nil"/>
          <w:bottom w:space="0" w:sz="0" w:val="nil"/>
          <w:right w:space="0" w:sz="0" w:val="nil"/>
          <w:between w:space="0" w:sz="0" w:val="nil"/>
        </w:pBdr>
        <w:ind w:left="1080" w:hanging="720"/>
        <w:rPr>
          <w:color w:val="000000"/>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121">
      <w:pPr>
        <w:pStyle w:val="Heading2"/>
        <w:numPr>
          <w:ilvl w:val="1"/>
          <w:numId w:val="15"/>
        </w:numPr>
        <w:ind w:left="576" w:hanging="576"/>
        <w:rPr/>
      </w:pPr>
      <w:bookmarkStart w:colFirst="0" w:colLast="0" w:name="_1ci93xb" w:id="30"/>
      <w:bookmarkEnd w:id="30"/>
      <w:r w:rsidDel="00000000" w:rsidR="00000000" w:rsidRPr="00000000">
        <w:rPr>
          <w:rtl w:val="0"/>
        </w:rPr>
        <w:t xml:space="preserve">Of the Customer</w:t>
      </w:r>
    </w:p>
    <w:p w:rsidR="00000000" w:rsidDel="00000000" w:rsidP="00000000" w:rsidRDefault="00000000" w:rsidRPr="00000000" w14:paraId="00000122">
      <w:pPr>
        <w:numPr>
          <w:ilvl w:val="0"/>
          <w:numId w:val="3"/>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w:t>
      </w:r>
      <w:r w:rsidDel="00000000" w:rsidR="00000000" w:rsidRPr="00000000">
        <w:rPr>
          <w:rtl w:val="0"/>
        </w:rPr>
        <w:t xml:space="preserve">Customer</w:t>
      </w:r>
      <w:r w:rsidDel="00000000" w:rsidR="00000000" w:rsidRPr="00000000">
        <w:rPr>
          <w:color w:val="000000"/>
          <w:rtl w:val="0"/>
        </w:rPr>
        <w:t xml:space="preserve"> are listed in relevant VO SLA.</w:t>
      </w:r>
    </w:p>
    <w:p w:rsidR="00000000" w:rsidDel="00000000" w:rsidP="00000000" w:rsidRDefault="00000000" w:rsidRPr="00000000" w14:paraId="00000123">
      <w:pPr>
        <w:pStyle w:val="Heading1"/>
        <w:numPr>
          <w:ilvl w:val="0"/>
          <w:numId w:val="15"/>
        </w:numPr>
        <w:ind w:left="432" w:hanging="432"/>
        <w:rPr/>
      </w:pPr>
      <w:bookmarkStart w:colFirst="0" w:colLast="0" w:name="_3whwml4" w:id="26"/>
      <w:bookmarkEnd w:id="26"/>
      <w:r w:rsidDel="00000000" w:rsidR="00000000" w:rsidRPr="00000000">
        <w:rPr>
          <w:rtl w:val="0"/>
        </w:rPr>
        <w:t xml:space="preserve">Review, extensions and termination</w:t>
      </w:r>
    </w:p>
    <w:p w:rsidR="00000000" w:rsidDel="00000000" w:rsidP="00000000" w:rsidRDefault="00000000" w:rsidRPr="00000000" w14:paraId="00000124">
      <w:pPr>
        <w:rPr/>
      </w:pPr>
      <w:r w:rsidDel="00000000" w:rsidR="00000000" w:rsidRPr="00000000">
        <w:rPr>
          <w:rtl w:val="0"/>
        </w:rPr>
        <w:t xml:space="preserve">As defined in Resource Center OLA</w:t>
      </w:r>
      <w:r w:rsidDel="00000000" w:rsidR="00000000" w:rsidRPr="00000000">
        <w:rPr>
          <w:vertAlign w:val="superscript"/>
        </w:rPr>
        <w:footnoteReference w:customMarkFollows="0" w:id="21"/>
      </w:r>
      <w:r w:rsidDel="00000000" w:rsidR="00000000" w:rsidRPr="00000000">
        <w:rPr>
          <w:rtl w:val="0"/>
        </w:rPr>
        <w:t xml:space="preserve">.</w:t>
      </w:r>
    </w:p>
    <w:p w:rsidR="00000000" w:rsidDel="00000000" w:rsidP="00000000" w:rsidRDefault="00000000" w:rsidRPr="00000000" w14:paraId="00000125">
      <w:pPr>
        <w:rPr/>
      </w:pPr>
      <w:r w:rsidDel="00000000" w:rsidR="00000000" w:rsidRPr="00000000">
        <w:rPr>
          <w:rtl w:val="0"/>
        </w:rPr>
      </w:r>
    </w:p>
    <w:sectPr>
      <w:footerReference r:id="rId18" w:type="default"/>
      <w:footerReference r:id="rId19"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4.gif"/>
                <a:graphic>
                  <a:graphicData uri="http://schemas.openxmlformats.org/drawingml/2006/picture">
                    <pic:pic>
                      <pic:nvPicPr>
                        <pic:cNvPr id="0" name="image4.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3">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2">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18">
    <w:p w:rsidR="00000000" w:rsidDel="00000000" w:rsidP="00000000" w:rsidRDefault="00000000" w:rsidRPr="00000000" w14:paraId="0000013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 w:id="3">
    <w:p w:rsidR="00000000" w:rsidDel="00000000" w:rsidP="00000000" w:rsidRDefault="00000000" w:rsidRPr="00000000" w14:paraId="0000013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4">
    <w:p w:rsidR="00000000" w:rsidDel="00000000" w:rsidP="00000000" w:rsidRDefault="00000000" w:rsidRPr="00000000" w14:paraId="0000013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5">
    <w:p w:rsidR="00000000" w:rsidDel="00000000" w:rsidP="00000000" w:rsidRDefault="00000000" w:rsidRPr="00000000" w14:paraId="0000013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6">
    <w:p w:rsidR="00000000" w:rsidDel="00000000" w:rsidP="00000000" w:rsidRDefault="00000000" w:rsidRPr="00000000" w14:paraId="0000013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7">
    <w:p w:rsidR="00000000" w:rsidDel="00000000" w:rsidP="00000000" w:rsidRDefault="00000000" w:rsidRPr="00000000" w14:paraId="0000013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8">
    <w:p w:rsidR="00000000" w:rsidDel="00000000" w:rsidP="00000000" w:rsidRDefault="00000000" w:rsidRPr="00000000" w14:paraId="0000013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9">
    <w:p w:rsidR="00000000" w:rsidDel="00000000" w:rsidP="00000000" w:rsidRDefault="00000000" w:rsidRPr="00000000" w14:paraId="0000013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10">
    <w:p w:rsidR="00000000" w:rsidDel="00000000" w:rsidP="00000000" w:rsidRDefault="00000000" w:rsidRPr="00000000" w14:paraId="000001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1">
    <w:p w:rsidR="00000000" w:rsidDel="00000000" w:rsidP="00000000" w:rsidRDefault="00000000" w:rsidRPr="00000000" w14:paraId="000001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 w:id="12">
    <w:p w:rsidR="00000000" w:rsidDel="00000000" w:rsidP="00000000" w:rsidRDefault="00000000" w:rsidRPr="00000000" w14:paraId="000001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3">
    <w:p w:rsidR="00000000" w:rsidDel="00000000" w:rsidP="00000000" w:rsidRDefault="00000000" w:rsidRPr="00000000" w14:paraId="0000014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4">
    <w:p w:rsidR="00000000" w:rsidDel="00000000" w:rsidP="00000000" w:rsidRDefault="00000000" w:rsidRPr="00000000" w14:paraId="0000014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15">
    <w:p w:rsidR="00000000" w:rsidDel="00000000" w:rsidP="00000000" w:rsidRDefault="00000000" w:rsidRPr="00000000" w14:paraId="00000143">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color w:val="1155cc"/>
            <w:sz w:val="20"/>
            <w:szCs w:val="20"/>
            <w:u w:val="single"/>
            <w:rtl w:val="0"/>
          </w:rPr>
          <w:t xml:space="preserve">https://documents.egi.eu/document/31</w:t>
        </w:r>
      </w:hyperlink>
      <w:r w:rsidDel="00000000" w:rsidR="00000000" w:rsidRPr="00000000">
        <w:rPr>
          <w:sz w:val="18"/>
          <w:szCs w:val="18"/>
          <w:rtl w:val="0"/>
        </w:rPr>
        <w:t xml:space="preserve"> </w:t>
      </w:r>
      <w:r w:rsidDel="00000000" w:rsidR="00000000" w:rsidRPr="00000000">
        <w:rPr>
          <w:rtl w:val="0"/>
        </w:rPr>
      </w:r>
    </w:p>
  </w:footnote>
  <w:footnote w:id="17">
    <w:p w:rsidR="00000000" w:rsidDel="00000000" w:rsidP="00000000" w:rsidRDefault="00000000" w:rsidRPr="00000000" w14:paraId="00000144">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16">
    <w:p w:rsidR="00000000" w:rsidDel="00000000" w:rsidP="00000000" w:rsidRDefault="00000000" w:rsidRPr="00000000" w14:paraId="00000145">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19">
    <w:p w:rsidR="00000000" w:rsidDel="00000000" w:rsidP="00000000" w:rsidRDefault="00000000" w:rsidRPr="00000000" w14:paraId="000001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6">
        <w:r w:rsidDel="00000000" w:rsidR="00000000" w:rsidRPr="00000000">
          <w:rPr>
            <w:color w:val="1155cc"/>
            <w:sz w:val="20"/>
            <w:szCs w:val="20"/>
            <w:u w:val="single"/>
            <w:rtl w:val="0"/>
          </w:rPr>
          <w:t xml:space="preserve">https://documents.egi.eu/document/31</w:t>
        </w:r>
      </w:hyperlink>
      <w:r w:rsidDel="00000000" w:rsidR="00000000" w:rsidRPr="00000000">
        <w:rPr>
          <w:sz w:val="20"/>
          <w:szCs w:val="20"/>
          <w:rtl w:val="0"/>
        </w:rPr>
        <w:t xml:space="preserve"> </w:t>
      </w:r>
    </w:p>
  </w:footnote>
  <w:footnote w:id="21">
    <w:p w:rsidR="00000000" w:rsidDel="00000000" w:rsidP="00000000" w:rsidRDefault="00000000" w:rsidRPr="00000000" w14:paraId="00000147">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7">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0">
    <w:p w:rsidR="00000000" w:rsidDel="00000000" w:rsidP="00000000" w:rsidRDefault="00000000" w:rsidRPr="00000000" w14:paraId="00000148">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8">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gi.eu/services/high-throughput-compute/" TargetMode="External"/><Relationship Id="rId10" Type="http://schemas.openxmlformats.org/officeDocument/2006/relationships/hyperlink" Target="https://www.egi.eu/services/cloud-container/" TargetMode="External"/><Relationship Id="rId13" Type="http://schemas.openxmlformats.org/officeDocument/2006/relationships/hyperlink" Target="https://www.egi.eu/services/notebooks/" TargetMode="External"/><Relationship Id="rId12" Type="http://schemas.openxmlformats.org/officeDocument/2006/relationships/hyperlink" Target="https://www.egi.eu/services/online-stor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15" Type="http://schemas.openxmlformats.org/officeDocument/2006/relationships/hyperlink" Target="https://www.egi.eu/services/datahub/" TargetMode="External"/><Relationship Id="rId14" Type="http://schemas.openxmlformats.org/officeDocument/2006/relationships/hyperlink" Target="https://www.egi.eu/services/check-in/" TargetMode="External"/><Relationship Id="rId17" Type="http://schemas.openxmlformats.org/officeDocument/2006/relationships/hyperlink" Target="mailto:operations@egi.eu" TargetMode="External"/><Relationship Id="rId16" Type="http://schemas.openxmlformats.org/officeDocument/2006/relationships/hyperlink" Target="mailto:sla@mailman.egi.eu"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s://www.egi.eu/about/policy/policies_procedures.html" TargetMode="External"/><Relationship Id="rId3" Type="http://schemas.openxmlformats.org/officeDocument/2006/relationships/hyperlink" Target="https://documents.egi.eu/document/31" TargetMode="External"/><Relationship Id="rId4" Type="http://schemas.openxmlformats.org/officeDocument/2006/relationships/hyperlink" Target="https://documents.egi.eu/document/31" TargetMode="External"/><Relationship Id="rId5" Type="http://schemas.openxmlformats.org/officeDocument/2006/relationships/hyperlink" Target="https://documents.egi.eu/document/31" TargetMode="External"/><Relationship Id="rId6" Type="http://schemas.openxmlformats.org/officeDocument/2006/relationships/hyperlink" Target="https://documents.egi.eu/document/31" TargetMode="External"/><Relationship Id="rId7" Type="http://schemas.openxmlformats.org/officeDocument/2006/relationships/hyperlink" Target="https://documents.egi.eu/document/31" TargetMode="External"/><Relationship Id="rId8"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