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proofErr w:type="gramStart"/>
            <w:r w:rsidR="006D1955" w:rsidRPr="004707AB">
              <w:rPr>
                <w:rFonts w:asciiTheme="minorHAnsi" w:hAnsiTheme="minorHAnsi"/>
                <w:sz w:val="20"/>
                <w:highlight w:val="yellow"/>
              </w:rPr>
              <w:t>/</w:t>
            </w:r>
            <w:r w:rsidRPr="004707AB">
              <w:rPr>
                <w:rFonts w:asciiTheme="minorHAnsi" w:hAnsiTheme="minorHAnsi"/>
                <w:sz w:val="20"/>
                <w:highlight w:val="yellow"/>
              </w:rPr>
              <w:t>[</w:t>
            </w:r>
            <w:proofErr w:type="gramEnd"/>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2C603E5" w:rsidR="006D1955" w:rsidRPr="004707AB" w:rsidRDefault="005A784D" w:rsidP="0053196A">
            <w:pPr>
              <w:pStyle w:val="Header"/>
              <w:snapToGrid w:val="0"/>
              <w:spacing w:before="120" w:after="120"/>
              <w:rPr>
                <w:rFonts w:asciiTheme="minorHAnsi" w:hAnsiTheme="minorHAnsi" w:cs="Open Sans"/>
                <w:b/>
                <w:sz w:val="20"/>
              </w:rPr>
            </w:pPr>
            <w:r>
              <w:rPr>
                <w:rFonts w:asciiTheme="minorHAnsi" w:hAnsiTheme="minorHAnsi" w:cs="Open Sans"/>
                <w:b/>
                <w:sz w:val="20"/>
              </w:rPr>
              <w:t>Agreement link</w:t>
            </w:r>
          </w:p>
        </w:tc>
        <w:tc>
          <w:tcPr>
            <w:tcW w:w="3968" w:type="dxa"/>
            <w:tcBorders>
              <w:bottom w:val="single" w:sz="20" w:space="0" w:color="000080"/>
            </w:tcBorders>
            <w:shd w:val="clear" w:color="auto" w:fill="auto"/>
            <w:vAlign w:val="center"/>
          </w:tcPr>
          <w:p w14:paraId="09F38D40" w14:textId="3651B0C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 xml:space="preserve">[link to </w:t>
            </w:r>
            <w:r w:rsidR="005A784D">
              <w:rPr>
                <w:rFonts w:asciiTheme="minorHAnsi" w:hAnsiTheme="minorHAnsi" w:cs="Open Sans"/>
                <w:b w:val="0"/>
                <w:sz w:val="20"/>
                <w:highlight w:val="yellow"/>
              </w:rPr>
              <w:t xml:space="preserve">document </w:t>
            </w:r>
            <w:proofErr w:type="spellStart"/>
            <w:r w:rsidR="005A784D">
              <w:rPr>
                <w:rFonts w:asciiTheme="minorHAnsi" w:hAnsiTheme="minorHAnsi" w:cs="Open Sans"/>
                <w:b w:val="0"/>
                <w:sz w:val="20"/>
                <w:highlight w:val="yellow"/>
              </w:rPr>
              <w:t>db</w:t>
            </w:r>
            <w:proofErr w:type="spellEnd"/>
            <w:r w:rsidRPr="004707AB">
              <w:rPr>
                <w:rFonts w:asciiTheme="minorHAnsi" w:hAnsiTheme="minorHAnsi" w:cs="Open Sans"/>
                <w:b w:val="0"/>
                <w:sz w:val="20"/>
                <w:highlight w:val="yellow"/>
              </w:rPr>
              <w: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A0299E"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5B17A6E9" w:rsidR="00592516" w:rsidRPr="00023458" w:rsidRDefault="00592516" w:rsidP="005B239A">
            <w:pPr>
              <w:pStyle w:val="NoSpacing"/>
              <w:rPr>
                <w:lang w:val="it-IT"/>
              </w:rPr>
            </w:pP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F176EF">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F176EF">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A57E41A"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531009086"/>
      <w:r>
        <w:t>The Service</w:t>
      </w:r>
      <w:r w:rsidR="0053196A">
        <w:t>s</w:t>
      </w:r>
      <w:bookmarkEnd w:id="0"/>
    </w:p>
    <w:p w14:paraId="58203F67" w14:textId="094F8038" w:rsidR="00C34F7E" w:rsidRPr="00C34F7E" w:rsidRDefault="00C34F7E" w:rsidP="00C34F7E">
      <w:r>
        <w:t xml:space="preserve">All services provided by EGI are listed under: </w:t>
      </w:r>
      <w:hyperlink r:id="rId10"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377577B5" w:rsidR="00A0299E" w:rsidRDefault="00A0299E" w:rsidP="00A0299E">
      <w:pPr>
        <w:pStyle w:val="ListParagraph"/>
        <w:numPr>
          <w:ilvl w:val="0"/>
          <w:numId w:val="48"/>
        </w:numPr>
      </w:pPr>
      <w:r>
        <w:t>Pay-</w:t>
      </w:r>
      <w:r w:rsidR="005A784D">
        <w:t>for</w:t>
      </w:r>
      <w:r>
        <w:t>-use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1" w:history="1">
        <w:r w:rsidRPr="00E63EFE">
          <w:rPr>
            <w:rStyle w:val="Hyperlink"/>
          </w:rPr>
          <w:t>https://www.egi.eu/services/cloud-compute/</w:t>
        </w:r>
      </w:hyperlink>
      <w:r w:rsidRPr="00E63EFE">
        <w:t xml:space="preserve"> </w:t>
      </w:r>
    </w:p>
    <w:p w14:paraId="55D818F2" w14:textId="487324FF"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652F367" w14:textId="66EAFF4B"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0DEC027A" w14:textId="77777777" w:rsidR="003E50F6" w:rsidRPr="00C8621E" w:rsidRDefault="003E50F6" w:rsidP="003E50F6">
      <w:pPr>
        <w:pStyle w:val="ListParagraph"/>
        <w:numPr>
          <w:ilvl w:val="2"/>
          <w:numId w:val="18"/>
        </w:numPr>
        <w:rPr>
          <w:b/>
          <w:highlight w:val="yellow"/>
        </w:rPr>
      </w:pPr>
      <w:r>
        <w:rPr>
          <w:highlight w:val="yellow"/>
        </w:rPr>
        <w:lastRenderedPageBreak/>
        <w:t>Supported VOs:</w:t>
      </w:r>
    </w:p>
    <w:p w14:paraId="2FCA59CC" w14:textId="77777777" w:rsidR="00C82DDC" w:rsidRPr="00C82DDC" w:rsidRDefault="00C82DDC" w:rsidP="00C82DDC">
      <w:pPr>
        <w:pStyle w:val="ListParagraph"/>
        <w:numPr>
          <w:ilvl w:val="1"/>
          <w:numId w:val="18"/>
        </w:numPr>
        <w:rPr>
          <w:b/>
          <w:highlight w:val="yellow"/>
        </w:rPr>
      </w:pPr>
      <w:r w:rsidRPr="00C8621E">
        <w:rPr>
          <w:highlight w:val="yellow"/>
        </w:rPr>
        <w:t>Allocation</w:t>
      </w:r>
      <w:r>
        <w:t xml:space="preserve"> </w:t>
      </w:r>
      <w:r w:rsidRPr="00FE6B7D">
        <w:rPr>
          <w:highlight w:val="yellow"/>
        </w:rPr>
        <w:t>type:</w:t>
      </w:r>
    </w:p>
    <w:p w14:paraId="00E3A35B" w14:textId="77777777" w:rsidR="00C82DDC" w:rsidRPr="00C82DDC" w:rsidRDefault="00C82DDC" w:rsidP="00C82DDC">
      <w:pPr>
        <w:pStyle w:val="ListParagraph"/>
        <w:numPr>
          <w:ilvl w:val="1"/>
          <w:numId w:val="18"/>
        </w:numPr>
        <w:rPr>
          <w:b/>
          <w:highlight w:val="yellow"/>
        </w:rPr>
      </w:pPr>
      <w:r w:rsidRPr="00C82DDC">
        <w:rPr>
          <w:highlight w:val="yellow"/>
        </w:rPr>
        <w:t xml:space="preserve">Provider AUP link: </w:t>
      </w:r>
    </w:p>
    <w:p w14:paraId="37FE8F09" w14:textId="77777777" w:rsidR="00C82DDC" w:rsidRPr="00C82DDC" w:rsidRDefault="00C82DDC" w:rsidP="00C82DDC">
      <w:pPr>
        <w:pStyle w:val="ListParagraph"/>
        <w:numPr>
          <w:ilvl w:val="1"/>
          <w:numId w:val="18"/>
        </w:numPr>
        <w:rPr>
          <w:b/>
          <w:highlight w:val="yellow"/>
        </w:rPr>
      </w:pPr>
      <w:r>
        <w:rPr>
          <w:highlight w:val="yellow"/>
        </w:rPr>
        <w:t>Supported VOs:</w:t>
      </w:r>
    </w:p>
    <w:p w14:paraId="3BC20FDB" w14:textId="77777777" w:rsidR="00C82DDC" w:rsidRPr="00C82DDC" w:rsidRDefault="00C82DDC" w:rsidP="00C82DDC">
      <w:pPr>
        <w:pStyle w:val="ListParagraph"/>
        <w:numPr>
          <w:ilvl w:val="1"/>
          <w:numId w:val="18"/>
        </w:numPr>
        <w:rPr>
          <w:b/>
          <w:highlight w:val="yellow"/>
        </w:rPr>
      </w:pPr>
      <w:r w:rsidRPr="00C82DDC">
        <w:rPr>
          <w:highlight w:val="yellow"/>
        </w:rPr>
        <w:t xml:space="preserve">VO ID card: </w:t>
      </w:r>
    </w:p>
    <w:p w14:paraId="1EE723B8" w14:textId="77777777" w:rsidR="00C82DDC" w:rsidRPr="00C82DDC" w:rsidRDefault="00C82DDC" w:rsidP="00C82DDC">
      <w:pPr>
        <w:pStyle w:val="ListParagraph"/>
        <w:numPr>
          <w:ilvl w:val="1"/>
          <w:numId w:val="18"/>
        </w:numPr>
        <w:rPr>
          <w:b/>
          <w:highlight w:val="yellow"/>
        </w:rPr>
      </w:pPr>
      <w:r w:rsidRPr="00C82DDC">
        <w:rPr>
          <w:highlight w:val="yellow"/>
        </w:rP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023458" w:rsidRDefault="003E50F6" w:rsidP="003E50F6">
      <w:pPr>
        <w:rPr>
          <w:lang w:val="fr-029"/>
        </w:rPr>
      </w:pPr>
      <w:proofErr w:type="gramStart"/>
      <w:r w:rsidRPr="00023458">
        <w:rPr>
          <w:lang w:val="fr-029"/>
        </w:rPr>
        <w:t>Description:</w:t>
      </w:r>
      <w:proofErr w:type="gramEnd"/>
      <w:r w:rsidRPr="00023458">
        <w:rPr>
          <w:lang w:val="fr-029"/>
        </w:rPr>
        <w:t xml:space="preserve"> </w:t>
      </w:r>
      <w:hyperlink r:id="rId12" w:history="1">
        <w:r w:rsidRPr="00023458">
          <w:rPr>
            <w:rStyle w:val="Hyperlink"/>
            <w:lang w:val="fr-029"/>
          </w:rPr>
          <w:t>https://www.egi.eu/services/cloud-container/</w:t>
        </w:r>
      </w:hyperlink>
      <w:r w:rsidRPr="00023458">
        <w:rPr>
          <w:lang w:val="fr-029"/>
        </w:rPr>
        <w:t xml:space="preserve"> </w:t>
      </w:r>
    </w:p>
    <w:p w14:paraId="2FF424A7" w14:textId="52F2592A"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ListParagraph"/>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4BE88B69" w14:textId="5CC394AE"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16E7C535" w:rsidR="003E50F6" w:rsidRPr="00C82DDC" w:rsidRDefault="003E50F6" w:rsidP="003E50F6">
      <w:pPr>
        <w:pStyle w:val="ListParagraph"/>
        <w:numPr>
          <w:ilvl w:val="2"/>
          <w:numId w:val="18"/>
        </w:numPr>
        <w:rPr>
          <w:b/>
          <w:highlight w:val="yellow"/>
        </w:rPr>
      </w:pPr>
      <w:r w:rsidRPr="003B3E2E">
        <w:rPr>
          <w:highlight w:val="yellow"/>
        </w:rPr>
        <w:t>Duration:</w:t>
      </w:r>
    </w:p>
    <w:p w14:paraId="19D7A5A7" w14:textId="77777777" w:rsidR="00C82DDC" w:rsidRPr="00C82DDC" w:rsidRDefault="00C82DDC" w:rsidP="00C82DDC">
      <w:pPr>
        <w:pStyle w:val="ListParagraph"/>
        <w:numPr>
          <w:ilvl w:val="1"/>
          <w:numId w:val="18"/>
        </w:numPr>
        <w:rPr>
          <w:b/>
          <w:highlight w:val="yellow"/>
        </w:rPr>
      </w:pPr>
      <w:r w:rsidRPr="00C8621E">
        <w:rPr>
          <w:highlight w:val="yellow"/>
        </w:rPr>
        <w:t>Allocation</w:t>
      </w:r>
      <w:r>
        <w:t xml:space="preserve"> </w:t>
      </w:r>
      <w:r w:rsidRPr="00FE6B7D">
        <w:rPr>
          <w:highlight w:val="yellow"/>
        </w:rPr>
        <w:t>type:</w:t>
      </w:r>
    </w:p>
    <w:p w14:paraId="54855340" w14:textId="00F4289E" w:rsidR="00C82DDC" w:rsidRPr="00C82DDC" w:rsidRDefault="00C82DDC" w:rsidP="00C82DDC">
      <w:pPr>
        <w:pStyle w:val="ListParagraph"/>
        <w:numPr>
          <w:ilvl w:val="1"/>
          <w:numId w:val="18"/>
        </w:numPr>
        <w:rPr>
          <w:b/>
          <w:highlight w:val="yellow"/>
        </w:rPr>
      </w:pPr>
      <w:r w:rsidRPr="00C82DDC">
        <w:rPr>
          <w:highlight w:val="yellow"/>
        </w:rPr>
        <w:t xml:space="preserve">Provider AUP link: </w:t>
      </w:r>
    </w:p>
    <w:p w14:paraId="6D0BAFC2" w14:textId="31C6EB20" w:rsidR="003E50F6" w:rsidRPr="00C82DDC" w:rsidRDefault="003E50F6" w:rsidP="00C82DDC">
      <w:pPr>
        <w:pStyle w:val="ListParagraph"/>
        <w:numPr>
          <w:ilvl w:val="1"/>
          <w:numId w:val="18"/>
        </w:numPr>
        <w:rPr>
          <w:b/>
          <w:highlight w:val="yellow"/>
        </w:rPr>
      </w:pPr>
      <w:r>
        <w:rPr>
          <w:highlight w:val="yellow"/>
        </w:rPr>
        <w:t>Supported VOs:</w:t>
      </w:r>
    </w:p>
    <w:p w14:paraId="3736E72B" w14:textId="245CA97E" w:rsidR="00C82DDC" w:rsidRPr="00C82DDC" w:rsidRDefault="00C82DDC" w:rsidP="00C82DDC">
      <w:pPr>
        <w:pStyle w:val="ListParagraph"/>
        <w:numPr>
          <w:ilvl w:val="1"/>
          <w:numId w:val="18"/>
        </w:numPr>
        <w:rPr>
          <w:b/>
          <w:highlight w:val="yellow"/>
        </w:rPr>
      </w:pPr>
      <w:r w:rsidRPr="00C82DDC">
        <w:rPr>
          <w:highlight w:val="yellow"/>
        </w:rPr>
        <w:t xml:space="preserve">VO ID card: </w:t>
      </w:r>
    </w:p>
    <w:p w14:paraId="11DF1F31" w14:textId="5DEB8AE2" w:rsidR="00C82DDC" w:rsidRPr="00C82DDC" w:rsidRDefault="00C82DDC" w:rsidP="00C82DDC">
      <w:pPr>
        <w:pStyle w:val="ListParagraph"/>
        <w:numPr>
          <w:ilvl w:val="1"/>
          <w:numId w:val="18"/>
        </w:numPr>
        <w:rPr>
          <w:b/>
          <w:highlight w:val="yellow"/>
        </w:rPr>
      </w:pPr>
      <w:r w:rsidRPr="00C82DDC">
        <w:rPr>
          <w:highlight w:val="yellow"/>
        </w:rPr>
        <w:t>VO-wide list:</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Pr="00023458" w:rsidRDefault="003E50F6" w:rsidP="003E50F6">
      <w:pPr>
        <w:rPr>
          <w:lang w:val="fr-029"/>
        </w:rPr>
      </w:pPr>
      <w:proofErr w:type="gramStart"/>
      <w:r w:rsidRPr="00023458">
        <w:rPr>
          <w:lang w:val="fr-029"/>
        </w:rPr>
        <w:t>Description:</w:t>
      </w:r>
      <w:proofErr w:type="gramEnd"/>
      <w:r w:rsidRPr="00023458">
        <w:rPr>
          <w:lang w:val="fr-029"/>
        </w:rPr>
        <w:t xml:space="preserve"> </w:t>
      </w:r>
      <w:hyperlink r:id="rId13" w:history="1">
        <w:r w:rsidRPr="00023458">
          <w:rPr>
            <w:rStyle w:val="Hyperlink"/>
            <w:lang w:val="fr-029"/>
          </w:rPr>
          <w:t>https://www.egi.eu/services/high-throughput-compute/</w:t>
        </w:r>
      </w:hyperlink>
      <w:r w:rsidRPr="00023458">
        <w:rPr>
          <w:lang w:val="fr-029"/>
        </w:rPr>
        <w:t xml:space="preserve"> </w:t>
      </w:r>
    </w:p>
    <w:p w14:paraId="1B23078D" w14:textId="3E9EFECD"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ListParagraph"/>
        <w:numPr>
          <w:ilvl w:val="2"/>
          <w:numId w:val="18"/>
        </w:numPr>
        <w:rPr>
          <w:b/>
        </w:rPr>
      </w:pPr>
      <w:r w:rsidRPr="00876CB0">
        <w:rPr>
          <w:highlight w:val="yellow"/>
        </w:rPr>
        <w:t>Duration:</w:t>
      </w:r>
    </w:p>
    <w:p w14:paraId="25A8A7DD" w14:textId="05AD74B3"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w:t>
      </w:r>
      <w:r w:rsidR="00811940">
        <w:rPr>
          <w:highlight w:val="yellow"/>
        </w:rPr>
        <w:t>n</w:t>
      </w:r>
      <w:r w:rsidR="00023458">
        <w:rPr>
          <w:highlight w:val="yellow"/>
        </w:rPr>
        <w:t>sored</w:t>
      </w:r>
    </w:p>
    <w:p w14:paraId="458412D1" w14:textId="4C6E79E7" w:rsidR="003E50F6" w:rsidRPr="00C82DDC" w:rsidRDefault="003E50F6" w:rsidP="003E50F6">
      <w:pPr>
        <w:pStyle w:val="ListParagraph"/>
        <w:numPr>
          <w:ilvl w:val="1"/>
          <w:numId w:val="18"/>
        </w:numPr>
        <w:rPr>
          <w:b/>
          <w:highlight w:val="yellow"/>
        </w:rPr>
      </w:pPr>
      <w:r w:rsidRPr="00C8621E">
        <w:rPr>
          <w:highlight w:val="yellow"/>
        </w:rPr>
        <w:lastRenderedPageBreak/>
        <w:t>Allocation</w:t>
      </w:r>
      <w:r>
        <w:t xml:space="preserve"> </w:t>
      </w:r>
      <w:r w:rsidRPr="00876CB0">
        <w:rPr>
          <w:highlight w:val="yellow"/>
        </w:rPr>
        <w:t xml:space="preserve">type: </w:t>
      </w:r>
      <w:r w:rsidRPr="00876CB0" w:rsidDel="005A0D13">
        <w:rPr>
          <w:highlight w:val="yellow"/>
        </w:rPr>
        <w:t xml:space="preserve"> </w:t>
      </w:r>
    </w:p>
    <w:p w14:paraId="454769E9" w14:textId="52CE888E" w:rsidR="00C82DDC" w:rsidRPr="00C82DDC" w:rsidRDefault="00C82DDC" w:rsidP="00C82DDC">
      <w:pPr>
        <w:pStyle w:val="ListParagraph"/>
        <w:numPr>
          <w:ilvl w:val="1"/>
          <w:numId w:val="18"/>
        </w:numPr>
        <w:rPr>
          <w:b/>
          <w:highlight w:val="yellow"/>
        </w:rPr>
      </w:pPr>
      <w:r w:rsidRPr="00C82DDC">
        <w:rPr>
          <w:highlight w:val="yellow"/>
        </w:rPr>
        <w:t xml:space="preserve">Provider AUP link: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C82DDC" w:rsidRDefault="003E50F6" w:rsidP="003E50F6">
      <w:pPr>
        <w:pStyle w:val="ListParagraph"/>
        <w:numPr>
          <w:ilvl w:val="1"/>
          <w:numId w:val="18"/>
        </w:numPr>
        <w:rPr>
          <w:b/>
          <w:highlight w:val="yellow"/>
        </w:rPr>
      </w:pPr>
      <w:r w:rsidRPr="00C82DDC">
        <w:rPr>
          <w:highlight w:val="yellow"/>
        </w:rP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t>Online</w:t>
      </w:r>
      <w:r w:rsidRPr="00FE6B7D">
        <w:rPr>
          <w:b/>
        </w:rPr>
        <w:t xml:space="preserve"> Storage (category: Storage)</w:t>
      </w:r>
    </w:p>
    <w:p w14:paraId="1AC67846" w14:textId="77777777" w:rsidR="003E50F6" w:rsidRPr="00023458" w:rsidRDefault="003E50F6" w:rsidP="003E50F6">
      <w:pPr>
        <w:rPr>
          <w:b/>
          <w:spacing w:val="0"/>
          <w:lang w:val="fr-029"/>
        </w:rPr>
      </w:pPr>
      <w:proofErr w:type="gramStart"/>
      <w:r w:rsidRPr="00023458">
        <w:rPr>
          <w:lang w:val="fr-029"/>
        </w:rPr>
        <w:t>Description:</w:t>
      </w:r>
      <w:proofErr w:type="gramEnd"/>
      <w:r w:rsidRPr="00023458">
        <w:rPr>
          <w:lang w:val="fr-029"/>
        </w:rPr>
        <w:t xml:space="preserve"> </w:t>
      </w:r>
      <w:hyperlink r:id="rId14" w:history="1">
        <w:r w:rsidRPr="00023458">
          <w:rPr>
            <w:rStyle w:val="Hyperlink"/>
            <w:lang w:val="fr-029"/>
          </w:rPr>
          <w:t>https://www.egi.eu/services/online-storage/</w:t>
        </w:r>
      </w:hyperlink>
    </w:p>
    <w:p w14:paraId="4B00E501" w14:textId="77777777" w:rsidR="003E50F6" w:rsidRPr="00023458" w:rsidRDefault="003E50F6" w:rsidP="003E50F6">
      <w:pPr>
        <w:pStyle w:val="ListParagraph"/>
        <w:ind w:left="1800"/>
        <w:rPr>
          <w:b/>
          <w:lang w:val="fr-029"/>
        </w:rPr>
      </w:pPr>
    </w:p>
    <w:p w14:paraId="7C5E2D74" w14:textId="00AC3E76"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4402B007" w14:textId="77777777" w:rsidR="003E50F6" w:rsidRDefault="003E50F6" w:rsidP="003E50F6">
      <w:pPr>
        <w:pStyle w:val="ListParagraph"/>
        <w:numPr>
          <w:ilvl w:val="1"/>
          <w:numId w:val="18"/>
        </w:numPr>
        <w:rPr>
          <w:highlight w:val="yellow"/>
        </w:rPr>
      </w:pPr>
      <w:r>
        <w:rPr>
          <w:highlight w:val="yellow"/>
        </w:rPr>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ListParagraph"/>
        <w:numPr>
          <w:ilvl w:val="2"/>
          <w:numId w:val="18"/>
        </w:numPr>
        <w:rPr>
          <w:b/>
        </w:rPr>
      </w:pPr>
      <w:r w:rsidRPr="00876CB0">
        <w:rPr>
          <w:highlight w:val="yellow"/>
        </w:rPr>
        <w:t>Duration:</w:t>
      </w:r>
    </w:p>
    <w:p w14:paraId="5C9BC13B" w14:textId="3B9D3E27"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3BAB43C" w14:textId="16CE1AAA" w:rsidR="003E50F6" w:rsidRPr="00C82DDC"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BE1B735" w14:textId="6D061C50" w:rsidR="00C82DDC" w:rsidRPr="00C82DDC" w:rsidRDefault="00C82DDC" w:rsidP="003E50F6">
      <w:pPr>
        <w:pStyle w:val="ListParagraph"/>
        <w:numPr>
          <w:ilvl w:val="1"/>
          <w:numId w:val="18"/>
        </w:numPr>
        <w:rPr>
          <w:b/>
          <w:highlight w:val="yellow"/>
        </w:rPr>
      </w:pPr>
      <w:r w:rsidRPr="00C82DDC">
        <w:rPr>
          <w:highlight w:val="yellow"/>
        </w:rPr>
        <w:t xml:space="preserve">Provider AUP link: </w:t>
      </w:r>
    </w:p>
    <w:p w14:paraId="6CA14B4B" w14:textId="77777777" w:rsidR="003E50F6" w:rsidRPr="00C82DDC" w:rsidRDefault="003E50F6" w:rsidP="003E50F6">
      <w:pPr>
        <w:pStyle w:val="ListParagraph"/>
        <w:numPr>
          <w:ilvl w:val="1"/>
          <w:numId w:val="18"/>
        </w:numPr>
        <w:rPr>
          <w:b/>
          <w:highlight w:val="yellow"/>
        </w:rPr>
      </w:pPr>
      <w:r w:rsidRPr="00443297">
        <w:rPr>
          <w:highlight w:val="yellow"/>
        </w:rPr>
        <w:t>Sup</w:t>
      </w:r>
      <w:r w:rsidRPr="00C82DDC">
        <w:rPr>
          <w:highlight w:val="yellow"/>
        </w:rPr>
        <w:t>ported VOs:</w:t>
      </w:r>
      <w:r w:rsidRPr="00C82DDC">
        <w:rPr>
          <w:highlight w:val="yellow"/>
        </w:rPr>
        <w:tab/>
      </w:r>
    </w:p>
    <w:p w14:paraId="02D272DD" w14:textId="77777777" w:rsidR="003E50F6" w:rsidRPr="00C82DDC" w:rsidRDefault="003E50F6" w:rsidP="003E50F6">
      <w:pPr>
        <w:pStyle w:val="ListParagraph"/>
        <w:numPr>
          <w:ilvl w:val="1"/>
          <w:numId w:val="18"/>
        </w:numPr>
        <w:rPr>
          <w:b/>
          <w:highlight w:val="yellow"/>
        </w:rPr>
      </w:pPr>
      <w:r w:rsidRPr="00C82DDC">
        <w:rPr>
          <w:highlight w:val="yellow"/>
        </w:rPr>
        <w:t xml:space="preserve">VO ID card: </w:t>
      </w:r>
    </w:p>
    <w:p w14:paraId="688CAF2A" w14:textId="77777777" w:rsidR="00680925" w:rsidRPr="008138E8" w:rsidRDefault="00680925" w:rsidP="00DD588D">
      <w:pPr>
        <w:pStyle w:val="ListParagraph"/>
        <w:ind w:left="1080"/>
        <w:rPr>
          <w:b/>
          <w:highlight w:val="yellow"/>
        </w:rPr>
      </w:pPr>
    </w:p>
    <w:p w14:paraId="1EA19202" w14:textId="77777777" w:rsidR="00375CAB" w:rsidRPr="006E7D9B" w:rsidRDefault="00375CAB" w:rsidP="00375CAB">
      <w:pPr>
        <w:rPr>
          <w:b/>
        </w:rPr>
      </w:pPr>
      <w:r>
        <w:rPr>
          <w:b/>
        </w:rPr>
        <w:t>Notebooks</w:t>
      </w:r>
      <w:r w:rsidRPr="006E7D9B">
        <w:rPr>
          <w:b/>
        </w:rPr>
        <w:t xml:space="preserve"> (category: </w:t>
      </w:r>
      <w:r>
        <w:rPr>
          <w:b/>
        </w:rPr>
        <w:t>Applications</w:t>
      </w:r>
      <w:r w:rsidRPr="006E7D9B">
        <w:rPr>
          <w:b/>
        </w:rPr>
        <w:t>)</w:t>
      </w:r>
    </w:p>
    <w:p w14:paraId="376B11EC" w14:textId="77777777" w:rsidR="00375CAB" w:rsidRDefault="00375CAB" w:rsidP="00375CAB">
      <w:r>
        <w:t xml:space="preserve">Description: </w:t>
      </w:r>
      <w:hyperlink r:id="rId15" w:history="1">
        <w:r w:rsidRPr="002D3EBF">
          <w:rPr>
            <w:rStyle w:val="Hyperlink"/>
          </w:rPr>
          <w:t>https://www.egi.eu/services/notebooks/</w:t>
        </w:r>
      </w:hyperlink>
    </w:p>
    <w:p w14:paraId="219B513E" w14:textId="77777777" w:rsidR="00375CAB" w:rsidRDefault="00375CAB" w:rsidP="00375CAB">
      <w:pPr>
        <w:pStyle w:val="ListParagraph"/>
        <w:numPr>
          <w:ilvl w:val="0"/>
          <w:numId w:val="18"/>
        </w:numPr>
        <w:rPr>
          <w:highlight w:val="yellow"/>
        </w:rPr>
      </w:pPr>
      <w:r>
        <w:rPr>
          <w:highlight w:val="yellow"/>
        </w:rPr>
        <w:t>Component Provider:</w:t>
      </w:r>
    </w:p>
    <w:p w14:paraId="5E888E70" w14:textId="77777777" w:rsidR="00375CAB" w:rsidRPr="00D37CDC" w:rsidRDefault="00375CAB" w:rsidP="00375CAB">
      <w:pPr>
        <w:pStyle w:val="ListParagraph"/>
        <w:numPr>
          <w:ilvl w:val="1"/>
          <w:numId w:val="18"/>
        </w:numPr>
        <w:rPr>
          <w:highlight w:val="yellow"/>
        </w:rPr>
      </w:pPr>
      <w:r>
        <w:rPr>
          <w:highlight w:val="yellow"/>
        </w:rPr>
        <w:t>Notebooks</w:t>
      </w:r>
    </w:p>
    <w:p w14:paraId="37CD5380" w14:textId="77777777" w:rsidR="00375CAB" w:rsidRPr="00F605B3" w:rsidRDefault="00375CAB" w:rsidP="00375CAB">
      <w:pPr>
        <w:pStyle w:val="ListParagraph"/>
        <w:numPr>
          <w:ilvl w:val="2"/>
          <w:numId w:val="18"/>
        </w:numPr>
        <w:rPr>
          <w:b/>
          <w:highlight w:val="yellow"/>
        </w:rPr>
      </w:pPr>
      <w:r w:rsidRPr="003B3E2E">
        <w:rPr>
          <w:highlight w:val="yellow"/>
        </w:rPr>
        <w:t xml:space="preserve">Number of </w:t>
      </w:r>
      <w:r>
        <w:rPr>
          <w:highlight w:val="yellow"/>
        </w:rPr>
        <w:t>users</w:t>
      </w:r>
      <w:r w:rsidRPr="003B3E2E">
        <w:rPr>
          <w:highlight w:val="yellow"/>
        </w:rPr>
        <w:t>:</w:t>
      </w:r>
    </w:p>
    <w:p w14:paraId="5B093628" w14:textId="77777777" w:rsidR="00375CAB" w:rsidRPr="00F605B3" w:rsidRDefault="00375CAB" w:rsidP="00375CAB">
      <w:pPr>
        <w:pStyle w:val="ListParagraph"/>
        <w:numPr>
          <w:ilvl w:val="2"/>
          <w:numId w:val="18"/>
        </w:numPr>
        <w:rPr>
          <w:b/>
          <w:highlight w:val="yellow"/>
        </w:rPr>
      </w:pPr>
      <w:r>
        <w:rPr>
          <w:highlight w:val="yellow"/>
        </w:rPr>
        <w:t>Cores per user:</w:t>
      </w:r>
    </w:p>
    <w:p w14:paraId="0B6F8283" w14:textId="77777777" w:rsidR="00375CAB" w:rsidRPr="00F605B3" w:rsidRDefault="00375CAB" w:rsidP="00375CAB">
      <w:pPr>
        <w:pStyle w:val="ListParagraph"/>
        <w:numPr>
          <w:ilvl w:val="2"/>
          <w:numId w:val="18"/>
        </w:numPr>
        <w:rPr>
          <w:b/>
          <w:highlight w:val="yellow"/>
        </w:rPr>
      </w:pPr>
      <w:r>
        <w:rPr>
          <w:bCs/>
          <w:highlight w:val="yellow"/>
        </w:rPr>
        <w:t>Memory per user (GB):</w:t>
      </w:r>
    </w:p>
    <w:p w14:paraId="4FEE973B" w14:textId="77777777" w:rsidR="00375CAB" w:rsidRPr="00F605B3" w:rsidRDefault="00375CAB" w:rsidP="00375CAB">
      <w:pPr>
        <w:pStyle w:val="ListParagraph"/>
        <w:numPr>
          <w:ilvl w:val="2"/>
          <w:numId w:val="18"/>
        </w:numPr>
        <w:rPr>
          <w:b/>
          <w:highlight w:val="yellow"/>
        </w:rPr>
      </w:pPr>
      <w:r>
        <w:rPr>
          <w:highlight w:val="yellow"/>
        </w:rPr>
        <w:t>Storage per user (GB)</w:t>
      </w:r>
      <w:r w:rsidRPr="003B3E2E">
        <w:rPr>
          <w:highlight w:val="yellow"/>
        </w:rPr>
        <w:t>:</w:t>
      </w:r>
    </w:p>
    <w:p w14:paraId="0F2CA2C1" w14:textId="77777777" w:rsidR="00375CAB" w:rsidRPr="00FE6B7D" w:rsidRDefault="00375CAB" w:rsidP="00375CAB">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3E6C844E" w14:textId="77777777" w:rsidR="00375CAB" w:rsidRPr="00D00565" w:rsidRDefault="00375CAB" w:rsidP="00375CAB">
      <w:pPr>
        <w:pStyle w:val="ListParagraph"/>
        <w:numPr>
          <w:ilvl w:val="2"/>
          <w:numId w:val="18"/>
        </w:numPr>
        <w:rPr>
          <w:b/>
          <w:highlight w:val="yellow"/>
        </w:rPr>
      </w:pPr>
      <w:r w:rsidRPr="00FE6B7D">
        <w:rPr>
          <w:highlight w:val="yellow"/>
        </w:rPr>
        <w:t>Payment mode offer:</w:t>
      </w:r>
      <w:r>
        <w:rPr>
          <w:highlight w:val="yellow"/>
        </w:rPr>
        <w:t xml:space="preserve"> Sponsored</w:t>
      </w:r>
    </w:p>
    <w:p w14:paraId="641C7508" w14:textId="77777777" w:rsidR="00375CAB" w:rsidRPr="00D00565" w:rsidRDefault="00375CAB" w:rsidP="00375CAB">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C2A5CC" w14:textId="77777777" w:rsidR="00375CAB" w:rsidRPr="00443297" w:rsidRDefault="00375CAB" w:rsidP="00375CAB">
      <w:pPr>
        <w:pStyle w:val="ListParagraph"/>
        <w:numPr>
          <w:ilvl w:val="2"/>
          <w:numId w:val="18"/>
        </w:numPr>
        <w:rPr>
          <w:b/>
          <w:highlight w:val="yellow"/>
        </w:rPr>
      </w:pPr>
      <w:r w:rsidRPr="003B3E2E">
        <w:rPr>
          <w:highlight w:val="yellow"/>
        </w:rPr>
        <w:t>Duration:</w:t>
      </w:r>
    </w:p>
    <w:p w14:paraId="705F608B" w14:textId="77777777" w:rsidR="00375CAB" w:rsidRPr="00C8621E" w:rsidRDefault="00375CAB" w:rsidP="00375CAB">
      <w:pPr>
        <w:pStyle w:val="ListParagraph"/>
        <w:numPr>
          <w:ilvl w:val="2"/>
          <w:numId w:val="18"/>
        </w:numPr>
        <w:rPr>
          <w:b/>
          <w:highlight w:val="yellow"/>
        </w:rPr>
      </w:pPr>
      <w:r>
        <w:rPr>
          <w:highlight w:val="yellow"/>
        </w:rPr>
        <w:t>Supported VOs:</w:t>
      </w:r>
    </w:p>
    <w:p w14:paraId="673B1605" w14:textId="77777777" w:rsidR="00375CAB" w:rsidRPr="0059011D" w:rsidRDefault="00375CAB" w:rsidP="00375CAB">
      <w:pPr>
        <w:pStyle w:val="ListParagraph"/>
        <w:ind w:left="0"/>
        <w:rPr>
          <w:b/>
        </w:rPr>
      </w:pPr>
    </w:p>
    <w:p w14:paraId="54253DBE" w14:textId="53B310EF" w:rsidR="0059011D" w:rsidRDefault="0059011D" w:rsidP="0059011D">
      <w:r>
        <w:lastRenderedPageBreak/>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4CFE0453" w:rsidR="006B45F3" w:rsidRDefault="0059011D" w:rsidP="00E5142D">
      <w:pPr>
        <w:pStyle w:val="ListParagraph"/>
        <w:numPr>
          <w:ilvl w:val="0"/>
          <w:numId w:val="22"/>
        </w:numPr>
      </w:pPr>
      <w:r>
        <w:t>Service Monitoring</w:t>
      </w:r>
      <w:r w:rsidR="00E5142D">
        <w:rPr>
          <w:rStyle w:val="FootnoteReference"/>
        </w:rPr>
        <w:footnoteReference w:id="4"/>
      </w:r>
      <w:r>
        <w:t xml:space="preserve"> (</w:t>
      </w:r>
      <w:r w:rsidR="005A784D">
        <w:t>EGI operational Virtual Organization only</w:t>
      </w:r>
      <w:r>
        <w:t>)</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1" w:name="_Toc531009087"/>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531009088"/>
      <w:r>
        <w:t>Support</w:t>
      </w:r>
      <w:bookmarkEnd w:id="2"/>
    </w:p>
    <w:p w14:paraId="71ED447F" w14:textId="6AE4ECB0" w:rsidR="00176CC7" w:rsidRDefault="00176CC7" w:rsidP="00176CC7">
      <w:r>
        <w:t>Support is prov</w:t>
      </w:r>
      <w:r w:rsidR="00884A91">
        <w:t>ided via EGI Service Desk</w:t>
      </w:r>
      <w:r w:rsidR="00884A91">
        <w:rPr>
          <w:rStyle w:val="FootnoteReference"/>
        </w:rPr>
        <w:footnoteReference w:id="7"/>
      </w:r>
      <w:r>
        <w:t>. Access requires a valid X.509 or the login via a</w:t>
      </w:r>
      <w:r w:rsidR="005B56A1">
        <w:t>n</w:t>
      </w:r>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 xml:space="preserve">Service times always apply </w:t>
      </w:r>
      <w:proofErr w:type="gramStart"/>
      <w:r>
        <w:t>with the exception of</w:t>
      </w:r>
      <w:proofErr w:type="gramEnd"/>
      <w:r>
        <w:t xml:space="preserve"> public holidays in the country of the supporting Resource Centres.</w:t>
      </w:r>
    </w:p>
    <w:p w14:paraId="6F3E2817" w14:textId="3E94FCCE" w:rsidR="00176CC7" w:rsidRDefault="00176CC7" w:rsidP="00D206E9">
      <w:pPr>
        <w:pStyle w:val="Heading2"/>
      </w:pPr>
      <w:bookmarkStart w:id="3" w:name="_Toc403992926"/>
      <w:bookmarkStart w:id="4" w:name="_Toc531009089"/>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lastRenderedPageBreak/>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531009090"/>
      <w:r w:rsidRPr="00176CC7">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531009091"/>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23B75D3D" w:rsidR="00AE6C1C" w:rsidRPr="00D00DDB" w:rsidRDefault="005B56A1" w:rsidP="00AE6C1C">
      <w:pPr>
        <w:pStyle w:val="ListParagraph"/>
        <w:numPr>
          <w:ilvl w:val="2"/>
          <w:numId w:val="28"/>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23999042" w14:textId="1C1CA921" w:rsidR="00AE6C1C" w:rsidRDefault="005B56A1" w:rsidP="00DD588D">
      <w:pPr>
        <w:pStyle w:val="ListParagraph"/>
        <w:numPr>
          <w:ilvl w:val="2"/>
          <w:numId w:val="28"/>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656199D3" w:rsidR="00176CC7" w:rsidRPr="00D00DDB" w:rsidRDefault="005B56A1" w:rsidP="00DD588D">
      <w:pPr>
        <w:pStyle w:val="ListParagraph"/>
        <w:numPr>
          <w:ilvl w:val="2"/>
          <w:numId w:val="28"/>
        </w:numPr>
      </w:pPr>
      <w:r>
        <w:rPr>
          <w:highlight w:val="yellow"/>
        </w:rPr>
        <w:t>Component Provider</w:t>
      </w:r>
      <w:r w:rsidRPr="003B3E2E">
        <w:rPr>
          <w:highlight w:val="yellow"/>
        </w:rPr>
        <w:t xml:space="preserve"> </w:t>
      </w:r>
      <w:r w:rsidR="003B3E2E" w:rsidRPr="003B3E2E">
        <w:rPr>
          <w:highlight w:val="yellow"/>
        </w:rPr>
        <w:t>1</w:t>
      </w:r>
      <w:r w:rsidR="006B45F3" w:rsidRPr="003B3E2E">
        <w:rPr>
          <w:highlight w:val="yellow"/>
        </w:rPr>
        <w:t xml:space="preserve">: </w:t>
      </w:r>
      <w:r w:rsidR="003B3E2E" w:rsidRPr="003B3E2E">
        <w:rPr>
          <w:highlight w:val="yellow"/>
        </w:rPr>
        <w:t>XX</w:t>
      </w:r>
      <w:r w:rsidR="00176CC7" w:rsidRPr="003B3E2E">
        <w:rPr>
          <w:highlight w:val="yellow"/>
        </w:rPr>
        <w:t>%</w:t>
      </w:r>
      <w:r w:rsidR="00176CC7" w:rsidRPr="00D00DDB">
        <w:t xml:space="preserve"> </w:t>
      </w:r>
    </w:p>
    <w:p w14:paraId="7888F246" w14:textId="67C671BB" w:rsidR="006B45F3" w:rsidRPr="003B3E2E" w:rsidRDefault="005B56A1" w:rsidP="00DD588D">
      <w:pPr>
        <w:pStyle w:val="ListParagraph"/>
        <w:numPr>
          <w:ilvl w:val="2"/>
          <w:numId w:val="28"/>
        </w:numPr>
      </w:pPr>
      <w:r>
        <w:rPr>
          <w:highlight w:val="yellow"/>
        </w:rPr>
        <w:t>Component Provider</w:t>
      </w:r>
      <w:r w:rsidRPr="003B3E2E">
        <w:rPr>
          <w:highlight w:val="yellow"/>
        </w:rPr>
        <w:t xml:space="preserve"> </w:t>
      </w:r>
      <w:r w:rsidR="003B3E2E" w:rsidRPr="003B3E2E">
        <w:rPr>
          <w:highlight w:val="yellow"/>
        </w:rPr>
        <w:t>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lastRenderedPageBreak/>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569B2B1E" w:rsidR="00AE6C1C" w:rsidRPr="00D00DDB"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45167790" w14:textId="26DAA22E" w:rsidR="00AE6C1C"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250AD5D5" w:rsidR="00AE6C1C" w:rsidRPr="00D00DDB"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68B35600" w14:textId="1D595B0A" w:rsidR="00AE6C1C" w:rsidRPr="003B3E2E"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531009092"/>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1A5F2851"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sidR="005A784D">
        <w:rPr>
          <w:rFonts w:cs="Open Sans"/>
        </w:rPr>
        <w:t>M</w:t>
      </w:r>
      <w:r w:rsidR="005A784D" w:rsidRPr="007A2DFE">
        <w:rPr>
          <w:rFonts w:cs="Open Sans"/>
        </w:rPr>
        <w:t>eans any</w:t>
      </w:r>
      <w:r w:rsidRPr="007A2DFE">
        <w:rPr>
          <w:rFonts w:cs="Open Sans"/>
        </w:rPr>
        <w:t xml:space="preserve"> </w:t>
      </w:r>
    </w:p>
    <w:p w14:paraId="20AC834A" w14:textId="77777777" w:rsidR="00BA6136" w:rsidRDefault="00BA6136" w:rsidP="00BA6136">
      <w:pPr>
        <w:numPr>
          <w:ilvl w:val="1"/>
          <w:numId w:val="30"/>
        </w:numPr>
        <w:spacing w:after="200"/>
        <w:contextualSpacing/>
        <w:jc w:val="left"/>
        <w:rPr>
          <w:rFonts w:cs="Open Sans"/>
        </w:rPr>
      </w:pPr>
      <w:proofErr w:type="gramStart"/>
      <w:r w:rsidRPr="007A2DFE">
        <w:rPr>
          <w:rFonts w:cs="Open Sans"/>
        </w:rPr>
        <w:t>fire,  flood</w:t>
      </w:r>
      <w:proofErr w:type="gramEnd"/>
      <w:r w:rsidRPr="007A2DFE">
        <w:rPr>
          <w:rFonts w:cs="Open Sans"/>
        </w:rPr>
        <w:t xml:space="preserve">,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531009093"/>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531009094"/>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375CAB" w:rsidRPr="00B97954" w14:paraId="07AEBC77" w14:textId="77777777" w:rsidTr="00542830">
        <w:tc>
          <w:tcPr>
            <w:tcW w:w="4605" w:type="dxa"/>
            <w:shd w:val="clear" w:color="auto" w:fill="B8CCE4" w:themeFill="accent1" w:themeFillTint="66"/>
          </w:tcPr>
          <w:p w14:paraId="67D6A1E2" w14:textId="1E6AA6C1" w:rsidR="00375CAB" w:rsidRDefault="00375CAB" w:rsidP="00BA1930">
            <w:pPr>
              <w:rPr>
                <w:rFonts w:cs="Open Sans"/>
                <w:b/>
              </w:rPr>
            </w:pPr>
            <w:r>
              <w:rPr>
                <w:rFonts w:cs="Open Sans"/>
                <w:b/>
              </w:rPr>
              <w:t>Customer technical contact</w:t>
            </w:r>
          </w:p>
        </w:tc>
        <w:tc>
          <w:tcPr>
            <w:tcW w:w="4605" w:type="dxa"/>
            <w:shd w:val="clear" w:color="auto" w:fill="auto"/>
          </w:tcPr>
          <w:p w14:paraId="4DC03E8C" w14:textId="77777777" w:rsidR="00375CAB" w:rsidRPr="003B3E2E" w:rsidRDefault="00375CAB" w:rsidP="00375CAB">
            <w:pPr>
              <w:rPr>
                <w:rFonts w:cs="Open Sans"/>
                <w:highlight w:val="yellow"/>
              </w:rPr>
            </w:pPr>
            <w:r w:rsidRPr="003B3E2E">
              <w:rPr>
                <w:rFonts w:cs="Open Sans"/>
                <w:highlight w:val="yellow"/>
              </w:rPr>
              <w:t>[name]</w:t>
            </w:r>
          </w:p>
          <w:p w14:paraId="632C5E11" w14:textId="77777777" w:rsidR="00375CAB" w:rsidRPr="003B3E2E" w:rsidRDefault="00375CAB" w:rsidP="00375CAB">
            <w:pPr>
              <w:rPr>
                <w:rFonts w:cs="Open Sans"/>
                <w:highlight w:val="yellow"/>
              </w:rPr>
            </w:pPr>
            <w:r w:rsidRPr="003B3E2E">
              <w:rPr>
                <w:highlight w:val="yellow"/>
              </w:rPr>
              <w:t>[email]</w:t>
            </w:r>
            <w:r w:rsidRPr="003B3E2E">
              <w:rPr>
                <w:rFonts w:cs="Open Sans"/>
                <w:highlight w:val="yellow"/>
              </w:rPr>
              <w:t xml:space="preserve"> </w:t>
            </w:r>
          </w:p>
          <w:p w14:paraId="300D4221" w14:textId="3821B0E1" w:rsidR="00375CAB" w:rsidRPr="003B3E2E" w:rsidRDefault="00375CAB" w:rsidP="00375CAB">
            <w:pPr>
              <w:rPr>
                <w:rFonts w:cs="Open Sans"/>
                <w:highlight w:val="yellow"/>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F176EF"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375CAB" w:rsidRPr="00B97954" w14:paraId="38C48491" w14:textId="77777777" w:rsidTr="00542830">
        <w:tc>
          <w:tcPr>
            <w:tcW w:w="4605" w:type="dxa"/>
            <w:shd w:val="clear" w:color="auto" w:fill="B8CCE4" w:themeFill="accent1" w:themeFillTint="66"/>
          </w:tcPr>
          <w:p w14:paraId="122E3B84" w14:textId="773FD94A" w:rsidR="00375CAB" w:rsidRDefault="00375CAB" w:rsidP="0053196A">
            <w:pPr>
              <w:rPr>
                <w:rFonts w:cs="Open Sans"/>
                <w:b/>
              </w:rPr>
            </w:pPr>
            <w:r>
              <w:rPr>
                <w:rFonts w:cs="Open Sans"/>
                <w:b/>
              </w:rPr>
              <w:t>EGI Foundation technical contact</w:t>
            </w:r>
          </w:p>
        </w:tc>
        <w:tc>
          <w:tcPr>
            <w:tcW w:w="4605" w:type="dxa"/>
            <w:shd w:val="clear" w:color="auto" w:fill="auto"/>
          </w:tcPr>
          <w:p w14:paraId="12AE0362" w14:textId="34A7A4AA" w:rsidR="00375CAB" w:rsidRPr="00C062E3" w:rsidRDefault="00375CAB" w:rsidP="00375CAB">
            <w:pPr>
              <w:jc w:val="left"/>
              <w:rPr>
                <w:rFonts w:cs="Open Sans"/>
                <w:lang w:val="it-IT"/>
              </w:rPr>
            </w:pPr>
            <w:r>
              <w:t xml:space="preserve">Matthew Viljoen </w:t>
            </w:r>
            <w:r>
              <w:br/>
            </w:r>
            <w:hyperlink r:id="rId18" w:history="1">
              <w:r w:rsidRPr="000D2C36">
                <w:rPr>
                  <w:rStyle w:val="Hyperlink"/>
                </w:rPr>
                <w:t>operations@egi.eu</w:t>
              </w:r>
            </w:hyperlink>
            <w:r>
              <w:t xml:space="preserve"> </w:t>
            </w:r>
            <w:r>
              <w:br/>
              <w:t>Operations manager at EGI Foundation</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531009095"/>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421E03D2" w:rsidR="001B4217" w:rsidRPr="001B4217" w:rsidRDefault="001B4217" w:rsidP="0053196A">
            <w:pPr>
              <w:jc w:val="left"/>
              <w:rPr>
                <w:rFonts w:cs="Open Sans"/>
                <w:sz w:val="18"/>
                <w:highlight w:val="green"/>
              </w:rPr>
            </w:pPr>
            <w:r w:rsidRPr="001B4217">
              <w:rPr>
                <w:rFonts w:cs="Open Sans"/>
                <w:sz w:val="18"/>
              </w:rPr>
              <w:t xml:space="preserve">The document provides </w:t>
            </w:r>
            <w:r w:rsidR="005A784D">
              <w:rPr>
                <w:rFonts w:cs="Open Sans"/>
                <w:sz w:val="18"/>
              </w:rPr>
              <w:t>an</w:t>
            </w:r>
            <w:r w:rsidRPr="001B4217">
              <w:rPr>
                <w:rFonts w:cs="Open Sans"/>
                <w:sz w:val="18"/>
              </w:rPr>
              <w:t xml:space="preserv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 xml:space="preserve">Scientific </w:t>
            </w:r>
            <w:r w:rsidRPr="001B4217">
              <w:rPr>
                <w:rFonts w:cs="Open Sans"/>
                <w:sz w:val="18"/>
              </w:rPr>
              <w:lastRenderedPageBreak/>
              <w:t>Publications report</w:t>
            </w:r>
          </w:p>
        </w:tc>
        <w:tc>
          <w:tcPr>
            <w:tcW w:w="1000" w:type="pct"/>
            <w:shd w:val="clear" w:color="auto" w:fill="auto"/>
          </w:tcPr>
          <w:p w14:paraId="5B97EFEC" w14:textId="216F39B0" w:rsidR="001B4217" w:rsidRPr="001B4217" w:rsidRDefault="001B4217" w:rsidP="0053196A">
            <w:pPr>
              <w:jc w:val="left"/>
              <w:rPr>
                <w:rFonts w:cs="Open Sans"/>
                <w:sz w:val="18"/>
              </w:rPr>
            </w:pPr>
            <w:r w:rsidRPr="001B4217">
              <w:rPr>
                <w:rFonts w:cs="Open Sans"/>
                <w:sz w:val="18"/>
              </w:rPr>
              <w:lastRenderedPageBreak/>
              <w:t xml:space="preserve">The document </w:t>
            </w:r>
            <w:r w:rsidR="005A784D">
              <w:rPr>
                <w:rFonts w:cs="Open Sans"/>
                <w:sz w:val="18"/>
              </w:rPr>
              <w:t xml:space="preserve">the </w:t>
            </w:r>
            <w:r w:rsidRPr="001B4217">
              <w:rPr>
                <w:rFonts w:cs="Open Sans"/>
                <w:sz w:val="18"/>
              </w:rPr>
              <w:lastRenderedPageBreak/>
              <w:t>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lastRenderedPageBreak/>
              <w:t xml:space="preserve">Yearly and with the </w:t>
            </w:r>
            <w:r w:rsidRPr="001B4217">
              <w:rPr>
                <w:rFonts w:cs="Open Sans"/>
                <w:sz w:val="18"/>
              </w:rPr>
              <w:lastRenderedPageBreak/>
              <w:t>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lastRenderedPageBreak/>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 xml:space="preserve">During satisfaction </w:t>
            </w:r>
            <w:r>
              <w:rPr>
                <w:rFonts w:cs="Open Sans"/>
                <w:sz w:val="18"/>
              </w:rPr>
              <w:lastRenderedPageBreak/>
              <w:t>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3" w:name="_Toc403992933"/>
      <w:bookmarkStart w:id="24" w:name="_Toc531009096"/>
      <w:r>
        <w:t>V</w:t>
      </w:r>
      <w:r w:rsidRPr="00B97954">
        <w:t>iolations</w:t>
      </w:r>
      <w:bookmarkEnd w:id="23"/>
      <w:bookmarkEnd w:id="24"/>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5" w:name="_Toc403992934"/>
      <w:bookmarkStart w:id="26" w:name="_Toc531009097"/>
      <w:r w:rsidRPr="00B97954">
        <w:t xml:space="preserve">Escalation </w:t>
      </w:r>
      <w:r>
        <w:t>and</w:t>
      </w:r>
      <w:r w:rsidRPr="00B97954">
        <w:t xml:space="preserve"> complaints</w:t>
      </w:r>
      <w:bookmarkEnd w:id="25"/>
      <w:bookmarkEnd w:id="26"/>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9"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7" w:name="_Toc403992935"/>
      <w:bookmarkStart w:id="28" w:name="_Toc531009098"/>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2E12A7EF"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 xml:space="preserve">is making every effort to maximize security level of users’ data and </w:t>
      </w:r>
      <w:proofErr w:type="spellStart"/>
      <w:r w:rsidRPr="004F6ECD">
        <w:t>minimali</w:t>
      </w:r>
      <w:r w:rsidR="005A784D">
        <w:t>s</w:t>
      </w:r>
      <w:r w:rsidRPr="004F6ECD">
        <w:t>e</w:t>
      </w:r>
      <w:proofErr w:type="spellEnd"/>
      <w:r w:rsidRPr="004F6ECD">
        <w:t xml:space="preserve"> possible harm in the event of an incident.</w:t>
      </w:r>
    </w:p>
    <w:p w14:paraId="4CA03869" w14:textId="75A6F323" w:rsidR="00CC7A3E" w:rsidRPr="004F6ECD" w:rsidRDefault="00CC7A3E" w:rsidP="004F6ECD">
      <w:pPr>
        <w:pStyle w:val="ListParagraph"/>
        <w:numPr>
          <w:ilvl w:val="0"/>
          <w:numId w:val="40"/>
        </w:numPr>
      </w:pPr>
      <w:r w:rsidRPr="004F6ECD">
        <w:lastRenderedPageBreak/>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29" w:name="_Toc531009099"/>
      <w:bookmarkStart w:id="30" w:name="_Toc403992936"/>
      <w:r>
        <w:t>R</w:t>
      </w:r>
      <w:r w:rsidRPr="00B97954">
        <w:t>esponsibilities</w:t>
      </w:r>
      <w:bookmarkEnd w:id="29"/>
      <w:r w:rsidRPr="00B97954">
        <w:t xml:space="preserve"> </w:t>
      </w:r>
    </w:p>
    <w:p w14:paraId="4D1141DF" w14:textId="61C9568C" w:rsidR="00CC7A3E" w:rsidRPr="00B97954" w:rsidRDefault="00CC7A3E" w:rsidP="00D206E9">
      <w:pPr>
        <w:pStyle w:val="Heading2"/>
      </w:pPr>
      <w:bookmarkStart w:id="31" w:name="_Toc531009100"/>
      <w:r>
        <w:t>O</w:t>
      </w:r>
      <w:r w:rsidRPr="00B97954">
        <w:t xml:space="preserve">f </w:t>
      </w:r>
      <w:bookmarkEnd w:id="30"/>
      <w:r w:rsidR="00330670">
        <w:t>EGI Foundation</w:t>
      </w:r>
      <w:bookmarkEnd w:id="31"/>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3"/>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531009101"/>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proofErr w:type="gramStart"/>
      <w:r w:rsidR="00BA1930" w:rsidRPr="00302AB3">
        <w:rPr>
          <w:b/>
        </w:rPr>
        <w:t xml:space="preserve">: </w:t>
      </w:r>
      <w:r w:rsidRPr="00302AB3">
        <w:rPr>
          <w:b/>
        </w:rPr>
        <w:t xml:space="preserve"> “</w:t>
      </w:r>
      <w:proofErr w:type="gramEnd"/>
      <w:r w:rsidRPr="00302AB3">
        <w:rPr>
          <w:b/>
        </w:rPr>
        <w:t xml:space="preserve">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7074ACFB"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r w:rsidR="00007441">
        <w:t xml:space="preserve"> as well as AUP of the provider (if exist)</w:t>
      </w:r>
      <w:r w:rsidRPr="004F6ECD">
        <w:t>.</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lastRenderedPageBreak/>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4" w:name="_Toc403992938"/>
      <w:bookmarkStart w:id="35" w:name="_Toc531009102"/>
      <w:r w:rsidRPr="00B97954">
        <w:t>Review</w:t>
      </w:r>
      <w:bookmarkEnd w:id="34"/>
      <w:r>
        <w:t>, extensions and termination</w:t>
      </w:r>
      <w:bookmarkEnd w:id="35"/>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ly review</w:t>
      </w:r>
      <w:bookmarkStart w:id="36" w:name="_GoBack"/>
      <w:bookmarkEnd w:id="36"/>
      <w:r>
        <w:t xml:space="preserve">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B190" w14:textId="77777777" w:rsidR="00F176EF" w:rsidRDefault="00F176EF" w:rsidP="00835E24">
      <w:pPr>
        <w:spacing w:after="0" w:line="240" w:lineRule="auto"/>
      </w:pPr>
      <w:r>
        <w:separator/>
      </w:r>
    </w:p>
  </w:endnote>
  <w:endnote w:type="continuationSeparator" w:id="0">
    <w:p w14:paraId="43A2A762" w14:textId="77777777" w:rsidR="00F176EF" w:rsidRDefault="00F176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F176EF" w:rsidP="0053196A">
          <w:pPr>
            <w:pStyle w:val="Header"/>
            <w:jc w:val="center"/>
          </w:pPr>
          <w:sdt>
            <w:sdtPr>
              <w:id w:val="1030074310"/>
              <w:docPartObj>
                <w:docPartGallery w:val="Page Numbers (Bottom of Page)"/>
                <w:docPartUnique/>
              </w:docPartObj>
            </w:sdtPr>
            <w:sdtEndPr>
              <w:rPr>
                <w:noProof/>
              </w:rPr>
            </w:sdtEndPr>
            <w:sdtContent>
              <w:r w:rsidR="005B56A1">
                <w:fldChar w:fldCharType="begin"/>
              </w:r>
              <w:r w:rsidR="005B56A1">
                <w:instrText xml:space="preserve"> PAGE   \* MERGEFORMAT </w:instrText>
              </w:r>
              <w:r w:rsidR="005B56A1">
                <w:fldChar w:fldCharType="separate"/>
              </w:r>
              <w:r w:rsidR="00AC3A64">
                <w:rPr>
                  <w:noProof/>
                </w:rPr>
                <w:t>2</w:t>
              </w:r>
              <w:r w:rsidR="005B56A1">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F176EF" w:rsidP="00D859A3">
          <w:pPr>
            <w:pStyle w:val="Footer"/>
            <w:jc w:val="center"/>
            <w:rPr>
              <w:i/>
              <w:sz w:val="20"/>
            </w:rPr>
          </w:pPr>
          <w:hyperlink r:id="rId2" w:history="1">
            <w:r w:rsidR="005B56A1"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B957" w14:textId="77777777" w:rsidR="00F176EF" w:rsidRDefault="00F176EF" w:rsidP="00835E24">
      <w:pPr>
        <w:spacing w:after="0" w:line="240" w:lineRule="auto"/>
      </w:pPr>
      <w:r>
        <w:separator/>
      </w:r>
    </w:p>
  </w:footnote>
  <w:footnote w:type="continuationSeparator" w:id="0">
    <w:p w14:paraId="6F9FF542" w14:textId="77777777" w:rsidR="00F176EF" w:rsidRDefault="00F176EF" w:rsidP="00835E24">
      <w:pPr>
        <w:spacing w:after="0" w:line="240" w:lineRule="auto"/>
      </w:pPr>
      <w:r>
        <w:continuationSeparator/>
      </w:r>
    </w:p>
  </w:footnote>
  <w:footnote w:id="1">
    <w:p w14:paraId="5E8D2A14" w14:textId="77777777" w:rsidR="005B56A1" w:rsidRPr="00023458" w:rsidRDefault="005B56A1" w:rsidP="003E50F6">
      <w:pPr>
        <w:pStyle w:val="FootnoteText"/>
        <w:rPr>
          <w:lang w:val="fr-029"/>
        </w:rPr>
      </w:pPr>
      <w:r>
        <w:rPr>
          <w:rStyle w:val="FootnoteReference"/>
        </w:rPr>
        <w:footnoteRef/>
      </w:r>
      <w:r w:rsidRPr="00023458">
        <w:rPr>
          <w:lang w:val="fr-029"/>
        </w:rPr>
        <w:t xml:space="preserve"> CDMI, POSIX, SWIFT, etc.</w:t>
      </w:r>
    </w:p>
  </w:footnote>
  <w:footnote w:id="2">
    <w:p w14:paraId="68941808" w14:textId="76F8D1E2" w:rsidR="005B56A1" w:rsidRPr="00023458" w:rsidRDefault="005B56A1" w:rsidP="003E50F6">
      <w:pPr>
        <w:pStyle w:val="FootnoteText"/>
        <w:rPr>
          <w:lang w:val="fr-029"/>
        </w:rPr>
      </w:pPr>
      <w:r>
        <w:rPr>
          <w:rStyle w:val="FootnoteReference"/>
        </w:rPr>
        <w:footnoteRef/>
      </w:r>
      <w:r w:rsidRPr="00023458">
        <w:rPr>
          <w:lang w:val="fr-029"/>
        </w:rPr>
        <w:t xml:space="preserve"> DPM, </w:t>
      </w:r>
      <w:proofErr w:type="spellStart"/>
      <w:r w:rsidRPr="00023458">
        <w:rPr>
          <w:lang w:val="fr-029"/>
        </w:rPr>
        <w:t>dCache</w:t>
      </w:r>
      <w:proofErr w:type="spellEnd"/>
      <w:r w:rsidRPr="00023458">
        <w:rPr>
          <w:lang w:val="fr-029"/>
        </w:rPr>
        <w:t>, STORM, etc.</w:t>
      </w:r>
    </w:p>
  </w:footnote>
  <w:footnote w:id="3">
    <w:p w14:paraId="7E31BEC8" w14:textId="1E1CC8AD" w:rsidR="005B56A1" w:rsidRPr="00023458" w:rsidRDefault="005B56A1">
      <w:pPr>
        <w:pStyle w:val="FootnoteText"/>
        <w:rPr>
          <w:lang w:val="fr-029"/>
        </w:rPr>
      </w:pPr>
      <w:r>
        <w:rPr>
          <w:rStyle w:val="FootnoteReference"/>
        </w:rPr>
        <w:footnoteRef/>
      </w:r>
      <w:r w:rsidRPr="00023458">
        <w:rPr>
          <w:lang w:val="fr-029"/>
        </w:rPr>
        <w:t xml:space="preserve"> </w:t>
      </w:r>
      <w:hyperlink r:id="rId1" w:history="1">
        <w:r w:rsidRPr="00023458">
          <w:rPr>
            <w:rStyle w:val="Hyperlink"/>
            <w:lang w:val="fr-029"/>
          </w:rPr>
          <w:t>http://accounting.egi.eu/</w:t>
        </w:r>
      </w:hyperlink>
      <w:r w:rsidRPr="00023458">
        <w:rPr>
          <w:lang w:val="fr-029"/>
        </w:rPr>
        <w:t xml:space="preserve"> </w:t>
      </w:r>
    </w:p>
  </w:footnote>
  <w:footnote w:id="4">
    <w:p w14:paraId="2B8E0BC9" w14:textId="2B342209" w:rsidR="005B56A1" w:rsidRPr="00023458" w:rsidRDefault="005B56A1">
      <w:pPr>
        <w:pStyle w:val="FootnoteText"/>
        <w:rPr>
          <w:lang w:val="fr-029"/>
        </w:rPr>
      </w:pPr>
      <w:r>
        <w:rPr>
          <w:rStyle w:val="FootnoteReference"/>
        </w:rPr>
        <w:footnoteRef/>
      </w:r>
      <w:r w:rsidRPr="00023458">
        <w:rPr>
          <w:lang w:val="fr-029"/>
        </w:rPr>
        <w:t xml:space="preserve"> </w:t>
      </w:r>
      <w:hyperlink r:id="rId2" w:history="1">
        <w:r w:rsidRPr="00023458">
          <w:rPr>
            <w:rStyle w:val="Hyperlink"/>
            <w:lang w:val="fr-029"/>
          </w:rPr>
          <w:t>http://argo.egi.eu/</w:t>
        </w:r>
      </w:hyperlink>
      <w:r w:rsidRPr="00023458">
        <w:rPr>
          <w:lang w:val="fr-029"/>
        </w:rPr>
        <w:t xml:space="preserve"> </w:t>
      </w:r>
    </w:p>
  </w:footnote>
  <w:footnote w:id="5">
    <w:p w14:paraId="3CBC59A4" w14:textId="77777777" w:rsidR="005B56A1" w:rsidRPr="00023458" w:rsidRDefault="005B56A1" w:rsidP="00176CC7">
      <w:pPr>
        <w:pStyle w:val="FootnoteText"/>
        <w:rPr>
          <w:lang w:val="fr-029"/>
        </w:rPr>
      </w:pPr>
      <w:r>
        <w:rPr>
          <w:rStyle w:val="FootnoteReference"/>
        </w:rPr>
        <w:footnoteRef/>
      </w:r>
      <w:r w:rsidRPr="00023458">
        <w:rPr>
          <w:lang w:val="fr-029"/>
        </w:rPr>
        <w:t xml:space="preserve"> </w:t>
      </w:r>
      <w:hyperlink r:id="rId3" w:anchor="Downtimes" w:history="1">
        <w:r w:rsidRPr="00023458">
          <w:rPr>
            <w:rStyle w:val="Hyperlink"/>
            <w:rFonts w:cs="Cambria"/>
            <w:lang w:val="fr-029"/>
          </w:rPr>
          <w:t>https://wiki.egi.eu/wiki/GOCDB/Input_System_User_Documentation#Downtimes</w:t>
        </w:r>
      </w:hyperlink>
    </w:p>
  </w:footnote>
  <w:footnote w:id="6">
    <w:p w14:paraId="38723179" w14:textId="3F04AE24" w:rsidR="005B56A1" w:rsidRPr="00023458" w:rsidRDefault="005B56A1">
      <w:pPr>
        <w:pStyle w:val="FootnoteText"/>
        <w:rPr>
          <w:lang w:val="fr-029"/>
        </w:rPr>
      </w:pPr>
      <w:r>
        <w:rPr>
          <w:rStyle w:val="FootnoteReference"/>
        </w:rPr>
        <w:footnoteRef/>
      </w:r>
      <w:r w:rsidRPr="00023458">
        <w:rPr>
          <w:lang w:val="fr-029"/>
        </w:rPr>
        <w:t xml:space="preserve"> </w:t>
      </w:r>
      <w:hyperlink r:id="rId4" w:history="1">
        <w:r w:rsidRPr="00375CAB">
          <w:rPr>
            <w:rStyle w:val="Hyperlink"/>
            <w:rFonts w:eastAsia="Calibri" w:cs="Open Sans"/>
            <w:lang w:val="fr-029"/>
          </w:rPr>
          <w:t>http://goc.egi.eu/</w:t>
        </w:r>
      </w:hyperlink>
    </w:p>
  </w:footnote>
  <w:footnote w:id="7">
    <w:p w14:paraId="0C29469E" w14:textId="6D15BA27" w:rsidR="005B56A1" w:rsidRPr="00023458" w:rsidRDefault="005B56A1">
      <w:pPr>
        <w:pStyle w:val="FootnoteText"/>
        <w:rPr>
          <w:lang w:val="fr-029"/>
        </w:rPr>
      </w:pPr>
      <w:r>
        <w:rPr>
          <w:rStyle w:val="FootnoteReference"/>
        </w:rPr>
        <w:footnoteRef/>
      </w:r>
      <w:r w:rsidRPr="00023458">
        <w:rPr>
          <w:lang w:val="fr-029"/>
        </w:rPr>
        <w:t xml:space="preserve"> </w:t>
      </w:r>
      <w:hyperlink r:id="rId5" w:history="1">
        <w:r w:rsidRPr="00375CAB">
          <w:rPr>
            <w:rStyle w:val="Hyperlink"/>
            <w:rFonts w:eastAsia="Calibri" w:cs="Open Sans"/>
            <w:lang w:val="fr-029"/>
          </w:rPr>
          <w:t>http://helpdesk.egi.eu/</w:t>
        </w:r>
      </w:hyperlink>
    </w:p>
  </w:footnote>
  <w:footnote w:id="8">
    <w:p w14:paraId="6D1D8F39" w14:textId="1D7FCE73" w:rsidR="005B56A1" w:rsidRPr="00023458" w:rsidRDefault="005B56A1">
      <w:pPr>
        <w:pStyle w:val="FootnoteText"/>
        <w:rPr>
          <w:lang w:val="fr-029"/>
        </w:rPr>
      </w:pPr>
      <w:r>
        <w:rPr>
          <w:rStyle w:val="FootnoteReference"/>
        </w:rPr>
        <w:footnoteRef/>
      </w:r>
      <w:r w:rsidRPr="00023458">
        <w:rPr>
          <w:lang w:val="fr-029"/>
        </w:rPr>
        <w:t xml:space="preserve"> </w:t>
      </w:r>
      <w:hyperlink r:id="rId6" w:history="1">
        <w:r w:rsidRPr="00023458">
          <w:rPr>
            <w:rStyle w:val="Hyperlink"/>
            <w:rFonts w:cs="Cambria"/>
            <w:lang w:val="fr-029"/>
          </w:rPr>
          <w:t>https://www.egi.eu/sso/</w:t>
        </w:r>
      </w:hyperlink>
    </w:p>
  </w:footnote>
  <w:footnote w:id="9">
    <w:p w14:paraId="3C3EF43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7" w:history="1">
        <w:r w:rsidRPr="00023458">
          <w:rPr>
            <w:rStyle w:val="Hyperlink"/>
            <w:lang w:val="fr-029"/>
          </w:rPr>
          <w:t>https://wiki.egi.eu/wiki/FAQ_GGUS-QoS-Levels</w:t>
        </w:r>
      </w:hyperlink>
      <w:r w:rsidRPr="00023458">
        <w:rPr>
          <w:lang w:val="fr-029"/>
        </w:rPr>
        <w:t xml:space="preserve"> </w:t>
      </w:r>
    </w:p>
  </w:footnote>
  <w:footnote w:id="10">
    <w:p w14:paraId="562C2AC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8" w:history="1">
        <w:r w:rsidRPr="00023458">
          <w:rPr>
            <w:rStyle w:val="Hyperlink"/>
            <w:lang w:val="fr-029"/>
          </w:rPr>
          <w:t>https://wiki.egi.eu/wiki/FAQ_GGUS-Ticket-Priority</w:t>
        </w:r>
      </w:hyperlink>
      <w:r w:rsidRPr="00023458">
        <w:rPr>
          <w:lang w:val="fr-029"/>
        </w:rPr>
        <w:t xml:space="preserve"> </w:t>
      </w:r>
    </w:p>
  </w:footnote>
  <w:footnote w:id="11">
    <w:p w14:paraId="7160E92A" w14:textId="1DD0315A" w:rsidR="005B56A1" w:rsidRPr="00023458" w:rsidRDefault="005B56A1">
      <w:pPr>
        <w:pStyle w:val="FootnoteText"/>
        <w:rPr>
          <w:lang w:val="fr-029"/>
        </w:rPr>
      </w:pPr>
      <w:r>
        <w:rPr>
          <w:rStyle w:val="FootnoteReference"/>
        </w:rPr>
        <w:footnoteRef/>
      </w:r>
      <w:r w:rsidRPr="00023458">
        <w:rPr>
          <w:lang w:val="fr-029"/>
        </w:rPr>
        <w:t xml:space="preserve"> </w:t>
      </w:r>
      <w:hyperlink r:id="rId9" w:history="1">
        <w:r w:rsidRPr="00023458">
          <w:rPr>
            <w:rStyle w:val="Hyperlink"/>
            <w:lang w:val="fr-029"/>
          </w:rPr>
          <w:t>https://documents.egi.eu/document/2748</w:t>
        </w:r>
      </w:hyperlink>
      <w:r w:rsidRPr="00023458">
        <w:rPr>
          <w:lang w:val="fr-029"/>
        </w:rPr>
        <w:t xml:space="preserve"> </w:t>
      </w:r>
    </w:p>
  </w:footnote>
  <w:footnote w:id="12">
    <w:p w14:paraId="65C97635" w14:textId="125F58FC" w:rsidR="005B56A1" w:rsidRPr="00023458" w:rsidRDefault="005B56A1">
      <w:pPr>
        <w:pStyle w:val="FootnoteText"/>
        <w:rPr>
          <w:lang w:val="fr-029"/>
        </w:rPr>
      </w:pPr>
      <w:r>
        <w:rPr>
          <w:rStyle w:val="FootnoteReference"/>
        </w:rPr>
        <w:footnoteRef/>
      </w:r>
      <w:r w:rsidRPr="00023458">
        <w:rPr>
          <w:lang w:val="fr-029"/>
        </w:rPr>
        <w:t xml:space="preserve"> </w:t>
      </w:r>
      <w:hyperlink r:id="rId10" w:history="1">
        <w:r w:rsidRPr="00023458">
          <w:rPr>
            <w:rStyle w:val="Hyperlink"/>
            <w:rFonts w:cs="Open Sans"/>
            <w:lang w:val="fr-029"/>
          </w:rPr>
          <w:t>https://www.egi.eu/about/policy/policies_procedures.html</w:t>
        </w:r>
      </w:hyperlink>
    </w:p>
  </w:footnote>
  <w:footnote w:id="13">
    <w:p w14:paraId="2DCB2BAF" w14:textId="5D6B54F6" w:rsidR="005B56A1" w:rsidRPr="00023458" w:rsidRDefault="005B56A1">
      <w:pPr>
        <w:pStyle w:val="FootnoteText"/>
        <w:rPr>
          <w:lang w:val="fr-029"/>
        </w:rPr>
      </w:pPr>
      <w:r>
        <w:rPr>
          <w:rStyle w:val="FootnoteReference"/>
        </w:rPr>
        <w:footnoteRef/>
      </w:r>
      <w:r w:rsidRPr="00023458">
        <w:rPr>
          <w:lang w:val="fr-029"/>
        </w:rPr>
        <w:t xml:space="preserve"> </w:t>
      </w:r>
      <w:hyperlink r:id="rId11" w:history="1">
        <w:r w:rsidRPr="00023458">
          <w:rPr>
            <w:rStyle w:val="Hyperlink"/>
            <w:rFonts w:cs="Open Sans"/>
            <w:lang w:val="fr-029"/>
          </w:rPr>
          <w:t>https://www.egi.eu/about/policy/policies_procedures.html</w:t>
        </w:r>
      </w:hyperlink>
    </w:p>
  </w:footnote>
  <w:footnote w:id="14">
    <w:p w14:paraId="5304B39E" w14:textId="5CDCB3DC" w:rsidR="005B56A1" w:rsidRPr="00023458" w:rsidRDefault="005B56A1">
      <w:pPr>
        <w:pStyle w:val="FootnoteText"/>
        <w:rPr>
          <w:lang w:val="fr-029"/>
        </w:rPr>
      </w:pPr>
      <w:r>
        <w:rPr>
          <w:rStyle w:val="FootnoteReference"/>
        </w:rPr>
        <w:footnoteRef/>
      </w:r>
      <w:r w:rsidRPr="00023458">
        <w:rPr>
          <w:lang w:val="fr-029"/>
        </w:rPr>
        <w:t xml:space="preserve"> </w:t>
      </w:r>
      <w:hyperlink r:id="rId12" w:history="1">
        <w:r w:rsidRPr="00023458">
          <w:rPr>
            <w:rStyle w:val="Hyperlink"/>
            <w:lang w:val="fr-029"/>
          </w:rPr>
          <w:t>https://documents.egi.eu/document/74</w:t>
        </w:r>
      </w:hyperlink>
    </w:p>
  </w:footnote>
  <w:footnote w:id="15">
    <w:p w14:paraId="0491776F" w14:textId="60BCE3C5" w:rsidR="005B56A1" w:rsidRPr="00023458" w:rsidRDefault="005B56A1">
      <w:pPr>
        <w:pStyle w:val="FootnoteText"/>
        <w:rPr>
          <w:lang w:val="fr-029"/>
        </w:rPr>
      </w:pPr>
      <w:r>
        <w:rPr>
          <w:rStyle w:val="FootnoteReference"/>
        </w:rPr>
        <w:footnoteRef/>
      </w:r>
      <w:r w:rsidRPr="00023458">
        <w:rPr>
          <w:lang w:val="fr-029"/>
        </w:rPr>
        <w:t xml:space="preserve"> </w:t>
      </w:r>
      <w:hyperlink r:id="rId13" w:history="1">
        <w:r w:rsidRPr="00023458">
          <w:rPr>
            <w:rStyle w:val="Hyperlink"/>
            <w:lang w:val="fr-029"/>
          </w:rPr>
          <w:t>http://operations-portal.egi.eu/</w:t>
        </w:r>
      </w:hyperlink>
      <w:r w:rsidRPr="00023458">
        <w:rPr>
          <w:lang w:val="fr-029"/>
        </w:rPr>
        <w:t xml:space="preserve"> </w:t>
      </w:r>
    </w:p>
  </w:footnote>
  <w:footnote w:id="16">
    <w:p w14:paraId="06D39FF3" w14:textId="481D36EA" w:rsidR="005B56A1" w:rsidRPr="00023458" w:rsidRDefault="005B56A1">
      <w:pPr>
        <w:pStyle w:val="FootnoteText"/>
        <w:rPr>
          <w:lang w:val="fr-029"/>
        </w:rPr>
      </w:pPr>
      <w:r>
        <w:rPr>
          <w:rStyle w:val="FootnoteReference"/>
        </w:rPr>
        <w:footnoteRef/>
      </w:r>
      <w:r w:rsidRPr="00023458">
        <w:rPr>
          <w:lang w:val="fr-029"/>
        </w:rPr>
        <w:t xml:space="preserve"> </w:t>
      </w:r>
      <w:hyperlink r:id="rId14" w:history="1">
        <w:r w:rsidRPr="00023458">
          <w:rPr>
            <w:rStyle w:val="Hyperlink"/>
            <w:rFonts w:eastAsia="Calibri" w:cs="Open Sans"/>
            <w:lang w:val="fr-029"/>
          </w:rPr>
          <w:t>https://wiki.egi.eu/wiki/FAQ_GGUS-New-Support-Unit</w:t>
        </w:r>
      </w:hyperlink>
    </w:p>
  </w:footnote>
  <w:footnote w:id="17">
    <w:p w14:paraId="68236905" w14:textId="00C09707" w:rsidR="005B56A1" w:rsidRDefault="005B56A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441"/>
    <w:rsid w:val="00015836"/>
    <w:rsid w:val="000232FD"/>
    <w:rsid w:val="00023458"/>
    <w:rsid w:val="00036768"/>
    <w:rsid w:val="00046C4F"/>
    <w:rsid w:val="000502D5"/>
    <w:rsid w:val="000536E9"/>
    <w:rsid w:val="00062C7D"/>
    <w:rsid w:val="000703A3"/>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0670"/>
    <w:rsid w:val="00334E08"/>
    <w:rsid w:val="00337DFA"/>
    <w:rsid w:val="00350F10"/>
    <w:rsid w:val="0035124F"/>
    <w:rsid w:val="00362C1C"/>
    <w:rsid w:val="00375CAB"/>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A784D"/>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82DDC"/>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EF17C8"/>
    <w:rsid w:val="00F06E24"/>
    <w:rsid w:val="00F176EF"/>
    <w:rsid w:val="00F30F42"/>
    <w:rsid w:val="00F33541"/>
    <w:rsid w:val="00F337DD"/>
    <w:rsid w:val="00F42F91"/>
    <w:rsid w:val="00F516E7"/>
    <w:rsid w:val="00F66DAF"/>
    <w:rsid w:val="00F67FE1"/>
    <w:rsid w:val="00F709FD"/>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high-throughput-compute/" TargetMode="External"/><Relationship Id="rId18" Type="http://schemas.openxmlformats.org/officeDocument/2006/relationships/hyperlink" Target="mailto:operations@egi.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gi.eu/services/cloud-container/"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hyperlink" Target="https://www.egi.eu/services/notebooks/" TargetMode="External"/><Relationship Id="rId23" Type="http://schemas.openxmlformats.org/officeDocument/2006/relationships/theme" Target="theme/theme1.xml"/><Relationship Id="rId10" Type="http://schemas.openxmlformats.org/officeDocument/2006/relationships/hyperlink" Target="https://www.egi.eu/services/" TargetMode="External"/><Relationship Id="rId19" Type="http://schemas.openxmlformats.org/officeDocument/2006/relationships/hyperlink" Target="mailto:complaints@egi.eu"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www.egi.eu/services/online-storag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FDA8-5F23-475B-878B-2F954AA3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2409</Words>
  <Characters>13736</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12</cp:revision>
  <cp:lastPrinted>2015-11-30T14:42:00Z</cp:lastPrinted>
  <dcterms:created xsi:type="dcterms:W3CDTF">2018-03-22T08:16:00Z</dcterms:created>
  <dcterms:modified xsi:type="dcterms:W3CDTF">2019-09-10T13:31:00Z</dcterms:modified>
</cp:coreProperties>
</file>