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720"/>
        <w:jc w:val="center"/>
        <w:rPr/>
      </w:pPr>
      <w:r w:rsidDel="00000000" w:rsidR="00000000" w:rsidRPr="00000000">
        <w:rPr/>
        <w:drawing>
          <wp:inline distB="0" distT="0" distL="0" distR="0">
            <wp:extent cx="3234206" cy="2568883"/>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pageBreakBefore w:val="0"/>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pageBreakBefore w:val="0"/>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[User community]/[VO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8">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pageBreakBefore w:val="0"/>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A">
            <w:pPr>
              <w:pageBreakBefore w:val="0"/>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pageBreakBefore w:val="0"/>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sz w:val="20"/>
                <w:szCs w:val="20"/>
                <w:highlight w:val="yellow"/>
                <w:rtl w:val="0"/>
              </w:rPr>
              <w:t xml:space="preserve">E</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pageBreakBefore w:val="0"/>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w:t>
            </w:r>
            <w:r w:rsidDel="00000000" w:rsidR="00000000" w:rsidRPr="00000000">
              <w:rPr>
                <w:sz w:val="20"/>
                <w:szCs w:val="20"/>
                <w:highlight w:val="yellow"/>
                <w:rtl w:val="0"/>
              </w:rPr>
              <w:t xml:space="preserve">INAL</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w:t>
            </w:r>
            <w:r w:rsidDel="00000000" w:rsidR="00000000" w:rsidRPr="00000000">
              <w:rPr>
                <w:b w:val="1"/>
                <w:sz w:val="20"/>
                <w:szCs w:val="20"/>
                <w:rtl w:val="0"/>
              </w:rPr>
              <w:t xml:space="preserve">signature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w:t>
            </w:r>
            <w:r w:rsidDel="00000000" w:rsidR="00000000" w:rsidRPr="00000000">
              <w:rPr>
                <w:sz w:val="20"/>
                <w:szCs w:val="20"/>
                <w:highlight w:val="yellow"/>
                <w:rtl w:val="0"/>
              </w:rPr>
              <w:t xml:space="preserve">document db</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Template 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v3.17</w:t>
            </w:r>
            <w:r w:rsidDel="00000000" w:rsidR="00000000" w:rsidRPr="00000000">
              <w:rPr>
                <w:rtl w:val="0"/>
              </w:rPr>
            </w:r>
          </w:p>
        </w:tc>
      </w:tr>
    </w:tbl>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pageBreakBefore w:val="0"/>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pageBreakBefore w:val="0"/>
        <w:rPr>
          <w:color w:val="0000ff"/>
          <w:u w:val="single"/>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6">
      <w:pPr>
        <w:pageBreakBefore w:val="0"/>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D">
      <w:pPr>
        <w:pageBreakBefore w:val="0"/>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[User Community name]/[VO name]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E">
      <w:pPr>
        <w:pageBreakBefore w:val="0"/>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 name]</w:t>
      </w:r>
      <w:r w:rsidDel="00000000" w:rsidR="00000000" w:rsidRPr="00000000">
        <w:rPr>
          <w:rtl w:val="0"/>
        </w:rPr>
        <w:t xml:space="preserve">. </w:t>
      </w:r>
    </w:p>
    <w:p w:rsidR="00000000" w:rsidDel="00000000" w:rsidP="00000000" w:rsidRDefault="00000000" w:rsidRPr="00000000" w14:paraId="00000040">
      <w:pPr>
        <w:pageBreakBefore w:val="0"/>
        <w:rPr/>
      </w:pPr>
      <w:r w:rsidDel="00000000" w:rsidR="00000000" w:rsidRPr="00000000">
        <w:rPr>
          <w:rtl w:val="0"/>
        </w:rPr>
        <w:t xml:space="preserve">The Component providers are delivering a part of the Service(s) and are listed in Section 1.</w:t>
      </w:r>
    </w:p>
    <w:p w:rsidR="00000000" w:rsidDel="00000000" w:rsidP="00000000" w:rsidRDefault="00000000" w:rsidRPr="00000000" w14:paraId="00000041">
      <w:pPr>
        <w:pageBreakBefore w:val="0"/>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 </w:t>
      </w:r>
    </w:p>
    <w:p w:rsidR="00000000" w:rsidDel="00000000" w:rsidP="00000000" w:rsidRDefault="00000000" w:rsidRPr="00000000" w14:paraId="00000042">
      <w:pPr>
        <w:pageBreakBefore w:val="0"/>
        <w:rPr/>
      </w:pPr>
      <w:r w:rsidDel="00000000" w:rsidR="00000000" w:rsidRPr="00000000">
        <w:rPr>
          <w:rtl w:val="0"/>
        </w:rPr>
        <w:t xml:space="preserve">The Agreement was discussed and approved by the Customer and the Service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3">
      <w:pPr>
        <w:pStyle w:val="Heading1"/>
        <w:pageBreakBefore w:val="0"/>
        <w:numPr>
          <w:ilvl w:val="0"/>
          <w:numId w:val="5"/>
        </w:numPr>
        <w:ind w:left="432" w:hanging="432"/>
        <w:rPr/>
      </w:pPr>
      <w:bookmarkStart w:colFirst="0" w:colLast="0" w:name="_gjdgxs" w:id="0"/>
      <w:bookmarkEnd w:id="0"/>
      <w:r w:rsidDel="00000000" w:rsidR="00000000" w:rsidRPr="00000000">
        <w:rPr>
          <w:rtl w:val="0"/>
        </w:rPr>
        <w:t xml:space="preserve">The Services</w:t>
      </w:r>
    </w:p>
    <w:p w:rsidR="00000000" w:rsidDel="00000000" w:rsidP="00000000" w:rsidRDefault="00000000" w:rsidRPr="00000000" w14:paraId="00000044">
      <w:pPr>
        <w:pageBreakBefore w:val="0"/>
        <w:rPr/>
      </w:pPr>
      <w:r w:rsidDel="00000000" w:rsidR="00000000" w:rsidRPr="00000000">
        <w:rPr>
          <w:rtl w:val="0"/>
        </w:rPr>
        <w:t xml:space="preserve">All services provided by EGI are listed under: </w:t>
      </w:r>
      <w:hyperlink r:id="rId9">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5">
      <w:pPr>
        <w:pageBreakBefore w:val="0"/>
        <w:rPr/>
      </w:pPr>
      <w:r w:rsidDel="00000000" w:rsidR="00000000" w:rsidRPr="00000000">
        <w:rPr>
          <w:rtl w:val="0"/>
        </w:rPr>
        <w:t xml:space="preserve">Possible allocation types: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for a fixed time period.</w:t>
      </w:r>
    </w:p>
    <w:p w:rsidR="00000000" w:rsidDel="00000000" w:rsidP="00000000" w:rsidRDefault="00000000" w:rsidRPr="00000000" w14:paraId="00000049">
      <w:pPr>
        <w:pageBreakBefore w:val="0"/>
        <w:rPr/>
      </w:pPr>
      <w:r w:rsidDel="00000000" w:rsidR="00000000" w:rsidRPr="00000000">
        <w:rPr>
          <w:rtl w:val="0"/>
        </w:rPr>
        <w:t xml:space="preserve">Possible payment mode offer:</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ustomer uses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tl w:val="0"/>
        </w:rPr>
        <w:t xml:space="preserve">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used.</w:t>
      </w:r>
    </w:p>
    <w:p w:rsidR="00000000" w:rsidDel="00000000" w:rsidP="00000000" w:rsidRDefault="00000000" w:rsidRPr="00000000" w14:paraId="0000004C">
      <w:pPr>
        <w:pageBreakBefore w:val="0"/>
        <w:rPr/>
      </w:pPr>
      <w:r w:rsidDel="00000000" w:rsidR="00000000" w:rsidRPr="00000000">
        <w:rPr>
          <w:rtl w:val="0"/>
        </w:rPr>
        <w:t xml:space="preserve">The Services are defined by the following properties:</w:t>
      </w:r>
    </w:p>
    <w:p w:rsidR="00000000" w:rsidDel="00000000" w:rsidP="00000000" w:rsidRDefault="00000000" w:rsidRPr="00000000" w14:paraId="0000004D">
      <w:pPr>
        <w:pageBreakBefore w:val="0"/>
        <w:rPr>
          <w:b w:val="1"/>
        </w:rPr>
      </w:pPr>
      <w:r w:rsidDel="00000000" w:rsidR="00000000" w:rsidRPr="00000000">
        <w:rPr>
          <w:b w:val="1"/>
          <w:rtl w:val="0"/>
        </w:rPr>
        <w:t xml:space="preserve">Cloud Compute (category: Compute)</w:t>
      </w:r>
    </w:p>
    <w:p w:rsidR="00000000" w:rsidDel="00000000" w:rsidP="00000000" w:rsidRDefault="00000000" w:rsidRPr="00000000" w14:paraId="0000004E">
      <w:pPr>
        <w:pageBreakBefore w:val="0"/>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5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5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1">
      <w:pPr>
        <w:pageBreakBefore w:val="0"/>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6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Cloud Compute</w:t>
      </w:r>
    </w:p>
    <w:p w:rsidR="00000000" w:rsidDel="00000000" w:rsidP="00000000" w:rsidRDefault="00000000" w:rsidRPr="00000000" w14:paraId="0000006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virtual CPU cores:</w:t>
      </w:r>
    </w:p>
    <w:p w:rsidR="00000000" w:rsidDel="00000000" w:rsidP="00000000" w:rsidRDefault="00000000" w:rsidRPr="00000000" w14:paraId="00000065">
      <w:pPr>
        <w:pageBreakBefore w:val="0"/>
        <w:numPr>
          <w:ilvl w:val="2"/>
          <w:numId w:val="19"/>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6">
      <w:pPr>
        <w:pageBreakBefore w:val="0"/>
        <w:numPr>
          <w:ilvl w:val="2"/>
          <w:numId w:val="19"/>
        </w:numPr>
        <w:spacing w:after="0" w:lineRule="auto"/>
        <w:ind w:left="1800" w:hanging="360"/>
        <w:rPr>
          <w:highlight w:val="yellow"/>
        </w:rPr>
      </w:pPr>
      <w:r w:rsidDel="00000000" w:rsidR="00000000" w:rsidRPr="00000000">
        <w:rPr>
          <w:highlight w:val="yellow"/>
          <w:rtl w:val="0"/>
        </w:rPr>
        <w:t xml:space="preserve">Number of CPU Cores per GPU Core: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core (GB):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Local disk (GB):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Public IP addresses: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rtl w:val="0"/>
        </w:rPr>
      </w:r>
    </w:p>
    <w:p w:rsidR="00000000" w:rsidDel="00000000" w:rsidP="00000000" w:rsidRDefault="00000000" w:rsidRPr="00000000" w14:paraId="00000073">
      <w:pPr>
        <w:pageBreakBefore w:val="0"/>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4">
      <w:pPr>
        <w:pageBreakBefore w:val="0"/>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76">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High-Throughput Compute</w:t>
      </w:r>
    </w:p>
    <w:p w:rsidR="00000000" w:rsidDel="00000000" w:rsidP="00000000" w:rsidRDefault="00000000" w:rsidRPr="00000000" w14:paraId="0000007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computing time [HEPSPEC-hours]: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computing time [HEPSPEC-hours]: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job duration [hours]: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Max number of cores per node: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Min physical memory per core [GB]:</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Middleware: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pageBreakBefore w:val="0"/>
        <w:rPr>
          <w:b w:val="1"/>
        </w:rPr>
      </w:pPr>
      <w:r w:rsidDel="00000000" w:rsidR="00000000" w:rsidRPr="00000000">
        <w:rPr>
          <w:b w:val="1"/>
          <w:rtl w:val="0"/>
        </w:rPr>
        <w:t xml:space="preserve">Workload Manager (category: Compute)</w:t>
      </w:r>
    </w:p>
    <w:p w:rsidR="00000000" w:rsidDel="00000000" w:rsidP="00000000" w:rsidRDefault="00000000" w:rsidRPr="00000000" w14:paraId="00000087">
      <w:pPr>
        <w:pageBreakBefore w:val="0"/>
        <w:rPr/>
      </w:pPr>
      <w:r w:rsidDel="00000000" w:rsidR="00000000" w:rsidRPr="00000000">
        <w:rPr>
          <w:rtl w:val="0"/>
        </w:rPr>
        <w:t xml:space="preserve">Description: </w:t>
      </w:r>
      <w:hyperlink r:id="rId13">
        <w:r w:rsidDel="00000000" w:rsidR="00000000" w:rsidRPr="00000000">
          <w:rPr>
            <w:color w:val="1155cc"/>
            <w:u w:val="single"/>
            <w:rtl w:val="0"/>
          </w:rPr>
          <w:t xml:space="preserve">https://www.egi.eu/services/workload-manager/</w:t>
        </w:r>
      </w:hyperlink>
      <w:r w:rsidDel="00000000" w:rsidR="00000000" w:rsidRPr="00000000">
        <w:rPr>
          <w:rtl w:val="0"/>
        </w:rPr>
      </w:r>
    </w:p>
    <w:p w:rsidR="00000000" w:rsidDel="00000000" w:rsidP="00000000" w:rsidRDefault="00000000" w:rsidRPr="00000000" w14:paraId="00000088">
      <w:pPr>
        <w:pageBreakBefore w:val="0"/>
        <w:numPr>
          <w:ilvl w:val="0"/>
          <w:numId w:val="3"/>
        </w:numPr>
        <w:spacing w:after="0" w:afterAutospacing="0"/>
        <w:ind w:left="720" w:hanging="360"/>
        <w:rPr>
          <w:highlight w:val="yellow"/>
        </w:rPr>
      </w:pPr>
      <w:r w:rsidDel="00000000" w:rsidR="00000000" w:rsidRPr="00000000">
        <w:rPr>
          <w:highlight w:val="yellow"/>
          <w:rtl w:val="0"/>
        </w:rPr>
        <w:t xml:space="preserve">Support for CVMFS: enabled/disabled</w:t>
      </w:r>
    </w:p>
    <w:p w:rsidR="00000000" w:rsidDel="00000000" w:rsidP="00000000" w:rsidRDefault="00000000" w:rsidRPr="00000000" w14:paraId="00000089">
      <w:pPr>
        <w:pageBreakBefore w:val="0"/>
        <w:numPr>
          <w:ilvl w:val="0"/>
          <w:numId w:val="3"/>
        </w:numPr>
        <w:spacing w:after="0" w:afterAutospacing="0"/>
        <w:ind w:left="720" w:hanging="360"/>
        <w:rPr>
          <w:highlight w:val="yellow"/>
        </w:rPr>
      </w:pPr>
      <w:r w:rsidDel="00000000" w:rsidR="00000000" w:rsidRPr="00000000">
        <w:rPr>
          <w:highlight w:val="yellow"/>
          <w:rtl w:val="0"/>
        </w:rPr>
        <w:t xml:space="preserve">CVMFS SW path: text (in case the support it's enabled)</w:t>
      </w:r>
    </w:p>
    <w:p w:rsidR="00000000" w:rsidDel="00000000" w:rsidP="00000000" w:rsidRDefault="00000000" w:rsidRPr="00000000" w14:paraId="0000008A">
      <w:pPr>
        <w:pageBreakBefore w:val="0"/>
        <w:numPr>
          <w:ilvl w:val="0"/>
          <w:numId w:val="3"/>
        </w:numPr>
        <w:spacing w:after="0" w:afterAutospacing="0"/>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8B">
      <w:pPr>
        <w:pageBreakBefore w:val="0"/>
        <w:numPr>
          <w:ilvl w:val="0"/>
          <w:numId w:val="3"/>
        </w:numPr>
        <w:ind w:left="720" w:hanging="360"/>
        <w:rPr>
          <w:highlight w:val="yellow"/>
        </w:rPr>
      </w:pPr>
      <w:r w:rsidDel="00000000" w:rsidR="00000000" w:rsidRPr="00000000">
        <w:rPr>
          <w:highlight w:val="yellow"/>
          <w:rtl w:val="0"/>
        </w:rPr>
        <w:t xml:space="preserve">Supported VOs:</w:t>
      </w:r>
    </w:p>
    <w:p w:rsidR="00000000" w:rsidDel="00000000" w:rsidP="00000000" w:rsidRDefault="00000000" w:rsidRPr="00000000" w14:paraId="0000008C">
      <w:pPr>
        <w:pageBreakBefore w:val="0"/>
        <w:rPr>
          <w:b w:val="1"/>
        </w:rPr>
      </w:pPr>
      <w:r w:rsidDel="00000000" w:rsidR="00000000" w:rsidRPr="00000000">
        <w:rPr>
          <w:rtl w:val="0"/>
        </w:rPr>
      </w:r>
    </w:p>
    <w:p w:rsidR="00000000" w:rsidDel="00000000" w:rsidP="00000000" w:rsidRDefault="00000000" w:rsidRPr="00000000" w14:paraId="0000008D">
      <w:pPr>
        <w:pageBreakBefore w:val="0"/>
        <w:rPr>
          <w:b w:val="1"/>
        </w:rPr>
      </w:pPr>
      <w:r w:rsidDel="00000000" w:rsidR="00000000" w:rsidRPr="00000000">
        <w:rPr>
          <w:b w:val="1"/>
          <w:rtl w:val="0"/>
        </w:rPr>
        <w:t xml:space="preserve">Online Storage (category: Storage)</w:t>
      </w:r>
    </w:p>
    <w:p w:rsidR="00000000" w:rsidDel="00000000" w:rsidP="00000000" w:rsidRDefault="00000000" w:rsidRPr="00000000" w14:paraId="0000008E">
      <w:pPr>
        <w:pageBreakBefore w:val="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Description: </w:t>
      </w:r>
      <w:hyperlink r:id="rId14">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9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Online Storage</w:t>
      </w:r>
    </w:p>
    <w:p w:rsidR="00000000" w:rsidDel="00000000" w:rsidP="00000000" w:rsidRDefault="00000000" w:rsidRPr="00000000" w14:paraId="00000091">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Guaranteed storage capacity [TB]: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Opportunistic storage capacity [TB]:</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Standard interfaces supported</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technology</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D">
      <w:pPr>
        <w:pageBreakBefore w:val="0"/>
        <w:rPr>
          <w:b w:val="1"/>
        </w:rPr>
      </w:pPr>
      <w:r w:rsidDel="00000000" w:rsidR="00000000" w:rsidRPr="00000000">
        <w:rPr>
          <w:b w:val="1"/>
          <w:rtl w:val="0"/>
        </w:rPr>
        <w:t xml:space="preserve">Notebooks (category: Applications)</w:t>
      </w:r>
    </w:p>
    <w:p w:rsidR="00000000" w:rsidDel="00000000" w:rsidP="00000000" w:rsidRDefault="00000000" w:rsidRPr="00000000" w14:paraId="0000009E">
      <w:pPr>
        <w:pageBreakBefore w:val="0"/>
        <w:rPr/>
      </w:pPr>
      <w:r w:rsidDel="00000000" w:rsidR="00000000" w:rsidRPr="00000000">
        <w:rPr>
          <w:rtl w:val="0"/>
        </w:rPr>
        <w:t xml:space="preserve">Description: </w:t>
      </w:r>
      <w:hyperlink r:id="rId15">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pageBreakBefore w:val="0"/>
        <w:numPr>
          <w:ilvl w:val="0"/>
          <w:numId w:val="19"/>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0">
      <w:pPr>
        <w:pageBreakBefore w:val="0"/>
        <w:numPr>
          <w:ilvl w:val="1"/>
          <w:numId w:val="19"/>
        </w:numPr>
        <w:spacing w:after="0" w:lineRule="auto"/>
        <w:ind w:left="1080" w:hanging="360"/>
        <w:rPr>
          <w:rFonts w:ascii="Calibri" w:cs="Calibri" w:eastAsia="Calibri" w:hAnsi="Calibri"/>
          <w:highlight w:val="yellow"/>
        </w:rPr>
      </w:pPr>
      <w:r w:rsidDel="00000000" w:rsidR="00000000" w:rsidRPr="00000000">
        <w:rPr>
          <w:highlight w:val="yellow"/>
          <w:rtl w:val="0"/>
        </w:rPr>
        <w:t xml:space="preserve">Notebooks</w:t>
      </w:r>
    </w:p>
    <w:p w:rsidR="00000000" w:rsidDel="00000000" w:rsidP="00000000" w:rsidRDefault="00000000" w:rsidRPr="00000000" w14:paraId="000000A1">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Number of users:</w:t>
      </w:r>
      <w:r w:rsidDel="00000000" w:rsidR="00000000" w:rsidRPr="00000000">
        <w:rPr>
          <w:rtl w:val="0"/>
        </w:rPr>
      </w:r>
    </w:p>
    <w:p w:rsidR="00000000" w:rsidDel="00000000" w:rsidP="00000000" w:rsidRDefault="00000000" w:rsidRPr="00000000" w14:paraId="000000A2">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Cores per user:</w:t>
      </w:r>
      <w:r w:rsidDel="00000000" w:rsidR="00000000" w:rsidRPr="00000000">
        <w:rPr>
          <w:rtl w:val="0"/>
        </w:rPr>
      </w:r>
    </w:p>
    <w:p w:rsidR="00000000" w:rsidDel="00000000" w:rsidP="00000000" w:rsidRDefault="00000000" w:rsidRPr="00000000" w14:paraId="000000A3">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Memory per user (GB):</w:t>
      </w:r>
      <w:r w:rsidDel="00000000" w:rsidR="00000000" w:rsidRPr="00000000">
        <w:rPr>
          <w:rtl w:val="0"/>
        </w:rPr>
      </w:r>
    </w:p>
    <w:p w:rsidR="00000000" w:rsidDel="00000000" w:rsidP="00000000" w:rsidRDefault="00000000" w:rsidRPr="00000000" w14:paraId="000000A4">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Storage per user (GB):</w:t>
      </w:r>
      <w:r w:rsidDel="00000000" w:rsidR="00000000" w:rsidRPr="00000000">
        <w:rPr>
          <w:rtl w:val="0"/>
        </w:rPr>
      </w:r>
    </w:p>
    <w:p w:rsidR="00000000" w:rsidDel="00000000" w:rsidP="00000000" w:rsidRDefault="00000000" w:rsidRPr="00000000" w14:paraId="000000A5">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Allocation</w:t>
      </w:r>
      <w:r w:rsidDel="00000000" w:rsidR="00000000" w:rsidRPr="00000000">
        <w:rPr>
          <w:rtl w:val="0"/>
        </w:rPr>
        <w:t xml:space="preserve"> </w:t>
      </w:r>
      <w:r w:rsidDel="00000000" w:rsidR="00000000" w:rsidRPr="00000000">
        <w:rPr>
          <w:highlight w:val="yellow"/>
          <w:rtl w:val="0"/>
        </w:rPr>
        <w:t xml:space="preserve">type:</w:t>
      </w:r>
      <w:r w:rsidDel="00000000" w:rsidR="00000000" w:rsidRPr="00000000">
        <w:rPr>
          <w:rtl w:val="0"/>
        </w:rPr>
      </w:r>
    </w:p>
    <w:p w:rsidR="00000000" w:rsidDel="00000000" w:rsidP="00000000" w:rsidRDefault="00000000" w:rsidRPr="00000000" w14:paraId="000000A6">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Payment mode offer: Sponsored</w:t>
      </w:r>
      <w:r w:rsidDel="00000000" w:rsidR="00000000" w:rsidRPr="00000000">
        <w:rPr>
          <w:rtl w:val="0"/>
        </w:rPr>
      </w:r>
    </w:p>
    <w:p w:rsidR="00000000" w:rsidDel="00000000" w:rsidP="00000000" w:rsidRDefault="00000000" w:rsidRPr="00000000" w14:paraId="000000A7">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Other technical requirements:</w:t>
      </w:r>
      <w:r w:rsidDel="00000000" w:rsidR="00000000" w:rsidRPr="00000000">
        <w:rPr>
          <w:rtl w:val="0"/>
        </w:rPr>
      </w:r>
    </w:p>
    <w:p w:rsidR="00000000" w:rsidDel="00000000" w:rsidP="00000000" w:rsidRDefault="00000000" w:rsidRPr="00000000" w14:paraId="000000A8">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Duration:</w:t>
      </w:r>
      <w:r w:rsidDel="00000000" w:rsidR="00000000" w:rsidRPr="00000000">
        <w:rPr>
          <w:rtl w:val="0"/>
        </w:rPr>
      </w:r>
    </w:p>
    <w:p w:rsidR="00000000" w:rsidDel="00000000" w:rsidP="00000000" w:rsidRDefault="00000000" w:rsidRPr="00000000" w14:paraId="000000A9">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Supported VOs:</w:t>
      </w:r>
    </w:p>
    <w:p w:rsidR="00000000" w:rsidDel="00000000" w:rsidP="00000000" w:rsidRDefault="00000000" w:rsidRPr="00000000" w14:paraId="000000AA">
      <w:pPr>
        <w:pageBreakBefore w:val="0"/>
        <w:rPr>
          <w:b w:val="1"/>
        </w:rPr>
      </w:pPr>
      <w:r w:rsidDel="00000000" w:rsidR="00000000" w:rsidRPr="00000000">
        <w:rPr>
          <w:rtl w:val="0"/>
        </w:rPr>
      </w:r>
    </w:p>
    <w:p w:rsidR="00000000" w:rsidDel="00000000" w:rsidP="00000000" w:rsidRDefault="00000000" w:rsidRPr="00000000" w14:paraId="000000AB">
      <w:pPr>
        <w:pageBreakBefore w:val="0"/>
        <w:rPr>
          <w:b w:val="1"/>
        </w:rPr>
      </w:pPr>
      <w:r w:rsidDel="00000000" w:rsidR="00000000" w:rsidRPr="00000000">
        <w:rPr>
          <w:b w:val="1"/>
          <w:rtl w:val="0"/>
        </w:rPr>
        <w:t xml:space="preserve">Check-In</w:t>
      </w:r>
      <w:r w:rsidDel="00000000" w:rsidR="00000000" w:rsidRPr="00000000">
        <w:rPr>
          <w:b w:val="1"/>
          <w:rtl w:val="0"/>
        </w:rPr>
        <w:t xml:space="preserve"> (category: Security)</w:t>
      </w:r>
    </w:p>
    <w:p w:rsidR="00000000" w:rsidDel="00000000" w:rsidP="00000000" w:rsidRDefault="00000000" w:rsidRPr="00000000" w14:paraId="000000AC">
      <w:pPr>
        <w:pageBreakBefore w:val="0"/>
        <w:rPr/>
      </w:pPr>
      <w:r w:rsidDel="00000000" w:rsidR="00000000" w:rsidRPr="00000000">
        <w:rPr>
          <w:rtl w:val="0"/>
        </w:rPr>
        <w:t xml:space="preserve">Description: </w:t>
      </w:r>
      <w:hyperlink r:id="rId16">
        <w:r w:rsidDel="00000000" w:rsidR="00000000" w:rsidRPr="00000000">
          <w:rPr>
            <w:color w:val="1155cc"/>
            <w:u w:val="single"/>
            <w:rtl w:val="0"/>
          </w:rPr>
          <w:t xml:space="preserve">https://www.egi.eu/services/check-in/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pageBreakBefore w:val="0"/>
        <w:numPr>
          <w:ilvl w:val="0"/>
          <w:numId w:val="19"/>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E">
      <w:pPr>
        <w:pageBreakBefore w:val="0"/>
        <w:numPr>
          <w:ilvl w:val="1"/>
          <w:numId w:val="19"/>
        </w:numPr>
        <w:spacing w:after="0" w:lineRule="auto"/>
        <w:ind w:left="1080" w:hanging="360"/>
        <w:rPr>
          <w:highlight w:val="yellow"/>
        </w:rPr>
      </w:pPr>
      <w:r w:rsidDel="00000000" w:rsidR="00000000" w:rsidRPr="00000000">
        <w:rPr>
          <w:highlight w:val="yellow"/>
          <w:rtl w:val="0"/>
        </w:rPr>
        <w:t xml:space="preserve">Check-In (as community AAI/IdP):</w:t>
      </w:r>
    </w:p>
    <w:p w:rsidR="00000000" w:rsidDel="00000000" w:rsidP="00000000" w:rsidRDefault="00000000" w:rsidRPr="00000000" w14:paraId="000000AF">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2"/>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0">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4"/>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2">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7"/>
      </w:r>
      <w:r w:rsidDel="00000000" w:rsidR="00000000" w:rsidRPr="00000000">
        <w:rPr>
          <w:highlight w:val="yellow"/>
          <w:rtl w:val="0"/>
        </w:rPr>
        <w:t xml:space="preserve">:</w:t>
      </w:r>
    </w:p>
    <w:p w:rsidR="00000000" w:rsidDel="00000000" w:rsidP="00000000" w:rsidRDefault="00000000" w:rsidRPr="00000000" w14:paraId="000000B5">
      <w:pPr>
        <w:pageBreakBefore w:val="0"/>
        <w:numPr>
          <w:ilvl w:val="1"/>
          <w:numId w:val="19"/>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6">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7">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w:t>
      </w:r>
    </w:p>
    <w:p w:rsidR="00000000" w:rsidDel="00000000" w:rsidP="00000000" w:rsidRDefault="00000000" w:rsidRPr="00000000" w14:paraId="000000B8">
      <w:pPr>
        <w:pageBreakBefore w:val="0"/>
        <w:numPr>
          <w:ilvl w:val="1"/>
          <w:numId w:val="19"/>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9">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A">
      <w:pPr>
        <w:pageBreakBefore w:val="0"/>
        <w:numPr>
          <w:ilvl w:val="2"/>
          <w:numId w:val="19"/>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B">
      <w:pPr>
        <w:pageBreakBefore w:val="0"/>
        <w:numPr>
          <w:ilvl w:val="2"/>
          <w:numId w:val="19"/>
        </w:numPr>
        <w:spacing w:after="0" w:lineRule="auto"/>
        <w:ind w:left="1800" w:hanging="360"/>
        <w:rPr>
          <w:highlight w:val="yellow"/>
        </w:rPr>
      </w:pPr>
      <w:r w:rsidDel="00000000" w:rsidR="00000000" w:rsidRPr="00000000">
        <w:rPr>
          <w:highlight w:val="yellow"/>
          <w:rtl w:val="0"/>
        </w:rPr>
        <w:t xml:space="preserve">EGI services to be connected:</w:t>
      </w:r>
      <w:r w:rsidDel="00000000" w:rsidR="00000000" w:rsidRPr="00000000">
        <w:rPr>
          <w:rtl w:val="0"/>
        </w:rPr>
      </w:r>
    </w:p>
    <w:p w:rsidR="00000000" w:rsidDel="00000000" w:rsidP="00000000" w:rsidRDefault="00000000" w:rsidRPr="00000000" w14:paraId="000000BC">
      <w:pPr>
        <w:pageBreakBefore w:val="0"/>
        <w:rPr>
          <w:b w:val="1"/>
        </w:rPr>
      </w:pPr>
      <w:r w:rsidDel="00000000" w:rsidR="00000000" w:rsidRPr="00000000">
        <w:rPr>
          <w:rtl w:val="0"/>
        </w:rPr>
      </w:r>
    </w:p>
    <w:p w:rsidR="00000000" w:rsidDel="00000000" w:rsidP="00000000" w:rsidRDefault="00000000" w:rsidRPr="00000000" w14:paraId="000000BD">
      <w:pPr>
        <w:pageBreakBefore w:val="0"/>
        <w:rPr>
          <w:b w:val="1"/>
        </w:rPr>
      </w:pPr>
      <w:r w:rsidDel="00000000" w:rsidR="00000000" w:rsidRPr="00000000">
        <w:rPr>
          <w:b w:val="1"/>
          <w:rtl w:val="0"/>
        </w:rPr>
        <w:t xml:space="preserve">Data Transfer (category: Storage and Data)</w:t>
      </w:r>
    </w:p>
    <w:p w:rsidR="00000000" w:rsidDel="00000000" w:rsidP="00000000" w:rsidRDefault="00000000" w:rsidRPr="00000000" w14:paraId="000000BE">
      <w:pPr>
        <w:pageBreakBefore w:val="0"/>
        <w:rPr/>
      </w:pPr>
      <w:r w:rsidDel="00000000" w:rsidR="00000000" w:rsidRPr="00000000">
        <w:rPr>
          <w:rtl w:val="0"/>
        </w:rPr>
        <w:t xml:space="preserve">Description: </w:t>
      </w:r>
      <w:hyperlink r:id="rId17">
        <w:r w:rsidDel="00000000" w:rsidR="00000000" w:rsidRPr="00000000">
          <w:rPr>
            <w:color w:val="1155cc"/>
            <w:u w:val="single"/>
            <w:rtl w:val="0"/>
          </w:rPr>
          <w:t xml:space="preserve">https://www.egi.eu/services/data-transfer/</w:t>
        </w:r>
      </w:hyperlink>
      <w:r w:rsidDel="00000000" w:rsidR="00000000" w:rsidRPr="00000000">
        <w:rPr>
          <w:rtl w:val="0"/>
        </w:rPr>
      </w:r>
    </w:p>
    <w:p w:rsidR="00000000" w:rsidDel="00000000" w:rsidP="00000000" w:rsidRDefault="00000000" w:rsidRPr="00000000" w14:paraId="000000BF">
      <w:pPr>
        <w:pageBreakBefore w:val="0"/>
        <w:numPr>
          <w:ilvl w:val="0"/>
          <w:numId w:val="11"/>
        </w:numPr>
        <w:spacing w:after="0" w:afterAutospacing="0"/>
        <w:ind w:left="720" w:hanging="360"/>
        <w:rPr>
          <w:highlight w:val="yellow"/>
        </w:rPr>
      </w:pPr>
      <w:r w:rsidDel="00000000" w:rsidR="00000000" w:rsidRPr="00000000">
        <w:rPr>
          <w:highlight w:val="yellow"/>
          <w:rtl w:val="0"/>
        </w:rPr>
        <w:t xml:space="preserve">Duration: </w:t>
      </w:r>
    </w:p>
    <w:p w:rsidR="00000000" w:rsidDel="00000000" w:rsidP="00000000" w:rsidRDefault="00000000" w:rsidRPr="00000000" w14:paraId="000000C0">
      <w:pPr>
        <w:pageBreakBefore w:val="0"/>
        <w:numPr>
          <w:ilvl w:val="0"/>
          <w:numId w:val="11"/>
        </w:numPr>
        <w:ind w:left="720" w:hanging="360"/>
        <w:rPr>
          <w:highlight w:val="yellow"/>
        </w:rPr>
      </w:pPr>
      <w:r w:rsidDel="00000000" w:rsidR="00000000" w:rsidRPr="00000000">
        <w:rPr>
          <w:highlight w:val="yellow"/>
          <w:rtl w:val="0"/>
        </w:rPr>
        <w:t xml:space="preserve">Supported VOs:</w:t>
      </w:r>
      <w:r w:rsidDel="00000000" w:rsidR="00000000" w:rsidRPr="00000000">
        <w:rPr>
          <w:rtl w:val="0"/>
        </w:rPr>
      </w:r>
    </w:p>
    <w:p w:rsidR="00000000" w:rsidDel="00000000" w:rsidP="00000000" w:rsidRDefault="00000000" w:rsidRPr="00000000" w14:paraId="000000C1">
      <w:pPr>
        <w:pageBreakBefore w:val="0"/>
        <w:rPr>
          <w:b w:val="1"/>
        </w:rPr>
      </w:pPr>
      <w:r w:rsidDel="00000000" w:rsidR="00000000" w:rsidRPr="00000000">
        <w:rPr>
          <w:rtl w:val="0"/>
        </w:rPr>
      </w:r>
    </w:p>
    <w:p w:rsidR="00000000" w:rsidDel="00000000" w:rsidP="00000000" w:rsidRDefault="00000000" w:rsidRPr="00000000" w14:paraId="000000C2">
      <w:pPr>
        <w:pageBreakBefore w:val="0"/>
        <w:rPr>
          <w:b w:val="1"/>
        </w:rPr>
      </w:pPr>
      <w:r w:rsidDel="00000000" w:rsidR="00000000" w:rsidRPr="00000000">
        <w:rPr>
          <w:b w:val="1"/>
          <w:rtl w:val="0"/>
        </w:rPr>
        <w:t xml:space="preserve">DataHub (category: Storage and Data)</w:t>
      </w:r>
    </w:p>
    <w:p w:rsidR="00000000" w:rsidDel="00000000" w:rsidP="00000000" w:rsidRDefault="00000000" w:rsidRPr="00000000" w14:paraId="000000C3">
      <w:pPr>
        <w:pageBreakBefore w:val="0"/>
        <w:rPr/>
      </w:pPr>
      <w:r w:rsidDel="00000000" w:rsidR="00000000" w:rsidRPr="00000000">
        <w:rPr>
          <w:rtl w:val="0"/>
        </w:rPr>
        <w:t xml:space="preserve">Description: </w:t>
      </w:r>
      <w:hyperlink r:id="rId18">
        <w:r w:rsidDel="00000000" w:rsidR="00000000" w:rsidRPr="00000000">
          <w:rPr>
            <w:color w:val="1155cc"/>
            <w:u w:val="single"/>
            <w:rtl w:val="0"/>
          </w:rPr>
          <w:t xml:space="preserve">https://www.egi.eu/services/datahub/</w:t>
        </w:r>
      </w:hyperlink>
      <w:r w:rsidDel="00000000" w:rsidR="00000000" w:rsidRPr="00000000">
        <w:rPr>
          <w:rtl w:val="0"/>
        </w:rPr>
        <w:t xml:space="preserve"> </w:t>
      </w:r>
    </w:p>
    <w:p w:rsidR="00000000" w:rsidDel="00000000" w:rsidP="00000000" w:rsidRDefault="00000000" w:rsidRPr="00000000" w14:paraId="000000C4">
      <w:pPr>
        <w:pageBreakBefore w:val="0"/>
        <w:numPr>
          <w:ilvl w:val="0"/>
          <w:numId w:val="11"/>
        </w:numPr>
        <w:spacing w:after="0" w:lineRule="auto"/>
        <w:ind w:left="720" w:hanging="360"/>
        <w:rPr>
          <w:highlight w:val="yellow"/>
        </w:rPr>
      </w:pPr>
      <w:r w:rsidDel="00000000" w:rsidR="00000000" w:rsidRPr="00000000">
        <w:rPr>
          <w:highlight w:val="yellow"/>
          <w:rtl w:val="0"/>
        </w:rPr>
        <w:t xml:space="preserve">Component Provider:</w:t>
      </w:r>
    </w:p>
    <w:p w:rsidR="00000000" w:rsidDel="00000000" w:rsidP="00000000" w:rsidRDefault="00000000" w:rsidRPr="00000000" w14:paraId="000000C5">
      <w:pPr>
        <w:pageBreakBefore w:val="0"/>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9"/>
      </w:r>
      <w:r w:rsidDel="00000000" w:rsidR="00000000" w:rsidRPr="00000000">
        <w:rPr>
          <w:highlight w:val="yellow"/>
          <w:rtl w:val="0"/>
        </w:rPr>
        <w:t xml:space="preserve">:</w:t>
      </w:r>
    </w:p>
    <w:p w:rsidR="00000000" w:rsidDel="00000000" w:rsidP="00000000" w:rsidRDefault="00000000" w:rsidRPr="00000000" w14:paraId="000000C6">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p>
    <w:p w:rsidR="00000000" w:rsidDel="00000000" w:rsidP="00000000" w:rsidRDefault="00000000" w:rsidRPr="00000000" w14:paraId="000000C7">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Name of the space</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C8">
      <w:pPr>
        <w:pageBreakBefore w:val="0"/>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p>
    <w:p w:rsidR="00000000" w:rsidDel="00000000" w:rsidP="00000000" w:rsidRDefault="00000000" w:rsidRPr="00000000" w14:paraId="000000C9">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Hosted by:</w:t>
      </w:r>
    </w:p>
    <w:p w:rsidR="00000000" w:rsidDel="00000000" w:rsidP="00000000" w:rsidRDefault="00000000" w:rsidRPr="00000000" w14:paraId="000000CA">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List of resource providers:</w:t>
      </w:r>
    </w:p>
    <w:p w:rsidR="00000000" w:rsidDel="00000000" w:rsidP="00000000" w:rsidRDefault="00000000" w:rsidRPr="00000000" w14:paraId="000000CB">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Storage capacity:</w:t>
      </w:r>
    </w:p>
    <w:p w:rsidR="00000000" w:rsidDel="00000000" w:rsidP="00000000" w:rsidRDefault="00000000" w:rsidRPr="00000000" w14:paraId="000000CC">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Enable Notebooks support?: Yes/No</w:t>
      </w:r>
    </w:p>
    <w:p w:rsidR="00000000" w:rsidDel="00000000" w:rsidP="00000000" w:rsidRDefault="00000000" w:rsidRPr="00000000" w14:paraId="000000CD">
      <w:pPr>
        <w:pageBreakBefore w:val="0"/>
        <w:numPr>
          <w:ilvl w:val="3"/>
          <w:numId w:val="11"/>
        </w:numPr>
        <w:spacing w:after="0" w:lineRule="auto"/>
        <w:ind w:left="2880" w:hanging="360"/>
        <w:rPr>
          <w:highlight w:val="yellow"/>
        </w:rPr>
      </w:pPr>
      <w:r w:rsidDel="00000000" w:rsidR="00000000" w:rsidRPr="00000000">
        <w:rPr>
          <w:highlight w:val="yellow"/>
          <w:rtl w:val="0"/>
        </w:rPr>
        <w:t xml:space="preserve">Number of VM:</w:t>
      </w:r>
    </w:p>
    <w:p w:rsidR="00000000" w:rsidDel="00000000" w:rsidP="00000000" w:rsidRDefault="00000000" w:rsidRPr="00000000" w14:paraId="000000CE">
      <w:pPr>
        <w:pageBreakBefore w:val="0"/>
        <w:numPr>
          <w:ilvl w:val="3"/>
          <w:numId w:val="11"/>
        </w:numPr>
        <w:spacing w:after="0" w:lineRule="auto"/>
        <w:ind w:left="2880" w:hanging="360"/>
        <w:rPr>
          <w:highlight w:val="yellow"/>
        </w:rPr>
      </w:pPr>
      <w:r w:rsidDel="00000000" w:rsidR="00000000" w:rsidRPr="00000000">
        <w:rPr>
          <w:highlight w:val="yellow"/>
          <w:rtl w:val="0"/>
        </w:rPr>
        <w:t xml:space="preserve">Number of virtual CPU cores:</w:t>
      </w:r>
    </w:p>
    <w:p w:rsidR="00000000" w:rsidDel="00000000" w:rsidP="00000000" w:rsidRDefault="00000000" w:rsidRPr="00000000" w14:paraId="000000CF">
      <w:pPr>
        <w:pageBreakBefore w:val="0"/>
        <w:numPr>
          <w:ilvl w:val="3"/>
          <w:numId w:val="11"/>
        </w:numPr>
        <w:spacing w:after="0" w:lineRule="auto"/>
        <w:ind w:left="2880" w:hanging="360"/>
        <w:rPr>
          <w:highlight w:val="yellow"/>
        </w:rPr>
      </w:pPr>
      <w:r w:rsidDel="00000000" w:rsidR="00000000" w:rsidRPr="00000000">
        <w:rPr>
          <w:highlight w:val="yellow"/>
          <w:rtl w:val="0"/>
        </w:rPr>
        <w:t xml:space="preserve">Memory per core (GB): </w:t>
      </w:r>
    </w:p>
    <w:p w:rsidR="00000000" w:rsidDel="00000000" w:rsidP="00000000" w:rsidRDefault="00000000" w:rsidRPr="00000000" w14:paraId="000000D0">
      <w:pPr>
        <w:pageBreakBefore w:val="0"/>
        <w:numPr>
          <w:ilvl w:val="3"/>
          <w:numId w:val="11"/>
        </w:numPr>
        <w:spacing w:after="0" w:lineRule="auto"/>
        <w:ind w:left="2880" w:hanging="360"/>
        <w:rPr>
          <w:highlight w:val="yellow"/>
        </w:rPr>
      </w:pPr>
      <w:r w:rsidDel="00000000" w:rsidR="00000000" w:rsidRPr="00000000">
        <w:rPr>
          <w:highlight w:val="yellow"/>
          <w:rtl w:val="0"/>
        </w:rPr>
        <w:t xml:space="preserve">Local disk (GB): </w:t>
      </w:r>
      <w:r w:rsidDel="00000000" w:rsidR="00000000" w:rsidRPr="00000000">
        <w:rPr>
          <w:rtl w:val="0"/>
        </w:rPr>
      </w:r>
    </w:p>
    <w:p w:rsidR="00000000" w:rsidDel="00000000" w:rsidP="00000000" w:rsidRDefault="00000000" w:rsidRPr="00000000" w14:paraId="000000D1">
      <w:pPr>
        <w:pageBreakBefore w:val="0"/>
        <w:numPr>
          <w:ilvl w:val="3"/>
          <w:numId w:val="11"/>
        </w:numPr>
        <w:spacing w:after="0" w:lineRule="auto"/>
        <w:ind w:left="2880" w:hanging="360"/>
        <w:rPr>
          <w:highlight w:val="yellow"/>
        </w:rPr>
      </w:pPr>
      <w:r w:rsidDel="00000000" w:rsidR="00000000" w:rsidRPr="00000000">
        <w:rPr>
          <w:highlight w:val="yellow"/>
          <w:rtl w:val="0"/>
        </w:rPr>
        <w:t xml:space="preserve">Requested dataset:</w:t>
      </w:r>
      <w:r w:rsidDel="00000000" w:rsidR="00000000" w:rsidRPr="00000000">
        <w:rPr>
          <w:rtl w:val="0"/>
        </w:rPr>
      </w:r>
    </w:p>
    <w:p w:rsidR="00000000" w:rsidDel="00000000" w:rsidP="00000000" w:rsidRDefault="00000000" w:rsidRPr="00000000" w14:paraId="000000D2">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Hosted on own infrastructure:</w:t>
      </w:r>
    </w:p>
    <w:p w:rsidR="00000000" w:rsidDel="00000000" w:rsidP="00000000" w:rsidRDefault="00000000" w:rsidRPr="00000000" w14:paraId="000000D3">
      <w:pPr>
        <w:pageBreakBefore w:val="0"/>
        <w:numPr>
          <w:ilvl w:val="3"/>
          <w:numId w:val="11"/>
        </w:numPr>
        <w:spacing w:after="0" w:lineRule="auto"/>
        <w:ind w:left="2880" w:hanging="360"/>
        <w:rPr>
          <w:highlight w:val="yellow"/>
          <w:u w:val="none"/>
        </w:rPr>
      </w:pPr>
      <w:r w:rsidDel="00000000" w:rsidR="00000000" w:rsidRPr="00000000">
        <w:rPr>
          <w:highlight w:val="yellow"/>
          <w:rtl w:val="0"/>
        </w:rPr>
        <w:t xml:space="preserve">Connecting to EGI DataHub/central onezone:</w:t>
      </w:r>
    </w:p>
    <w:p w:rsidR="00000000" w:rsidDel="00000000" w:rsidP="00000000" w:rsidRDefault="00000000" w:rsidRPr="00000000" w14:paraId="000000D4">
      <w:pPr>
        <w:pageBreakBefore w:val="0"/>
        <w:numPr>
          <w:ilvl w:val="4"/>
          <w:numId w:val="11"/>
        </w:numPr>
        <w:spacing w:after="0" w:lineRule="auto"/>
        <w:ind w:left="3600" w:hanging="360"/>
        <w:rPr>
          <w:highlight w:val="yellow"/>
        </w:rPr>
      </w:pPr>
      <w:r w:rsidDel="00000000" w:rsidR="00000000" w:rsidRPr="00000000">
        <w:rPr>
          <w:highlight w:val="yellow"/>
          <w:rtl w:val="0"/>
        </w:rPr>
        <w:t xml:space="preserve">Oneproviders IP:</w:t>
      </w:r>
    </w:p>
    <w:p w:rsidR="00000000" w:rsidDel="00000000" w:rsidP="00000000" w:rsidRDefault="00000000" w:rsidRPr="00000000" w14:paraId="000000D5">
      <w:pPr>
        <w:pageBreakBefore w:val="0"/>
        <w:numPr>
          <w:ilvl w:val="4"/>
          <w:numId w:val="11"/>
        </w:numPr>
        <w:spacing w:after="0" w:lineRule="auto"/>
        <w:ind w:left="3600" w:hanging="360"/>
        <w:rPr>
          <w:highlight w:val="yellow"/>
        </w:rPr>
      </w:pPr>
      <w:r w:rsidDel="00000000" w:rsidR="00000000" w:rsidRPr="00000000">
        <w:rPr>
          <w:highlight w:val="yellow"/>
          <w:rtl w:val="0"/>
        </w:rPr>
        <w:t xml:space="preserve">Domain names:</w:t>
      </w:r>
    </w:p>
    <w:p w:rsidR="00000000" w:rsidDel="00000000" w:rsidP="00000000" w:rsidRDefault="00000000" w:rsidRPr="00000000" w14:paraId="000000D6">
      <w:pPr>
        <w:pageBreakBefore w:val="0"/>
        <w:numPr>
          <w:ilvl w:val="4"/>
          <w:numId w:val="11"/>
        </w:numPr>
        <w:spacing w:after="0" w:lineRule="auto"/>
        <w:ind w:left="3600" w:hanging="360"/>
        <w:rPr>
          <w:highlight w:val="yellow"/>
        </w:rPr>
      </w:pPr>
      <w:r w:rsidDel="00000000" w:rsidR="00000000" w:rsidRPr="00000000">
        <w:rPr>
          <w:highlight w:val="yellow"/>
          <w:rtl w:val="0"/>
        </w:rPr>
        <w:t xml:space="preserve">Name of the supported dataset/space (optional):</w:t>
      </w:r>
      <w:r w:rsidDel="00000000" w:rsidR="00000000" w:rsidRPr="00000000">
        <w:rPr>
          <w:rtl w:val="0"/>
        </w:rPr>
      </w:r>
    </w:p>
    <w:p w:rsidR="00000000" w:rsidDel="00000000" w:rsidP="00000000" w:rsidRDefault="00000000" w:rsidRPr="00000000" w14:paraId="000000D7">
      <w:pPr>
        <w:pageBreakBefore w:val="0"/>
        <w:numPr>
          <w:ilvl w:val="1"/>
          <w:numId w:val="11"/>
        </w:numPr>
        <w:spacing w:after="0" w:lineRule="auto"/>
        <w:ind w:left="1440" w:hanging="360"/>
        <w:rPr>
          <w:rFonts w:ascii="Courier New" w:cs="Courier New" w:eastAsia="Courier New" w:hAnsi="Courier New"/>
          <w:highlight w:val="yellow"/>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p>
    <w:p w:rsidR="00000000" w:rsidDel="00000000" w:rsidP="00000000" w:rsidRDefault="00000000" w:rsidRPr="00000000" w14:paraId="000000D8">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Name of the space:</w:t>
      </w:r>
    </w:p>
    <w:p w:rsidR="00000000" w:rsidDel="00000000" w:rsidP="00000000" w:rsidRDefault="00000000" w:rsidRPr="00000000" w14:paraId="000000D9">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Amount of storage space:</w:t>
      </w:r>
    </w:p>
    <w:p w:rsidR="00000000" w:rsidDel="00000000" w:rsidP="00000000" w:rsidRDefault="00000000" w:rsidRPr="00000000" w14:paraId="000000DA">
      <w:pPr>
        <w:pageBreakBefore w:val="0"/>
        <w:numPr>
          <w:ilvl w:val="2"/>
          <w:numId w:val="11"/>
        </w:numPr>
        <w:spacing w:after="0" w:lineRule="auto"/>
        <w:ind w:left="2160" w:hanging="360"/>
        <w:rPr>
          <w:b w:val="1"/>
          <w:highlight w:val="yellow"/>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3"/>
      </w:r>
      <w:r w:rsidDel="00000000" w:rsidR="00000000" w:rsidRPr="00000000">
        <w:rPr>
          <w:highlight w:val="yellow"/>
          <w:rtl w:val="0"/>
        </w:rPr>
        <w:t xml:space="preserve">: </w:t>
      </w:r>
    </w:p>
    <w:p w:rsidR="00000000" w:rsidDel="00000000" w:rsidP="00000000" w:rsidRDefault="00000000" w:rsidRPr="00000000" w14:paraId="000000DB">
      <w:pPr>
        <w:pageBreakBefore w:val="0"/>
        <w:numPr>
          <w:ilvl w:val="1"/>
          <w:numId w:val="11"/>
        </w:numPr>
        <w:spacing w:after="0" w:lineRule="auto"/>
        <w:ind w:left="1440" w:hanging="360"/>
        <w:rPr>
          <w:highlight w:val="yellow"/>
        </w:rPr>
      </w:pPr>
      <w:r w:rsidDel="00000000" w:rsidR="00000000" w:rsidRPr="00000000">
        <w:rPr>
          <w:highlight w:val="yellow"/>
          <w:rtl w:val="0"/>
        </w:rPr>
        <w:t xml:space="preserve">Duration:</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The Services are supported by additional services: </w:t>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pageBreakBefore w:val="0"/>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name]</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p>
    <w:p w:rsidR="00000000" w:rsidDel="00000000" w:rsidP="00000000" w:rsidRDefault="00000000" w:rsidRPr="00000000" w14:paraId="000000E3">
      <w:pPr>
        <w:pStyle w:val="Heading1"/>
        <w:pageBreakBefore w:val="0"/>
        <w:numPr>
          <w:ilvl w:val="0"/>
          <w:numId w:val="5"/>
        </w:numPr>
        <w:ind w:left="432" w:hanging="432"/>
        <w:rPr/>
      </w:pPr>
      <w:bookmarkStart w:colFirst="0" w:colLast="0" w:name="_30j0zll" w:id="1"/>
      <w:bookmarkEnd w:id="1"/>
      <w:r w:rsidDel="00000000" w:rsidR="00000000" w:rsidRPr="00000000">
        <w:rPr>
          <w:rtl w:val="0"/>
        </w:rPr>
        <w:t xml:space="preserve">Service hours and exceptions</w:t>
      </w:r>
    </w:p>
    <w:p w:rsidR="00000000" w:rsidDel="00000000" w:rsidP="00000000" w:rsidRDefault="00000000" w:rsidRPr="00000000" w14:paraId="000000E4">
      <w:pPr>
        <w:pageBreakBefore w:val="0"/>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E5">
      <w:pPr>
        <w:pageBreakBefore w:val="0"/>
        <w:rPr/>
      </w:pPr>
      <w:r w:rsidDel="00000000" w:rsidR="00000000" w:rsidRPr="00000000">
        <w:rPr>
          <w:rtl w:val="0"/>
        </w:rPr>
        <w:t xml:space="preserve">The following exceptions apply:</w:t>
      </w:r>
    </w:p>
    <w:p w:rsidR="00000000" w:rsidDel="00000000" w:rsidP="00000000" w:rsidRDefault="00000000" w:rsidRPr="00000000" w14:paraId="000000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p>
    <w:p w:rsidR="00000000" w:rsidDel="00000000" w:rsidP="00000000" w:rsidRDefault="00000000" w:rsidRPr="00000000" w14:paraId="000000E8">
      <w:pPr>
        <w:pStyle w:val="Heading1"/>
        <w:pageBreakBefore w:val="0"/>
        <w:numPr>
          <w:ilvl w:val="0"/>
          <w:numId w:val="5"/>
        </w:numPr>
        <w:ind w:left="432" w:hanging="432"/>
        <w:rPr/>
      </w:pPr>
      <w:bookmarkStart w:colFirst="0" w:colLast="0" w:name="_1fob9te" w:id="2"/>
      <w:bookmarkEnd w:id="2"/>
      <w:r w:rsidDel="00000000" w:rsidR="00000000" w:rsidRPr="00000000">
        <w:rPr>
          <w:rtl w:val="0"/>
        </w:rPr>
        <w:t xml:space="preserve">Support</w:t>
      </w:r>
    </w:p>
    <w:p w:rsidR="00000000" w:rsidDel="00000000" w:rsidP="00000000" w:rsidRDefault="00000000" w:rsidRPr="00000000" w14:paraId="000000E9">
      <w:pPr>
        <w:pageBreakBefore w:val="0"/>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8"/>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9"/>
      </w:r>
      <w:r w:rsidDel="00000000" w:rsidR="00000000" w:rsidRPr="00000000">
        <w:rPr>
          <w:rtl w:val="0"/>
        </w:rPr>
        <w:t xml:space="preserve">. Support is available between:</w:t>
      </w:r>
    </w:p>
    <w:p w:rsidR="00000000" w:rsidDel="00000000" w:rsidP="00000000" w:rsidRDefault="00000000" w:rsidRPr="00000000" w14:paraId="000000E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p>
    <w:p w:rsidR="00000000" w:rsidDel="00000000" w:rsidP="00000000" w:rsidRDefault="00000000" w:rsidRPr="00000000" w14:paraId="000000EC">
      <w:pPr>
        <w:pageBreakBefore w:val="0"/>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ED">
      <w:pPr>
        <w:pStyle w:val="Heading2"/>
        <w:pageBreakBefore w:val="0"/>
        <w:numPr>
          <w:ilvl w:val="1"/>
          <w:numId w:val="5"/>
        </w:numPr>
        <w:ind w:left="576" w:hanging="576"/>
        <w:rPr/>
      </w:pPr>
      <w:bookmarkStart w:colFirst="0" w:colLast="0" w:name="_3znysh7" w:id="3"/>
      <w:bookmarkEnd w:id="3"/>
      <w:r w:rsidDel="00000000" w:rsidR="00000000" w:rsidRPr="00000000">
        <w:rPr>
          <w:rtl w:val="0"/>
        </w:rPr>
        <w:t xml:space="preserve">Incident handling</w:t>
      </w:r>
    </w:p>
    <w:p w:rsidR="00000000" w:rsidDel="00000000" w:rsidP="00000000" w:rsidRDefault="00000000" w:rsidRPr="00000000" w14:paraId="000000EE">
      <w:pPr>
        <w:pageBreakBefore w:val="0"/>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EF">
      <w:pPr>
        <w:pageBreakBefore w:val="0"/>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20"/>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F0">
            <w:pPr>
              <w:pageBreakBefore w:val="0"/>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F1">
            <w:pPr>
              <w:pageBreakBefore w:val="0"/>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0F2">
            <w:pPr>
              <w:pageBreakBefore w:val="0"/>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F3">
            <w:pPr>
              <w:pageBreakBefore w:val="0"/>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F4">
            <w:pPr>
              <w:pageBreakBefore w:val="0"/>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F5">
            <w:pPr>
              <w:pageBreakBefore w:val="0"/>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F6">
            <w:pPr>
              <w:pageBreakBefore w:val="0"/>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F7">
            <w:pPr>
              <w:pageBreakBefore w:val="0"/>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0F8">
            <w:pPr>
              <w:pageBreakBefore w:val="0"/>
              <w:rPr/>
            </w:pPr>
            <w:r w:rsidDel="00000000" w:rsidR="00000000" w:rsidRPr="00000000">
              <w:rPr>
                <w:rtl w:val="0"/>
              </w:rPr>
              <w:t xml:space="preserve">Top Priority</w:t>
            </w:r>
          </w:p>
        </w:tc>
        <w:tc>
          <w:tcPr>
            <w:shd w:fill="auto" w:val="clear"/>
          </w:tcPr>
          <w:p w:rsidR="00000000" w:rsidDel="00000000" w:rsidP="00000000" w:rsidRDefault="00000000" w:rsidRPr="00000000" w14:paraId="000000F9">
            <w:pPr>
              <w:pageBreakBefore w:val="0"/>
              <w:rPr/>
            </w:pPr>
            <w:r w:rsidDel="00000000" w:rsidR="00000000" w:rsidRPr="00000000">
              <w:rPr>
                <w:rtl w:val="0"/>
              </w:rPr>
              <w:t xml:space="preserve">1 working day</w:t>
            </w:r>
          </w:p>
        </w:tc>
      </w:tr>
    </w:tbl>
    <w:p w:rsidR="00000000" w:rsidDel="00000000" w:rsidP="00000000" w:rsidRDefault="00000000" w:rsidRPr="00000000" w14:paraId="000000FA">
      <w:pPr>
        <w:pageBreakBefore w:val="0"/>
        <w:rPr>
          <w:b w:val="1"/>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0FC">
            <w:pPr>
              <w:pageBreakBefore w:val="0"/>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21"/>
            </w:r>
            <w:r w:rsidDel="00000000" w:rsidR="00000000" w:rsidRPr="00000000">
              <w:rPr>
                <w:rtl w:val="0"/>
              </w:rPr>
            </w:r>
          </w:p>
        </w:tc>
        <w:tc>
          <w:tcPr>
            <w:shd w:fill="95b3d7" w:val="clear"/>
          </w:tcPr>
          <w:p w:rsidR="00000000" w:rsidDel="00000000" w:rsidP="00000000" w:rsidRDefault="00000000" w:rsidRPr="00000000" w14:paraId="000000FD">
            <w:pPr>
              <w:pageBreakBefore w:val="0"/>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FE">
            <w:pPr>
              <w:pageBreakBefore w:val="0"/>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0FF">
            <w:pPr>
              <w:pageBreakBefore w:val="0"/>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00">
            <w:pPr>
              <w:pageBreakBefore w:val="0"/>
              <w:rPr/>
            </w:pPr>
            <w:r w:rsidDel="00000000" w:rsidR="00000000" w:rsidRPr="00000000">
              <w:rPr>
                <w:rtl w:val="0"/>
              </w:rPr>
              <w:t xml:space="preserve">5 working days</w:t>
            </w:r>
          </w:p>
        </w:tc>
        <w:tc>
          <w:tcPr/>
          <w:p w:rsidR="00000000" w:rsidDel="00000000" w:rsidP="00000000" w:rsidRDefault="00000000" w:rsidRPr="00000000" w14:paraId="00000101">
            <w:pPr>
              <w:pageBreakBefore w:val="0"/>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102">
            <w:pPr>
              <w:pageBreakBefore w:val="0"/>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03">
            <w:pPr>
              <w:pageBreakBefore w:val="0"/>
              <w:rPr/>
            </w:pPr>
            <w:r w:rsidDel="00000000" w:rsidR="00000000" w:rsidRPr="00000000">
              <w:rPr>
                <w:rtl w:val="0"/>
              </w:rPr>
              <w:t xml:space="preserve">5 working days</w:t>
            </w:r>
          </w:p>
        </w:tc>
        <w:tc>
          <w:tcPr/>
          <w:p w:rsidR="00000000" w:rsidDel="00000000" w:rsidP="00000000" w:rsidRDefault="00000000" w:rsidRPr="00000000" w14:paraId="00000104">
            <w:pPr>
              <w:pageBreakBefore w:val="0"/>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105">
            <w:pPr>
              <w:pageBreakBefore w:val="0"/>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06">
            <w:pPr>
              <w:pageBreakBefore w:val="0"/>
              <w:rPr/>
            </w:pPr>
            <w:r w:rsidDel="00000000" w:rsidR="00000000" w:rsidRPr="00000000">
              <w:rPr>
                <w:rtl w:val="0"/>
              </w:rPr>
              <w:t xml:space="preserve">1 working day</w:t>
            </w:r>
          </w:p>
        </w:tc>
        <w:tc>
          <w:tcPr/>
          <w:p w:rsidR="00000000" w:rsidDel="00000000" w:rsidP="00000000" w:rsidRDefault="00000000" w:rsidRPr="00000000" w14:paraId="00000107">
            <w:pPr>
              <w:pageBreakBefore w:val="0"/>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108">
            <w:pPr>
              <w:pageBreakBefore w:val="0"/>
              <w:rPr/>
            </w:pPr>
            <w:r w:rsidDel="00000000" w:rsidR="00000000" w:rsidRPr="00000000">
              <w:rPr>
                <w:rtl w:val="0"/>
              </w:rPr>
              <w:t xml:space="preserve">Top Priority</w:t>
            </w:r>
          </w:p>
        </w:tc>
        <w:tc>
          <w:tcPr>
            <w:shd w:fill="auto" w:val="clear"/>
          </w:tcPr>
          <w:p w:rsidR="00000000" w:rsidDel="00000000" w:rsidP="00000000" w:rsidRDefault="00000000" w:rsidRPr="00000000" w14:paraId="00000109">
            <w:pPr>
              <w:pageBreakBefore w:val="0"/>
              <w:rPr/>
            </w:pPr>
            <w:r w:rsidDel="00000000" w:rsidR="00000000" w:rsidRPr="00000000">
              <w:rPr>
                <w:rtl w:val="0"/>
              </w:rPr>
              <w:t xml:space="preserve">1 working day</w:t>
            </w:r>
          </w:p>
        </w:tc>
        <w:tc>
          <w:tcPr/>
          <w:p w:rsidR="00000000" w:rsidDel="00000000" w:rsidP="00000000" w:rsidRDefault="00000000" w:rsidRPr="00000000" w14:paraId="0000010A">
            <w:pPr>
              <w:pageBreakBefore w:val="0"/>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10B">
      <w:pPr>
        <w:pageBreakBefore w:val="0"/>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10C">
      <w:pPr>
        <w:pStyle w:val="Heading2"/>
        <w:pageBreakBefore w:val="0"/>
        <w:numPr>
          <w:ilvl w:val="1"/>
          <w:numId w:val="5"/>
        </w:numPr>
        <w:ind w:left="576" w:hanging="576"/>
        <w:rPr/>
      </w:pPr>
      <w:bookmarkStart w:colFirst="0" w:colLast="0" w:name="_2et92p0" w:id="4"/>
      <w:bookmarkEnd w:id="4"/>
      <w:r w:rsidDel="00000000" w:rsidR="00000000" w:rsidRPr="00000000">
        <w:rPr>
          <w:rtl w:val="0"/>
        </w:rPr>
        <w:t xml:space="preserve">Service requests</w:t>
      </w:r>
    </w:p>
    <w:p w:rsidR="00000000" w:rsidDel="00000000" w:rsidP="00000000" w:rsidRDefault="00000000" w:rsidRPr="00000000" w14:paraId="0000010D">
      <w:pPr>
        <w:pageBreakBefore w:val="0"/>
        <w:rPr/>
      </w:pPr>
      <w:r w:rsidDel="00000000" w:rsidR="00000000" w:rsidRPr="00000000">
        <w:rPr>
          <w:rtl w:val="0"/>
        </w:rPr>
        <w:t xml:space="preserve">In addition to resolving incidents, standard service requests </w:t>
      </w:r>
      <w:r w:rsidDel="00000000" w:rsidR="00000000" w:rsidRPr="00000000">
        <w:rPr>
          <w:rtl w:val="0"/>
        </w:rPr>
        <w:t xml:space="preserve">(</w:t>
      </w:r>
      <w:hyperlink r:id="rId19">
        <w:r w:rsidDel="00000000" w:rsidR="00000000" w:rsidRPr="00000000">
          <w:rPr>
            <w:color w:val="1155cc"/>
            <w:u w:val="single"/>
            <w:rtl w:val="0"/>
          </w:rPr>
          <w:t xml:space="preserve">https://confluence.egi.eu/display/EGISLM/EGI+Service+requests</w:t>
        </w:r>
      </w:hyperlink>
      <w:r w:rsidDel="00000000" w:rsidR="00000000" w:rsidRPr="00000000">
        <w:rPr>
          <w:rtl w:val="0"/>
        </w:rPr>
        <w:t xml:space="preserve">)</w:t>
      </w:r>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10E">
      <w:pPr>
        <w:pStyle w:val="Heading1"/>
        <w:pageBreakBefore w:val="0"/>
        <w:numPr>
          <w:ilvl w:val="0"/>
          <w:numId w:val="5"/>
        </w:numPr>
        <w:ind w:left="432" w:hanging="432"/>
        <w:rPr/>
      </w:pPr>
      <w:bookmarkStart w:colFirst="0" w:colLast="0" w:name="_tyjcwt" w:id="5"/>
      <w:bookmarkEnd w:id="5"/>
      <w:r w:rsidDel="00000000" w:rsidR="00000000" w:rsidRPr="00000000">
        <w:rPr>
          <w:rtl w:val="0"/>
        </w:rPr>
        <w:t xml:space="preserve">Service level targets</w:t>
      </w:r>
    </w:p>
    <w:p w:rsidR="00000000" w:rsidDel="00000000" w:rsidP="00000000" w:rsidRDefault="00000000" w:rsidRPr="00000000" w14:paraId="0000010F">
      <w:pPr>
        <w:pageBreakBefore w:val="0"/>
        <w:rPr>
          <w:b w:val="1"/>
        </w:rPr>
      </w:pPr>
      <w:r w:rsidDel="00000000" w:rsidR="00000000" w:rsidRPr="00000000">
        <w:rPr>
          <w:b w:val="1"/>
          <w:rtl w:val="0"/>
        </w:rPr>
        <w:t xml:space="preserve">Monthly Availability </w:t>
      </w:r>
    </w:p>
    <w:p w:rsidR="00000000" w:rsidDel="00000000" w:rsidP="00000000" w:rsidRDefault="00000000" w:rsidRPr="00000000" w14:paraId="0000011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p>
    <w:p w:rsidR="00000000" w:rsidDel="00000000" w:rsidP="00000000" w:rsidRDefault="00000000" w:rsidRPr="00000000" w14:paraId="0000011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11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12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8">
      <w:pPr>
        <w:pageBreakBefore w:val="0"/>
        <w:rPr>
          <w:b w:val="1"/>
        </w:rPr>
      </w:pPr>
      <w:r w:rsidDel="00000000" w:rsidR="00000000" w:rsidRPr="00000000">
        <w:rPr>
          <w:b w:val="1"/>
          <w:rtl w:val="0"/>
        </w:rPr>
        <w:t xml:space="preserve">Monthly Reliability</w:t>
      </w:r>
    </w:p>
    <w:p w:rsidR="00000000" w:rsidDel="00000000" w:rsidP="00000000" w:rsidRDefault="00000000" w:rsidRPr="00000000" w14:paraId="0000011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p>
    <w:p w:rsidR="00000000" w:rsidDel="00000000" w:rsidP="00000000" w:rsidRDefault="00000000" w:rsidRPr="00000000" w14:paraId="0000011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p>
    <w:p w:rsidR="00000000" w:rsidDel="00000000" w:rsidP="00000000" w:rsidRDefault="00000000" w:rsidRPr="00000000" w14:paraId="0000011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[name]: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1: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 2: 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pageBreakBefore w:val="0"/>
        <w:rPr>
          <w:b w:val="1"/>
        </w:rPr>
      </w:pPr>
      <w:r w:rsidDel="00000000" w:rsidR="00000000" w:rsidRPr="00000000">
        <w:rPr>
          <w:b w:val="1"/>
          <w:rtl w:val="0"/>
        </w:rPr>
        <w:t xml:space="preserve">Quality of Support level</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p>
    <w:p w:rsidR="00000000" w:rsidDel="00000000" w:rsidP="00000000" w:rsidRDefault="00000000" w:rsidRPr="00000000" w14:paraId="00000124">
      <w:pPr>
        <w:pStyle w:val="Heading1"/>
        <w:pageBreakBefore w:val="0"/>
        <w:numPr>
          <w:ilvl w:val="0"/>
          <w:numId w:val="5"/>
        </w:numPr>
        <w:ind w:left="432" w:hanging="432"/>
        <w:rPr/>
      </w:pPr>
      <w:bookmarkStart w:colFirst="0" w:colLast="0" w:name="_3dy6vkm" w:id="6"/>
      <w:bookmarkEnd w:id="6"/>
      <w:r w:rsidDel="00000000" w:rsidR="00000000" w:rsidRPr="00000000">
        <w:rPr>
          <w:rtl w:val="0"/>
        </w:rPr>
        <w:t xml:space="preserve">Limitations and constraints</w:t>
      </w:r>
    </w:p>
    <w:p w:rsidR="00000000" w:rsidDel="00000000" w:rsidP="00000000" w:rsidRDefault="00000000" w:rsidRPr="00000000" w14:paraId="00000125">
      <w:pPr>
        <w:pageBreakBefore w:val="0"/>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p>
    <w:p w:rsidR="00000000" w:rsidDel="00000000" w:rsidP="00000000" w:rsidRDefault="00000000" w:rsidRPr="00000000" w14:paraId="000001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p>
    <w:p w:rsidR="00000000" w:rsidDel="00000000" w:rsidP="00000000" w:rsidRDefault="00000000" w:rsidRPr="00000000" w14:paraId="000001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p>
    <w:p w:rsidR="00000000" w:rsidDel="00000000" w:rsidP="00000000" w:rsidRDefault="00000000" w:rsidRPr="00000000" w14:paraId="000001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p>
    <w:p w:rsidR="00000000" w:rsidDel="00000000" w:rsidP="00000000" w:rsidRDefault="00000000" w:rsidRPr="00000000" w14:paraId="000001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p>
    <w:p w:rsidR="00000000" w:rsidDel="00000000" w:rsidP="00000000" w:rsidRDefault="00000000" w:rsidRPr="00000000" w14:paraId="0000012B">
      <w:pPr>
        <w:pageBreakBefore w:val="0"/>
        <w:numPr>
          <w:ilvl w:val="0"/>
          <w:numId w:val="2"/>
        </w:numPr>
        <w:spacing w:after="0" w:afterAutospacing="0" w:lineRule="auto"/>
        <w:ind w:left="1080" w:hanging="720"/>
        <w:jc w:val="left"/>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2C">
      <w:pPr>
        <w:pageBreakBefore w:val="0"/>
        <w:numPr>
          <w:ilvl w:val="0"/>
          <w:numId w:val="2"/>
        </w:numPr>
        <w:spacing w:after="0" w:lineRule="auto"/>
        <w:ind w:left="1080" w:hanging="720"/>
        <w:jc w:val="left"/>
        <w:rPr/>
      </w:pPr>
      <w:bookmarkStart w:colFirst="0" w:colLast="0" w:name="_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2D">
      <w:pPr>
        <w:pageBreakBefore w:val="0"/>
        <w:numPr>
          <w:ilvl w:val="1"/>
          <w:numId w:val="2"/>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2E">
      <w:pPr>
        <w:pageBreakBefore w:val="0"/>
        <w:numPr>
          <w:ilvl w:val="1"/>
          <w:numId w:val="2"/>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2F">
      <w:pPr>
        <w:pageBreakBefore w:val="0"/>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30">
      <w:pPr>
        <w:pStyle w:val="Heading1"/>
        <w:pageBreakBefore w:val="0"/>
        <w:numPr>
          <w:ilvl w:val="0"/>
          <w:numId w:val="5"/>
        </w:numPr>
        <w:ind w:left="432" w:hanging="432"/>
        <w:rPr/>
      </w:pPr>
      <w:bookmarkStart w:colFirst="0" w:colLast="0" w:name="_4d34og8" w:id="8"/>
      <w:bookmarkEnd w:id="8"/>
      <w:r w:rsidDel="00000000" w:rsidR="00000000" w:rsidRPr="00000000">
        <w:rPr>
          <w:rtl w:val="0"/>
        </w:rPr>
        <w:t xml:space="preserve">Communication, reporting and escalation</w:t>
      </w:r>
    </w:p>
    <w:p w:rsidR="00000000" w:rsidDel="00000000" w:rsidP="00000000" w:rsidRDefault="00000000" w:rsidRPr="00000000" w14:paraId="00000131">
      <w:pPr>
        <w:pStyle w:val="Heading2"/>
        <w:pageBreakBefore w:val="0"/>
        <w:numPr>
          <w:ilvl w:val="1"/>
          <w:numId w:val="5"/>
        </w:numPr>
        <w:ind w:left="576" w:hanging="576"/>
        <w:rPr/>
      </w:pPr>
      <w:bookmarkStart w:colFirst="0" w:colLast="0" w:name="_2s8eyo1" w:id="9"/>
      <w:bookmarkEnd w:id="9"/>
      <w:r w:rsidDel="00000000" w:rsidR="00000000" w:rsidRPr="00000000">
        <w:rPr>
          <w:rtl w:val="0"/>
        </w:rPr>
        <w:t xml:space="preserve">General communication</w:t>
      </w:r>
    </w:p>
    <w:p w:rsidR="00000000" w:rsidDel="00000000" w:rsidP="00000000" w:rsidRDefault="00000000" w:rsidRPr="00000000" w14:paraId="00000132">
      <w:pPr>
        <w:pageBreakBefore w:val="0"/>
        <w:rPr/>
      </w:pPr>
      <w:r w:rsidDel="00000000" w:rsidR="00000000" w:rsidRPr="00000000">
        <w:rPr>
          <w:rtl w:val="0"/>
        </w:rPr>
        <w:t xml:space="preserve">The following contacts will be generally used for communications related to the Service(s) in the scope of this Agreement.</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135">
            <w:pPr>
              <w:pageBreakBefore w:val="0"/>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36">
            <w:pPr>
              <w:pageBreakBefore w:val="0"/>
              <w:rPr/>
            </w:pPr>
            <w:r w:rsidDel="00000000" w:rsidR="00000000" w:rsidRPr="00000000">
              <w:rPr>
                <w:highlight w:val="yellow"/>
                <w:rtl w:val="0"/>
              </w:rPr>
              <w:t xml:space="preserve">[name]</w:t>
              <w:br w:type="textWrapping"/>
              <w:t xml:space="preserve">[email] </w:t>
              <w:br w:type="textWrapping"/>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37">
            <w:pPr>
              <w:pageBreakBefore w:val="0"/>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38">
            <w:pPr>
              <w:pageBreakBefore w:val="0"/>
              <w:rPr>
                <w:highlight w:val="yellow"/>
              </w:rPr>
            </w:pPr>
            <w:r w:rsidDel="00000000" w:rsidR="00000000" w:rsidRPr="00000000">
              <w:rPr>
                <w:highlight w:val="yellow"/>
                <w:rtl w:val="0"/>
              </w:rPr>
              <w:t xml:space="preserve">[name]</w:t>
              <w:br w:type="textWrapping"/>
              <w:t xml:space="preserve">[email] </w:t>
              <w:br w:type="textWrapping"/>
              <w:t xml:space="preserve">[title]</w:t>
            </w:r>
          </w:p>
        </w:tc>
      </w:tr>
      <w:tr>
        <w:trPr>
          <w:cantSplit w:val="0"/>
          <w:tblHeader w:val="0"/>
        </w:trPr>
        <w:tc>
          <w:tcPr>
            <w:shd w:fill="b8cce4" w:val="clear"/>
          </w:tcPr>
          <w:p w:rsidR="00000000" w:rsidDel="00000000" w:rsidP="00000000" w:rsidRDefault="00000000" w:rsidRPr="00000000" w14:paraId="00000139">
            <w:pPr>
              <w:pageBreakBefore w:val="0"/>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3A">
            <w:pPr>
              <w:pageBreakBefore w:val="0"/>
              <w:rPr/>
            </w:pPr>
            <w:r w:rsidDel="00000000" w:rsidR="00000000" w:rsidRPr="00000000">
              <w:rPr>
                <w:rtl w:val="0"/>
              </w:rPr>
              <w:t xml:space="preserve">Giuseppe La Rocca</w:t>
              <w:br w:type="textWrapping"/>
            </w:r>
            <w:hyperlink r:id="rId20">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rPr>
          <w:cantSplit w:val="0"/>
          <w:tblHeader w:val="0"/>
        </w:trPr>
        <w:tc>
          <w:tcPr>
            <w:shd w:fill="b8cce4" w:val="clear"/>
          </w:tcPr>
          <w:p w:rsidR="00000000" w:rsidDel="00000000" w:rsidP="00000000" w:rsidRDefault="00000000" w:rsidRPr="00000000" w14:paraId="0000013B">
            <w:pPr>
              <w:pageBreakBefore w:val="0"/>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3C">
            <w:pPr>
              <w:pageBreakBefore w:val="0"/>
              <w:jc w:val="left"/>
              <w:rPr/>
            </w:pPr>
            <w:r w:rsidDel="00000000" w:rsidR="00000000" w:rsidRPr="00000000">
              <w:rPr>
                <w:rtl w:val="0"/>
              </w:rPr>
              <w:t xml:space="preserve">Matthew Viljoen </w:t>
              <w:br w:type="textWrapping"/>
            </w:r>
            <w:hyperlink r:id="rId21">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13D">
            <w:pPr>
              <w:pageBreakBefore w:val="0"/>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3E">
            <w:pPr>
              <w:pageBreakBefore w:val="0"/>
              <w:rPr/>
            </w:pPr>
            <w:r w:rsidDel="00000000" w:rsidR="00000000" w:rsidRPr="00000000">
              <w:rPr>
                <w:rtl w:val="0"/>
              </w:rPr>
              <w:t xml:space="preserve">See Section 3</w:t>
            </w:r>
          </w:p>
        </w:tc>
      </w:tr>
    </w:tbl>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Style w:val="Heading2"/>
        <w:pageBreakBefore w:val="0"/>
        <w:numPr>
          <w:ilvl w:val="1"/>
          <w:numId w:val="5"/>
        </w:numPr>
        <w:ind w:left="576" w:hanging="576"/>
        <w:rPr/>
      </w:pPr>
      <w:bookmarkStart w:colFirst="0" w:colLast="0" w:name="_17dp8vu" w:id="10"/>
      <w:bookmarkEnd w:id="10"/>
      <w:r w:rsidDel="00000000" w:rsidR="00000000" w:rsidRPr="00000000">
        <w:rPr>
          <w:rtl w:val="0"/>
        </w:rPr>
        <w:t xml:space="preserve">Regular reporting</w:t>
      </w:r>
    </w:p>
    <w:p w:rsidR="00000000" w:rsidDel="00000000" w:rsidP="00000000" w:rsidRDefault="00000000" w:rsidRPr="00000000" w14:paraId="00000141">
      <w:pPr>
        <w:pageBreakBefore w:val="0"/>
        <w:rPr/>
      </w:pPr>
      <w:r w:rsidDel="00000000" w:rsidR="00000000" w:rsidRPr="00000000">
        <w:rPr>
          <w:rtl w:val="0"/>
        </w:rPr>
        <w:t xml:space="preserve">As part of the fulfilment of this Agreement and provisioning of the Service(s),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142">
            <w:pPr>
              <w:pageBreakBefore w:val="0"/>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43">
            <w:pPr>
              <w:pageBreakBefore w:val="0"/>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44">
            <w:pPr>
              <w:pageBreakBefore w:val="0"/>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45">
            <w:pPr>
              <w:pageBreakBefore w:val="0"/>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46">
            <w:pPr>
              <w:pageBreakBefore w:val="0"/>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147">
            <w:pPr>
              <w:pageBreakBefore w:val="0"/>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48">
            <w:pPr>
              <w:pageBreakBefore w:val="0"/>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49">
            <w:pPr>
              <w:pageBreakBefore w:val="0"/>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4A">
            <w:pPr>
              <w:pageBreakBefore w:val="0"/>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4B">
            <w:pPr>
              <w:pageBreakBefore w:val="0"/>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C">
            <w:pPr>
              <w:pageBreakBefore w:val="0"/>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4D">
            <w:pPr>
              <w:pageBreakBefore w:val="0"/>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4E">
            <w:pPr>
              <w:pageBreakBefore w:val="0"/>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4F">
            <w:pPr>
              <w:pageBreakBefore w:val="0"/>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50">
            <w:pPr>
              <w:pageBreakBefore w:val="0"/>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b w:val="1"/>
        </w:rPr>
      </w:pPr>
      <w:r w:rsidDel="00000000" w:rsidR="00000000" w:rsidRPr="00000000">
        <w:rPr>
          <w:b w:val="1"/>
          <w:rtl w:val="0"/>
        </w:rPr>
        <w:t xml:space="preserve">Service Performance Report: </w:t>
      </w:r>
    </w:p>
    <w:p w:rsidR="00000000" w:rsidDel="00000000" w:rsidP="00000000" w:rsidRDefault="00000000" w:rsidRPr="00000000" w14:paraId="00000153">
      <w:pPr>
        <w:pageBreakBefore w:val="0"/>
        <w:numPr>
          <w:ilvl w:val="0"/>
          <w:numId w:val="13"/>
        </w:numPr>
        <w:ind w:left="720" w:hanging="360"/>
        <w:rPr>
          <w:u w:val="none"/>
        </w:rPr>
      </w:pPr>
      <w:r w:rsidDel="00000000" w:rsidR="00000000" w:rsidRPr="00000000">
        <w:rPr>
          <w:rtl w:val="0"/>
        </w:rPr>
        <w:t xml:space="preserve">EGI Foundation will provide every six month a written report about the performance of the Service(s) with the justification of any underperforming and SLA violation. </w:t>
      </w:r>
    </w:p>
    <w:p w:rsidR="00000000" w:rsidDel="00000000" w:rsidP="00000000" w:rsidRDefault="00000000" w:rsidRPr="00000000" w14:paraId="00000154">
      <w:pPr>
        <w:pageBreakBefore w:val="0"/>
        <w:rPr/>
      </w:pPr>
      <w:r w:rsidDel="00000000" w:rsidR="00000000" w:rsidRPr="00000000">
        <w:rPr>
          <w:rtl w:val="0"/>
        </w:rPr>
      </w:r>
    </w:p>
    <w:p w:rsidR="00000000" w:rsidDel="00000000" w:rsidP="00000000" w:rsidRDefault="00000000" w:rsidRPr="00000000" w14:paraId="00000155">
      <w:pPr>
        <w:pageBreakBefore w:val="0"/>
        <w:ind w:left="0" w:firstLine="0"/>
        <w:rPr>
          <w:b w:val="1"/>
        </w:rPr>
      </w:pPr>
      <w:r w:rsidDel="00000000" w:rsidR="00000000" w:rsidRPr="00000000">
        <w:rPr>
          <w:b w:val="1"/>
          <w:rtl w:val="0"/>
        </w:rPr>
        <w:t xml:space="preserve">Scientific Publication report: </w:t>
      </w:r>
    </w:p>
    <w:p w:rsidR="00000000" w:rsidDel="00000000" w:rsidP="00000000" w:rsidRDefault="00000000" w:rsidRPr="00000000" w14:paraId="00000156">
      <w:pPr>
        <w:pageBreakBefore w:val="0"/>
        <w:numPr>
          <w:ilvl w:val="0"/>
          <w:numId w:val="12"/>
        </w:numPr>
        <w:ind w:left="720" w:hanging="360"/>
        <w:rPr>
          <w:u w:val="none"/>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p>
    <w:p w:rsidR="00000000" w:rsidDel="00000000" w:rsidP="00000000" w:rsidRDefault="00000000" w:rsidRPr="00000000" w14:paraId="00000157">
      <w:pPr>
        <w:pageBreakBefore w:val="0"/>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22"/>
      </w:r>
      <w:r w:rsidDel="00000000" w:rsidR="00000000" w:rsidRPr="00000000">
        <w:rPr>
          <w:rtl w:val="0"/>
        </w:rPr>
        <w:t xml:space="preserve">. </w:t>
      </w:r>
    </w:p>
    <w:p w:rsidR="00000000" w:rsidDel="00000000" w:rsidP="00000000" w:rsidRDefault="00000000" w:rsidRPr="00000000" w14:paraId="00000158">
      <w:pPr>
        <w:pStyle w:val="Heading2"/>
        <w:pageBreakBefore w:val="0"/>
        <w:numPr>
          <w:ilvl w:val="1"/>
          <w:numId w:val="5"/>
        </w:numPr>
        <w:ind w:left="576" w:hanging="576"/>
        <w:rPr/>
      </w:pPr>
      <w:bookmarkStart w:colFirst="0" w:colLast="0" w:name="_3rdcrjn" w:id="11"/>
      <w:bookmarkEnd w:id="11"/>
      <w:r w:rsidDel="00000000" w:rsidR="00000000" w:rsidRPr="00000000">
        <w:rPr>
          <w:rtl w:val="0"/>
        </w:rPr>
        <w:t xml:space="preserve">Violations</w:t>
      </w:r>
    </w:p>
    <w:p w:rsidR="00000000" w:rsidDel="00000000" w:rsidP="00000000" w:rsidRDefault="00000000" w:rsidRPr="00000000" w14:paraId="00000159">
      <w:pPr>
        <w:pageBreakBefore w:val="0"/>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p>
    <w:p w:rsidR="00000000" w:rsidDel="00000000" w:rsidP="00000000" w:rsidRDefault="00000000" w:rsidRPr="00000000" w14:paraId="000001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Component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provide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the EGI Foundation will search for a new Component Provider and support migration. </w:t>
      </w:r>
    </w:p>
    <w:p w:rsidR="00000000" w:rsidDel="00000000" w:rsidP="00000000" w:rsidRDefault="00000000" w:rsidRPr="00000000" w14:paraId="000001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5D">
      <w:pPr>
        <w:pStyle w:val="Heading2"/>
        <w:pageBreakBefore w:val="0"/>
        <w:numPr>
          <w:ilvl w:val="1"/>
          <w:numId w:val="5"/>
        </w:numPr>
        <w:ind w:left="576" w:hanging="576"/>
        <w:rPr/>
      </w:pPr>
      <w:bookmarkStart w:colFirst="0" w:colLast="0" w:name="_26in1rg" w:id="12"/>
      <w:bookmarkEnd w:id="12"/>
      <w:r w:rsidDel="00000000" w:rsidR="00000000" w:rsidRPr="00000000">
        <w:rPr>
          <w:rtl w:val="0"/>
        </w:rPr>
        <w:t xml:space="preserve">Escalation and complaints</w:t>
      </w:r>
    </w:p>
    <w:p w:rsidR="00000000" w:rsidDel="00000000" w:rsidP="00000000" w:rsidRDefault="00000000" w:rsidRPr="00000000" w14:paraId="0000015E">
      <w:pPr>
        <w:pageBreakBefore w:val="0"/>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w:t>
      </w:r>
      <w:r w:rsidDel="00000000" w:rsidR="00000000" w:rsidRPr="00000000">
        <w:rPr>
          <w:rtl w:val="0"/>
        </w:rPr>
        <w:t xml:space="preserve">S</w:t>
      </w:r>
      <w:r w:rsidDel="00000000" w:rsidR="00000000" w:rsidRPr="00000000">
        <w:rPr>
          <w:b w:val="0"/>
          <w:rtl w:val="0"/>
        </w:rPr>
        <w:t xml:space="preserve">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p>
    <w:p w:rsidR="00000000" w:rsidDel="00000000" w:rsidP="00000000" w:rsidRDefault="00000000" w:rsidRPr="00000000" w14:paraId="000001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161">
      <w:pPr>
        <w:pStyle w:val="Heading1"/>
        <w:pageBreakBefore w:val="0"/>
        <w:numPr>
          <w:ilvl w:val="0"/>
          <w:numId w:val="5"/>
        </w:numPr>
        <w:ind w:left="432" w:hanging="432"/>
        <w:rPr/>
      </w:pPr>
      <w:bookmarkStart w:colFirst="0" w:colLast="0" w:name="_lnxbz9" w:id="13"/>
      <w:bookmarkEnd w:id="13"/>
      <w:r w:rsidDel="00000000" w:rsidR="00000000" w:rsidRPr="00000000">
        <w:rPr>
          <w:rtl w:val="0"/>
        </w:rPr>
        <w:t xml:space="preserve">Information security and data </w:t>
      </w:r>
      <w:r w:rsidDel="00000000" w:rsidR="00000000" w:rsidRPr="00000000">
        <w:rPr>
          <w:rtl w:val="0"/>
        </w:rPr>
        <w:t xml:space="preserve">protection</w:t>
      </w: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63">
      <w:pPr>
        <w:pageBreakBefore w:val="0"/>
        <w:numPr>
          <w:ilvl w:val="0"/>
          <w:numId w:val="7"/>
        </w:numPr>
        <w:spacing w:after="0" w:afterAutospacing="0"/>
        <w:ind w:left="720" w:hanging="360"/>
        <w:rPr>
          <w:u w:val="none"/>
        </w:rPr>
      </w:pPr>
      <w:r w:rsidDel="00000000" w:rsidR="00000000" w:rsidRPr="00000000">
        <w:rPr>
          <w:rtl w:val="0"/>
        </w:rPr>
        <w:t xml:space="preserve">The Customer must comply with the Acceptable Use Policy and Conditions of Use (AUP), if a service-specific or component provider-specific AUP is not provided </w:t>
      </w:r>
      <w:r w:rsidDel="00000000" w:rsidR="00000000" w:rsidRPr="00000000">
        <w:rPr>
          <w:rtl w:val="0"/>
        </w:rPr>
        <w:t xml:space="preserve">to the customer or displayed when accessing the service</w:t>
      </w:r>
      <w:r w:rsidDel="00000000" w:rsidR="00000000" w:rsidRPr="00000000">
        <w:rPr>
          <w:rtl w:val="0"/>
        </w:rPr>
        <w:t xml:space="preserve">, the general EGI Federation AUP</w:t>
      </w:r>
      <w:r w:rsidDel="00000000" w:rsidR="00000000" w:rsidRPr="00000000">
        <w:rPr>
          <w:vertAlign w:val="superscript"/>
        </w:rPr>
        <w:footnoteReference w:customMarkFollows="0" w:id="23"/>
      </w:r>
      <w:r w:rsidDel="00000000" w:rsidR="00000000" w:rsidRPr="00000000">
        <w:rPr>
          <w:rtl w:val="0"/>
        </w:rPr>
        <w:t xml:space="preserve"> applies.</w:t>
      </w:r>
    </w:p>
    <w:p w:rsidR="00000000" w:rsidDel="00000000" w:rsidP="00000000" w:rsidRDefault="00000000" w:rsidRPr="00000000" w14:paraId="00000164">
      <w:pPr>
        <w:pageBreakBefore w:val="0"/>
        <w:numPr>
          <w:ilvl w:val="0"/>
          <w:numId w:val="7"/>
        </w:numPr>
        <w:spacing w:after="0" w:afterAutospacing="0"/>
        <w:ind w:left="720" w:hanging="360"/>
        <w:rPr>
          <w:u w:val="none"/>
        </w:rPr>
      </w:pPr>
      <w:r w:rsidDel="00000000" w:rsidR="00000000" w:rsidRPr="00000000">
        <w:rPr>
          <w:rtl w:val="0"/>
        </w:rPr>
        <w:t xml:space="preserve">When the Customer is managing a community to manage access to the resources, they must comply with the Community Membership Management Policy</w:t>
      </w:r>
      <w:r w:rsidDel="00000000" w:rsidR="00000000" w:rsidRPr="00000000">
        <w:rPr>
          <w:vertAlign w:val="superscript"/>
        </w:rPr>
        <w:footnoteReference w:customMarkFollows="0" w:id="24"/>
      </w:r>
      <w:r w:rsidDel="00000000" w:rsidR="00000000" w:rsidRPr="00000000">
        <w:rPr>
          <w:rtl w:val="0"/>
        </w:rPr>
        <w:t xml:space="preserve">.</w:t>
      </w:r>
    </w:p>
    <w:p w:rsidR="00000000" w:rsidDel="00000000" w:rsidP="00000000" w:rsidRDefault="00000000" w:rsidRPr="00000000" w14:paraId="00000165">
      <w:pPr>
        <w:pageBreakBefore w:val="0"/>
        <w:numPr>
          <w:ilvl w:val="0"/>
          <w:numId w:val="7"/>
        </w:numPr>
        <w:spacing w:after="0" w:afterAutospacing="0"/>
        <w:ind w:left="720" w:hanging="360"/>
        <w:rPr>
          <w:u w:val="none"/>
        </w:rPr>
      </w:pPr>
      <w:r w:rsidDel="00000000" w:rsidR="00000000" w:rsidRPr="00000000">
        <w:rPr>
          <w:rtl w:val="0"/>
        </w:rPr>
        <w:t xml:space="preserve">The Customer holds the role of the Data Controller while EGI Foundation, the Service Provider, holds the role of the Data Processor. Data Processing Agreements (DPA) with EGI Foundation as a Data Processor are made available</w:t>
      </w:r>
      <w:r w:rsidDel="00000000" w:rsidR="00000000" w:rsidRPr="00000000">
        <w:rPr>
          <w:vertAlign w:val="superscript"/>
        </w:rPr>
        <w:footnoteReference w:customMarkFollows="0" w:id="25"/>
      </w:r>
      <w:r w:rsidDel="00000000" w:rsidR="00000000" w:rsidRPr="00000000">
        <w:rPr>
          <w:rtl w:val="0"/>
        </w:rPr>
        <w:t xml:space="preserve"> to the Customer and can be formally signed on request.</w:t>
      </w:r>
    </w:p>
    <w:p w:rsidR="00000000" w:rsidDel="00000000" w:rsidP="00000000" w:rsidRDefault="00000000" w:rsidRPr="00000000" w14:paraId="00000166">
      <w:pPr>
        <w:pageBreakBefore w:val="0"/>
        <w:numPr>
          <w:ilvl w:val="0"/>
          <w:numId w:val="7"/>
        </w:numPr>
        <w:spacing w:after="0" w:afterAutospacing="0"/>
        <w:ind w:left="720" w:hanging="360"/>
        <w:rPr>
          <w:u w:val="none"/>
        </w:rPr>
      </w:pPr>
      <w:r w:rsidDel="00000000" w:rsidR="00000000" w:rsidRPr="00000000">
        <w:rPr>
          <w:rtl w:val="0"/>
        </w:rPr>
        <w:t xml:space="preserve">The Technical and Organisational Measures (TOM) put in place by EGI Foundation to protect personal data during their processing can be consulted in the EGI Document Database</w:t>
      </w:r>
      <w:r w:rsidDel="00000000" w:rsidR="00000000" w:rsidRPr="00000000">
        <w:rPr>
          <w:vertAlign w:val="superscript"/>
        </w:rPr>
        <w:footnoteReference w:customMarkFollows="0" w:id="26"/>
      </w:r>
      <w:r w:rsidDel="00000000" w:rsidR="00000000" w:rsidRPr="00000000">
        <w:rPr>
          <w:rtl w:val="0"/>
        </w:rPr>
        <w:t xml:space="preserve">. </w:t>
      </w:r>
    </w:p>
    <w:p w:rsidR="00000000" w:rsidDel="00000000" w:rsidP="00000000" w:rsidRDefault="00000000" w:rsidRPr="00000000" w14:paraId="00000167">
      <w:pPr>
        <w:pageBreakBefore w:val="0"/>
        <w:numPr>
          <w:ilvl w:val="0"/>
          <w:numId w:val="7"/>
        </w:numPr>
        <w:spacing w:after="0" w:afterAutospacing="0"/>
        <w:ind w:left="720" w:hanging="360"/>
      </w:pPr>
      <w:r w:rsidDel="00000000" w:rsidR="00000000" w:rsidRPr="00000000">
        <w:rPr>
          <w:rtl w:val="0"/>
        </w:rPr>
        <w:t xml:space="preserve">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rsidR="00000000" w:rsidDel="00000000" w:rsidP="00000000" w:rsidRDefault="00000000" w:rsidRPr="00000000" w14:paraId="00000168">
      <w:pPr>
        <w:pageBreakBefore w:val="0"/>
        <w:numPr>
          <w:ilvl w:val="0"/>
          <w:numId w:val="7"/>
        </w:numPr>
        <w:spacing w:after="0" w:afterAutospacing="0"/>
        <w:ind w:left="720" w:hanging="360"/>
        <w:rPr>
          <w:u w:val="none"/>
        </w:rPr>
      </w:pPr>
      <w:r w:rsidDel="00000000" w:rsidR="00000000" w:rsidRPr="00000000">
        <w:rPr>
          <w:rtl w:val="0"/>
        </w:rPr>
        <w:t xml:space="preserve">EGI Foundation and their subcontracted data processors comply with the EGI Policy on the Processing of Personal Data</w:t>
      </w:r>
      <w:r w:rsidDel="00000000" w:rsidR="00000000" w:rsidRPr="00000000">
        <w:rPr>
          <w:vertAlign w:val="superscript"/>
        </w:rPr>
        <w:footnoteReference w:customMarkFollows="0" w:id="27"/>
      </w:r>
      <w:r w:rsidDel="00000000" w:rsidR="00000000" w:rsidRPr="00000000">
        <w:rPr>
          <w:rtl w:val="0"/>
        </w:rPr>
        <w:t xml:space="preserve">.</w:t>
      </w:r>
    </w:p>
    <w:p w:rsidR="00000000" w:rsidDel="00000000" w:rsidP="00000000" w:rsidRDefault="00000000" w:rsidRPr="00000000" w14:paraId="00000169">
      <w:pPr>
        <w:pageBreakBefore w:val="0"/>
        <w:numPr>
          <w:ilvl w:val="0"/>
          <w:numId w:val="7"/>
        </w:numPr>
        <w:spacing w:after="0" w:afterAutospacing="0"/>
        <w:ind w:left="720" w:hanging="360"/>
        <w:rPr>
          <w:u w:val="none"/>
        </w:rPr>
      </w:pPr>
      <w:r w:rsidDel="00000000" w:rsidR="00000000" w:rsidRPr="00000000">
        <w:rPr>
          <w:rtl w:val="0"/>
        </w:rPr>
        <w:t xml:space="preserve">If a service-specific or component provider-specific privacy policy is not provided to the Customer or displayed when accessing a given service, the Customer can refer to the one published on the EGI Website</w:t>
      </w:r>
      <w:r w:rsidDel="00000000" w:rsidR="00000000" w:rsidRPr="00000000">
        <w:rPr>
          <w:vertAlign w:val="superscript"/>
        </w:rPr>
        <w:footnoteReference w:customMarkFollows="0" w:id="28"/>
      </w:r>
      <w:r w:rsidDel="00000000" w:rsidR="00000000" w:rsidRPr="00000000">
        <w:rPr>
          <w:rtl w:val="0"/>
        </w:rPr>
        <w:t xml:space="preserve">.</w:t>
      </w:r>
    </w:p>
    <w:p w:rsidR="00000000" w:rsidDel="00000000" w:rsidP="00000000" w:rsidRDefault="00000000" w:rsidRPr="00000000" w14:paraId="0000016A">
      <w:pPr>
        <w:pageBreakBefore w:val="0"/>
        <w:numPr>
          <w:ilvl w:val="0"/>
          <w:numId w:val="7"/>
        </w:numPr>
        <w:spacing w:after="0" w:afterAutospacing="0"/>
        <w:ind w:left="720" w:hanging="360"/>
        <w:rPr>
          <w:u w:val="none"/>
        </w:rPr>
      </w:pPr>
      <w:r w:rsidDel="00000000" w:rsidR="00000000" w:rsidRPr="00000000">
        <w:rPr>
          <w:rtl w:val="0"/>
        </w:rPr>
        <w:t xml:space="preserve">EGI Foundation is conforming to the </w:t>
      </w:r>
      <w:r w:rsidDel="00000000" w:rsidR="00000000" w:rsidRPr="00000000">
        <w:rPr>
          <w:rtl w:val="0"/>
        </w:rPr>
        <w:t xml:space="preserve">GÉANT Code of Conduct</w:t>
      </w:r>
      <w:r w:rsidDel="00000000" w:rsidR="00000000" w:rsidRPr="00000000">
        <w:rPr>
          <w:rtl w:val="0"/>
        </w:rPr>
        <w:t xml:space="preserve"> (v1.0) and personal data will be processed in accordance with the Code of Conduct for Service Providers</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16B">
      <w:pPr>
        <w:pageBreakBefore w:val="0"/>
        <w:numPr>
          <w:ilvl w:val="0"/>
          <w:numId w:val="7"/>
        </w:numPr>
        <w:spacing w:after="0" w:afterAutospacing="0"/>
        <w:ind w:left="720" w:hanging="360"/>
        <w:rPr>
          <w:u w:val="none"/>
        </w:rPr>
      </w:pPr>
      <w:r w:rsidDel="00000000" w:rsidR="00000000" w:rsidRPr="00000000">
        <w:rPr>
          <w:rtl w:val="0"/>
        </w:rPr>
        <w:t xml:space="preserve">Security incidents affecting the services described in Section 1 must</w:t>
      </w:r>
      <w:r w:rsidDel="00000000" w:rsidR="00000000" w:rsidRPr="00000000">
        <w:rPr>
          <w:rtl w:val="0"/>
        </w:rPr>
        <w:t xml:space="preserve"> be</w:t>
      </w:r>
      <w:r w:rsidDel="00000000" w:rsidR="00000000" w:rsidRPr="00000000">
        <w:rPr>
          <w:rtl w:val="0"/>
        </w:rPr>
        <w:t xml:space="preserve"> reported to </w:t>
      </w:r>
      <w:hyperlink r:id="rId23">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24">
        <w:r w:rsidDel="00000000" w:rsidR="00000000" w:rsidRPr="00000000">
          <w:rPr>
            <w:color w:val="1155cc"/>
            <w:u w:val="single"/>
            <w:rtl w:val="0"/>
          </w:rPr>
          <w:t xml:space="preserve">SEC01: EGI CSIRT Security Incident Handling Procedure - EGIWiki</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16C">
      <w:pPr>
        <w:pageBreakBefore w:val="0"/>
        <w:numPr>
          <w:ilvl w:val="0"/>
          <w:numId w:val="7"/>
        </w:numPr>
        <w:spacing w:after="0" w:afterAutospacing="0"/>
        <w:ind w:left="720" w:hanging="360"/>
        <w:rPr>
          <w:u w:val="none"/>
        </w:rPr>
      </w:pPr>
      <w:r w:rsidDel="00000000" w:rsidR="00000000" w:rsidRPr="00000000">
        <w:rPr>
          <w:rtl w:val="0"/>
        </w:rPr>
        <w:t xml:space="preserve">Additional policies and procedures to be enforced across the EGI Federation are in in place</w:t>
      </w:r>
      <w:r w:rsidDel="00000000" w:rsidR="00000000" w:rsidRPr="00000000">
        <w:rPr>
          <w:vertAlign w:val="superscript"/>
        </w:rPr>
        <w:footnoteReference w:customMarkFollows="0" w:id="30"/>
      </w:r>
      <w:r w:rsidDel="00000000" w:rsidR="00000000" w:rsidRPr="00000000">
        <w:rPr>
          <w:rtl w:val="0"/>
        </w:rPr>
        <w:t xml:space="preserve">, notably:</w:t>
      </w:r>
    </w:p>
    <w:p w:rsidR="00000000" w:rsidDel="00000000" w:rsidP="00000000" w:rsidRDefault="00000000" w:rsidRPr="00000000" w14:paraId="0000016D">
      <w:pPr>
        <w:pageBreakBefore w:val="0"/>
        <w:numPr>
          <w:ilvl w:val="1"/>
          <w:numId w:val="7"/>
        </w:numPr>
        <w:spacing w:after="0" w:afterAutospacing="0"/>
        <w:ind w:left="1440" w:hanging="360"/>
      </w:pPr>
      <w:hyperlink r:id="rId25">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6E">
      <w:pPr>
        <w:pageBreakBefore w:val="0"/>
        <w:numPr>
          <w:ilvl w:val="1"/>
          <w:numId w:val="7"/>
        </w:numPr>
        <w:spacing w:after="0" w:afterAutospacing="0"/>
        <w:ind w:left="1440" w:hanging="360"/>
        <w:rPr>
          <w:color w:val="1155cc"/>
          <w:u w:val="none"/>
        </w:rPr>
      </w:pPr>
      <w:hyperlink r:id="rId26">
        <w:r w:rsidDel="00000000" w:rsidR="00000000" w:rsidRPr="00000000">
          <w:rPr>
            <w:color w:val="1155cc"/>
            <w:u w:val="single"/>
            <w:rtl w:val="0"/>
          </w:rPr>
          <w:t xml:space="preserve">EGI-doc-3601: Service Operations Security Policy</w:t>
        </w:r>
      </w:hyperlink>
      <w:r w:rsidDel="00000000" w:rsidR="00000000" w:rsidRPr="00000000">
        <w:rPr>
          <w:color w:val="1155cc"/>
          <w:u w:val="single"/>
          <w:rtl w:val="0"/>
        </w:rPr>
        <w:t xml:space="preserve"> </w:t>
      </w:r>
    </w:p>
    <w:p w:rsidR="00000000" w:rsidDel="00000000" w:rsidP="00000000" w:rsidRDefault="00000000" w:rsidRPr="00000000" w14:paraId="0000016F">
      <w:pPr>
        <w:pageBreakBefore w:val="0"/>
        <w:numPr>
          <w:ilvl w:val="1"/>
          <w:numId w:val="7"/>
        </w:numPr>
        <w:spacing w:after="0" w:afterAutospacing="0"/>
        <w:ind w:left="1440" w:hanging="360"/>
        <w:rPr>
          <w:color w:val="1155cc"/>
          <w:u w:val="none"/>
        </w:rPr>
      </w:pPr>
      <w:hyperlink r:id="rId27">
        <w:r w:rsidDel="00000000" w:rsidR="00000000" w:rsidRPr="00000000">
          <w:rPr>
            <w:color w:val="1155cc"/>
            <w:u w:val="single"/>
            <w:rtl w:val="0"/>
          </w:rPr>
          <w:t xml:space="preserve">EGI-doc-2934: Security Traceability and Logging Policy</w:t>
        </w:r>
      </w:hyperlink>
      <w:r w:rsidDel="00000000" w:rsidR="00000000" w:rsidRPr="00000000">
        <w:rPr>
          <w:color w:val="1155cc"/>
          <w:u w:val="single"/>
          <w:rtl w:val="0"/>
        </w:rPr>
        <w:t xml:space="preserve"> </w:t>
      </w:r>
    </w:p>
    <w:p w:rsidR="00000000" w:rsidDel="00000000" w:rsidP="00000000" w:rsidRDefault="00000000" w:rsidRPr="00000000" w14:paraId="00000170">
      <w:pPr>
        <w:pageBreakBefore w:val="0"/>
        <w:numPr>
          <w:ilvl w:val="1"/>
          <w:numId w:val="7"/>
        </w:numPr>
        <w:ind w:left="1440" w:hanging="360"/>
        <w:rPr>
          <w:color w:val="1155cc"/>
          <w:u w:val="none"/>
        </w:rPr>
      </w:pPr>
      <w:hyperlink r:id="rId28">
        <w:r w:rsidDel="00000000" w:rsidR="00000000" w:rsidRPr="00000000">
          <w:rPr>
            <w:color w:val="1155cc"/>
            <w:u w:val="single"/>
            <w:rtl w:val="0"/>
          </w:rPr>
          <w:t xml:space="preserve">EGI-doc-2935: Security Incident Response Policy</w:t>
        </w:r>
      </w:hyperlink>
      <w:r w:rsidDel="00000000" w:rsidR="00000000" w:rsidRPr="00000000">
        <w:rPr>
          <w:color w:val="1155cc"/>
          <w:u w:val="single"/>
          <w:rtl w:val="0"/>
        </w:rPr>
        <w:t xml:space="preserve"> </w:t>
      </w:r>
    </w:p>
    <w:p w:rsidR="00000000" w:rsidDel="00000000" w:rsidP="00000000" w:rsidRDefault="00000000" w:rsidRPr="00000000" w14:paraId="00000171">
      <w:pPr>
        <w:pageBreakBefore w:val="0"/>
        <w:ind w:left="1440" w:firstLine="0"/>
        <w:rPr/>
      </w:pPr>
      <w:r w:rsidDel="00000000" w:rsidR="00000000" w:rsidRPr="00000000">
        <w:rPr>
          <w:rtl w:val="0"/>
        </w:rPr>
      </w:r>
    </w:p>
    <w:p w:rsidR="00000000" w:rsidDel="00000000" w:rsidP="00000000" w:rsidRDefault="00000000" w:rsidRPr="00000000" w14:paraId="00000172">
      <w:pPr>
        <w:pStyle w:val="Heading1"/>
        <w:pageBreakBefore w:val="0"/>
        <w:numPr>
          <w:ilvl w:val="0"/>
          <w:numId w:val="5"/>
        </w:numPr>
        <w:ind w:left="432" w:hanging="432"/>
        <w:rPr/>
      </w:pPr>
      <w:bookmarkStart w:colFirst="0" w:colLast="0" w:name="_35nkun2" w:id="14"/>
      <w:bookmarkEnd w:id="14"/>
      <w:r w:rsidDel="00000000" w:rsidR="00000000" w:rsidRPr="00000000">
        <w:rPr>
          <w:rtl w:val="0"/>
        </w:rPr>
        <w:t xml:space="preserve">Responsibilities </w:t>
      </w:r>
    </w:p>
    <w:p w:rsidR="00000000" w:rsidDel="00000000" w:rsidP="00000000" w:rsidRDefault="00000000" w:rsidRPr="00000000" w14:paraId="00000173">
      <w:pPr>
        <w:pStyle w:val="Heading2"/>
        <w:pageBreakBefore w:val="0"/>
        <w:numPr>
          <w:ilvl w:val="1"/>
          <w:numId w:val="5"/>
        </w:numPr>
        <w:ind w:left="576" w:hanging="576"/>
        <w:rPr/>
      </w:pPr>
      <w:bookmarkStart w:colFirst="0" w:colLast="0" w:name="_1ksv4uv" w:id="15"/>
      <w:bookmarkEnd w:id="15"/>
      <w:r w:rsidDel="00000000" w:rsidR="00000000" w:rsidRPr="00000000">
        <w:rPr>
          <w:rtl w:val="0"/>
        </w:rPr>
        <w:t xml:space="preserve">Of EGI Foundation</w:t>
      </w:r>
    </w:p>
    <w:p w:rsidR="00000000" w:rsidDel="00000000" w:rsidP="00000000" w:rsidRDefault="00000000" w:rsidRPr="00000000" w14:paraId="00000174">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Additional responsibilities of EGI Foundation are as follows.</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its components in order to measure the fulfilment of the agreed service level targets.</w:t>
      </w:r>
    </w:p>
    <w:p w:rsidR="00000000" w:rsidDel="00000000" w:rsidP="00000000" w:rsidRDefault="00000000" w:rsidRPr="00000000" w14:paraId="000001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Service Provider will promptly inform the Customer and update the Agreement accordingly.</w:t>
      </w:r>
      <w:r w:rsidDel="00000000" w:rsidR="00000000" w:rsidRPr="00000000">
        <w:rPr>
          <w:rtl w:val="0"/>
        </w:rPr>
      </w:r>
    </w:p>
    <w:p w:rsidR="00000000" w:rsidDel="00000000" w:rsidP="00000000" w:rsidRDefault="00000000" w:rsidRPr="00000000" w14:paraId="00000177">
      <w:pPr>
        <w:pStyle w:val="Heading2"/>
        <w:pageBreakBefore w:val="0"/>
        <w:numPr>
          <w:ilvl w:val="1"/>
          <w:numId w:val="5"/>
        </w:numPr>
      </w:pPr>
      <w:bookmarkStart w:colFirst="0" w:colLast="0" w:name="_dp2p7f4brnzf" w:id="16"/>
      <w:bookmarkEnd w:id="16"/>
      <w:r w:rsidDel="00000000" w:rsidR="00000000" w:rsidRPr="00000000">
        <w:rPr>
          <w:rtl w:val="0"/>
        </w:rPr>
        <w:t xml:space="preserve">Of the Customer </w:t>
      </w:r>
    </w:p>
    <w:p w:rsidR="00000000" w:rsidDel="00000000" w:rsidP="00000000" w:rsidRDefault="00000000" w:rsidRPr="00000000" w14:paraId="00000178">
      <w:pPr>
        <w:pageBreakBefore w:val="0"/>
        <w:rPr/>
      </w:pPr>
      <w:r w:rsidDel="00000000" w:rsidR="00000000" w:rsidRPr="00000000">
        <w:rPr>
          <w:rtl w:val="0"/>
        </w:rPr>
        <w:t xml:space="preserve">Additional responsibilities of the Customer are:</w:t>
      </w:r>
    </w:p>
    <w:p w:rsidR="00000000" w:rsidDel="00000000" w:rsidP="00000000" w:rsidRDefault="00000000" w:rsidRPr="00000000" w14:paraId="000001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ustomer facilitates the use of EGI acknowledgement by communicating to users the need of adding the following sentence in acknowledgement:  “This work used the EGI infrastructure with the dedicated support of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[resource provider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Service(s) defined in Section 1.</w:t>
      </w:r>
    </w:p>
    <w:p w:rsidR="00000000" w:rsidDel="00000000" w:rsidP="00000000" w:rsidRDefault="00000000" w:rsidRPr="00000000" w14:paraId="000001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7C">
      <w:pPr>
        <w:pageBreakBefore w:val="0"/>
        <w:numPr>
          <w:ilvl w:val="0"/>
          <w:numId w:val="16"/>
        </w:numPr>
        <w:spacing w:after="0" w:lineRule="auto"/>
        <w:ind w:left="1080" w:hanging="720"/>
        <w:rPr/>
      </w:pPr>
      <w:r w:rsidDel="00000000" w:rsidR="00000000" w:rsidRPr="00000000">
        <w:rPr>
          <w:rtl w:val="0"/>
        </w:rPr>
        <w:t xml:space="preserve">By default, the data stored in the Service Provider by the Customer are not backed-up except if explicitly specified in the Agreement.</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Service Provider in case the actual amount of the Service(s) used results in being under- or over-estimated. The Customer will request an update of the Agreement to ensure optimal usage of the Service(s). </w:t>
      </w:r>
    </w:p>
    <w:p w:rsidR="00000000" w:rsidDel="00000000" w:rsidP="00000000" w:rsidRDefault="00000000" w:rsidRPr="00000000" w14:paraId="000001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with the support of the Service Provider, one or more Virtual Organizations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of the VO should be done a</w:t>
      </w:r>
      <w:r w:rsidDel="00000000" w:rsidR="00000000" w:rsidRPr="00000000">
        <w:rPr>
          <w:rtl w:val="0"/>
        </w:rPr>
        <w:t xml:space="preserve">ccording to the Community Membership Management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documented in Section 7.</w:t>
      </w:r>
    </w:p>
    <w:p w:rsidR="00000000" w:rsidDel="00000000" w:rsidP="00000000" w:rsidRDefault="00000000" w:rsidRPr="00000000" w14:paraId="000001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appropriate VO name.</w:t>
      </w:r>
    </w:p>
    <w:p w:rsidR="00000000" w:rsidDel="00000000" w:rsidP="00000000" w:rsidRDefault="00000000" w:rsidRPr="00000000" w14:paraId="0000018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p>
    <w:p w:rsidR="00000000" w:rsidDel="00000000" w:rsidP="00000000" w:rsidRDefault="00000000" w:rsidRPr="00000000" w14:paraId="0000018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w:t>
      </w:r>
      <w:r w:rsidDel="00000000" w:rsidR="00000000" w:rsidRPr="00000000">
        <w:rPr>
          <w:rtl w:val="0"/>
        </w:rPr>
        <w:t xml:space="preserve">dat</w:t>
      </w:r>
      <w:r w:rsidDel="00000000" w:rsidR="00000000" w:rsidRPr="00000000">
        <w:rPr>
          <w:rtl w:val="0"/>
        </w:rPr>
        <w:t xml:space="preserve">a once the agreement is terminated. </w:t>
      </w:r>
    </w:p>
    <w:p w:rsidR="00000000" w:rsidDel="00000000" w:rsidP="00000000" w:rsidRDefault="00000000" w:rsidRPr="00000000" w14:paraId="00000182">
      <w:pPr>
        <w:pStyle w:val="Heading1"/>
        <w:pageBreakBefore w:val="0"/>
        <w:numPr>
          <w:ilvl w:val="0"/>
          <w:numId w:val="5"/>
        </w:numPr>
        <w:ind w:left="432" w:hanging="432"/>
        <w:rPr/>
      </w:pPr>
      <w:bookmarkStart w:colFirst="0" w:colLast="0" w:name="_z337ya" w:id="17"/>
      <w:bookmarkEnd w:id="17"/>
      <w:r w:rsidDel="00000000" w:rsidR="00000000" w:rsidRPr="00000000">
        <w:rPr>
          <w:rtl w:val="0"/>
        </w:rPr>
        <w:t xml:space="preserve">Review, extensions and termination</w:t>
      </w:r>
    </w:p>
    <w:p w:rsidR="00000000" w:rsidDel="00000000" w:rsidP="00000000" w:rsidRDefault="00000000" w:rsidRPr="00000000" w14:paraId="00000183">
      <w:pPr>
        <w:pageBreakBefore w:val="0"/>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84">
      <w:pPr>
        <w:pageBreakBefore w:val="0"/>
        <w:rPr>
          <w:b w:val="1"/>
        </w:rPr>
      </w:pPr>
      <w:r w:rsidDel="00000000" w:rsidR="00000000" w:rsidRPr="00000000">
        <w:rPr>
          <w:rtl w:val="0"/>
        </w:rPr>
        <w:t xml:space="preserve">If the Customer wishes to extend the duration after the Agreement termination date, an extension will be negotiated with EGI Foundation. </w:t>
      </w:r>
      <w:r w:rsidDel="00000000" w:rsidR="00000000" w:rsidRPr="00000000">
        <w:rPr>
          <w:b w:val="1"/>
          <w:rtl w:val="0"/>
        </w:rPr>
        <w:t xml:space="preserve">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sidDel="00000000" w:rsidR="00000000" w:rsidRPr="00000000">
        <w:rPr>
          <w:b w:val="1"/>
          <w:vertAlign w:val="superscript"/>
        </w:rPr>
        <w:footnoteReference w:customMarkFollows="0" w:id="34"/>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86">
      <w:pPr>
        <w:pageBreakBefore w:val="0"/>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9" w:type="default"/>
      <w:footerReference r:id="rId30"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9F">
          <w:pPr>
            <w:pageBreakBefore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CDMI, POSIX, SWIFT, etc.</w:t>
      </w:r>
    </w:p>
  </w:footnote>
  <w:footnote w:id="1">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DPM, dCache, STORM,  etc.</w:t>
      </w:r>
    </w:p>
  </w:footnote>
  <w:footnote w:id="14">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7">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8">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9">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20">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1">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2">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33">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
    <w:p w:rsidR="00000000" w:rsidDel="00000000" w:rsidP="00000000" w:rsidRDefault="00000000" w:rsidRPr="00000000" w14:paraId="000001A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3">
    <w:p w:rsidR="00000000" w:rsidDel="00000000" w:rsidP="00000000" w:rsidRDefault="00000000" w:rsidRPr="00000000" w14:paraId="000001A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4">
    <w:p w:rsidR="00000000" w:rsidDel="00000000" w:rsidP="00000000" w:rsidRDefault="00000000" w:rsidRPr="00000000" w14:paraId="000001A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5">
    <w:p w:rsidR="00000000" w:rsidDel="00000000" w:rsidP="00000000" w:rsidRDefault="00000000" w:rsidRPr="00000000" w14:paraId="000001A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6">
    <w:p w:rsidR="00000000" w:rsidDel="00000000" w:rsidP="00000000" w:rsidRDefault="00000000" w:rsidRPr="00000000" w14:paraId="000001A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7">
    <w:p w:rsidR="00000000" w:rsidDel="00000000" w:rsidP="00000000" w:rsidRDefault="00000000" w:rsidRPr="00000000" w14:paraId="000001A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8">
    <w:p w:rsidR="00000000" w:rsidDel="00000000" w:rsidP="00000000" w:rsidRDefault="00000000" w:rsidRPr="00000000" w14:paraId="000001A8">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34">
    <w:p w:rsidR="00000000" w:rsidDel="00000000" w:rsidP="00000000" w:rsidRDefault="00000000" w:rsidRPr="00000000" w14:paraId="000001A9">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https://accounting.egi.eu/</w:t>
        </w:r>
      </w:hyperlink>
      <w:r w:rsidDel="00000000" w:rsidR="00000000" w:rsidRPr="00000000">
        <w:rPr>
          <w:sz w:val="20"/>
          <w:szCs w:val="20"/>
          <w:rtl w:val="0"/>
        </w:rPr>
        <w:t xml:space="preserve"> </w:t>
      </w:r>
    </w:p>
  </w:footnote>
  <w:footnote w:id="13">
    <w:p w:rsidR="00000000" w:rsidDel="00000000" w:rsidP="00000000" w:rsidRDefault="00000000" w:rsidRPr="00000000" w14:paraId="000001A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9">
    <w:p w:rsidR="00000000" w:rsidDel="00000000" w:rsidP="00000000" w:rsidRDefault="00000000" w:rsidRPr="00000000" w14:paraId="000001A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AC">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2">
    <w:p w:rsidR="00000000" w:rsidDel="00000000" w:rsidP="00000000" w:rsidRDefault="00000000" w:rsidRPr="00000000" w14:paraId="000001AD">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0">
    <w:p w:rsidR="00000000" w:rsidDel="00000000" w:rsidP="00000000" w:rsidRDefault="00000000" w:rsidRPr="00000000" w14:paraId="000001A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23">
    <w:p w:rsidR="00000000" w:rsidDel="00000000" w:rsidP="00000000" w:rsidRDefault="00000000" w:rsidRPr="00000000" w14:paraId="000001AF">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https://documents.egi.eu/document/3600</w:t>
        </w:r>
      </w:hyperlink>
      <w:r w:rsidDel="00000000" w:rsidR="00000000" w:rsidRPr="00000000">
        <w:rPr>
          <w:sz w:val="20"/>
          <w:szCs w:val="20"/>
          <w:rtl w:val="0"/>
        </w:rPr>
        <w:t xml:space="preserve"> </w:t>
      </w:r>
    </w:p>
  </w:footnote>
  <w:footnote w:id="25">
    <w:p w:rsidR="00000000" w:rsidDel="00000000" w:rsidP="00000000" w:rsidRDefault="00000000" w:rsidRPr="00000000" w14:paraId="000001B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https://documents.egi.eu/secure/ShowDocument?docid=3745</w:t>
        </w:r>
      </w:hyperlink>
      <w:r w:rsidDel="00000000" w:rsidR="00000000" w:rsidRPr="00000000">
        <w:rPr>
          <w:sz w:val="20"/>
          <w:szCs w:val="20"/>
          <w:rtl w:val="0"/>
        </w:rPr>
        <w:t xml:space="preserve"> </w:t>
      </w:r>
    </w:p>
  </w:footnote>
  <w:footnote w:id="26">
    <w:p w:rsidR="00000000" w:rsidDel="00000000" w:rsidP="00000000" w:rsidRDefault="00000000" w:rsidRPr="00000000" w14:paraId="000001B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https://documents.egi.eu/document/3737</w:t>
        </w:r>
      </w:hyperlink>
      <w:r w:rsidDel="00000000" w:rsidR="00000000" w:rsidRPr="00000000">
        <w:rPr>
          <w:sz w:val="20"/>
          <w:szCs w:val="20"/>
          <w:rtl w:val="0"/>
        </w:rPr>
        <w:t xml:space="preserve"> </w:t>
      </w:r>
    </w:p>
  </w:footnote>
  <w:footnote w:id="27">
    <w:p w:rsidR="00000000" w:rsidDel="00000000" w:rsidP="00000000" w:rsidRDefault="00000000" w:rsidRPr="00000000" w14:paraId="000001B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28">
    <w:p w:rsidR="00000000" w:rsidDel="00000000" w:rsidP="00000000" w:rsidRDefault="00000000" w:rsidRPr="00000000" w14:paraId="000001B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https://www.egi.eu/privacy-policy/</w:t>
        </w:r>
      </w:hyperlink>
      <w:r w:rsidDel="00000000" w:rsidR="00000000" w:rsidRPr="00000000">
        <w:rPr>
          <w:sz w:val="20"/>
          <w:szCs w:val="20"/>
          <w:rtl w:val="0"/>
        </w:rPr>
        <w:t xml:space="preserve"> </w:t>
      </w:r>
    </w:p>
  </w:footnote>
  <w:footnote w:id="29">
    <w:p w:rsidR="00000000" w:rsidDel="00000000" w:rsidP="00000000" w:rsidRDefault="00000000" w:rsidRPr="00000000" w14:paraId="000001B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https://geant3plus.archive.geant.net/Pages/uri/V1.html</w:t>
        </w:r>
      </w:hyperlink>
      <w:r w:rsidDel="00000000" w:rsidR="00000000" w:rsidRPr="00000000">
        <w:rPr>
          <w:sz w:val="20"/>
          <w:szCs w:val="20"/>
          <w:rtl w:val="0"/>
        </w:rPr>
        <w:t xml:space="preserve"> </w:t>
      </w:r>
    </w:p>
  </w:footnote>
  <w:footnote w:id="30">
    <w:p w:rsidR="00000000" w:rsidDel="00000000" w:rsidP="00000000" w:rsidRDefault="00000000" w:rsidRPr="00000000" w14:paraId="000001B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https://go.egi.eu/policies_procedures</w:t>
        </w:r>
      </w:hyperlink>
      <w:r w:rsidDel="00000000" w:rsidR="00000000" w:rsidRPr="00000000">
        <w:rPr>
          <w:sz w:val="20"/>
          <w:szCs w:val="20"/>
          <w:rtl w:val="0"/>
        </w:rPr>
        <w:t xml:space="preserve"> </w:t>
      </w:r>
    </w:p>
  </w:footnote>
  <w:footnote w:id="24">
    <w:p w:rsidR="00000000" w:rsidDel="00000000" w:rsidP="00000000" w:rsidRDefault="00000000" w:rsidRPr="00000000" w14:paraId="000001B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https://documents.egi.eu/public/ShowDocument?docid=3234</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la@mailman.egi.eu" TargetMode="External"/><Relationship Id="rId22" Type="http://schemas.openxmlformats.org/officeDocument/2006/relationships/hyperlink" Target="mailto:complaints@egi.eu" TargetMode="External"/><Relationship Id="rId21" Type="http://schemas.openxmlformats.org/officeDocument/2006/relationships/hyperlink" Target="mailto:operations@egi.eu" TargetMode="External"/><Relationship Id="rId24" Type="http://schemas.openxmlformats.org/officeDocument/2006/relationships/hyperlink" Target="https://wiki.egi.eu/wiki/SEC01" TargetMode="External"/><Relationship Id="rId23" Type="http://schemas.openxmlformats.org/officeDocument/2006/relationships/hyperlink" Target="mailto:abuse@egi.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 TargetMode="External"/><Relationship Id="rId26" Type="http://schemas.openxmlformats.org/officeDocument/2006/relationships/hyperlink" Target="https://documents.egi.eu/public/ShowDocument?docid=3601" TargetMode="External"/><Relationship Id="rId25" Type="http://schemas.openxmlformats.org/officeDocument/2006/relationships/hyperlink" Target="https://documents.egi.eu/public/ShowDocument?docid=3015" TargetMode="External"/><Relationship Id="rId28" Type="http://schemas.openxmlformats.org/officeDocument/2006/relationships/hyperlink" Target="https://documents.egi.eu/public/ShowDocument?docid=2935" TargetMode="External"/><Relationship Id="rId27" Type="http://schemas.openxmlformats.org/officeDocument/2006/relationships/hyperlink" Target="https://documents.egi.eu/public/ShowDocument?docid=2934"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https://wiki.egi.eu/wiki/Glossary%20" TargetMode="External"/><Relationship Id="rId30" Type="http://schemas.openxmlformats.org/officeDocument/2006/relationships/footer" Target="footer2.xml"/><Relationship Id="rId11" Type="http://schemas.openxmlformats.org/officeDocument/2006/relationships/hyperlink" Target="https://www.egi.eu/services/cloud-container/" TargetMode="External"/><Relationship Id="rId10" Type="http://schemas.openxmlformats.org/officeDocument/2006/relationships/hyperlink" Target="https://www.egi.eu/services/cloud-compute/" TargetMode="External"/><Relationship Id="rId13" Type="http://schemas.openxmlformats.org/officeDocument/2006/relationships/hyperlink" Target="https://www.egi.eu/services/workload-manager/" TargetMode="External"/><Relationship Id="rId12" Type="http://schemas.openxmlformats.org/officeDocument/2006/relationships/hyperlink" Target="https://www.egi.eu/services/high-throughput-compute/" TargetMode="External"/><Relationship Id="rId15" Type="http://schemas.openxmlformats.org/officeDocument/2006/relationships/hyperlink" Target="https://www.egi.eu/services/notebooks/" TargetMode="External"/><Relationship Id="rId14" Type="http://schemas.openxmlformats.org/officeDocument/2006/relationships/hyperlink" Target="https://www.egi.eu/services/online-storage/" TargetMode="External"/><Relationship Id="rId17" Type="http://schemas.openxmlformats.org/officeDocument/2006/relationships/hyperlink" Target="https://www.egi.eu/services/data-transfer/" TargetMode="External"/><Relationship Id="rId16" Type="http://schemas.openxmlformats.org/officeDocument/2006/relationships/hyperlink" Target="https://www.egi.eu/services/check-in/" TargetMode="External"/><Relationship Id="rId19" Type="http://schemas.openxmlformats.org/officeDocument/2006/relationships/hyperlink" Target="https://confluence.egi.eu/display/EGISLM/EGI+Service+requests" TargetMode="External"/><Relationship Id="rId18" Type="http://schemas.openxmlformats.org/officeDocument/2006/relationships/hyperlink" Target="https://www.egi.eu/services/datahu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go.egi.eu/policies_procedures" TargetMode="External"/><Relationship Id="rId11" Type="http://schemas.openxmlformats.org/officeDocument/2006/relationships/hyperlink" Target="https://wiki.egi.eu/wiki/FAQ_GGUS-New-Support-Unit" TargetMode="External"/><Relationship Id="rId10" Type="http://schemas.openxmlformats.org/officeDocument/2006/relationships/hyperlink" Target="http://operations-portal.egi.eu/" TargetMode="External"/><Relationship Id="rId21" Type="http://schemas.openxmlformats.org/officeDocument/2006/relationships/hyperlink" Target="https://documents.egi.eu/public/ShowDocument?docid=3234" TargetMode="External"/><Relationship Id="rId13" Type="http://schemas.openxmlformats.org/officeDocument/2006/relationships/hyperlink" Target="https://accounting.egi.eu/" TargetMode="External"/><Relationship Id="rId12" Type="http://schemas.openxmlformats.org/officeDocument/2006/relationships/hyperlink" Target="https://appdb.egi.eu/"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documents.egi.eu/secure/ShowDocument?docid=3745" TargetMode="External"/><Relationship Id="rId14" Type="http://schemas.openxmlformats.org/officeDocument/2006/relationships/hyperlink" Target="https://documents.egi.eu/document/3600" TargetMode="External"/><Relationship Id="rId17" Type="http://schemas.openxmlformats.org/officeDocument/2006/relationships/hyperlink" Target="https://documents.egi.eu/public/ShowDocument?docid=2732" TargetMode="External"/><Relationship Id="rId16" Type="http://schemas.openxmlformats.org/officeDocument/2006/relationships/hyperlink" Target="https://documents.egi.eu/document/3737" TargetMode="External"/><Relationship Id="rId5" Type="http://schemas.openxmlformats.org/officeDocument/2006/relationships/hyperlink" Target="http://helpdesk.egi.eu/" TargetMode="External"/><Relationship Id="rId19" Type="http://schemas.openxmlformats.org/officeDocument/2006/relationships/hyperlink" Target="https://geant3plus.archive.geant.net/Pages/uri/V1.html" TargetMode="External"/><Relationship Id="rId6" Type="http://schemas.openxmlformats.org/officeDocument/2006/relationships/hyperlink" Target="https://www.egi.eu/sso/" TargetMode="External"/><Relationship Id="rId18" Type="http://schemas.openxmlformats.org/officeDocument/2006/relationships/hyperlink" Target="https://www.egi.eu/privacy-policy/"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