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1BCA1744" w:rsidR="006669E7" w:rsidRDefault="006D1955" w:rsidP="006D1955">
      <w:pPr>
        <w:jc w:val="center"/>
      </w:pPr>
      <w:r w:rsidRPr="006D1955">
        <w:rPr>
          <w:b/>
          <w:sz w:val="44"/>
        </w:rPr>
        <w:t>SERVICE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27337AD" w:rsidR="006D1955" w:rsidRPr="006D1955" w:rsidRDefault="00C062E3" w:rsidP="00C062E3">
            <w:pPr>
              <w:snapToGrid w:val="0"/>
              <w:spacing w:before="120"/>
              <w:jc w:val="left"/>
              <w:rPr>
                <w:rFonts w:asciiTheme="minorHAnsi" w:hAnsiTheme="minorHAnsi" w:cs="Open Sans"/>
              </w:rPr>
            </w:pPr>
            <w:r w:rsidRPr="00C062E3">
              <w:rPr>
                <w:rFonts w:asciiTheme="minorHAnsi" w:hAnsiTheme="minorHAnsi"/>
                <w:highlight w:val="yellow"/>
              </w:rPr>
              <w:t>[User community]</w:t>
            </w:r>
            <w:r w:rsidR="006D1955" w:rsidRPr="00C062E3">
              <w:rPr>
                <w:rFonts w:asciiTheme="minorHAnsi" w:hAnsiTheme="minorHAnsi"/>
                <w:highlight w:val="yellow"/>
              </w:rPr>
              <w:t>/</w:t>
            </w:r>
            <w:r w:rsidRPr="00C062E3">
              <w:rPr>
                <w:rFonts w:asciiTheme="minorHAnsi" w:hAnsiTheme="minorHAnsi"/>
                <w:highlight w:val="yellow"/>
              </w:rPr>
              <w:t>[VO name]</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7777777" w:rsidR="006D1955" w:rsidRPr="006D1955" w:rsidRDefault="006D1955" w:rsidP="0053196A">
            <w:pPr>
              <w:snapToGrid w:val="0"/>
              <w:spacing w:before="120"/>
              <w:jc w:val="left"/>
              <w:rPr>
                <w:rFonts w:asciiTheme="minorHAnsi" w:hAnsiTheme="minorHAnsi" w:cs="Open Sans"/>
              </w:rPr>
            </w:pPr>
            <w:r w:rsidRPr="006D1955">
              <w:rPr>
                <w:rFonts w:asciiTheme="minorHAnsi" w:hAnsiTheme="minorHAnsi" w:cs="Open Sans"/>
              </w:rPr>
              <w:t>EGI.eu</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6864A610" w:rsidR="006D1955" w:rsidRPr="006D1955" w:rsidRDefault="00C062E3"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DB773FA" w:rsidR="006D1955" w:rsidRPr="006D1955" w:rsidRDefault="00C062E3" w:rsidP="0053196A">
            <w:pPr>
              <w:pStyle w:val="DocDate"/>
              <w:snapToGrid w:val="0"/>
              <w:jc w:val="left"/>
              <w:rPr>
                <w:rFonts w:asciiTheme="minorHAnsi" w:hAnsiTheme="minorHAnsi" w:cs="Open Sans"/>
              </w:rPr>
            </w:pPr>
            <w:r w:rsidRPr="00C062E3">
              <w:rPr>
                <w:rFonts w:asciiTheme="minorHAnsi" w:hAnsiTheme="minorHAnsi" w:cs="Open Sans"/>
                <w:b w:val="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731A8EF6" w:rsidR="006D1955" w:rsidRPr="006D1955" w:rsidRDefault="00C062E3"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6013B1B4" w:rsidR="006D1955" w:rsidRPr="006D1955" w:rsidRDefault="00C062E3" w:rsidP="00C062E3">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1AF9967F" w14:textId="77777777" w:rsidTr="0053196A">
        <w:trPr>
          <w:cantSplit/>
          <w:trHeight w:val="508"/>
          <w:jc w:val="center"/>
        </w:trPr>
        <w:tc>
          <w:tcPr>
            <w:tcW w:w="2645" w:type="dxa"/>
            <w:shd w:val="clear" w:color="auto" w:fill="auto"/>
            <w:vAlign w:val="center"/>
          </w:tcPr>
          <w:p w14:paraId="4D4D8D32" w14:textId="702F83A9" w:rsidR="006D1955" w:rsidRPr="006D1955" w:rsidRDefault="001E7F62" w:rsidP="001E7F62">
            <w:pPr>
              <w:snapToGrid w:val="0"/>
              <w:spacing w:before="120"/>
              <w:rPr>
                <w:rFonts w:asciiTheme="minorHAnsi" w:hAnsiTheme="minorHAnsi" w:cs="Open Sans"/>
                <w:b/>
              </w:rPr>
            </w:pPr>
            <w:r>
              <w:rPr>
                <w:rFonts w:asciiTheme="minorHAnsi" w:hAnsiTheme="minorHAnsi" w:cs="Open Sans"/>
                <w:b/>
              </w:rPr>
              <w:t>SLA</w:t>
            </w:r>
            <w:r w:rsidR="006D1955" w:rsidRPr="006D1955">
              <w:rPr>
                <w:rFonts w:asciiTheme="minorHAnsi" w:hAnsiTheme="minorHAnsi" w:cs="Open Sans"/>
                <w:b/>
              </w:rPr>
              <w:t xml:space="preserve"> </w:t>
            </w:r>
            <w:r>
              <w:rPr>
                <w:rFonts w:asciiTheme="minorHAnsi" w:hAnsiTheme="minorHAnsi" w:cs="Open Sans"/>
                <w:b/>
              </w:rPr>
              <w:t>link</w:t>
            </w:r>
          </w:p>
        </w:tc>
        <w:tc>
          <w:tcPr>
            <w:tcW w:w="3968" w:type="dxa"/>
            <w:shd w:val="clear" w:color="auto" w:fill="auto"/>
            <w:vAlign w:val="center"/>
          </w:tcPr>
          <w:p w14:paraId="332E86E4" w14:textId="320874BE" w:rsidR="006D1955" w:rsidRPr="006D1955" w:rsidRDefault="00C062E3" w:rsidP="00C062E3">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[unique name in e-grant]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2580AE99" w:rsidR="006D1955" w:rsidRPr="006D1955" w:rsidRDefault="001E7F62" w:rsidP="0053196A">
            <w:pPr>
              <w:pStyle w:val="Header"/>
              <w:snapToGrid w:val="0"/>
              <w:spacing w:before="120" w:after="120"/>
              <w:rPr>
                <w:rFonts w:asciiTheme="minorHAnsi" w:hAnsiTheme="minorHAnsi" w:cs="Open Sans"/>
                <w:b/>
              </w:rPr>
            </w:pPr>
            <w:r>
              <w:rPr>
                <w:rFonts w:asciiTheme="minorHAnsi" w:hAnsiTheme="minorHAnsi" w:cs="Open Sans"/>
                <w:b/>
              </w:rPr>
              <w:t>OLA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4FB9B14F" w:rsidR="006D1955" w:rsidRPr="006D1955" w:rsidRDefault="00C062E3" w:rsidP="00C062E3">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08CACEB6" w:rsidR="00EC504F" w:rsidRPr="002E5F1F" w:rsidRDefault="00EC504F" w:rsidP="0053196A">
            <w:pPr>
              <w:pStyle w:val="NoSpacing"/>
              <w:rPr>
                <w:b/>
              </w:rPr>
            </w:pPr>
          </w:p>
        </w:tc>
        <w:tc>
          <w:tcPr>
            <w:tcW w:w="1418" w:type="dxa"/>
            <w:shd w:val="clear" w:color="auto" w:fill="auto"/>
          </w:tcPr>
          <w:p w14:paraId="549B6DAB" w14:textId="0052EFEC" w:rsidR="00EC504F" w:rsidRDefault="00EC504F" w:rsidP="0053196A">
            <w:pPr>
              <w:pStyle w:val="NoSpacing"/>
            </w:pPr>
          </w:p>
        </w:tc>
        <w:tc>
          <w:tcPr>
            <w:tcW w:w="4536" w:type="dxa"/>
            <w:shd w:val="clear" w:color="auto" w:fill="auto"/>
          </w:tcPr>
          <w:p w14:paraId="69CB229F" w14:textId="5D8CDEF9" w:rsidR="00EC504F" w:rsidRDefault="00EC504F" w:rsidP="0053196A">
            <w:pPr>
              <w:pStyle w:val="NoSpacing"/>
            </w:pPr>
          </w:p>
        </w:tc>
        <w:tc>
          <w:tcPr>
            <w:tcW w:w="2471" w:type="dxa"/>
            <w:shd w:val="clear" w:color="auto" w:fill="auto"/>
          </w:tcPr>
          <w:p w14:paraId="30FC1504" w14:textId="21D4033C" w:rsidR="00592516" w:rsidRDefault="00592516" w:rsidP="0053196A">
            <w:pPr>
              <w:pStyle w:val="NoSpacing"/>
            </w:pP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18728206" w14:textId="77777777" w:rsidR="00876CB0"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7010238" w:history="1">
            <w:r w:rsidR="00876CB0" w:rsidRPr="00F678A0">
              <w:rPr>
                <w:rStyle w:val="Hyperlink"/>
                <w:noProof/>
              </w:rPr>
              <w:t>1</w:t>
            </w:r>
            <w:r w:rsidR="00876CB0">
              <w:rPr>
                <w:rFonts w:asciiTheme="minorHAnsi" w:eastAsiaTheme="minorEastAsia" w:hAnsiTheme="minorHAnsi"/>
                <w:noProof/>
                <w:spacing w:val="0"/>
                <w:lang w:eastAsia="en-GB"/>
              </w:rPr>
              <w:tab/>
            </w:r>
            <w:r w:rsidR="00876CB0" w:rsidRPr="00F678A0">
              <w:rPr>
                <w:rStyle w:val="Hyperlink"/>
                <w:noProof/>
              </w:rPr>
              <w:t>The Services</w:t>
            </w:r>
            <w:r w:rsidR="00876CB0">
              <w:rPr>
                <w:noProof/>
                <w:webHidden/>
              </w:rPr>
              <w:tab/>
            </w:r>
            <w:r w:rsidR="00876CB0">
              <w:rPr>
                <w:noProof/>
                <w:webHidden/>
              </w:rPr>
              <w:fldChar w:fldCharType="begin"/>
            </w:r>
            <w:r w:rsidR="00876CB0">
              <w:rPr>
                <w:noProof/>
                <w:webHidden/>
              </w:rPr>
              <w:instrText xml:space="preserve"> PAGEREF _Toc437010238 \h </w:instrText>
            </w:r>
            <w:r w:rsidR="00876CB0">
              <w:rPr>
                <w:noProof/>
                <w:webHidden/>
              </w:rPr>
            </w:r>
            <w:r w:rsidR="00876CB0">
              <w:rPr>
                <w:noProof/>
                <w:webHidden/>
              </w:rPr>
              <w:fldChar w:fldCharType="separate"/>
            </w:r>
            <w:r w:rsidR="00876CB0">
              <w:rPr>
                <w:noProof/>
                <w:webHidden/>
              </w:rPr>
              <w:t>4</w:t>
            </w:r>
            <w:r w:rsidR="00876CB0">
              <w:rPr>
                <w:noProof/>
                <w:webHidden/>
              </w:rPr>
              <w:fldChar w:fldCharType="end"/>
            </w:r>
          </w:hyperlink>
        </w:p>
        <w:p w14:paraId="7BF2E64F" w14:textId="77777777" w:rsidR="00876CB0" w:rsidRDefault="00771DA6">
          <w:pPr>
            <w:pStyle w:val="TOC1"/>
            <w:tabs>
              <w:tab w:val="left" w:pos="400"/>
              <w:tab w:val="right" w:leader="dot" w:pos="9016"/>
            </w:tabs>
            <w:rPr>
              <w:rFonts w:asciiTheme="minorHAnsi" w:eastAsiaTheme="minorEastAsia" w:hAnsiTheme="minorHAnsi"/>
              <w:noProof/>
              <w:spacing w:val="0"/>
              <w:lang w:eastAsia="en-GB"/>
            </w:rPr>
          </w:pPr>
          <w:hyperlink w:anchor="_Toc437010239" w:history="1">
            <w:r w:rsidR="00876CB0" w:rsidRPr="00F678A0">
              <w:rPr>
                <w:rStyle w:val="Hyperlink"/>
                <w:noProof/>
              </w:rPr>
              <w:t>2</w:t>
            </w:r>
            <w:r w:rsidR="00876CB0">
              <w:rPr>
                <w:rFonts w:asciiTheme="minorHAnsi" w:eastAsiaTheme="minorEastAsia" w:hAnsiTheme="minorHAnsi"/>
                <w:noProof/>
                <w:spacing w:val="0"/>
                <w:lang w:eastAsia="en-GB"/>
              </w:rPr>
              <w:tab/>
            </w:r>
            <w:r w:rsidR="00876CB0" w:rsidRPr="00F678A0">
              <w:rPr>
                <w:rStyle w:val="Hyperlink"/>
                <w:noProof/>
              </w:rPr>
              <w:t>Service hours and exceptions</w:t>
            </w:r>
            <w:r w:rsidR="00876CB0">
              <w:rPr>
                <w:noProof/>
                <w:webHidden/>
              </w:rPr>
              <w:tab/>
            </w:r>
            <w:r w:rsidR="00876CB0">
              <w:rPr>
                <w:noProof/>
                <w:webHidden/>
              </w:rPr>
              <w:fldChar w:fldCharType="begin"/>
            </w:r>
            <w:r w:rsidR="00876CB0">
              <w:rPr>
                <w:noProof/>
                <w:webHidden/>
              </w:rPr>
              <w:instrText xml:space="preserve"> PAGEREF _Toc437010239 \h </w:instrText>
            </w:r>
            <w:r w:rsidR="00876CB0">
              <w:rPr>
                <w:noProof/>
                <w:webHidden/>
              </w:rPr>
            </w:r>
            <w:r w:rsidR="00876CB0">
              <w:rPr>
                <w:noProof/>
                <w:webHidden/>
              </w:rPr>
              <w:fldChar w:fldCharType="separate"/>
            </w:r>
            <w:r w:rsidR="00876CB0">
              <w:rPr>
                <w:noProof/>
                <w:webHidden/>
              </w:rPr>
              <w:t>5</w:t>
            </w:r>
            <w:r w:rsidR="00876CB0">
              <w:rPr>
                <w:noProof/>
                <w:webHidden/>
              </w:rPr>
              <w:fldChar w:fldCharType="end"/>
            </w:r>
          </w:hyperlink>
        </w:p>
        <w:p w14:paraId="307A6581" w14:textId="77777777" w:rsidR="00876CB0" w:rsidRDefault="00771DA6">
          <w:pPr>
            <w:pStyle w:val="TOC1"/>
            <w:tabs>
              <w:tab w:val="left" w:pos="400"/>
              <w:tab w:val="right" w:leader="dot" w:pos="9016"/>
            </w:tabs>
            <w:rPr>
              <w:rFonts w:asciiTheme="minorHAnsi" w:eastAsiaTheme="minorEastAsia" w:hAnsiTheme="minorHAnsi"/>
              <w:noProof/>
              <w:spacing w:val="0"/>
              <w:lang w:eastAsia="en-GB"/>
            </w:rPr>
          </w:pPr>
          <w:hyperlink w:anchor="_Toc437010240" w:history="1">
            <w:r w:rsidR="00876CB0" w:rsidRPr="00F678A0">
              <w:rPr>
                <w:rStyle w:val="Hyperlink"/>
                <w:noProof/>
              </w:rPr>
              <w:t>3</w:t>
            </w:r>
            <w:r w:rsidR="00876CB0">
              <w:rPr>
                <w:rFonts w:asciiTheme="minorHAnsi" w:eastAsiaTheme="minorEastAsia" w:hAnsiTheme="minorHAnsi"/>
                <w:noProof/>
                <w:spacing w:val="0"/>
                <w:lang w:eastAsia="en-GB"/>
              </w:rPr>
              <w:tab/>
            </w:r>
            <w:r w:rsidR="00876CB0" w:rsidRPr="00F678A0">
              <w:rPr>
                <w:rStyle w:val="Hyperlink"/>
                <w:noProof/>
              </w:rPr>
              <w:t>Support</w:t>
            </w:r>
            <w:r w:rsidR="00876CB0">
              <w:rPr>
                <w:noProof/>
                <w:webHidden/>
              </w:rPr>
              <w:tab/>
            </w:r>
            <w:r w:rsidR="00876CB0">
              <w:rPr>
                <w:noProof/>
                <w:webHidden/>
              </w:rPr>
              <w:fldChar w:fldCharType="begin"/>
            </w:r>
            <w:r w:rsidR="00876CB0">
              <w:rPr>
                <w:noProof/>
                <w:webHidden/>
              </w:rPr>
              <w:instrText xml:space="preserve"> PAGEREF _Toc437010240 \h </w:instrText>
            </w:r>
            <w:r w:rsidR="00876CB0">
              <w:rPr>
                <w:noProof/>
                <w:webHidden/>
              </w:rPr>
            </w:r>
            <w:r w:rsidR="00876CB0">
              <w:rPr>
                <w:noProof/>
                <w:webHidden/>
              </w:rPr>
              <w:fldChar w:fldCharType="separate"/>
            </w:r>
            <w:r w:rsidR="00876CB0">
              <w:rPr>
                <w:noProof/>
                <w:webHidden/>
              </w:rPr>
              <w:t>6</w:t>
            </w:r>
            <w:r w:rsidR="00876CB0">
              <w:rPr>
                <w:noProof/>
                <w:webHidden/>
              </w:rPr>
              <w:fldChar w:fldCharType="end"/>
            </w:r>
          </w:hyperlink>
        </w:p>
        <w:p w14:paraId="6294C2A1" w14:textId="77777777" w:rsidR="00876CB0" w:rsidRDefault="00771DA6">
          <w:pPr>
            <w:pStyle w:val="TOC2"/>
            <w:tabs>
              <w:tab w:val="left" w:pos="880"/>
              <w:tab w:val="right" w:leader="dot" w:pos="9016"/>
            </w:tabs>
            <w:rPr>
              <w:rFonts w:asciiTheme="minorHAnsi" w:eastAsiaTheme="minorEastAsia" w:hAnsiTheme="minorHAnsi"/>
              <w:noProof/>
              <w:spacing w:val="0"/>
              <w:lang w:eastAsia="en-GB"/>
            </w:rPr>
          </w:pPr>
          <w:hyperlink w:anchor="_Toc437010241" w:history="1">
            <w:r w:rsidR="00876CB0" w:rsidRPr="00F678A0">
              <w:rPr>
                <w:rStyle w:val="Hyperlink"/>
                <w:noProof/>
              </w:rPr>
              <w:t>3.1</w:t>
            </w:r>
            <w:r w:rsidR="00876CB0">
              <w:rPr>
                <w:rFonts w:asciiTheme="minorHAnsi" w:eastAsiaTheme="minorEastAsia" w:hAnsiTheme="minorHAnsi"/>
                <w:noProof/>
                <w:spacing w:val="0"/>
                <w:lang w:eastAsia="en-GB"/>
              </w:rPr>
              <w:tab/>
            </w:r>
            <w:r w:rsidR="00876CB0" w:rsidRPr="00F678A0">
              <w:rPr>
                <w:rStyle w:val="Hyperlink"/>
                <w:noProof/>
              </w:rPr>
              <w:t>Incident handling</w:t>
            </w:r>
            <w:r w:rsidR="00876CB0">
              <w:rPr>
                <w:noProof/>
                <w:webHidden/>
              </w:rPr>
              <w:tab/>
            </w:r>
            <w:r w:rsidR="00876CB0">
              <w:rPr>
                <w:noProof/>
                <w:webHidden/>
              </w:rPr>
              <w:fldChar w:fldCharType="begin"/>
            </w:r>
            <w:r w:rsidR="00876CB0">
              <w:rPr>
                <w:noProof/>
                <w:webHidden/>
              </w:rPr>
              <w:instrText xml:space="preserve"> PAGEREF _Toc437010241 \h </w:instrText>
            </w:r>
            <w:r w:rsidR="00876CB0">
              <w:rPr>
                <w:noProof/>
                <w:webHidden/>
              </w:rPr>
            </w:r>
            <w:r w:rsidR="00876CB0">
              <w:rPr>
                <w:noProof/>
                <w:webHidden/>
              </w:rPr>
              <w:fldChar w:fldCharType="separate"/>
            </w:r>
            <w:r w:rsidR="00876CB0">
              <w:rPr>
                <w:noProof/>
                <w:webHidden/>
              </w:rPr>
              <w:t>6</w:t>
            </w:r>
            <w:r w:rsidR="00876CB0">
              <w:rPr>
                <w:noProof/>
                <w:webHidden/>
              </w:rPr>
              <w:fldChar w:fldCharType="end"/>
            </w:r>
          </w:hyperlink>
        </w:p>
        <w:p w14:paraId="7FFB803D" w14:textId="77777777" w:rsidR="00876CB0" w:rsidRDefault="00771DA6">
          <w:pPr>
            <w:pStyle w:val="TOC2"/>
            <w:tabs>
              <w:tab w:val="left" w:pos="880"/>
              <w:tab w:val="right" w:leader="dot" w:pos="9016"/>
            </w:tabs>
            <w:rPr>
              <w:rFonts w:asciiTheme="minorHAnsi" w:eastAsiaTheme="minorEastAsia" w:hAnsiTheme="minorHAnsi"/>
              <w:noProof/>
              <w:spacing w:val="0"/>
              <w:lang w:eastAsia="en-GB"/>
            </w:rPr>
          </w:pPr>
          <w:hyperlink w:anchor="_Toc437010242" w:history="1">
            <w:r w:rsidR="00876CB0" w:rsidRPr="00F678A0">
              <w:rPr>
                <w:rStyle w:val="Hyperlink"/>
                <w:noProof/>
              </w:rPr>
              <w:t>3.2</w:t>
            </w:r>
            <w:r w:rsidR="00876CB0">
              <w:rPr>
                <w:rFonts w:asciiTheme="minorHAnsi" w:eastAsiaTheme="minorEastAsia" w:hAnsiTheme="minorHAnsi"/>
                <w:noProof/>
                <w:spacing w:val="0"/>
                <w:lang w:eastAsia="en-GB"/>
              </w:rPr>
              <w:tab/>
            </w:r>
            <w:r w:rsidR="00876CB0" w:rsidRPr="00F678A0">
              <w:rPr>
                <w:rStyle w:val="Hyperlink"/>
                <w:noProof/>
              </w:rPr>
              <w:t>Service requests</w:t>
            </w:r>
            <w:r w:rsidR="00876CB0">
              <w:rPr>
                <w:noProof/>
                <w:webHidden/>
              </w:rPr>
              <w:tab/>
            </w:r>
            <w:r w:rsidR="00876CB0">
              <w:rPr>
                <w:noProof/>
                <w:webHidden/>
              </w:rPr>
              <w:fldChar w:fldCharType="begin"/>
            </w:r>
            <w:r w:rsidR="00876CB0">
              <w:rPr>
                <w:noProof/>
                <w:webHidden/>
              </w:rPr>
              <w:instrText xml:space="preserve"> PAGEREF _Toc437010242 \h </w:instrText>
            </w:r>
            <w:r w:rsidR="00876CB0">
              <w:rPr>
                <w:noProof/>
                <w:webHidden/>
              </w:rPr>
            </w:r>
            <w:r w:rsidR="00876CB0">
              <w:rPr>
                <w:noProof/>
                <w:webHidden/>
              </w:rPr>
              <w:fldChar w:fldCharType="separate"/>
            </w:r>
            <w:r w:rsidR="00876CB0">
              <w:rPr>
                <w:noProof/>
                <w:webHidden/>
              </w:rPr>
              <w:t>6</w:t>
            </w:r>
            <w:r w:rsidR="00876CB0">
              <w:rPr>
                <w:noProof/>
                <w:webHidden/>
              </w:rPr>
              <w:fldChar w:fldCharType="end"/>
            </w:r>
          </w:hyperlink>
        </w:p>
        <w:p w14:paraId="6E73979F" w14:textId="77777777" w:rsidR="00876CB0" w:rsidRDefault="00771DA6">
          <w:pPr>
            <w:pStyle w:val="TOC1"/>
            <w:tabs>
              <w:tab w:val="left" w:pos="400"/>
              <w:tab w:val="right" w:leader="dot" w:pos="9016"/>
            </w:tabs>
            <w:rPr>
              <w:rFonts w:asciiTheme="minorHAnsi" w:eastAsiaTheme="minorEastAsia" w:hAnsiTheme="minorHAnsi"/>
              <w:noProof/>
              <w:spacing w:val="0"/>
              <w:lang w:eastAsia="en-GB"/>
            </w:rPr>
          </w:pPr>
          <w:hyperlink w:anchor="_Toc437010243" w:history="1">
            <w:r w:rsidR="00876CB0" w:rsidRPr="00F678A0">
              <w:rPr>
                <w:rStyle w:val="Hyperlink"/>
                <w:noProof/>
              </w:rPr>
              <w:t>4</w:t>
            </w:r>
            <w:r w:rsidR="00876CB0">
              <w:rPr>
                <w:rFonts w:asciiTheme="minorHAnsi" w:eastAsiaTheme="minorEastAsia" w:hAnsiTheme="minorHAnsi"/>
                <w:noProof/>
                <w:spacing w:val="0"/>
                <w:lang w:eastAsia="en-GB"/>
              </w:rPr>
              <w:tab/>
            </w:r>
            <w:r w:rsidR="00876CB0" w:rsidRPr="00F678A0">
              <w:rPr>
                <w:rStyle w:val="Hyperlink"/>
                <w:noProof/>
              </w:rPr>
              <w:t>Service level targets</w:t>
            </w:r>
            <w:r w:rsidR="00876CB0">
              <w:rPr>
                <w:noProof/>
                <w:webHidden/>
              </w:rPr>
              <w:tab/>
            </w:r>
            <w:r w:rsidR="00876CB0">
              <w:rPr>
                <w:noProof/>
                <w:webHidden/>
              </w:rPr>
              <w:fldChar w:fldCharType="begin"/>
            </w:r>
            <w:r w:rsidR="00876CB0">
              <w:rPr>
                <w:noProof/>
                <w:webHidden/>
              </w:rPr>
              <w:instrText xml:space="preserve"> PAGEREF _Toc437010243 \h </w:instrText>
            </w:r>
            <w:r w:rsidR="00876CB0">
              <w:rPr>
                <w:noProof/>
                <w:webHidden/>
              </w:rPr>
            </w:r>
            <w:r w:rsidR="00876CB0">
              <w:rPr>
                <w:noProof/>
                <w:webHidden/>
              </w:rPr>
              <w:fldChar w:fldCharType="separate"/>
            </w:r>
            <w:r w:rsidR="00876CB0">
              <w:rPr>
                <w:noProof/>
                <w:webHidden/>
              </w:rPr>
              <w:t>7</w:t>
            </w:r>
            <w:r w:rsidR="00876CB0">
              <w:rPr>
                <w:noProof/>
                <w:webHidden/>
              </w:rPr>
              <w:fldChar w:fldCharType="end"/>
            </w:r>
          </w:hyperlink>
        </w:p>
        <w:p w14:paraId="638CAB84" w14:textId="77777777" w:rsidR="00876CB0" w:rsidRDefault="00771DA6">
          <w:pPr>
            <w:pStyle w:val="TOC1"/>
            <w:tabs>
              <w:tab w:val="left" w:pos="400"/>
              <w:tab w:val="right" w:leader="dot" w:pos="9016"/>
            </w:tabs>
            <w:rPr>
              <w:rFonts w:asciiTheme="minorHAnsi" w:eastAsiaTheme="minorEastAsia" w:hAnsiTheme="minorHAnsi"/>
              <w:noProof/>
              <w:spacing w:val="0"/>
              <w:lang w:eastAsia="en-GB"/>
            </w:rPr>
          </w:pPr>
          <w:hyperlink w:anchor="_Toc437010244" w:history="1">
            <w:r w:rsidR="00876CB0" w:rsidRPr="00F678A0">
              <w:rPr>
                <w:rStyle w:val="Hyperlink"/>
                <w:noProof/>
              </w:rPr>
              <w:t>5</w:t>
            </w:r>
            <w:r w:rsidR="00876CB0">
              <w:rPr>
                <w:rFonts w:asciiTheme="minorHAnsi" w:eastAsiaTheme="minorEastAsia" w:hAnsiTheme="minorHAnsi"/>
                <w:noProof/>
                <w:spacing w:val="0"/>
                <w:lang w:eastAsia="en-GB"/>
              </w:rPr>
              <w:tab/>
            </w:r>
            <w:r w:rsidR="00876CB0" w:rsidRPr="00F678A0">
              <w:rPr>
                <w:rStyle w:val="Hyperlink"/>
                <w:noProof/>
              </w:rPr>
              <w:t>Limitations and constraints</w:t>
            </w:r>
            <w:r w:rsidR="00876CB0">
              <w:rPr>
                <w:noProof/>
                <w:webHidden/>
              </w:rPr>
              <w:tab/>
            </w:r>
            <w:r w:rsidR="00876CB0">
              <w:rPr>
                <w:noProof/>
                <w:webHidden/>
              </w:rPr>
              <w:fldChar w:fldCharType="begin"/>
            </w:r>
            <w:r w:rsidR="00876CB0">
              <w:rPr>
                <w:noProof/>
                <w:webHidden/>
              </w:rPr>
              <w:instrText xml:space="preserve"> PAGEREF _Toc437010244 \h </w:instrText>
            </w:r>
            <w:r w:rsidR="00876CB0">
              <w:rPr>
                <w:noProof/>
                <w:webHidden/>
              </w:rPr>
            </w:r>
            <w:r w:rsidR="00876CB0">
              <w:rPr>
                <w:noProof/>
                <w:webHidden/>
              </w:rPr>
              <w:fldChar w:fldCharType="separate"/>
            </w:r>
            <w:r w:rsidR="00876CB0">
              <w:rPr>
                <w:noProof/>
                <w:webHidden/>
              </w:rPr>
              <w:t>7</w:t>
            </w:r>
            <w:r w:rsidR="00876CB0">
              <w:rPr>
                <w:noProof/>
                <w:webHidden/>
              </w:rPr>
              <w:fldChar w:fldCharType="end"/>
            </w:r>
          </w:hyperlink>
        </w:p>
        <w:p w14:paraId="269CD16E" w14:textId="77777777" w:rsidR="00876CB0" w:rsidRDefault="00771DA6">
          <w:pPr>
            <w:pStyle w:val="TOC1"/>
            <w:tabs>
              <w:tab w:val="left" w:pos="400"/>
              <w:tab w:val="right" w:leader="dot" w:pos="9016"/>
            </w:tabs>
            <w:rPr>
              <w:rFonts w:asciiTheme="minorHAnsi" w:eastAsiaTheme="minorEastAsia" w:hAnsiTheme="minorHAnsi"/>
              <w:noProof/>
              <w:spacing w:val="0"/>
              <w:lang w:eastAsia="en-GB"/>
            </w:rPr>
          </w:pPr>
          <w:hyperlink w:anchor="_Toc437010245" w:history="1">
            <w:r w:rsidR="00876CB0" w:rsidRPr="00F678A0">
              <w:rPr>
                <w:rStyle w:val="Hyperlink"/>
                <w:noProof/>
              </w:rPr>
              <w:t>6</w:t>
            </w:r>
            <w:r w:rsidR="00876CB0">
              <w:rPr>
                <w:rFonts w:asciiTheme="minorHAnsi" w:eastAsiaTheme="minorEastAsia" w:hAnsiTheme="minorHAnsi"/>
                <w:noProof/>
                <w:spacing w:val="0"/>
                <w:lang w:eastAsia="en-GB"/>
              </w:rPr>
              <w:tab/>
            </w:r>
            <w:r w:rsidR="00876CB0" w:rsidRPr="00F678A0">
              <w:rPr>
                <w:rStyle w:val="Hyperlink"/>
                <w:noProof/>
              </w:rPr>
              <w:t>Communication, reporting and escalation</w:t>
            </w:r>
            <w:r w:rsidR="00876CB0">
              <w:rPr>
                <w:noProof/>
                <w:webHidden/>
              </w:rPr>
              <w:tab/>
            </w:r>
            <w:r w:rsidR="00876CB0">
              <w:rPr>
                <w:noProof/>
                <w:webHidden/>
              </w:rPr>
              <w:fldChar w:fldCharType="begin"/>
            </w:r>
            <w:r w:rsidR="00876CB0">
              <w:rPr>
                <w:noProof/>
                <w:webHidden/>
              </w:rPr>
              <w:instrText xml:space="preserve"> PAGEREF _Toc437010245 \h </w:instrText>
            </w:r>
            <w:r w:rsidR="00876CB0">
              <w:rPr>
                <w:noProof/>
                <w:webHidden/>
              </w:rPr>
            </w:r>
            <w:r w:rsidR="00876CB0">
              <w:rPr>
                <w:noProof/>
                <w:webHidden/>
              </w:rPr>
              <w:fldChar w:fldCharType="separate"/>
            </w:r>
            <w:r w:rsidR="00876CB0">
              <w:rPr>
                <w:noProof/>
                <w:webHidden/>
              </w:rPr>
              <w:t>8</w:t>
            </w:r>
            <w:r w:rsidR="00876CB0">
              <w:rPr>
                <w:noProof/>
                <w:webHidden/>
              </w:rPr>
              <w:fldChar w:fldCharType="end"/>
            </w:r>
          </w:hyperlink>
        </w:p>
        <w:p w14:paraId="691B20B5" w14:textId="77777777" w:rsidR="00876CB0" w:rsidRDefault="00771DA6">
          <w:pPr>
            <w:pStyle w:val="TOC2"/>
            <w:tabs>
              <w:tab w:val="left" w:pos="880"/>
              <w:tab w:val="right" w:leader="dot" w:pos="9016"/>
            </w:tabs>
            <w:rPr>
              <w:rFonts w:asciiTheme="minorHAnsi" w:eastAsiaTheme="minorEastAsia" w:hAnsiTheme="minorHAnsi"/>
              <w:noProof/>
              <w:spacing w:val="0"/>
              <w:lang w:eastAsia="en-GB"/>
            </w:rPr>
          </w:pPr>
          <w:hyperlink w:anchor="_Toc437010246" w:history="1">
            <w:r w:rsidR="00876CB0" w:rsidRPr="00F678A0">
              <w:rPr>
                <w:rStyle w:val="Hyperlink"/>
                <w:noProof/>
              </w:rPr>
              <w:t>6.1</w:t>
            </w:r>
            <w:r w:rsidR="00876CB0">
              <w:rPr>
                <w:rFonts w:asciiTheme="minorHAnsi" w:eastAsiaTheme="minorEastAsia" w:hAnsiTheme="minorHAnsi"/>
                <w:noProof/>
                <w:spacing w:val="0"/>
                <w:lang w:eastAsia="en-GB"/>
              </w:rPr>
              <w:tab/>
            </w:r>
            <w:r w:rsidR="00876CB0" w:rsidRPr="00F678A0">
              <w:rPr>
                <w:rStyle w:val="Hyperlink"/>
                <w:noProof/>
              </w:rPr>
              <w:t>General communication</w:t>
            </w:r>
            <w:r w:rsidR="00876CB0">
              <w:rPr>
                <w:noProof/>
                <w:webHidden/>
              </w:rPr>
              <w:tab/>
            </w:r>
            <w:r w:rsidR="00876CB0">
              <w:rPr>
                <w:noProof/>
                <w:webHidden/>
              </w:rPr>
              <w:fldChar w:fldCharType="begin"/>
            </w:r>
            <w:r w:rsidR="00876CB0">
              <w:rPr>
                <w:noProof/>
                <w:webHidden/>
              </w:rPr>
              <w:instrText xml:space="preserve"> PAGEREF _Toc437010246 \h </w:instrText>
            </w:r>
            <w:r w:rsidR="00876CB0">
              <w:rPr>
                <w:noProof/>
                <w:webHidden/>
              </w:rPr>
            </w:r>
            <w:r w:rsidR="00876CB0">
              <w:rPr>
                <w:noProof/>
                <w:webHidden/>
              </w:rPr>
              <w:fldChar w:fldCharType="separate"/>
            </w:r>
            <w:r w:rsidR="00876CB0">
              <w:rPr>
                <w:noProof/>
                <w:webHidden/>
              </w:rPr>
              <w:t>8</w:t>
            </w:r>
            <w:r w:rsidR="00876CB0">
              <w:rPr>
                <w:noProof/>
                <w:webHidden/>
              </w:rPr>
              <w:fldChar w:fldCharType="end"/>
            </w:r>
          </w:hyperlink>
        </w:p>
        <w:p w14:paraId="50C29EFD" w14:textId="77777777" w:rsidR="00876CB0" w:rsidRDefault="00771DA6">
          <w:pPr>
            <w:pStyle w:val="TOC2"/>
            <w:tabs>
              <w:tab w:val="left" w:pos="880"/>
              <w:tab w:val="right" w:leader="dot" w:pos="9016"/>
            </w:tabs>
            <w:rPr>
              <w:rFonts w:asciiTheme="minorHAnsi" w:eastAsiaTheme="minorEastAsia" w:hAnsiTheme="minorHAnsi"/>
              <w:noProof/>
              <w:spacing w:val="0"/>
              <w:lang w:eastAsia="en-GB"/>
            </w:rPr>
          </w:pPr>
          <w:hyperlink w:anchor="_Toc437010247" w:history="1">
            <w:r w:rsidR="00876CB0" w:rsidRPr="00F678A0">
              <w:rPr>
                <w:rStyle w:val="Hyperlink"/>
                <w:noProof/>
              </w:rPr>
              <w:t>6.2</w:t>
            </w:r>
            <w:r w:rsidR="00876CB0">
              <w:rPr>
                <w:rFonts w:asciiTheme="minorHAnsi" w:eastAsiaTheme="minorEastAsia" w:hAnsiTheme="minorHAnsi"/>
                <w:noProof/>
                <w:spacing w:val="0"/>
                <w:lang w:eastAsia="en-GB"/>
              </w:rPr>
              <w:tab/>
            </w:r>
            <w:r w:rsidR="00876CB0" w:rsidRPr="00F678A0">
              <w:rPr>
                <w:rStyle w:val="Hyperlink"/>
                <w:noProof/>
              </w:rPr>
              <w:t>Regular reporting</w:t>
            </w:r>
            <w:r w:rsidR="00876CB0">
              <w:rPr>
                <w:noProof/>
                <w:webHidden/>
              </w:rPr>
              <w:tab/>
            </w:r>
            <w:r w:rsidR="00876CB0">
              <w:rPr>
                <w:noProof/>
                <w:webHidden/>
              </w:rPr>
              <w:fldChar w:fldCharType="begin"/>
            </w:r>
            <w:r w:rsidR="00876CB0">
              <w:rPr>
                <w:noProof/>
                <w:webHidden/>
              </w:rPr>
              <w:instrText xml:space="preserve"> PAGEREF _Toc437010247 \h </w:instrText>
            </w:r>
            <w:r w:rsidR="00876CB0">
              <w:rPr>
                <w:noProof/>
                <w:webHidden/>
              </w:rPr>
            </w:r>
            <w:r w:rsidR="00876CB0">
              <w:rPr>
                <w:noProof/>
                <w:webHidden/>
              </w:rPr>
              <w:fldChar w:fldCharType="separate"/>
            </w:r>
            <w:r w:rsidR="00876CB0">
              <w:rPr>
                <w:noProof/>
                <w:webHidden/>
              </w:rPr>
              <w:t>8</w:t>
            </w:r>
            <w:r w:rsidR="00876CB0">
              <w:rPr>
                <w:noProof/>
                <w:webHidden/>
              </w:rPr>
              <w:fldChar w:fldCharType="end"/>
            </w:r>
          </w:hyperlink>
        </w:p>
        <w:p w14:paraId="555A2494" w14:textId="77777777" w:rsidR="00876CB0" w:rsidRDefault="00771DA6">
          <w:pPr>
            <w:pStyle w:val="TOC2"/>
            <w:tabs>
              <w:tab w:val="left" w:pos="880"/>
              <w:tab w:val="right" w:leader="dot" w:pos="9016"/>
            </w:tabs>
            <w:rPr>
              <w:rFonts w:asciiTheme="minorHAnsi" w:eastAsiaTheme="minorEastAsia" w:hAnsiTheme="minorHAnsi"/>
              <w:noProof/>
              <w:spacing w:val="0"/>
              <w:lang w:eastAsia="en-GB"/>
            </w:rPr>
          </w:pPr>
          <w:hyperlink w:anchor="_Toc437010248" w:history="1">
            <w:r w:rsidR="00876CB0" w:rsidRPr="00F678A0">
              <w:rPr>
                <w:rStyle w:val="Hyperlink"/>
                <w:noProof/>
              </w:rPr>
              <w:t>6.3</w:t>
            </w:r>
            <w:r w:rsidR="00876CB0">
              <w:rPr>
                <w:rFonts w:asciiTheme="minorHAnsi" w:eastAsiaTheme="minorEastAsia" w:hAnsiTheme="minorHAnsi"/>
                <w:noProof/>
                <w:spacing w:val="0"/>
                <w:lang w:eastAsia="en-GB"/>
              </w:rPr>
              <w:tab/>
            </w:r>
            <w:r w:rsidR="00876CB0" w:rsidRPr="00F678A0">
              <w:rPr>
                <w:rStyle w:val="Hyperlink"/>
                <w:noProof/>
              </w:rPr>
              <w:t>Violations</w:t>
            </w:r>
            <w:r w:rsidR="00876CB0">
              <w:rPr>
                <w:noProof/>
                <w:webHidden/>
              </w:rPr>
              <w:tab/>
            </w:r>
            <w:r w:rsidR="00876CB0">
              <w:rPr>
                <w:noProof/>
                <w:webHidden/>
              </w:rPr>
              <w:fldChar w:fldCharType="begin"/>
            </w:r>
            <w:r w:rsidR="00876CB0">
              <w:rPr>
                <w:noProof/>
                <w:webHidden/>
              </w:rPr>
              <w:instrText xml:space="preserve"> PAGEREF _Toc437010248 \h </w:instrText>
            </w:r>
            <w:r w:rsidR="00876CB0">
              <w:rPr>
                <w:noProof/>
                <w:webHidden/>
              </w:rPr>
            </w:r>
            <w:r w:rsidR="00876CB0">
              <w:rPr>
                <w:noProof/>
                <w:webHidden/>
              </w:rPr>
              <w:fldChar w:fldCharType="separate"/>
            </w:r>
            <w:r w:rsidR="00876CB0">
              <w:rPr>
                <w:noProof/>
                <w:webHidden/>
              </w:rPr>
              <w:t>8</w:t>
            </w:r>
            <w:r w:rsidR="00876CB0">
              <w:rPr>
                <w:noProof/>
                <w:webHidden/>
              </w:rPr>
              <w:fldChar w:fldCharType="end"/>
            </w:r>
          </w:hyperlink>
        </w:p>
        <w:p w14:paraId="7E3A2558" w14:textId="77777777" w:rsidR="00876CB0" w:rsidRDefault="00771DA6">
          <w:pPr>
            <w:pStyle w:val="TOC2"/>
            <w:tabs>
              <w:tab w:val="left" w:pos="880"/>
              <w:tab w:val="right" w:leader="dot" w:pos="9016"/>
            </w:tabs>
            <w:rPr>
              <w:rFonts w:asciiTheme="minorHAnsi" w:eastAsiaTheme="minorEastAsia" w:hAnsiTheme="minorHAnsi"/>
              <w:noProof/>
              <w:spacing w:val="0"/>
              <w:lang w:eastAsia="en-GB"/>
            </w:rPr>
          </w:pPr>
          <w:hyperlink w:anchor="_Toc437010249" w:history="1">
            <w:r w:rsidR="00876CB0" w:rsidRPr="00F678A0">
              <w:rPr>
                <w:rStyle w:val="Hyperlink"/>
                <w:noProof/>
              </w:rPr>
              <w:t>6.4</w:t>
            </w:r>
            <w:r w:rsidR="00876CB0">
              <w:rPr>
                <w:rFonts w:asciiTheme="minorHAnsi" w:eastAsiaTheme="minorEastAsia" w:hAnsiTheme="minorHAnsi"/>
                <w:noProof/>
                <w:spacing w:val="0"/>
                <w:lang w:eastAsia="en-GB"/>
              </w:rPr>
              <w:tab/>
            </w:r>
            <w:r w:rsidR="00876CB0" w:rsidRPr="00F678A0">
              <w:rPr>
                <w:rStyle w:val="Hyperlink"/>
                <w:noProof/>
              </w:rPr>
              <w:t>Escalation and complaints</w:t>
            </w:r>
            <w:r w:rsidR="00876CB0">
              <w:rPr>
                <w:noProof/>
                <w:webHidden/>
              </w:rPr>
              <w:tab/>
            </w:r>
            <w:r w:rsidR="00876CB0">
              <w:rPr>
                <w:noProof/>
                <w:webHidden/>
              </w:rPr>
              <w:fldChar w:fldCharType="begin"/>
            </w:r>
            <w:r w:rsidR="00876CB0">
              <w:rPr>
                <w:noProof/>
                <w:webHidden/>
              </w:rPr>
              <w:instrText xml:space="preserve"> PAGEREF _Toc437010249 \h </w:instrText>
            </w:r>
            <w:r w:rsidR="00876CB0">
              <w:rPr>
                <w:noProof/>
                <w:webHidden/>
              </w:rPr>
            </w:r>
            <w:r w:rsidR="00876CB0">
              <w:rPr>
                <w:noProof/>
                <w:webHidden/>
              </w:rPr>
              <w:fldChar w:fldCharType="separate"/>
            </w:r>
            <w:r w:rsidR="00876CB0">
              <w:rPr>
                <w:noProof/>
                <w:webHidden/>
              </w:rPr>
              <w:t>9</w:t>
            </w:r>
            <w:r w:rsidR="00876CB0">
              <w:rPr>
                <w:noProof/>
                <w:webHidden/>
              </w:rPr>
              <w:fldChar w:fldCharType="end"/>
            </w:r>
          </w:hyperlink>
        </w:p>
        <w:p w14:paraId="17B78A2C" w14:textId="77777777" w:rsidR="00876CB0" w:rsidRDefault="00771DA6">
          <w:pPr>
            <w:pStyle w:val="TOC1"/>
            <w:tabs>
              <w:tab w:val="left" w:pos="400"/>
              <w:tab w:val="right" w:leader="dot" w:pos="9016"/>
            </w:tabs>
            <w:rPr>
              <w:rFonts w:asciiTheme="minorHAnsi" w:eastAsiaTheme="minorEastAsia" w:hAnsiTheme="minorHAnsi"/>
              <w:noProof/>
              <w:spacing w:val="0"/>
              <w:lang w:eastAsia="en-GB"/>
            </w:rPr>
          </w:pPr>
          <w:hyperlink w:anchor="_Toc437010250" w:history="1">
            <w:r w:rsidR="00876CB0" w:rsidRPr="00F678A0">
              <w:rPr>
                <w:rStyle w:val="Hyperlink"/>
                <w:noProof/>
              </w:rPr>
              <w:t>7</w:t>
            </w:r>
            <w:r w:rsidR="00876CB0">
              <w:rPr>
                <w:rFonts w:asciiTheme="minorHAnsi" w:eastAsiaTheme="minorEastAsia" w:hAnsiTheme="minorHAnsi"/>
                <w:noProof/>
                <w:spacing w:val="0"/>
                <w:lang w:eastAsia="en-GB"/>
              </w:rPr>
              <w:tab/>
            </w:r>
            <w:r w:rsidR="00876CB0" w:rsidRPr="00F678A0">
              <w:rPr>
                <w:rStyle w:val="Hyperlink"/>
                <w:noProof/>
              </w:rPr>
              <w:t>Information security and data protection</w:t>
            </w:r>
            <w:r w:rsidR="00876CB0">
              <w:rPr>
                <w:noProof/>
                <w:webHidden/>
              </w:rPr>
              <w:tab/>
            </w:r>
            <w:r w:rsidR="00876CB0">
              <w:rPr>
                <w:noProof/>
                <w:webHidden/>
              </w:rPr>
              <w:fldChar w:fldCharType="begin"/>
            </w:r>
            <w:r w:rsidR="00876CB0">
              <w:rPr>
                <w:noProof/>
                <w:webHidden/>
              </w:rPr>
              <w:instrText xml:space="preserve"> PAGEREF _Toc437010250 \h </w:instrText>
            </w:r>
            <w:r w:rsidR="00876CB0">
              <w:rPr>
                <w:noProof/>
                <w:webHidden/>
              </w:rPr>
            </w:r>
            <w:r w:rsidR="00876CB0">
              <w:rPr>
                <w:noProof/>
                <w:webHidden/>
              </w:rPr>
              <w:fldChar w:fldCharType="separate"/>
            </w:r>
            <w:r w:rsidR="00876CB0">
              <w:rPr>
                <w:noProof/>
                <w:webHidden/>
              </w:rPr>
              <w:t>9</w:t>
            </w:r>
            <w:r w:rsidR="00876CB0">
              <w:rPr>
                <w:noProof/>
                <w:webHidden/>
              </w:rPr>
              <w:fldChar w:fldCharType="end"/>
            </w:r>
          </w:hyperlink>
        </w:p>
        <w:p w14:paraId="773C6E5B" w14:textId="77777777" w:rsidR="00876CB0" w:rsidRDefault="00771DA6">
          <w:pPr>
            <w:pStyle w:val="TOC1"/>
            <w:tabs>
              <w:tab w:val="left" w:pos="400"/>
              <w:tab w:val="right" w:leader="dot" w:pos="9016"/>
            </w:tabs>
            <w:rPr>
              <w:rFonts w:asciiTheme="minorHAnsi" w:eastAsiaTheme="minorEastAsia" w:hAnsiTheme="minorHAnsi"/>
              <w:noProof/>
              <w:spacing w:val="0"/>
              <w:lang w:eastAsia="en-GB"/>
            </w:rPr>
          </w:pPr>
          <w:hyperlink w:anchor="_Toc437010251" w:history="1">
            <w:r w:rsidR="00876CB0" w:rsidRPr="00F678A0">
              <w:rPr>
                <w:rStyle w:val="Hyperlink"/>
                <w:noProof/>
              </w:rPr>
              <w:t>8</w:t>
            </w:r>
            <w:r w:rsidR="00876CB0">
              <w:rPr>
                <w:rFonts w:asciiTheme="minorHAnsi" w:eastAsiaTheme="minorEastAsia" w:hAnsiTheme="minorHAnsi"/>
                <w:noProof/>
                <w:spacing w:val="0"/>
                <w:lang w:eastAsia="en-GB"/>
              </w:rPr>
              <w:tab/>
            </w:r>
            <w:r w:rsidR="00876CB0" w:rsidRPr="00F678A0">
              <w:rPr>
                <w:rStyle w:val="Hyperlink"/>
                <w:noProof/>
              </w:rPr>
              <w:t>Responsibilities</w:t>
            </w:r>
            <w:r w:rsidR="00876CB0">
              <w:rPr>
                <w:noProof/>
                <w:webHidden/>
              </w:rPr>
              <w:tab/>
            </w:r>
            <w:r w:rsidR="00876CB0">
              <w:rPr>
                <w:noProof/>
                <w:webHidden/>
              </w:rPr>
              <w:fldChar w:fldCharType="begin"/>
            </w:r>
            <w:r w:rsidR="00876CB0">
              <w:rPr>
                <w:noProof/>
                <w:webHidden/>
              </w:rPr>
              <w:instrText xml:space="preserve"> PAGEREF _Toc437010251 \h </w:instrText>
            </w:r>
            <w:r w:rsidR="00876CB0">
              <w:rPr>
                <w:noProof/>
                <w:webHidden/>
              </w:rPr>
            </w:r>
            <w:r w:rsidR="00876CB0">
              <w:rPr>
                <w:noProof/>
                <w:webHidden/>
              </w:rPr>
              <w:fldChar w:fldCharType="separate"/>
            </w:r>
            <w:r w:rsidR="00876CB0">
              <w:rPr>
                <w:noProof/>
                <w:webHidden/>
              </w:rPr>
              <w:t>9</w:t>
            </w:r>
            <w:r w:rsidR="00876CB0">
              <w:rPr>
                <w:noProof/>
                <w:webHidden/>
              </w:rPr>
              <w:fldChar w:fldCharType="end"/>
            </w:r>
          </w:hyperlink>
        </w:p>
        <w:p w14:paraId="646297FC" w14:textId="77777777" w:rsidR="00876CB0" w:rsidRDefault="00771DA6">
          <w:pPr>
            <w:pStyle w:val="TOC2"/>
            <w:tabs>
              <w:tab w:val="left" w:pos="880"/>
              <w:tab w:val="right" w:leader="dot" w:pos="9016"/>
            </w:tabs>
            <w:rPr>
              <w:rFonts w:asciiTheme="minorHAnsi" w:eastAsiaTheme="minorEastAsia" w:hAnsiTheme="minorHAnsi"/>
              <w:noProof/>
              <w:spacing w:val="0"/>
              <w:lang w:eastAsia="en-GB"/>
            </w:rPr>
          </w:pPr>
          <w:hyperlink w:anchor="_Toc437010252" w:history="1">
            <w:r w:rsidR="00876CB0" w:rsidRPr="00F678A0">
              <w:rPr>
                <w:rStyle w:val="Hyperlink"/>
                <w:noProof/>
              </w:rPr>
              <w:t>8.1</w:t>
            </w:r>
            <w:r w:rsidR="00876CB0">
              <w:rPr>
                <w:rFonts w:asciiTheme="minorHAnsi" w:eastAsiaTheme="minorEastAsia" w:hAnsiTheme="minorHAnsi"/>
                <w:noProof/>
                <w:spacing w:val="0"/>
                <w:lang w:eastAsia="en-GB"/>
              </w:rPr>
              <w:tab/>
            </w:r>
            <w:r w:rsidR="00876CB0" w:rsidRPr="00F678A0">
              <w:rPr>
                <w:rStyle w:val="Hyperlink"/>
                <w:noProof/>
              </w:rPr>
              <w:t>Of the Provider</w:t>
            </w:r>
            <w:r w:rsidR="00876CB0">
              <w:rPr>
                <w:noProof/>
                <w:webHidden/>
              </w:rPr>
              <w:tab/>
            </w:r>
            <w:r w:rsidR="00876CB0">
              <w:rPr>
                <w:noProof/>
                <w:webHidden/>
              </w:rPr>
              <w:fldChar w:fldCharType="begin"/>
            </w:r>
            <w:r w:rsidR="00876CB0">
              <w:rPr>
                <w:noProof/>
                <w:webHidden/>
              </w:rPr>
              <w:instrText xml:space="preserve"> PAGEREF _Toc437010252 \h </w:instrText>
            </w:r>
            <w:r w:rsidR="00876CB0">
              <w:rPr>
                <w:noProof/>
                <w:webHidden/>
              </w:rPr>
            </w:r>
            <w:r w:rsidR="00876CB0">
              <w:rPr>
                <w:noProof/>
                <w:webHidden/>
              </w:rPr>
              <w:fldChar w:fldCharType="separate"/>
            </w:r>
            <w:r w:rsidR="00876CB0">
              <w:rPr>
                <w:noProof/>
                <w:webHidden/>
              </w:rPr>
              <w:t>9</w:t>
            </w:r>
            <w:r w:rsidR="00876CB0">
              <w:rPr>
                <w:noProof/>
                <w:webHidden/>
              </w:rPr>
              <w:fldChar w:fldCharType="end"/>
            </w:r>
          </w:hyperlink>
        </w:p>
        <w:p w14:paraId="356D9336" w14:textId="77777777" w:rsidR="00876CB0" w:rsidRDefault="00771DA6">
          <w:pPr>
            <w:pStyle w:val="TOC2"/>
            <w:tabs>
              <w:tab w:val="left" w:pos="880"/>
              <w:tab w:val="right" w:leader="dot" w:pos="9016"/>
            </w:tabs>
            <w:rPr>
              <w:rFonts w:asciiTheme="minorHAnsi" w:eastAsiaTheme="minorEastAsia" w:hAnsiTheme="minorHAnsi"/>
              <w:noProof/>
              <w:spacing w:val="0"/>
              <w:lang w:eastAsia="en-GB"/>
            </w:rPr>
          </w:pPr>
          <w:hyperlink w:anchor="_Toc437010253" w:history="1">
            <w:r w:rsidR="00876CB0" w:rsidRPr="00F678A0">
              <w:rPr>
                <w:rStyle w:val="Hyperlink"/>
                <w:noProof/>
              </w:rPr>
              <w:t>8.2</w:t>
            </w:r>
            <w:r w:rsidR="00876CB0">
              <w:rPr>
                <w:rFonts w:asciiTheme="minorHAnsi" w:eastAsiaTheme="minorEastAsia" w:hAnsiTheme="minorHAnsi"/>
                <w:noProof/>
                <w:spacing w:val="0"/>
                <w:lang w:eastAsia="en-GB"/>
              </w:rPr>
              <w:tab/>
            </w:r>
            <w:r w:rsidR="00876CB0" w:rsidRPr="00F678A0">
              <w:rPr>
                <w:rStyle w:val="Hyperlink"/>
                <w:noProof/>
              </w:rPr>
              <w:t>Of the Customer</w:t>
            </w:r>
            <w:r w:rsidR="00876CB0">
              <w:rPr>
                <w:noProof/>
                <w:webHidden/>
              </w:rPr>
              <w:tab/>
            </w:r>
            <w:r w:rsidR="00876CB0">
              <w:rPr>
                <w:noProof/>
                <w:webHidden/>
              </w:rPr>
              <w:fldChar w:fldCharType="begin"/>
            </w:r>
            <w:r w:rsidR="00876CB0">
              <w:rPr>
                <w:noProof/>
                <w:webHidden/>
              </w:rPr>
              <w:instrText xml:space="preserve"> PAGEREF _Toc437010253 \h </w:instrText>
            </w:r>
            <w:r w:rsidR="00876CB0">
              <w:rPr>
                <w:noProof/>
                <w:webHidden/>
              </w:rPr>
            </w:r>
            <w:r w:rsidR="00876CB0">
              <w:rPr>
                <w:noProof/>
                <w:webHidden/>
              </w:rPr>
              <w:fldChar w:fldCharType="separate"/>
            </w:r>
            <w:r w:rsidR="00876CB0">
              <w:rPr>
                <w:noProof/>
                <w:webHidden/>
              </w:rPr>
              <w:t>10</w:t>
            </w:r>
            <w:r w:rsidR="00876CB0">
              <w:rPr>
                <w:noProof/>
                <w:webHidden/>
              </w:rPr>
              <w:fldChar w:fldCharType="end"/>
            </w:r>
          </w:hyperlink>
        </w:p>
        <w:p w14:paraId="47B55156" w14:textId="77777777" w:rsidR="00876CB0" w:rsidRDefault="00771DA6">
          <w:pPr>
            <w:pStyle w:val="TOC1"/>
            <w:tabs>
              <w:tab w:val="left" w:pos="400"/>
              <w:tab w:val="right" w:leader="dot" w:pos="9016"/>
            </w:tabs>
            <w:rPr>
              <w:rFonts w:asciiTheme="minorHAnsi" w:eastAsiaTheme="minorEastAsia" w:hAnsiTheme="minorHAnsi"/>
              <w:noProof/>
              <w:spacing w:val="0"/>
              <w:lang w:eastAsia="en-GB"/>
            </w:rPr>
          </w:pPr>
          <w:hyperlink w:anchor="_Toc437010254" w:history="1">
            <w:r w:rsidR="00876CB0" w:rsidRPr="00F678A0">
              <w:rPr>
                <w:rStyle w:val="Hyperlink"/>
                <w:noProof/>
              </w:rPr>
              <w:t>9</w:t>
            </w:r>
            <w:r w:rsidR="00876CB0">
              <w:rPr>
                <w:rFonts w:asciiTheme="minorHAnsi" w:eastAsiaTheme="minorEastAsia" w:hAnsiTheme="minorHAnsi"/>
                <w:noProof/>
                <w:spacing w:val="0"/>
                <w:lang w:eastAsia="en-GB"/>
              </w:rPr>
              <w:tab/>
            </w:r>
            <w:r w:rsidR="00876CB0" w:rsidRPr="00F678A0">
              <w:rPr>
                <w:rStyle w:val="Hyperlink"/>
                <w:noProof/>
              </w:rPr>
              <w:t>Review, extensions and termination</w:t>
            </w:r>
            <w:r w:rsidR="00876CB0">
              <w:rPr>
                <w:noProof/>
                <w:webHidden/>
              </w:rPr>
              <w:tab/>
            </w:r>
            <w:r w:rsidR="00876CB0">
              <w:rPr>
                <w:noProof/>
                <w:webHidden/>
              </w:rPr>
              <w:fldChar w:fldCharType="begin"/>
            </w:r>
            <w:r w:rsidR="00876CB0">
              <w:rPr>
                <w:noProof/>
                <w:webHidden/>
              </w:rPr>
              <w:instrText xml:space="preserve"> PAGEREF _Toc437010254 \h </w:instrText>
            </w:r>
            <w:r w:rsidR="00876CB0">
              <w:rPr>
                <w:noProof/>
                <w:webHidden/>
              </w:rPr>
            </w:r>
            <w:r w:rsidR="00876CB0">
              <w:rPr>
                <w:noProof/>
                <w:webHidden/>
              </w:rPr>
              <w:fldChar w:fldCharType="separate"/>
            </w:r>
            <w:r w:rsidR="00876CB0">
              <w:rPr>
                <w:noProof/>
                <w:webHidden/>
              </w:rPr>
              <w:t>10</w:t>
            </w:r>
            <w:r w:rsidR="00876CB0">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6B276F82" w14:textId="77777777" w:rsidR="000C0E87" w:rsidRDefault="00CE1F5A" w:rsidP="00CE1F5A">
      <w:pPr>
        <w:rPr>
          <w:b/>
          <w:highlight w:val="yellow"/>
        </w:rPr>
      </w:pPr>
      <w:r>
        <w:lastRenderedPageBreak/>
        <w:t xml:space="preserve">The present Service Level Agreement (“the Agreement’) is made between </w:t>
      </w:r>
      <w:r w:rsidRPr="006D1955">
        <w:rPr>
          <w:b/>
        </w:rPr>
        <w:t>EGI.eu (the Provider)</w:t>
      </w:r>
      <w:r>
        <w:t xml:space="preserve"> and </w:t>
      </w:r>
      <w:r w:rsidR="00C062E3" w:rsidRPr="00C062E3">
        <w:rPr>
          <w:b/>
          <w:highlight w:val="yellow"/>
        </w:rPr>
        <w:t>[User Community name]</w:t>
      </w:r>
      <w:proofErr w:type="gramStart"/>
      <w:r w:rsidR="00C062E3" w:rsidRPr="00C062E3">
        <w:rPr>
          <w:b/>
          <w:highlight w:val="yellow"/>
        </w:rPr>
        <w:t>/[</w:t>
      </w:r>
      <w:proofErr w:type="gramEnd"/>
      <w:r w:rsidR="00C062E3" w:rsidRPr="00C062E3">
        <w:rPr>
          <w:b/>
          <w:highlight w:val="yellow"/>
        </w:rPr>
        <w:t>VO name]</w:t>
      </w:r>
      <w:r>
        <w:t xml:space="preserve"> </w:t>
      </w:r>
      <w:r w:rsidR="000C0E87" w:rsidRPr="006D1955">
        <w:rPr>
          <w:b/>
        </w:rPr>
        <w:t>(the Customer)</w:t>
      </w:r>
      <w:r w:rsidR="000C0E87">
        <w:t xml:space="preserve"> to define the provision and support of the provided services as described hereafter. Representatives and contact information are defined in Section 6.</w:t>
      </w:r>
      <w:r w:rsidR="000C0E87" w:rsidRPr="003B3E2E">
        <w:rPr>
          <w:b/>
          <w:highlight w:val="yellow"/>
        </w:rPr>
        <w:t xml:space="preserve"> </w:t>
      </w:r>
    </w:p>
    <w:p w14:paraId="1DAF210A" w14:textId="6293501A" w:rsidR="000C0E87" w:rsidRDefault="00C062E3" w:rsidP="00CE1F5A">
      <w:pPr>
        <w:rPr>
          <w:b/>
        </w:rPr>
      </w:pPr>
      <w:r w:rsidRPr="003B3E2E">
        <w:rPr>
          <w:b/>
          <w:highlight w:val="yellow"/>
        </w:rPr>
        <w:t>[User Community</w:t>
      </w:r>
      <w:r w:rsidR="000C0E87">
        <w:rPr>
          <w:b/>
          <w:highlight w:val="yellow"/>
        </w:rPr>
        <w:t xml:space="preserve"> short description</w:t>
      </w:r>
      <w:r w:rsidRPr="003B3E2E">
        <w:rPr>
          <w:b/>
          <w:highlight w:val="yellow"/>
        </w:rPr>
        <w:t>]</w:t>
      </w:r>
    </w:p>
    <w:p w14:paraId="0E8A765E" w14:textId="0903CF43" w:rsidR="000C0E87" w:rsidRPr="000C0E87" w:rsidRDefault="000C0E87" w:rsidP="00CE1F5A">
      <w:r>
        <w:t xml:space="preserve">The Customer is a consortium represented by the </w:t>
      </w:r>
      <w:r>
        <w:rPr>
          <w:b/>
          <w:highlight w:val="yellow"/>
        </w:rPr>
        <w:t>[Institute name</w:t>
      </w:r>
      <w:r w:rsidRPr="003B3E2E">
        <w:rPr>
          <w:b/>
          <w:highlight w:val="yellow"/>
        </w:rPr>
        <w:t>]</w:t>
      </w:r>
      <w:r>
        <w:t xml:space="preserve">. </w:t>
      </w:r>
    </w:p>
    <w:p w14:paraId="7EF29DDD" w14:textId="3BD966F5" w:rsidR="00CE1F5A" w:rsidRDefault="00CE1F5A" w:rsidP="00CE1F5A">
      <w:r>
        <w:t xml:space="preserve">This Agreement is valid from </w:t>
      </w:r>
      <w:r w:rsidR="00C062E3" w:rsidRPr="00C062E3">
        <w:rPr>
          <w:b/>
          <w:highlight w:val="yellow"/>
        </w:rPr>
        <w:t>[start date]</w:t>
      </w:r>
      <w:r w:rsidRPr="006D1955">
        <w:rPr>
          <w:b/>
        </w:rPr>
        <w:t xml:space="preserve"> </w:t>
      </w:r>
      <w:r w:rsidRPr="00C062E3">
        <w:t>to</w:t>
      </w:r>
      <w:r w:rsidRPr="006D1955">
        <w:rPr>
          <w:b/>
        </w:rPr>
        <w:t xml:space="preserve"> </w:t>
      </w:r>
      <w:r w:rsidR="00C062E3" w:rsidRPr="00C062E3">
        <w:rPr>
          <w:b/>
          <w:highlight w:val="yellow"/>
        </w:rPr>
        <w:t>[end date]</w:t>
      </w:r>
      <w:r>
        <w:t xml:space="preserve">. </w:t>
      </w:r>
    </w:p>
    <w:p w14:paraId="3C9F1954" w14:textId="4AD3CADF" w:rsidR="00CE1F5A" w:rsidRDefault="00CE1F5A" w:rsidP="00CE1F5A">
      <w:r>
        <w:t xml:space="preserve">The Agreement was discussed and approved by the Customer and the Provider on </w:t>
      </w:r>
      <w:r w:rsidR="003B3E2E" w:rsidRPr="003B3E2E">
        <w:rPr>
          <w:b/>
          <w:highlight w:val="yellow"/>
        </w:rPr>
        <w:t>[date]</w:t>
      </w:r>
      <w:r>
        <w:t>.</w:t>
      </w:r>
    </w:p>
    <w:p w14:paraId="60B8AC7D" w14:textId="77777777" w:rsidR="00CE1F5A" w:rsidRDefault="00CE1F5A" w:rsidP="00CE1F5A"/>
    <w:p w14:paraId="76D40785" w14:textId="3CCA4533" w:rsidR="006E7D9B" w:rsidRPr="006E7D9B" w:rsidRDefault="0059011D" w:rsidP="006E7D9B">
      <w:pPr>
        <w:pStyle w:val="Heading1"/>
      </w:pPr>
      <w:bookmarkStart w:id="0" w:name="_Toc437010238"/>
      <w:r>
        <w:t>The Service</w:t>
      </w:r>
      <w:r w:rsidR="0053196A">
        <w:t>s</w:t>
      </w:r>
      <w:bookmarkEnd w:id="0"/>
    </w:p>
    <w:p w14:paraId="58A5F80D" w14:textId="77777777" w:rsidR="00FE6B7D" w:rsidRDefault="00FE6B7D" w:rsidP="00FE6B7D">
      <w:r>
        <w:t>The Services are defined by the following properties:</w:t>
      </w:r>
    </w:p>
    <w:p w14:paraId="7229F74B" w14:textId="1FCE81EF" w:rsidR="00FE6B7D" w:rsidRPr="006E7D9B" w:rsidRDefault="00FE6B7D" w:rsidP="00FE6B7D">
      <w:pPr>
        <w:rPr>
          <w:b/>
        </w:rPr>
      </w:pPr>
      <w:r w:rsidRPr="006E7D9B">
        <w:rPr>
          <w:b/>
        </w:rPr>
        <w:t>Cloud Compute (category: Compute)</w:t>
      </w:r>
    </w:p>
    <w:p w14:paraId="4F00F0A8" w14:textId="77777777" w:rsidR="00FE6B7D" w:rsidRDefault="00FE6B7D" w:rsidP="00FE6B7D">
      <w:r w:rsidRPr="00685994">
        <w:t>An</w:t>
      </w:r>
      <w:r>
        <w:t xml:space="preserve"> ‘Infrastructure as a Service’ cloud environment that </w:t>
      </w:r>
      <w:r w:rsidRPr="00685994">
        <w:t>is</w:t>
      </w:r>
      <w:r>
        <w:t xml:space="preserve"> offered by EGI Resource Centres to provide on-demand compute to run any kind of workload on virtual </w:t>
      </w:r>
      <w:r w:rsidRPr="00685994">
        <w:t>machines.</w:t>
      </w:r>
      <w:r>
        <w:t xml:space="preserve"> </w:t>
      </w:r>
    </w:p>
    <w:p w14:paraId="2BDBC570" w14:textId="6BF6676C" w:rsidR="0059011D" w:rsidRPr="00FE6B7D" w:rsidRDefault="0059011D" w:rsidP="006E7D9B">
      <w:pPr>
        <w:pStyle w:val="ListParagraph"/>
        <w:numPr>
          <w:ilvl w:val="0"/>
          <w:numId w:val="18"/>
        </w:numPr>
        <w:rPr>
          <w:b/>
        </w:rPr>
      </w:pPr>
      <w:r>
        <w:t xml:space="preserve">Resource Centre: </w:t>
      </w:r>
      <w:r w:rsidR="003B3E2E" w:rsidRPr="003B3E2E">
        <w:rPr>
          <w:highlight w:val="yellow"/>
        </w:rPr>
        <w:t>[resource provider 1]</w:t>
      </w:r>
      <w:r w:rsidR="00D00565">
        <w:t xml:space="preserve"> </w:t>
      </w:r>
      <w:r w:rsidR="00D00565" w:rsidRPr="00D00565">
        <w:rPr>
          <w:highlight w:val="yellow"/>
        </w:rPr>
        <w:t>[Country]</w:t>
      </w:r>
    </w:p>
    <w:p w14:paraId="13F019CF" w14:textId="2DB14442" w:rsidR="00D00565" w:rsidRPr="00D00565" w:rsidRDefault="00FE6B7D" w:rsidP="00FE6B7D">
      <w:pPr>
        <w:pStyle w:val="ListParagraph"/>
        <w:numPr>
          <w:ilvl w:val="1"/>
          <w:numId w:val="18"/>
        </w:numPr>
        <w:rPr>
          <w:highlight w:val="yellow"/>
        </w:rPr>
      </w:pPr>
      <w:r>
        <w:rPr>
          <w:highlight w:val="yellow"/>
        </w:rPr>
        <w:t>Cloud</w:t>
      </w:r>
      <w:r w:rsidRPr="00FE6B7D">
        <w:rPr>
          <w:highlight w:val="yellow"/>
        </w:rPr>
        <w:t xml:space="preserve"> Compute</w:t>
      </w:r>
    </w:p>
    <w:p w14:paraId="1B8405BE" w14:textId="1125F7BF" w:rsidR="0059011D" w:rsidRPr="003B3E2E" w:rsidRDefault="003B3E2E" w:rsidP="00D00565">
      <w:pPr>
        <w:pStyle w:val="ListParagraph"/>
        <w:numPr>
          <w:ilvl w:val="2"/>
          <w:numId w:val="18"/>
        </w:numPr>
        <w:rPr>
          <w:b/>
          <w:highlight w:val="yellow"/>
        </w:rPr>
      </w:pPr>
      <w:r w:rsidRPr="003B3E2E">
        <w:rPr>
          <w:highlight w:val="yellow"/>
        </w:rPr>
        <w:t>Number of Virtual CPU cores:</w:t>
      </w:r>
    </w:p>
    <w:p w14:paraId="3C764CCA" w14:textId="5AFCAD04" w:rsidR="006B45F3" w:rsidRPr="00FE6B7D" w:rsidRDefault="003B3E2E" w:rsidP="00D00565">
      <w:pPr>
        <w:pStyle w:val="ListParagraph"/>
        <w:numPr>
          <w:ilvl w:val="2"/>
          <w:numId w:val="18"/>
        </w:numPr>
        <w:rPr>
          <w:b/>
          <w:highlight w:val="yellow"/>
        </w:rPr>
      </w:pPr>
      <w:r w:rsidRPr="003B3E2E">
        <w:rPr>
          <w:highlight w:val="yellow"/>
        </w:rPr>
        <w:t>Memory:</w:t>
      </w:r>
      <w:r w:rsidRPr="00FE6B7D">
        <w:rPr>
          <w:highlight w:val="yellow"/>
        </w:rPr>
        <w:t xml:space="preserve"> </w:t>
      </w:r>
    </w:p>
    <w:p w14:paraId="751E10D1" w14:textId="20AD6A35" w:rsidR="006B45F3" w:rsidRPr="00FE6B7D" w:rsidRDefault="006B45F3" w:rsidP="00D00565">
      <w:pPr>
        <w:pStyle w:val="ListParagraph"/>
        <w:numPr>
          <w:ilvl w:val="2"/>
          <w:numId w:val="18"/>
        </w:numPr>
        <w:rPr>
          <w:b/>
          <w:highlight w:val="yellow"/>
        </w:rPr>
      </w:pPr>
      <w:r w:rsidRPr="00FE6B7D">
        <w:rPr>
          <w:highlight w:val="yellow"/>
        </w:rPr>
        <w:t>S</w:t>
      </w:r>
      <w:r w:rsidR="003B3E2E" w:rsidRPr="00FE6B7D">
        <w:rPr>
          <w:highlight w:val="yellow"/>
        </w:rPr>
        <w:t xml:space="preserve">cratch/ephemeral storage: </w:t>
      </w:r>
    </w:p>
    <w:p w14:paraId="1E3DCD7F" w14:textId="5D40025E" w:rsidR="001725AC" w:rsidRPr="00FE6B7D" w:rsidRDefault="001725AC" w:rsidP="00D00565">
      <w:pPr>
        <w:pStyle w:val="ListParagraph"/>
        <w:numPr>
          <w:ilvl w:val="2"/>
          <w:numId w:val="18"/>
        </w:numPr>
        <w:rPr>
          <w:b/>
          <w:highlight w:val="yellow"/>
        </w:rPr>
      </w:pPr>
      <w:r w:rsidRPr="00FE6B7D">
        <w:rPr>
          <w:highlight w:val="yellow"/>
        </w:rPr>
        <w:t xml:space="preserve">Public </w:t>
      </w:r>
      <w:r w:rsidR="003B3E2E" w:rsidRPr="00FE6B7D">
        <w:rPr>
          <w:highlight w:val="yellow"/>
        </w:rPr>
        <w:t>IP addresses:</w:t>
      </w:r>
    </w:p>
    <w:p w14:paraId="7E14FCC5" w14:textId="40D0009E" w:rsidR="006B45F3" w:rsidRPr="00FE6B7D" w:rsidRDefault="003B3E2E" w:rsidP="00D00565">
      <w:pPr>
        <w:pStyle w:val="ListParagraph"/>
        <w:numPr>
          <w:ilvl w:val="2"/>
          <w:numId w:val="18"/>
        </w:numPr>
        <w:rPr>
          <w:b/>
          <w:highlight w:val="yellow"/>
        </w:rPr>
      </w:pPr>
      <w:r w:rsidRPr="00FE6B7D">
        <w:rPr>
          <w:highlight w:val="yellow"/>
        </w:rPr>
        <w:t>Access type:</w:t>
      </w:r>
    </w:p>
    <w:p w14:paraId="150BD4AB" w14:textId="6966A2D3" w:rsidR="00FE6B7D" w:rsidRPr="00D00565" w:rsidRDefault="00FE6B7D" w:rsidP="00D00565">
      <w:pPr>
        <w:pStyle w:val="ListParagraph"/>
        <w:numPr>
          <w:ilvl w:val="2"/>
          <w:numId w:val="18"/>
        </w:numPr>
        <w:rPr>
          <w:b/>
          <w:highlight w:val="yellow"/>
        </w:rPr>
      </w:pPr>
      <w:r w:rsidRPr="00FE6B7D">
        <w:rPr>
          <w:highlight w:val="yellow"/>
        </w:rPr>
        <w:t>Payment mode offer:</w:t>
      </w:r>
    </w:p>
    <w:p w14:paraId="505DB7FB" w14:textId="4E136A69" w:rsidR="00D00565" w:rsidRPr="00D00565" w:rsidRDefault="00D00565" w:rsidP="00D00565">
      <w:pPr>
        <w:pStyle w:val="ListParagraph"/>
        <w:numPr>
          <w:ilvl w:val="2"/>
          <w:numId w:val="18"/>
        </w:numPr>
        <w:rPr>
          <w:b/>
          <w:highlight w:val="yellow"/>
        </w:rPr>
      </w:pPr>
      <w:r w:rsidRPr="008138E8">
        <w:rPr>
          <w:color w:val="000000"/>
          <w:highlight w:val="yellow"/>
        </w:rPr>
        <w:t>Other technical requirements</w:t>
      </w:r>
      <w:r>
        <w:rPr>
          <w:color w:val="000000"/>
          <w:highlight w:val="yellow"/>
        </w:rPr>
        <w:t>:</w:t>
      </w:r>
    </w:p>
    <w:p w14:paraId="6B0FE195" w14:textId="046F7801" w:rsidR="0059011D" w:rsidRPr="00D00565" w:rsidRDefault="00D00565" w:rsidP="00D00565">
      <w:pPr>
        <w:pStyle w:val="ListParagraph"/>
        <w:numPr>
          <w:ilvl w:val="2"/>
          <w:numId w:val="18"/>
        </w:numPr>
        <w:rPr>
          <w:b/>
          <w:highlight w:val="yellow"/>
        </w:rPr>
      </w:pPr>
      <w:r w:rsidRPr="003B3E2E">
        <w:rPr>
          <w:highlight w:val="yellow"/>
        </w:rPr>
        <w:t>Duration:</w:t>
      </w:r>
    </w:p>
    <w:p w14:paraId="30B99747" w14:textId="77777777" w:rsidR="003B3E2E" w:rsidRPr="0059011D" w:rsidRDefault="003B3E2E" w:rsidP="003B3E2E">
      <w:pPr>
        <w:pStyle w:val="ListParagraph"/>
        <w:ind w:left="1080"/>
        <w:rPr>
          <w:b/>
        </w:rPr>
      </w:pPr>
    </w:p>
    <w:p w14:paraId="65F61491" w14:textId="77777777" w:rsidR="00FE6B7D" w:rsidRPr="00FE6B7D" w:rsidRDefault="00FE6B7D" w:rsidP="00FE6B7D">
      <w:pPr>
        <w:rPr>
          <w:b/>
        </w:rPr>
      </w:pPr>
      <w:r w:rsidRPr="00FE6B7D">
        <w:rPr>
          <w:b/>
        </w:rPr>
        <w:t>High-Throughput Compute</w:t>
      </w:r>
      <w:r w:rsidRPr="00FE6B7D">
        <w:rPr>
          <w:rFonts w:ascii="Arial" w:hAnsi="Arial" w:cs="Arial"/>
          <w:color w:val="000000"/>
          <w:sz w:val="20"/>
          <w:szCs w:val="20"/>
        </w:rPr>
        <w:t xml:space="preserve"> </w:t>
      </w:r>
      <w:r w:rsidRPr="00FE6B7D">
        <w:rPr>
          <w:b/>
        </w:rPr>
        <w:t>(category: Compute) and File Storage (category: Storage)</w:t>
      </w:r>
    </w:p>
    <w:p w14:paraId="2C7FEE52" w14:textId="77777777" w:rsidR="00FE6B7D" w:rsidRPr="00FE6B7D" w:rsidRDefault="00FE6B7D" w:rsidP="00FE6B7D">
      <w:pPr>
        <w:rPr>
          <w:rFonts w:cs="Open Sans"/>
        </w:rPr>
      </w:pPr>
      <w:r w:rsidRPr="00FE6B7D">
        <w:rPr>
          <w:rFonts w:cs="Open Sans"/>
        </w:rPr>
        <w:t>A High-Throughput Compute allows running computational tasks on high quality IT resources, accessible via a uniform/standard interface and supporting authentication/authorisation based on a membership within a virtual organisation. HTC Compute service is federated from EGI Federation providers offering seamless access to computing capabilities with integrated monitoring and accounting.</w:t>
      </w:r>
    </w:p>
    <w:p w14:paraId="42E68BFE" w14:textId="77777777" w:rsidR="00FE6B7D" w:rsidRPr="00E53E06" w:rsidRDefault="00FE6B7D" w:rsidP="00FE6B7D">
      <w:r w:rsidRPr="00FE6B7D">
        <w:rPr>
          <w:rFonts w:cs="Open Sans"/>
        </w:rPr>
        <w:t>File storage is provided remotely on different Resource Providers with different storage standard interfaces that are transparently available with the possibility of replication.</w:t>
      </w:r>
    </w:p>
    <w:p w14:paraId="556C2277" w14:textId="77777777" w:rsidR="00FE6B7D" w:rsidRPr="00FE6B7D" w:rsidRDefault="00FE6B7D" w:rsidP="00FE6B7D">
      <w:pPr>
        <w:pStyle w:val="ListParagraph"/>
        <w:ind w:left="360"/>
        <w:rPr>
          <w:b/>
        </w:rPr>
      </w:pPr>
    </w:p>
    <w:p w14:paraId="60A7E332" w14:textId="6225F563" w:rsidR="00681029" w:rsidRPr="00FE6B7D" w:rsidRDefault="00681029" w:rsidP="00681029">
      <w:pPr>
        <w:pStyle w:val="ListParagraph"/>
        <w:numPr>
          <w:ilvl w:val="0"/>
          <w:numId w:val="18"/>
        </w:numPr>
        <w:rPr>
          <w:b/>
        </w:rPr>
      </w:pPr>
      <w:r>
        <w:t xml:space="preserve">Resource Centre: </w:t>
      </w:r>
      <w:r w:rsidRPr="003B3E2E">
        <w:rPr>
          <w:highlight w:val="yellow"/>
        </w:rPr>
        <w:t>[resource provider 1]</w:t>
      </w:r>
      <w:r w:rsidR="008F146C" w:rsidRPr="008F146C">
        <w:rPr>
          <w:highlight w:val="yellow"/>
        </w:rPr>
        <w:t xml:space="preserve"> </w:t>
      </w:r>
      <w:r w:rsidR="008F146C" w:rsidRPr="00D00565">
        <w:rPr>
          <w:highlight w:val="yellow"/>
        </w:rPr>
        <w:t>[Country]</w:t>
      </w:r>
    </w:p>
    <w:p w14:paraId="3EB9FEB4" w14:textId="57C25A8F" w:rsidR="008F146C" w:rsidRPr="008F146C" w:rsidRDefault="00FE6B7D" w:rsidP="00FE6B7D">
      <w:pPr>
        <w:pStyle w:val="ListParagraph"/>
        <w:numPr>
          <w:ilvl w:val="1"/>
          <w:numId w:val="18"/>
        </w:numPr>
        <w:rPr>
          <w:highlight w:val="yellow"/>
        </w:rPr>
      </w:pPr>
      <w:r w:rsidRPr="00FE6B7D">
        <w:rPr>
          <w:highlight w:val="yellow"/>
        </w:rPr>
        <w:t>High-Throughput Compute</w:t>
      </w:r>
    </w:p>
    <w:p w14:paraId="5157743B" w14:textId="77777777" w:rsidR="008F146C" w:rsidRPr="008138E8" w:rsidRDefault="008F146C" w:rsidP="008F146C">
      <w:pPr>
        <w:pStyle w:val="ListParagraph"/>
        <w:numPr>
          <w:ilvl w:val="2"/>
          <w:numId w:val="18"/>
        </w:numPr>
        <w:rPr>
          <w:b/>
          <w:highlight w:val="yellow"/>
        </w:rPr>
      </w:pPr>
      <w:r w:rsidRPr="008138E8">
        <w:rPr>
          <w:highlight w:val="yellow"/>
        </w:rPr>
        <w:t xml:space="preserve">Guaranteed computing time [HEPSPEC-hours]: </w:t>
      </w:r>
    </w:p>
    <w:p w14:paraId="2312CFF4" w14:textId="77777777" w:rsidR="008F146C" w:rsidRPr="008138E8" w:rsidRDefault="008F146C" w:rsidP="008F146C">
      <w:pPr>
        <w:pStyle w:val="ListParagraph"/>
        <w:numPr>
          <w:ilvl w:val="2"/>
          <w:numId w:val="18"/>
        </w:numPr>
        <w:rPr>
          <w:b/>
          <w:highlight w:val="yellow"/>
        </w:rPr>
      </w:pPr>
      <w:r w:rsidRPr="008138E8">
        <w:rPr>
          <w:highlight w:val="yellow"/>
        </w:rPr>
        <w:t>Opportunistic computing time [HEPSPEC-hours]:</w:t>
      </w:r>
    </w:p>
    <w:p w14:paraId="23C09949" w14:textId="77777777" w:rsidR="008F146C" w:rsidRPr="008138E8" w:rsidRDefault="008F146C" w:rsidP="008F146C">
      <w:pPr>
        <w:pStyle w:val="ListParagraph"/>
        <w:numPr>
          <w:ilvl w:val="2"/>
          <w:numId w:val="18"/>
        </w:numPr>
        <w:rPr>
          <w:b/>
          <w:highlight w:val="yellow"/>
        </w:rPr>
      </w:pPr>
      <w:r w:rsidRPr="008138E8">
        <w:rPr>
          <w:highlight w:val="yellow"/>
        </w:rPr>
        <w:t>Max job duration [hours]:</w:t>
      </w:r>
    </w:p>
    <w:p w14:paraId="2EC55099" w14:textId="77777777" w:rsidR="008F146C" w:rsidRPr="008138E8" w:rsidRDefault="008F146C" w:rsidP="008F146C">
      <w:pPr>
        <w:pStyle w:val="ListParagraph"/>
        <w:numPr>
          <w:ilvl w:val="2"/>
          <w:numId w:val="18"/>
        </w:numPr>
        <w:rPr>
          <w:b/>
          <w:highlight w:val="yellow"/>
        </w:rPr>
      </w:pPr>
      <w:r w:rsidRPr="008138E8">
        <w:rPr>
          <w:highlight w:val="yellow"/>
        </w:rPr>
        <w:t>Min local storage [GB] (scratch space per each core used by the job):</w:t>
      </w:r>
    </w:p>
    <w:p w14:paraId="62B1D792" w14:textId="77777777" w:rsidR="008F146C" w:rsidRPr="008138E8" w:rsidRDefault="008F146C" w:rsidP="008F146C">
      <w:pPr>
        <w:pStyle w:val="ListParagraph"/>
        <w:numPr>
          <w:ilvl w:val="2"/>
          <w:numId w:val="18"/>
        </w:numPr>
        <w:rPr>
          <w:b/>
          <w:highlight w:val="yellow"/>
        </w:rPr>
      </w:pPr>
      <w:r w:rsidRPr="008138E8">
        <w:rPr>
          <w:highlight w:val="yellow"/>
        </w:rPr>
        <w:t>Min physical memory per core [GB]:</w:t>
      </w:r>
    </w:p>
    <w:p w14:paraId="5BA7DBA5" w14:textId="77777777" w:rsidR="008F146C" w:rsidRPr="008F146C" w:rsidRDefault="008F146C" w:rsidP="008F146C">
      <w:pPr>
        <w:pStyle w:val="ListParagraph"/>
        <w:numPr>
          <w:ilvl w:val="2"/>
          <w:numId w:val="18"/>
        </w:numPr>
        <w:rPr>
          <w:b/>
          <w:highlight w:val="yellow"/>
        </w:rPr>
      </w:pPr>
      <w:r w:rsidRPr="008138E8">
        <w:rPr>
          <w:highlight w:val="yellow"/>
        </w:rPr>
        <w:t xml:space="preserve">Middleware: </w:t>
      </w:r>
    </w:p>
    <w:p w14:paraId="1B9DEC4C" w14:textId="68786F20" w:rsidR="008F146C" w:rsidRPr="008F146C" w:rsidRDefault="008F146C" w:rsidP="008F146C">
      <w:pPr>
        <w:pStyle w:val="ListParagraph"/>
        <w:numPr>
          <w:ilvl w:val="2"/>
          <w:numId w:val="18"/>
        </w:numPr>
        <w:rPr>
          <w:b/>
          <w:highlight w:val="yellow"/>
        </w:rPr>
      </w:pPr>
      <w:bookmarkStart w:id="1" w:name="_GoBack"/>
      <w:bookmarkEnd w:id="1"/>
      <w:r w:rsidRPr="008138E8">
        <w:rPr>
          <w:color w:val="000000"/>
          <w:highlight w:val="yellow"/>
        </w:rPr>
        <w:t>Other technical requirements:</w:t>
      </w:r>
    </w:p>
    <w:p w14:paraId="5618F2F8" w14:textId="6018A387" w:rsidR="008F146C" w:rsidRPr="008F146C" w:rsidRDefault="008F146C" w:rsidP="008F146C">
      <w:pPr>
        <w:pStyle w:val="ListParagraph"/>
        <w:numPr>
          <w:ilvl w:val="2"/>
          <w:numId w:val="18"/>
        </w:numPr>
        <w:rPr>
          <w:b/>
        </w:rPr>
      </w:pPr>
      <w:r w:rsidRPr="00876CB0">
        <w:rPr>
          <w:highlight w:val="yellow"/>
        </w:rPr>
        <w:t>Duration:</w:t>
      </w:r>
    </w:p>
    <w:p w14:paraId="6EE43005" w14:textId="006D162A" w:rsidR="00FE6B7D" w:rsidRPr="00FE6B7D" w:rsidRDefault="00FE6B7D" w:rsidP="00FE6B7D">
      <w:pPr>
        <w:pStyle w:val="ListParagraph"/>
        <w:numPr>
          <w:ilvl w:val="1"/>
          <w:numId w:val="18"/>
        </w:numPr>
        <w:rPr>
          <w:highlight w:val="yellow"/>
        </w:rPr>
      </w:pPr>
      <w:r w:rsidRPr="00FE6B7D">
        <w:rPr>
          <w:highlight w:val="yellow"/>
        </w:rPr>
        <w:t>File Storage</w:t>
      </w:r>
    </w:p>
    <w:p w14:paraId="37498D29" w14:textId="50BEC1E0" w:rsidR="00FE6B7D" w:rsidRPr="00FE6B7D" w:rsidRDefault="00FE6B7D" w:rsidP="008F146C">
      <w:pPr>
        <w:pStyle w:val="ListParagraph"/>
        <w:numPr>
          <w:ilvl w:val="2"/>
          <w:numId w:val="18"/>
        </w:numPr>
        <w:rPr>
          <w:b/>
          <w:highlight w:val="yellow"/>
        </w:rPr>
      </w:pPr>
      <w:r w:rsidRPr="00FE6B7D">
        <w:rPr>
          <w:highlight w:val="yellow"/>
        </w:rPr>
        <w:t xml:space="preserve">Guaranteed storage capacity [TB]: </w:t>
      </w:r>
    </w:p>
    <w:p w14:paraId="0944E804" w14:textId="1BB93A35" w:rsidR="00FE6B7D" w:rsidRPr="008F146C" w:rsidRDefault="00FE6B7D" w:rsidP="008F146C">
      <w:pPr>
        <w:pStyle w:val="ListParagraph"/>
        <w:numPr>
          <w:ilvl w:val="2"/>
          <w:numId w:val="18"/>
        </w:numPr>
        <w:rPr>
          <w:b/>
          <w:highlight w:val="yellow"/>
        </w:rPr>
      </w:pPr>
      <w:r w:rsidRPr="00FE6B7D">
        <w:rPr>
          <w:highlight w:val="yellow"/>
        </w:rPr>
        <w:t>Opportunistic storage capacity [TB]:</w:t>
      </w:r>
    </w:p>
    <w:p w14:paraId="371C8F05" w14:textId="2CB756A5" w:rsidR="008F146C" w:rsidRPr="008F146C" w:rsidRDefault="008F146C" w:rsidP="008F146C">
      <w:pPr>
        <w:pStyle w:val="ListParagraph"/>
        <w:numPr>
          <w:ilvl w:val="2"/>
          <w:numId w:val="18"/>
        </w:numPr>
        <w:rPr>
          <w:b/>
          <w:highlight w:val="yellow"/>
        </w:rPr>
      </w:pPr>
      <w:r w:rsidRPr="008138E8">
        <w:rPr>
          <w:color w:val="000000"/>
          <w:highlight w:val="yellow"/>
        </w:rPr>
        <w:t>Other technical requirements:</w:t>
      </w:r>
    </w:p>
    <w:p w14:paraId="3B0353FF" w14:textId="4C810BB2" w:rsidR="008F146C" w:rsidRPr="008F146C" w:rsidRDefault="008F146C" w:rsidP="008F146C">
      <w:pPr>
        <w:pStyle w:val="ListParagraph"/>
        <w:numPr>
          <w:ilvl w:val="2"/>
          <w:numId w:val="18"/>
        </w:numPr>
        <w:rPr>
          <w:b/>
        </w:rPr>
      </w:pPr>
      <w:r w:rsidRPr="00876CB0">
        <w:rPr>
          <w:highlight w:val="yellow"/>
        </w:rPr>
        <w:t>Duration:</w:t>
      </w:r>
    </w:p>
    <w:p w14:paraId="1E1A7233" w14:textId="77777777" w:rsidR="00681029" w:rsidRPr="008138E8" w:rsidRDefault="00681029" w:rsidP="00681029">
      <w:pPr>
        <w:pStyle w:val="ListParagraph"/>
        <w:numPr>
          <w:ilvl w:val="1"/>
          <w:numId w:val="18"/>
        </w:numPr>
        <w:rPr>
          <w:b/>
          <w:highlight w:val="yellow"/>
        </w:rPr>
      </w:pPr>
      <w:r w:rsidRPr="00FE6B7D">
        <w:rPr>
          <w:highlight w:val="yellow"/>
        </w:rPr>
        <w:t>Acc</w:t>
      </w:r>
      <w:r w:rsidRPr="00876CB0">
        <w:rPr>
          <w:highlight w:val="yellow"/>
        </w:rPr>
        <w:t xml:space="preserve">ess type: </w:t>
      </w:r>
      <w:r w:rsidRPr="00876CB0" w:rsidDel="005A0D13">
        <w:rPr>
          <w:highlight w:val="yellow"/>
        </w:rPr>
        <w:t xml:space="preserve"> </w:t>
      </w:r>
    </w:p>
    <w:p w14:paraId="11E9F6D3" w14:textId="77777777" w:rsidR="003B3E2E" w:rsidRPr="0059011D" w:rsidRDefault="003B3E2E" w:rsidP="003B3E2E">
      <w:pPr>
        <w:pStyle w:val="ListParagraph"/>
        <w:ind w:left="1080"/>
        <w:rPr>
          <w:b/>
        </w:rPr>
      </w:pPr>
    </w:p>
    <w:p w14:paraId="54253DBE" w14:textId="4F1CDC11" w:rsidR="0059011D" w:rsidRDefault="0059011D" w:rsidP="0059011D">
      <w:r>
        <w:t>The Service</w:t>
      </w:r>
      <w:r w:rsidR="0053196A">
        <w:t xml:space="preserve">s are </w:t>
      </w:r>
      <w:r>
        <w:t xml:space="preserve">supported by additional services (category: Software and Service Platform): </w:t>
      </w:r>
    </w:p>
    <w:p w14:paraId="33BE8574" w14:textId="3AD450EF" w:rsidR="0059011D" w:rsidRDefault="0059011D" w:rsidP="00E5142D">
      <w:pPr>
        <w:pStyle w:val="ListParagraph"/>
        <w:numPr>
          <w:ilvl w:val="0"/>
          <w:numId w:val="22"/>
        </w:numPr>
      </w:pPr>
      <w:r>
        <w:t>Accounting</w:t>
      </w:r>
      <w:r w:rsidR="00E5142D">
        <w:rPr>
          <w:rStyle w:val="FootnoteReference"/>
        </w:rPr>
        <w:footnoteReference w:id="1"/>
      </w:r>
    </w:p>
    <w:p w14:paraId="2A06D870" w14:textId="694F8AD5" w:rsidR="006B45F3" w:rsidRDefault="0059011D" w:rsidP="00E5142D">
      <w:pPr>
        <w:pStyle w:val="ListParagraph"/>
        <w:numPr>
          <w:ilvl w:val="0"/>
          <w:numId w:val="22"/>
        </w:numPr>
      </w:pPr>
      <w:r>
        <w:t>Service Monitoring</w:t>
      </w:r>
      <w:r w:rsidR="00E5142D">
        <w:rPr>
          <w:rStyle w:val="FootnoteReference"/>
        </w:rPr>
        <w:footnoteReference w:id="2"/>
      </w:r>
      <w:r>
        <w:t xml:space="preserve"> (operational only)</w:t>
      </w:r>
      <w:r w:rsidR="00E5142D">
        <w:t xml:space="preserve"> </w:t>
      </w:r>
      <w:r>
        <w:t xml:space="preserve"> </w:t>
      </w:r>
    </w:p>
    <w:p w14:paraId="42F968DF" w14:textId="0C82D429" w:rsidR="0059011D" w:rsidRDefault="0059011D" w:rsidP="0059011D">
      <w:r>
        <w:t xml:space="preserve">Note: Please note that following </w:t>
      </w:r>
      <w:r w:rsidR="00FC58D6">
        <w:t>services</w:t>
      </w:r>
      <w:r>
        <w:t xml:space="preserve"> are not provided by EGI.eu:</w:t>
      </w:r>
    </w:p>
    <w:p w14:paraId="7539085A" w14:textId="3623A984" w:rsidR="0059011D" w:rsidRDefault="0059011D" w:rsidP="0059011D">
      <w:pPr>
        <w:pStyle w:val="ListParagraph"/>
        <w:numPr>
          <w:ilvl w:val="0"/>
          <w:numId w:val="23"/>
        </w:numPr>
      </w:pPr>
      <w:r>
        <w:t xml:space="preserve">Monitoring of </w:t>
      </w:r>
      <w:r w:rsidR="003B3E2E" w:rsidRPr="003B3E2E">
        <w:rPr>
          <w:highlight w:val="yellow"/>
        </w:rPr>
        <w:t>[VO name]</w:t>
      </w:r>
    </w:p>
    <w:p w14:paraId="26167D00" w14:textId="046CB894" w:rsidR="0059011D" w:rsidRPr="0059011D" w:rsidRDefault="0059011D" w:rsidP="0059011D">
      <w:pPr>
        <w:pStyle w:val="ListParagraph"/>
        <w:numPr>
          <w:ilvl w:val="0"/>
          <w:numId w:val="23"/>
        </w:numPr>
      </w:pPr>
      <w:r>
        <w:t>Monitoring of services provided by the Customer on agreed resources</w:t>
      </w:r>
    </w:p>
    <w:p w14:paraId="6F9A42AE" w14:textId="6EE21A7C" w:rsidR="00227F47" w:rsidRPr="00D065EF" w:rsidRDefault="00176CC7" w:rsidP="00CE1F5A">
      <w:pPr>
        <w:pStyle w:val="Heading1"/>
      </w:pPr>
      <w:bookmarkStart w:id="2" w:name="_Toc437010239"/>
      <w:r>
        <w:t>Service hours and exceptions</w:t>
      </w:r>
      <w:bookmarkEnd w:id="2"/>
    </w:p>
    <w:p w14:paraId="24D40E30" w14:textId="4C50AD6C" w:rsidR="0053196A" w:rsidRDefault="0053196A" w:rsidP="00176CC7">
      <w:pPr>
        <w:rPr>
          <w:rFonts w:cs="Open Sans"/>
        </w:rPr>
      </w:pPr>
      <w:r w:rsidRPr="00B97954">
        <w:rPr>
          <w:rFonts w:cs="Open Sans"/>
        </w:rPr>
        <w:t xml:space="preserve">The </w:t>
      </w:r>
      <w:r>
        <w:rPr>
          <w:rFonts w:cs="Open Sans"/>
        </w:rPr>
        <w:t>S</w:t>
      </w:r>
      <w:r w:rsidRPr="00B97954">
        <w:rPr>
          <w:rFonts w:cs="Open Sans"/>
        </w:rPr>
        <w:t>ervice</w:t>
      </w:r>
      <w:r>
        <w:rPr>
          <w:rFonts w:cs="Open Sans"/>
        </w:rPr>
        <w:t>s operate</w:t>
      </w:r>
      <w:r w:rsidRPr="00B97954">
        <w:rPr>
          <w:rFonts w:cs="Open Sans"/>
        </w:rPr>
        <w:t xml:space="preserve"> during the following hours:</w:t>
      </w:r>
      <w:r>
        <w:rPr>
          <w:rFonts w:cs="Open Sans"/>
        </w:rPr>
        <w:t xml:space="preserve"> t</w:t>
      </w:r>
      <w:r w:rsidRPr="00B97954">
        <w:rPr>
          <w:rFonts w:cs="Open Sans"/>
        </w:rPr>
        <w:t>wenty</w:t>
      </w:r>
      <w:r>
        <w:rPr>
          <w:rFonts w:cs="Open Sans"/>
        </w:rPr>
        <w:t>-</w:t>
      </w:r>
      <w:r w:rsidRPr="00B97954">
        <w:rPr>
          <w:rFonts w:cs="Open Sans"/>
        </w:rPr>
        <w:t>four</w:t>
      </w:r>
      <w:r>
        <w:rPr>
          <w:rFonts w:cs="Open Sans"/>
        </w:rPr>
        <w:t xml:space="preserve"> (24) </w:t>
      </w:r>
      <w:r w:rsidRPr="00B97954">
        <w:rPr>
          <w:rFonts w:cs="Open Sans"/>
        </w:rPr>
        <w:t>hours a day, seven</w:t>
      </w:r>
      <w:r>
        <w:rPr>
          <w:rFonts w:cs="Open Sans"/>
        </w:rPr>
        <w:t xml:space="preserve"> (7)</w:t>
      </w:r>
      <w:r w:rsidRPr="00B97954">
        <w:rPr>
          <w:rFonts w:cs="Open Sans"/>
        </w:rPr>
        <w:t xml:space="preserve"> days a week, </w:t>
      </w:r>
      <w:r>
        <w:rPr>
          <w:rFonts w:cs="Open Sans"/>
        </w:rPr>
        <w:t>three hundred sixty-five (</w:t>
      </w:r>
      <w:r w:rsidRPr="00B97954">
        <w:rPr>
          <w:rFonts w:cs="Open Sans"/>
        </w:rPr>
        <w:t>365</w:t>
      </w:r>
      <w:r>
        <w:rPr>
          <w:rFonts w:cs="Open Sans"/>
        </w:rPr>
        <w:t>)</w:t>
      </w:r>
      <w:r w:rsidRPr="00B97954">
        <w:rPr>
          <w:rFonts w:cs="Open Sans"/>
        </w:rPr>
        <w:t xml:space="preserve"> days a year</w:t>
      </w:r>
      <w:r>
        <w:rPr>
          <w:rFonts w:cs="Open Sans"/>
        </w:rPr>
        <w:t>.</w:t>
      </w:r>
      <w:r w:rsidRPr="00B97954">
        <w:rPr>
          <w:rFonts w:cs="Open Sans"/>
        </w:rPr>
        <w:t xml:space="preserve"> </w:t>
      </w:r>
    </w:p>
    <w:p w14:paraId="4750B733" w14:textId="7630FD02" w:rsidR="00176CC7" w:rsidRDefault="00176CC7" w:rsidP="00176CC7">
      <w:pPr>
        <w:rPr>
          <w:rFonts w:cs="Open Sans"/>
        </w:rPr>
      </w:pPr>
      <w:r w:rsidRPr="00B97954">
        <w:rPr>
          <w:rFonts w:cs="Open Sans"/>
        </w:rPr>
        <w:t>The following exceptions apply</w:t>
      </w:r>
      <w:r w:rsidR="0053196A">
        <w:rPr>
          <w:rFonts w:cs="Open Sans"/>
        </w:rPr>
        <w:t>:</w:t>
      </w:r>
    </w:p>
    <w:p w14:paraId="7E90EE6C" w14:textId="62F909F6" w:rsidR="00176CC7" w:rsidRPr="00176CC7" w:rsidRDefault="00176CC7" w:rsidP="00176CC7">
      <w:pPr>
        <w:pStyle w:val="ListParagraph"/>
        <w:numPr>
          <w:ilvl w:val="0"/>
          <w:numId w:val="24"/>
        </w:numPr>
        <w:rPr>
          <w:rFonts w:cs="Open Sans"/>
        </w:rPr>
      </w:pPr>
      <w:r w:rsidRPr="00176CC7">
        <w:rPr>
          <w:rFonts w:cs="Open Sans"/>
        </w:rPr>
        <w:t>Planned maintenance windows or service interruptions (“scheduled downtimes”</w:t>
      </w:r>
      <w:r>
        <w:rPr>
          <w:rStyle w:val="FootnoteReference"/>
          <w:rFonts w:cs="Open Sans"/>
        </w:rPr>
        <w:footnoteReference w:id="3"/>
      </w:r>
      <w:r w:rsidRPr="00176CC7">
        <w:rPr>
          <w:rFonts w:cs="Open Sans"/>
        </w:rPr>
        <w:t>) will be notified via e-mail in a timely manner i.e. 24 hours before the start of the outage</w:t>
      </w:r>
      <w:r w:rsidR="00884A91">
        <w:rPr>
          <w:rStyle w:val="FootnoteReference"/>
          <w:rFonts w:cs="Open Sans"/>
        </w:rPr>
        <w:footnoteReference w:id="4"/>
      </w:r>
      <w:r w:rsidRPr="00176CC7">
        <w:rPr>
          <w:rFonts w:cs="Open Sans"/>
        </w:rPr>
        <w:t xml:space="preserve">. </w:t>
      </w:r>
    </w:p>
    <w:p w14:paraId="2903DE4F" w14:textId="41DD6114" w:rsidR="00176CC7" w:rsidRDefault="00176CC7" w:rsidP="00176CC7">
      <w:pPr>
        <w:pStyle w:val="ListParagraph"/>
        <w:numPr>
          <w:ilvl w:val="0"/>
          <w:numId w:val="24"/>
        </w:numPr>
      </w:pPr>
      <w:r w:rsidRPr="00176CC7">
        <w:rPr>
          <w:rFonts w:cs="Open Sans"/>
        </w:rPr>
        <w:t>Downtime periods exceeding 24 hours need justification.</w:t>
      </w:r>
    </w:p>
    <w:p w14:paraId="018340AD" w14:textId="15E92A57" w:rsidR="00227F47" w:rsidRDefault="00176CC7" w:rsidP="00CE1F5A">
      <w:pPr>
        <w:pStyle w:val="Heading1"/>
      </w:pPr>
      <w:bookmarkStart w:id="3" w:name="_Toc437010240"/>
      <w:r>
        <w:lastRenderedPageBreak/>
        <w:t>Support</w:t>
      </w:r>
      <w:bookmarkEnd w:id="3"/>
    </w:p>
    <w:p w14:paraId="71ED447F" w14:textId="53DE2474" w:rsidR="00176CC7" w:rsidRDefault="00176CC7" w:rsidP="00176CC7">
      <w:r>
        <w:t>Support is prov</w:t>
      </w:r>
      <w:r w:rsidR="00884A91">
        <w:t>ided via EGI Service Desk</w:t>
      </w:r>
      <w:r w:rsidR="00884A91">
        <w:rPr>
          <w:rStyle w:val="FootnoteReference"/>
        </w:rPr>
        <w:footnoteReference w:id="5"/>
      </w:r>
      <w:r>
        <w:t xml:space="preserve">. Access requires a valid X.509 or the login via </w:t>
      </w:r>
      <w:proofErr w:type="gramStart"/>
      <w:r>
        <w:t>a</w:t>
      </w:r>
      <w:proofErr w:type="gramEnd"/>
      <w:r>
        <w:t xml:space="preserve"> EGI SSO account</w:t>
      </w:r>
      <w:r>
        <w:rPr>
          <w:rStyle w:val="FootnoteReference"/>
        </w:rPr>
        <w:footnoteReference w:id="6"/>
      </w:r>
      <w:r>
        <w:t>. Support is available between:</w:t>
      </w:r>
    </w:p>
    <w:p w14:paraId="3669C10F" w14:textId="29A34748" w:rsidR="00176CC7" w:rsidRDefault="00176CC7" w:rsidP="00176CC7">
      <w:pPr>
        <w:pStyle w:val="ListParagraph"/>
        <w:numPr>
          <w:ilvl w:val="0"/>
          <w:numId w:val="25"/>
        </w:numPr>
      </w:pPr>
      <w:r>
        <w:t xml:space="preserve">Monday </w:t>
      </w:r>
      <w:r w:rsidR="005F1B1D">
        <w:t>to</w:t>
      </w:r>
      <w:r>
        <w:t xml:space="preserve"> Friday.</w:t>
      </w:r>
    </w:p>
    <w:p w14:paraId="12203F22" w14:textId="663003C5" w:rsidR="00176CC7" w:rsidRDefault="00176CC7" w:rsidP="00176CC7">
      <w:pPr>
        <w:pStyle w:val="ListParagraph"/>
        <w:numPr>
          <w:ilvl w:val="0"/>
          <w:numId w:val="25"/>
        </w:numPr>
      </w:pPr>
      <w:r>
        <w:t>From 9:00 to 17:00 in the time zone of the relevant Resource Centres.</w:t>
      </w:r>
    </w:p>
    <w:p w14:paraId="18C2C893" w14:textId="7A22B74A" w:rsidR="00176CC7" w:rsidRDefault="00176CC7" w:rsidP="00176CC7">
      <w:r>
        <w:t>Service times always apply with the exception of public holidays in the country of the supporting Resource Centres.</w:t>
      </w:r>
    </w:p>
    <w:p w14:paraId="6F3E2817" w14:textId="3E94FCCE" w:rsidR="00176CC7" w:rsidRDefault="00176CC7" w:rsidP="00D206E9">
      <w:pPr>
        <w:pStyle w:val="Heading2"/>
      </w:pPr>
      <w:bookmarkStart w:id="4" w:name="_Toc403992926"/>
      <w:bookmarkStart w:id="5" w:name="_Toc437010241"/>
      <w:r w:rsidRPr="00B97954">
        <w:t>Incident handling</w:t>
      </w:r>
      <w:bookmarkEnd w:id="4"/>
      <w:bookmarkEnd w:id="5"/>
    </w:p>
    <w:p w14:paraId="1510A233" w14:textId="4F566BD3" w:rsidR="00176CC7" w:rsidRDefault="00176CC7" w:rsidP="00176CC7">
      <w:pPr>
        <w:rPr>
          <w:rFonts w:cs="Open Sans"/>
        </w:rPr>
      </w:pPr>
      <w:r>
        <w:rPr>
          <w:rFonts w:cs="Open Sans"/>
        </w:rPr>
        <w:t xml:space="preserve">Incidents will be handled according to the </w:t>
      </w:r>
      <w:r w:rsidR="0053196A">
        <w:rPr>
          <w:rFonts w:cs="Open Sans"/>
        </w:rPr>
        <w:t>Quality of Support</w:t>
      </w:r>
      <w:r>
        <w:rPr>
          <w:rFonts w:cs="Open Sans"/>
        </w:rPr>
        <w:t xml:space="preserve"> </w:t>
      </w:r>
      <w:r w:rsidR="0053196A">
        <w:rPr>
          <w:rFonts w:cs="Open Sans"/>
        </w:rPr>
        <w:t>level</w:t>
      </w:r>
      <w:r>
        <w:rPr>
          <w:rFonts w:cs="Open Sans"/>
        </w:rPr>
        <w:t xml:space="preserve"> that is estimated according to the impact of the outage</w:t>
      </w:r>
      <w:r w:rsidRPr="00B97954">
        <w:rPr>
          <w:rFonts w:cs="Open Sans"/>
        </w:rPr>
        <w:t xml:space="preserve"> or </w:t>
      </w:r>
      <w:r w:rsidR="0053196A">
        <w:rPr>
          <w:rFonts w:cs="Open Sans"/>
        </w:rPr>
        <w:t>s</w:t>
      </w:r>
      <w:r>
        <w:rPr>
          <w:rFonts w:cs="Open Sans"/>
        </w:rPr>
        <w:t xml:space="preserve">ervice </w:t>
      </w:r>
      <w:r w:rsidRPr="00B97954">
        <w:rPr>
          <w:rFonts w:cs="Open Sans"/>
        </w:rPr>
        <w:t>quality</w:t>
      </w:r>
      <w:r>
        <w:rPr>
          <w:rFonts w:cs="Open Sans"/>
        </w:rPr>
        <w:t xml:space="preserve"> degradation.</w:t>
      </w:r>
      <w:r w:rsidRPr="00B97954">
        <w:rPr>
          <w:rFonts w:cs="Open Sans"/>
        </w:rPr>
        <w:t xml:space="preserve"> </w:t>
      </w:r>
    </w:p>
    <w:p w14:paraId="6C12D963" w14:textId="5CA6787C" w:rsidR="00176CC7" w:rsidRPr="00B97954" w:rsidRDefault="00176CC7" w:rsidP="00425588">
      <w:pPr>
        <w:rPr>
          <w:rFonts w:cs="Open Sans"/>
        </w:rPr>
      </w:pPr>
      <w:r>
        <w:rPr>
          <w:rFonts w:cs="Open Sans"/>
        </w:rPr>
        <w:t xml:space="preserve">The </w:t>
      </w:r>
      <w:r w:rsidR="0053196A">
        <w:rPr>
          <w:rFonts w:cs="Open Sans"/>
        </w:rPr>
        <w:t xml:space="preserve">Quality of Support </w:t>
      </w:r>
      <w:r>
        <w:rPr>
          <w:rFonts w:cs="Open Sans"/>
        </w:rPr>
        <w:t xml:space="preserve">in this Agreement has </w:t>
      </w:r>
      <w:r w:rsidR="0053196A">
        <w:rPr>
          <w:rFonts w:cs="Open Sans"/>
        </w:rPr>
        <w:t>level</w:t>
      </w:r>
      <w:r>
        <w:rPr>
          <w:rFonts w:cs="Open Sans"/>
        </w:rPr>
        <w:t xml:space="preserve">: </w:t>
      </w:r>
      <w:r w:rsidRPr="00B63C90">
        <w:rPr>
          <w:rFonts w:cs="Open Sans"/>
          <w:b/>
        </w:rPr>
        <w:t>Medium</w:t>
      </w:r>
      <w:r w:rsidR="006B45F3">
        <w:rPr>
          <w:rStyle w:val="FootnoteReference"/>
          <w:rFonts w:cs="Open Sans"/>
          <w:b/>
        </w:rPr>
        <w:footnoteReference w:id="7"/>
      </w:r>
      <w:r>
        <w:rPr>
          <w:rFonts w:cs="Open San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176CC7" w:rsidRPr="00B97954" w14:paraId="0FFEBB2D" w14:textId="77777777" w:rsidTr="00176CC7">
        <w:trPr>
          <w:jc w:val="center"/>
        </w:trPr>
        <w:tc>
          <w:tcPr>
            <w:tcW w:w="2976" w:type="dxa"/>
            <w:shd w:val="clear" w:color="auto" w:fill="B8CCE4" w:themeFill="accent1" w:themeFillTint="66"/>
          </w:tcPr>
          <w:p w14:paraId="2A2A979D" w14:textId="7FBF9C26" w:rsidR="00176CC7" w:rsidRPr="00B97954" w:rsidRDefault="00176CC7" w:rsidP="0053196A">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r w:rsidR="0053196A">
              <w:rPr>
                <w:rStyle w:val="FootnoteReference"/>
                <w:rFonts w:cs="Open Sans"/>
                <w:b/>
              </w:rPr>
              <w:footnoteReference w:id="8"/>
            </w:r>
          </w:p>
        </w:tc>
        <w:tc>
          <w:tcPr>
            <w:tcW w:w="2552" w:type="dxa"/>
            <w:shd w:val="clear" w:color="auto" w:fill="B8CCE4" w:themeFill="accent1" w:themeFillTint="66"/>
          </w:tcPr>
          <w:p w14:paraId="3F07240C" w14:textId="77777777" w:rsidR="00176CC7" w:rsidRPr="00B97954" w:rsidRDefault="00176CC7" w:rsidP="0053196A">
            <w:pPr>
              <w:rPr>
                <w:rFonts w:cs="Open Sans"/>
                <w:b/>
              </w:rPr>
            </w:pPr>
            <w:r w:rsidRPr="00B97954">
              <w:rPr>
                <w:rFonts w:cs="Open Sans"/>
                <w:b/>
              </w:rPr>
              <w:t>Response time</w:t>
            </w:r>
          </w:p>
        </w:tc>
      </w:tr>
      <w:tr w:rsidR="00176CC7" w:rsidRPr="00B97954" w14:paraId="2E87C93C" w14:textId="77777777" w:rsidTr="0053196A">
        <w:trPr>
          <w:jc w:val="center"/>
        </w:trPr>
        <w:tc>
          <w:tcPr>
            <w:tcW w:w="2976" w:type="dxa"/>
            <w:shd w:val="clear" w:color="auto" w:fill="auto"/>
          </w:tcPr>
          <w:p w14:paraId="3A5F6685" w14:textId="77777777" w:rsidR="00176CC7" w:rsidRPr="00B97954" w:rsidRDefault="00176CC7" w:rsidP="0053196A">
            <w:pPr>
              <w:ind w:left="567" w:hanging="567"/>
              <w:rPr>
                <w:rFonts w:cs="Open Sans"/>
              </w:rPr>
            </w:pPr>
            <w:r w:rsidRPr="00B97954">
              <w:rPr>
                <w:rFonts w:cs="Open Sans"/>
              </w:rPr>
              <w:t>Less urgent</w:t>
            </w:r>
          </w:p>
        </w:tc>
        <w:tc>
          <w:tcPr>
            <w:tcW w:w="2552" w:type="dxa"/>
            <w:shd w:val="clear" w:color="auto" w:fill="auto"/>
          </w:tcPr>
          <w:p w14:paraId="78ECC67E" w14:textId="77777777" w:rsidR="00176CC7" w:rsidRPr="00B97954" w:rsidRDefault="00176CC7" w:rsidP="0053196A">
            <w:pPr>
              <w:rPr>
                <w:rFonts w:cs="Open Sans"/>
              </w:rPr>
            </w:pPr>
            <w:r w:rsidRPr="00B97954">
              <w:rPr>
                <w:rFonts w:cs="Open Sans"/>
              </w:rPr>
              <w:t>5 working days</w:t>
            </w:r>
          </w:p>
        </w:tc>
      </w:tr>
      <w:tr w:rsidR="00176CC7" w:rsidRPr="00B97954" w14:paraId="41CFD320" w14:textId="77777777" w:rsidTr="0053196A">
        <w:trPr>
          <w:jc w:val="center"/>
        </w:trPr>
        <w:tc>
          <w:tcPr>
            <w:tcW w:w="2976" w:type="dxa"/>
            <w:shd w:val="clear" w:color="auto" w:fill="auto"/>
          </w:tcPr>
          <w:p w14:paraId="2A3FC735" w14:textId="77777777" w:rsidR="00176CC7" w:rsidRPr="00B97954" w:rsidRDefault="00176CC7" w:rsidP="0053196A">
            <w:pPr>
              <w:ind w:left="567" w:hanging="567"/>
              <w:rPr>
                <w:rFonts w:cs="Open Sans"/>
              </w:rPr>
            </w:pPr>
            <w:r w:rsidRPr="00B97954">
              <w:rPr>
                <w:rFonts w:cs="Open Sans"/>
              </w:rPr>
              <w:t>Urgent</w:t>
            </w:r>
          </w:p>
        </w:tc>
        <w:tc>
          <w:tcPr>
            <w:tcW w:w="2552" w:type="dxa"/>
            <w:shd w:val="clear" w:color="auto" w:fill="auto"/>
          </w:tcPr>
          <w:p w14:paraId="6BCA0FDF" w14:textId="77777777" w:rsidR="00176CC7" w:rsidRPr="00B97954" w:rsidRDefault="00176CC7" w:rsidP="0053196A">
            <w:pPr>
              <w:rPr>
                <w:rFonts w:cs="Open Sans"/>
              </w:rPr>
            </w:pPr>
            <w:r w:rsidRPr="00B97954">
              <w:rPr>
                <w:rFonts w:cs="Open Sans"/>
              </w:rPr>
              <w:t>5 working days</w:t>
            </w:r>
          </w:p>
        </w:tc>
      </w:tr>
      <w:tr w:rsidR="00176CC7" w:rsidRPr="00B97954" w14:paraId="4654968E" w14:textId="77777777" w:rsidTr="0053196A">
        <w:trPr>
          <w:jc w:val="center"/>
        </w:trPr>
        <w:tc>
          <w:tcPr>
            <w:tcW w:w="2976" w:type="dxa"/>
            <w:shd w:val="clear" w:color="auto" w:fill="auto"/>
          </w:tcPr>
          <w:p w14:paraId="5CE348DE" w14:textId="77777777" w:rsidR="00176CC7" w:rsidRPr="00B97954" w:rsidRDefault="00176CC7" w:rsidP="0053196A">
            <w:pPr>
              <w:ind w:left="567" w:hanging="567"/>
              <w:rPr>
                <w:rFonts w:cs="Open Sans"/>
              </w:rPr>
            </w:pPr>
            <w:r w:rsidRPr="00B97954">
              <w:rPr>
                <w:rFonts w:cs="Open Sans"/>
              </w:rPr>
              <w:t>Very Urgent</w:t>
            </w:r>
          </w:p>
        </w:tc>
        <w:tc>
          <w:tcPr>
            <w:tcW w:w="2552" w:type="dxa"/>
            <w:shd w:val="clear" w:color="auto" w:fill="auto"/>
          </w:tcPr>
          <w:p w14:paraId="166F491D" w14:textId="77777777" w:rsidR="00176CC7" w:rsidRPr="00B97954" w:rsidRDefault="00176CC7" w:rsidP="0053196A">
            <w:pPr>
              <w:rPr>
                <w:rFonts w:cs="Open Sans"/>
              </w:rPr>
            </w:pPr>
            <w:r w:rsidRPr="00B97954">
              <w:rPr>
                <w:rFonts w:cs="Open Sans"/>
              </w:rPr>
              <w:t>1 working day</w:t>
            </w:r>
          </w:p>
        </w:tc>
      </w:tr>
      <w:tr w:rsidR="00176CC7" w:rsidRPr="00B97954" w14:paraId="64A697A9" w14:textId="77777777" w:rsidTr="0053196A">
        <w:trPr>
          <w:jc w:val="center"/>
        </w:trPr>
        <w:tc>
          <w:tcPr>
            <w:tcW w:w="2976" w:type="dxa"/>
            <w:shd w:val="clear" w:color="auto" w:fill="auto"/>
          </w:tcPr>
          <w:p w14:paraId="3620A831" w14:textId="77777777" w:rsidR="00176CC7" w:rsidRPr="00B97954" w:rsidRDefault="00176CC7" w:rsidP="0053196A">
            <w:pPr>
              <w:rPr>
                <w:rFonts w:cs="Open Sans"/>
              </w:rPr>
            </w:pPr>
            <w:r w:rsidRPr="00B97954">
              <w:rPr>
                <w:rFonts w:cs="Open Sans"/>
              </w:rPr>
              <w:t>Top Priority</w:t>
            </w:r>
          </w:p>
        </w:tc>
        <w:tc>
          <w:tcPr>
            <w:tcW w:w="2552" w:type="dxa"/>
            <w:shd w:val="clear" w:color="auto" w:fill="auto"/>
          </w:tcPr>
          <w:p w14:paraId="1DE13B24" w14:textId="77777777" w:rsidR="00176CC7" w:rsidRPr="00B97954" w:rsidRDefault="00176CC7" w:rsidP="0053196A">
            <w:pPr>
              <w:rPr>
                <w:rFonts w:cs="Open Sans"/>
              </w:rPr>
            </w:pPr>
            <w:r w:rsidRPr="00B97954">
              <w:rPr>
                <w:rFonts w:cs="Open Sans"/>
              </w:rPr>
              <w:t>1 working day</w:t>
            </w:r>
          </w:p>
        </w:tc>
      </w:tr>
    </w:tbl>
    <w:p w14:paraId="28023E1A" w14:textId="670A9BB5" w:rsidR="00425588" w:rsidRPr="002B2235" w:rsidRDefault="00425588" w:rsidP="002B2235">
      <w:pPr>
        <w:jc w:val="center"/>
        <w:rPr>
          <w:b/>
          <w:color w:val="4F81BD" w:themeColor="accent1"/>
          <w:sz w:val="20"/>
        </w:rPr>
      </w:pPr>
      <w:proofErr w:type="gramStart"/>
      <w:r w:rsidRPr="00425588">
        <w:rPr>
          <w:b/>
          <w:color w:val="4F81BD" w:themeColor="accent1"/>
          <w:sz w:val="20"/>
        </w:rPr>
        <w:t xml:space="preserve">Table </w:t>
      </w:r>
      <w:r w:rsidRPr="00425588">
        <w:rPr>
          <w:b/>
          <w:color w:val="4F81BD" w:themeColor="accent1"/>
          <w:sz w:val="20"/>
        </w:rPr>
        <w:fldChar w:fldCharType="begin"/>
      </w:r>
      <w:r w:rsidRPr="00425588">
        <w:rPr>
          <w:b/>
          <w:color w:val="4F81BD" w:themeColor="accent1"/>
          <w:sz w:val="20"/>
        </w:rPr>
        <w:instrText xml:space="preserve"> SEQ Table \* ARABIC </w:instrText>
      </w:r>
      <w:r w:rsidRPr="00425588">
        <w:rPr>
          <w:b/>
          <w:color w:val="4F81BD" w:themeColor="accent1"/>
          <w:sz w:val="20"/>
        </w:rPr>
        <w:fldChar w:fldCharType="separate"/>
      </w:r>
      <w:r w:rsidR="00D46739">
        <w:rPr>
          <w:b/>
          <w:noProof/>
          <w:color w:val="4F81BD" w:themeColor="accent1"/>
          <w:sz w:val="20"/>
        </w:rPr>
        <w:t>1</w:t>
      </w:r>
      <w:r w:rsidRPr="00425588">
        <w:rPr>
          <w:b/>
          <w:noProof/>
          <w:color w:val="4F81BD" w:themeColor="accent1"/>
          <w:sz w:val="20"/>
        </w:rPr>
        <w:fldChar w:fldCharType="end"/>
      </w:r>
      <w:r w:rsidRPr="00425588">
        <w:rPr>
          <w:b/>
          <w:color w:val="4F81BD" w:themeColor="accent1"/>
          <w:sz w:val="20"/>
        </w:rPr>
        <w:t>.</w:t>
      </w:r>
      <w:proofErr w:type="gramEnd"/>
      <w:r w:rsidRPr="00425588">
        <w:rPr>
          <w:b/>
          <w:color w:val="4F81BD" w:themeColor="accent1"/>
          <w:sz w:val="20"/>
        </w:rPr>
        <w:t xml:space="preserve"> Response times to incidents according to the incident priority of “Medium” services</w:t>
      </w:r>
    </w:p>
    <w:p w14:paraId="64470ED3" w14:textId="534F0E52" w:rsidR="00176CC7" w:rsidRDefault="00176CC7" w:rsidP="00D206E9">
      <w:pPr>
        <w:pStyle w:val="Heading2"/>
      </w:pPr>
      <w:bookmarkStart w:id="6" w:name="_Toc437010242"/>
      <w:r w:rsidRPr="00176CC7">
        <w:t>Service requests</w:t>
      </w:r>
      <w:bookmarkEnd w:id="6"/>
    </w:p>
    <w:p w14:paraId="2FC842DA" w14:textId="77777777" w:rsidR="00176CC7" w:rsidRDefault="00176CC7" w:rsidP="00176CC7">
      <w:r w:rsidRPr="00B97954">
        <w:t xml:space="preserve">In addition to resolving incidents, standard service requests (e.g. change </w:t>
      </w:r>
      <w:r>
        <w:t>requests,</w:t>
      </w:r>
      <w:r w:rsidRPr="00B97954">
        <w:t xml:space="preserve"> information request</w:t>
      </w:r>
      <w:r>
        <w:t>s</w:t>
      </w:r>
      <w:r w:rsidRPr="00B97954">
        <w:t>, documentation) will be fulfilled through the defined support channels in the same way as incidents</w:t>
      </w:r>
      <w:r>
        <w:t xml:space="preserve">. Service requests are classified as </w:t>
      </w:r>
      <w:r w:rsidRPr="00B97954">
        <w:t xml:space="preserve">“Less urgent”. </w:t>
      </w:r>
    </w:p>
    <w:p w14:paraId="1CC5F3EF" w14:textId="77777777" w:rsidR="00876CB0" w:rsidRPr="00B97954" w:rsidRDefault="00876CB0" w:rsidP="00176CC7"/>
    <w:p w14:paraId="0A2BC1F5" w14:textId="143941C4" w:rsidR="00227F47" w:rsidRPr="00176CC7" w:rsidRDefault="00176CC7" w:rsidP="00CE1F5A">
      <w:pPr>
        <w:pStyle w:val="Heading1"/>
      </w:pPr>
      <w:bookmarkStart w:id="7" w:name="_Toc403992928"/>
      <w:bookmarkStart w:id="8" w:name="_Toc437010243"/>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76F6573C" w14:textId="048EB942" w:rsidR="006B45F3" w:rsidRDefault="00176CC7" w:rsidP="00176CC7">
      <w:pPr>
        <w:pStyle w:val="ListParagraph"/>
        <w:numPr>
          <w:ilvl w:val="0"/>
          <w:numId w:val="28"/>
        </w:numPr>
      </w:pPr>
      <w:r w:rsidRPr="00B63C90">
        <w:lastRenderedPageBreak/>
        <w:t>Minimum</w:t>
      </w:r>
      <w:r w:rsidR="00CF2238">
        <w:t xml:space="preserve"> </w:t>
      </w:r>
      <w:r w:rsidR="00CF2238" w:rsidRPr="00D00DDB">
        <w:t>(as a percentage per month)</w:t>
      </w:r>
      <w:r w:rsidRPr="00B63C90">
        <w:t xml:space="preserve">: </w:t>
      </w:r>
    </w:p>
    <w:p w14:paraId="4D793196" w14:textId="538468A8" w:rsidR="00176CC7" w:rsidRPr="00D00DDB" w:rsidRDefault="003B3E2E" w:rsidP="006B45F3">
      <w:pPr>
        <w:pStyle w:val="ListParagraph"/>
        <w:numPr>
          <w:ilvl w:val="1"/>
          <w:numId w:val="28"/>
        </w:numPr>
      </w:pPr>
      <w:r w:rsidRPr="003B3E2E">
        <w:rPr>
          <w:highlight w:val="yellow"/>
        </w:rPr>
        <w:t>resource provider 1</w:t>
      </w:r>
      <w:r w:rsidR="006B45F3" w:rsidRPr="003B3E2E">
        <w:rPr>
          <w:highlight w:val="yellow"/>
        </w:rPr>
        <w:t xml:space="preserve">: </w:t>
      </w:r>
      <w:r w:rsidRPr="003B3E2E">
        <w:rPr>
          <w:highlight w:val="yellow"/>
        </w:rPr>
        <w:t>XX</w:t>
      </w:r>
      <w:r w:rsidR="00176CC7" w:rsidRPr="003B3E2E">
        <w:rPr>
          <w:highlight w:val="yellow"/>
        </w:rPr>
        <w:t>%</w:t>
      </w:r>
      <w:r w:rsidR="00176CC7" w:rsidRPr="00D00DDB">
        <w:t xml:space="preserve"> </w:t>
      </w:r>
    </w:p>
    <w:p w14:paraId="7888F246" w14:textId="0642567F" w:rsidR="006B45F3" w:rsidRPr="003B3E2E" w:rsidRDefault="003B3E2E" w:rsidP="003B3E2E">
      <w:pPr>
        <w:pStyle w:val="ListParagraph"/>
        <w:numPr>
          <w:ilvl w:val="1"/>
          <w:numId w:val="28"/>
        </w:numPr>
      </w:pPr>
      <w:r w:rsidRPr="003B3E2E">
        <w:rPr>
          <w:highlight w:val="yellow"/>
        </w:rPr>
        <w:t>resource provider 2: XX</w:t>
      </w:r>
      <w:r w:rsidR="006B45F3" w:rsidRPr="003B3E2E">
        <w:rPr>
          <w:highlight w:val="yellow"/>
        </w:rPr>
        <w:t>%</w:t>
      </w:r>
      <w:r w:rsidR="006B45F3" w:rsidRPr="00D00DDB">
        <w:t xml:space="preserve"> </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6415CA29" w14:textId="67A4E164" w:rsidR="006B45F3" w:rsidRPr="00D00DDB" w:rsidRDefault="00176CC7" w:rsidP="00176CC7">
      <w:pPr>
        <w:pStyle w:val="ListParagraph"/>
        <w:numPr>
          <w:ilvl w:val="0"/>
          <w:numId w:val="29"/>
        </w:numPr>
      </w:pPr>
      <w:r w:rsidRPr="00D00DDB">
        <w:t>Minimum</w:t>
      </w:r>
      <w:r w:rsidR="00CF2238">
        <w:t xml:space="preserve"> </w:t>
      </w:r>
      <w:r w:rsidR="00CF2238" w:rsidRPr="00D00DDB">
        <w:t>(as a percentage per month)</w:t>
      </w:r>
      <w:r w:rsidRPr="00D00DDB">
        <w:t xml:space="preserve">: </w:t>
      </w:r>
    </w:p>
    <w:p w14:paraId="198F2A11" w14:textId="43B79F04" w:rsidR="006B45F3" w:rsidRDefault="003B3E2E" w:rsidP="006B45F3">
      <w:pPr>
        <w:pStyle w:val="ListParagraph"/>
        <w:numPr>
          <w:ilvl w:val="1"/>
          <w:numId w:val="29"/>
        </w:numPr>
      </w:pPr>
      <w:r>
        <w:rPr>
          <w:highlight w:val="yellow"/>
        </w:rPr>
        <w:t>r</w:t>
      </w:r>
      <w:r w:rsidRPr="003B3E2E">
        <w:rPr>
          <w:highlight w:val="yellow"/>
        </w:rPr>
        <w:t>esource provider 1: XX</w:t>
      </w:r>
      <w:r w:rsidR="006B45F3" w:rsidRPr="003B3E2E">
        <w:rPr>
          <w:highlight w:val="yellow"/>
        </w:rPr>
        <w:t>%</w:t>
      </w:r>
      <w:r w:rsidR="006B45F3" w:rsidRPr="00D00DDB">
        <w:t xml:space="preserve"> </w:t>
      </w:r>
    </w:p>
    <w:p w14:paraId="244D9A88" w14:textId="63DA1C8B" w:rsidR="006B45F3" w:rsidRPr="003B3E2E" w:rsidRDefault="003B3E2E" w:rsidP="003B3E2E">
      <w:pPr>
        <w:pStyle w:val="ListParagraph"/>
        <w:numPr>
          <w:ilvl w:val="1"/>
          <w:numId w:val="29"/>
        </w:numPr>
        <w:rPr>
          <w:highlight w:val="yellow"/>
        </w:rPr>
      </w:pPr>
      <w:r w:rsidRPr="003B3E2E">
        <w:rPr>
          <w:highlight w:val="yellow"/>
        </w:rPr>
        <w:t>resource provider 2: XX%</w:t>
      </w:r>
    </w:p>
    <w:p w14:paraId="70D6F64B" w14:textId="77777777" w:rsidR="003B3E2E" w:rsidRPr="00D00DDB" w:rsidRDefault="003B3E2E" w:rsidP="003B3E2E">
      <w:pPr>
        <w:pStyle w:val="ListParagraph"/>
        <w:ind w:left="1440"/>
      </w:pP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542830">
      <w:pPr>
        <w:pStyle w:val="ListParagraph"/>
        <w:numPr>
          <w:ilvl w:val="0"/>
          <w:numId w:val="41"/>
        </w:numPr>
      </w:pPr>
      <w:r w:rsidRPr="004F6ECD">
        <w:t>Medium (Section 3)</w:t>
      </w:r>
    </w:p>
    <w:p w14:paraId="777AB914" w14:textId="7D4D18CA" w:rsidR="00542830" w:rsidRPr="00B97954" w:rsidRDefault="00542830" w:rsidP="00CE1F5A">
      <w:pPr>
        <w:pStyle w:val="Heading1"/>
      </w:pPr>
      <w:bookmarkStart w:id="9" w:name="_Toc403992929"/>
      <w:bookmarkStart w:id="10" w:name="_Toc437010244"/>
      <w:r>
        <w:t>Limitations and</w:t>
      </w:r>
      <w:r w:rsidRPr="00B97954">
        <w:t xml:space="preserve"> constraints</w:t>
      </w:r>
      <w:bookmarkEnd w:id="9"/>
      <w:bookmarkEnd w:id="10"/>
    </w:p>
    <w:p w14:paraId="1AB05FC5" w14:textId="2BF3E6DE" w:rsidR="00542830" w:rsidRPr="00B97954" w:rsidRDefault="00542830" w:rsidP="00542830">
      <w:pPr>
        <w:rPr>
          <w:rFonts w:cs="Open Sans"/>
        </w:rPr>
      </w:pPr>
      <w:r w:rsidRPr="00B97954">
        <w:rPr>
          <w:rFonts w:cs="Open Sans"/>
        </w:rPr>
        <w:t xml:space="preserve">The </w:t>
      </w:r>
      <w:r>
        <w:rPr>
          <w:rFonts w:cs="Open Sans"/>
        </w:rPr>
        <w:t>Service</w:t>
      </w:r>
      <w:r w:rsidR="00F66DAF">
        <w:rPr>
          <w:rFonts w:cs="Open Sans"/>
        </w:rPr>
        <w:t>s</w:t>
      </w:r>
      <w:r>
        <w:rPr>
          <w:rFonts w:cs="Open Sans"/>
        </w:rPr>
        <w:t xml:space="preserve"> </w:t>
      </w:r>
      <w:r w:rsidRPr="00B97954">
        <w:rPr>
          <w:rFonts w:cs="Open Sans"/>
        </w:rPr>
        <w:t>provisioning is subject to the following limitations and constraints</w:t>
      </w:r>
      <w:r>
        <w:rPr>
          <w:rFonts w:cs="Open Sans"/>
        </w:rPr>
        <w:t>.</w:t>
      </w:r>
      <w:r w:rsidRPr="00B97954">
        <w:rPr>
          <w:rFonts w:cs="Open Sans"/>
        </w:rPr>
        <w:t xml:space="preserve"> </w:t>
      </w:r>
    </w:p>
    <w:p w14:paraId="7B56BE83" w14:textId="77777777" w:rsidR="00542830" w:rsidRPr="004F6ECD" w:rsidRDefault="00542830" w:rsidP="004F6ECD">
      <w:pPr>
        <w:pStyle w:val="ListParagraph"/>
        <w:numPr>
          <w:ilvl w:val="0"/>
          <w:numId w:val="30"/>
        </w:numPr>
      </w:pPr>
      <w:r w:rsidRPr="004F6ECD">
        <w:t>Support is provided in English.</w:t>
      </w:r>
    </w:p>
    <w:p w14:paraId="49D79F66" w14:textId="77777777" w:rsidR="00542830" w:rsidRPr="004F6ECD" w:rsidRDefault="00542830" w:rsidP="004F6ECD">
      <w:pPr>
        <w:pStyle w:val="ListParagraph"/>
        <w:numPr>
          <w:ilvl w:val="0"/>
          <w:numId w:val="30"/>
        </w:numPr>
      </w:pPr>
      <w:r w:rsidRPr="004F6ECD">
        <w:t xml:space="preserve">Availability and Reliability calculations are based on the Service Monitoring operational results. </w:t>
      </w:r>
    </w:p>
    <w:p w14:paraId="700AF6FA" w14:textId="0F51677D" w:rsidR="00542830" w:rsidRPr="004F6ECD" w:rsidRDefault="00542830" w:rsidP="004F6ECD">
      <w:pPr>
        <w:pStyle w:val="ListParagraph"/>
        <w:numPr>
          <w:ilvl w:val="0"/>
          <w:numId w:val="30"/>
        </w:numPr>
      </w:pPr>
      <w:r w:rsidRPr="004F6ECD">
        <w:t xml:space="preserve">Failures in </w:t>
      </w:r>
      <w:r w:rsidR="00876CB0" w:rsidRPr="00876CB0">
        <w:rPr>
          <w:highlight w:val="yellow"/>
        </w:rPr>
        <w:t>[VO name]</w:t>
      </w:r>
      <w:r w:rsidRPr="004F6ECD">
        <w:t xml:space="preserve"> monitoring are not considered as SLA violations. </w:t>
      </w:r>
    </w:p>
    <w:p w14:paraId="6FB1B660" w14:textId="77777777" w:rsidR="00542830" w:rsidRPr="004F6ECD" w:rsidRDefault="00542830" w:rsidP="004F6ECD">
      <w:pPr>
        <w:pStyle w:val="ListParagraph"/>
        <w:numPr>
          <w:ilvl w:val="0"/>
          <w:numId w:val="30"/>
        </w:numPr>
      </w:pPr>
      <w:r w:rsidRPr="004F6ECD">
        <w:t>Downtimes needed to ensure the security of the Service issues are not considered Agreement violations.</w:t>
      </w:r>
    </w:p>
    <w:p w14:paraId="0FAE6DC0" w14:textId="77777777" w:rsidR="00542830" w:rsidRPr="004F6ECD" w:rsidRDefault="00542830" w:rsidP="004F6ECD">
      <w:pPr>
        <w:pStyle w:val="ListParagraph"/>
        <w:numPr>
          <w:ilvl w:val="0"/>
          <w:numId w:val="30"/>
        </w:numPr>
      </w:pPr>
      <w:r w:rsidRPr="004F6ECD">
        <w:t xml:space="preserve">Failures of resource provider not being part of EGI production infrastructure are not considered as Agreement violations. </w:t>
      </w:r>
    </w:p>
    <w:p w14:paraId="2EE19F64" w14:textId="77777777" w:rsidR="00BA6136" w:rsidRDefault="00BA6136" w:rsidP="00BA6136">
      <w:pPr>
        <w:numPr>
          <w:ilvl w:val="0"/>
          <w:numId w:val="30"/>
        </w:numPr>
        <w:spacing w:after="200"/>
        <w:contextualSpacing/>
        <w:jc w:val="left"/>
        <w:rPr>
          <w:rFonts w:cs="Open Sans"/>
        </w:rPr>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37010245"/>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20AC834A" w14:textId="77777777" w:rsidR="00BA6136" w:rsidRDefault="00BA6136" w:rsidP="00BA6136">
      <w:pPr>
        <w:numPr>
          <w:ilvl w:val="1"/>
          <w:numId w:val="30"/>
        </w:numPr>
        <w:spacing w:after="200"/>
        <w:contextualSpacing/>
        <w:jc w:val="left"/>
        <w:rPr>
          <w:rFonts w:cs="Open Sans"/>
        </w:rPr>
      </w:pPr>
      <w:r w:rsidRPr="007A2DFE">
        <w:rPr>
          <w:rFonts w:cs="Open Sans"/>
        </w:rPr>
        <w:t xml:space="preserve">fire,  flood,  earthquake  or  natural </w:t>
      </w:r>
      <w:r>
        <w:rPr>
          <w:rFonts w:cs="Open Sans"/>
        </w:rPr>
        <w:t xml:space="preserve">phenomena, </w:t>
      </w:r>
    </w:p>
    <w:p w14:paraId="15357E0F" w14:textId="77777777" w:rsidR="00BA6136" w:rsidRDefault="00BA6136" w:rsidP="00BA6136">
      <w:pPr>
        <w:numPr>
          <w:ilvl w:val="1"/>
          <w:numId w:val="30"/>
        </w:numPr>
        <w:spacing w:after="200"/>
        <w:contextualSpacing/>
        <w:jc w:val="left"/>
        <w:rPr>
          <w:rFonts w:cs="Open Sans"/>
        </w:rPr>
      </w:pPr>
      <w:r w:rsidRPr="007A2DFE">
        <w:rPr>
          <w:rFonts w:cs="Open Sans"/>
        </w:rPr>
        <w:t>war, embargo, riot, civil disorder,</w:t>
      </w:r>
      <w:r>
        <w:rPr>
          <w:rFonts w:cs="Open Sans"/>
        </w:rPr>
        <w:t xml:space="preserve"> rebellion, revolution</w:t>
      </w:r>
    </w:p>
    <w:p w14:paraId="4031C690" w14:textId="77777777" w:rsidR="00BA6136" w:rsidRPr="007A2DFE" w:rsidRDefault="00BA6136" w:rsidP="00BA6136">
      <w:pPr>
        <w:spacing w:after="200"/>
        <w:ind w:left="108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p>
    <w:p w14:paraId="6846F691" w14:textId="399E7E42" w:rsidR="00542830" w:rsidRPr="00B97954" w:rsidRDefault="00542830" w:rsidP="00CE1F5A">
      <w:pPr>
        <w:pStyle w:val="Heading1"/>
      </w:pPr>
      <w:r w:rsidRPr="00B97954">
        <w:lastRenderedPageBreak/>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37010246"/>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60671146" w14:textId="3518BF81" w:rsidR="00542830" w:rsidRPr="003B3E2E" w:rsidRDefault="003B3E2E" w:rsidP="0053196A">
            <w:pPr>
              <w:rPr>
                <w:rFonts w:cs="Open Sans"/>
                <w:highlight w:val="yellow"/>
              </w:rPr>
            </w:pPr>
            <w:r w:rsidRPr="003B3E2E">
              <w:rPr>
                <w:rFonts w:cs="Open Sans"/>
                <w:highlight w:val="yellow"/>
              </w:rPr>
              <w:t>[name]</w:t>
            </w:r>
          </w:p>
          <w:p w14:paraId="6D0E8D1C" w14:textId="2F072723" w:rsidR="00542830" w:rsidRPr="003B3E2E" w:rsidRDefault="003B3E2E" w:rsidP="0053196A">
            <w:pPr>
              <w:rPr>
                <w:rFonts w:cs="Open Sans"/>
                <w:highlight w:val="yellow"/>
              </w:rPr>
            </w:pPr>
            <w:r w:rsidRPr="003B3E2E">
              <w:rPr>
                <w:highlight w:val="yellow"/>
              </w:rPr>
              <w:t>[email]</w:t>
            </w:r>
            <w:r w:rsidR="005320AD" w:rsidRPr="003B3E2E">
              <w:rPr>
                <w:rFonts w:cs="Open Sans"/>
                <w:highlight w:val="yellow"/>
              </w:rPr>
              <w:t xml:space="preserve"> </w:t>
            </w:r>
          </w:p>
          <w:p w14:paraId="62484D7A" w14:textId="365A2D9A" w:rsidR="00542830" w:rsidRPr="00B97954" w:rsidRDefault="003B3E2E" w:rsidP="0053196A">
            <w:pPr>
              <w:rPr>
                <w:rFonts w:cs="Open Sans"/>
              </w:rPr>
            </w:pPr>
            <w:r w:rsidRPr="003B3E2E">
              <w:rPr>
                <w:rFonts w:cs="Open Sans"/>
                <w:highlight w:val="yellow"/>
              </w:rPr>
              <w:t>[title]</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31A95393" w14:textId="77777777" w:rsidR="00542830" w:rsidRPr="00C062E3" w:rsidRDefault="00542830" w:rsidP="0053196A">
            <w:pPr>
              <w:rPr>
                <w:rFonts w:cs="Open Sans"/>
                <w:lang w:val="it-IT"/>
              </w:rPr>
            </w:pPr>
            <w:r w:rsidRPr="00C062E3">
              <w:rPr>
                <w:rFonts w:cs="Open Sans"/>
                <w:lang w:val="it-IT"/>
              </w:rPr>
              <w:t>Małgorzata Krakowian</w:t>
            </w:r>
          </w:p>
          <w:p w14:paraId="47F7EBD8" w14:textId="7BEBF472" w:rsidR="00542830" w:rsidRPr="00C062E3" w:rsidRDefault="00771DA6" w:rsidP="0053196A">
            <w:pPr>
              <w:rPr>
                <w:rFonts w:cs="Open Sans"/>
                <w:highlight w:val="yellow"/>
                <w:lang w:val="it-IT"/>
              </w:rPr>
            </w:pPr>
            <w:hyperlink r:id="rId11" w:history="1">
              <w:r w:rsidR="003B3E2E" w:rsidRPr="00E66B6E">
                <w:rPr>
                  <w:rStyle w:val="Hyperlink"/>
                  <w:rFonts w:cs="Open Sans"/>
                  <w:lang w:val="it-IT"/>
                </w:rPr>
                <w:t>sla@mailman.egi.eu</w:t>
              </w:r>
            </w:hyperlink>
            <w:r w:rsidR="005320AD" w:rsidRPr="00C062E3">
              <w:rPr>
                <w:rFonts w:cs="Open Sans"/>
                <w:lang w:val="it-IT"/>
              </w:rPr>
              <w:t xml:space="preserve"> </w:t>
            </w:r>
          </w:p>
          <w:p w14:paraId="0D1F9537" w14:textId="0BBFA960" w:rsidR="00542830" w:rsidRPr="00B97954" w:rsidRDefault="005320AD" w:rsidP="005320AD">
            <w:pPr>
              <w:rPr>
                <w:rFonts w:cs="Open Sans"/>
              </w:rPr>
            </w:pPr>
            <w:r w:rsidRPr="00C062E3">
              <w:rPr>
                <w:rFonts w:cs="Open Sans"/>
              </w:rPr>
              <w:t xml:space="preserve">SLA Coordinator at EGI.eu </w:t>
            </w:r>
            <w:r w:rsidR="00542830" w:rsidRPr="00C062E3">
              <w:rPr>
                <w:rFonts w:cs="Open Sans"/>
              </w:rPr>
              <w:t xml:space="preserve"> </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37010247"/>
      <w:r w:rsidRPr="00B97954">
        <w:t>Regular reporting</w:t>
      </w:r>
      <w:bookmarkEnd w:id="22"/>
      <w:bookmarkEnd w:id="23"/>
    </w:p>
    <w:p w14:paraId="70B75E87" w14:textId="77777777" w:rsidR="00542830" w:rsidRPr="00B97954" w:rsidRDefault="00542830" w:rsidP="00542830">
      <w:pPr>
        <w:rPr>
          <w:rFonts w:cs="Open Sans"/>
        </w:rPr>
      </w:pPr>
      <w:r w:rsidRPr="00B97954">
        <w:rPr>
          <w:rFonts w:cs="Open Sans"/>
        </w:rPr>
        <w:t xml:space="preserve">As part of the fulfilment of this </w:t>
      </w:r>
      <w:r>
        <w:rPr>
          <w:rFonts w:cs="Open Sans"/>
        </w:rPr>
        <w:t>Agreement</w:t>
      </w:r>
      <w:r w:rsidRPr="00B97954">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542830" w:rsidRPr="00B97954" w14:paraId="1AEDD1B6" w14:textId="77777777" w:rsidTr="00542830">
        <w:tc>
          <w:tcPr>
            <w:tcW w:w="1250" w:type="pct"/>
            <w:shd w:val="clear" w:color="auto" w:fill="B8CCE4" w:themeFill="accent1" w:themeFillTint="66"/>
          </w:tcPr>
          <w:p w14:paraId="45B2660A" w14:textId="77777777" w:rsidR="00542830" w:rsidRPr="00B97954" w:rsidRDefault="00542830" w:rsidP="0053196A">
            <w:pPr>
              <w:rPr>
                <w:rFonts w:cs="Open Sans"/>
                <w:b/>
              </w:rPr>
            </w:pPr>
            <w:r w:rsidRPr="00B97954">
              <w:rPr>
                <w:rFonts w:cs="Open Sans"/>
                <w:b/>
              </w:rPr>
              <w:t>Report title</w:t>
            </w:r>
          </w:p>
        </w:tc>
        <w:tc>
          <w:tcPr>
            <w:tcW w:w="1250" w:type="pct"/>
            <w:shd w:val="clear" w:color="auto" w:fill="B8CCE4" w:themeFill="accent1" w:themeFillTint="66"/>
          </w:tcPr>
          <w:p w14:paraId="6801775B" w14:textId="77777777" w:rsidR="00542830" w:rsidRPr="00B97954" w:rsidRDefault="00542830" w:rsidP="0053196A">
            <w:pPr>
              <w:rPr>
                <w:rFonts w:cs="Open Sans"/>
                <w:b/>
              </w:rPr>
            </w:pPr>
            <w:r w:rsidRPr="00B97954">
              <w:rPr>
                <w:rFonts w:cs="Open Sans"/>
                <w:b/>
              </w:rPr>
              <w:t>Contents</w:t>
            </w:r>
          </w:p>
        </w:tc>
        <w:tc>
          <w:tcPr>
            <w:tcW w:w="1250" w:type="pct"/>
            <w:shd w:val="clear" w:color="auto" w:fill="B8CCE4" w:themeFill="accent1" w:themeFillTint="66"/>
          </w:tcPr>
          <w:p w14:paraId="1B4CC337" w14:textId="77777777" w:rsidR="00542830" w:rsidRPr="00B97954" w:rsidRDefault="00542830" w:rsidP="0053196A">
            <w:pPr>
              <w:rPr>
                <w:rFonts w:cs="Open Sans"/>
                <w:b/>
              </w:rPr>
            </w:pPr>
            <w:r w:rsidRPr="00B97954">
              <w:rPr>
                <w:rFonts w:cs="Open Sans"/>
                <w:b/>
              </w:rPr>
              <w:t>Frequency</w:t>
            </w:r>
          </w:p>
        </w:tc>
        <w:tc>
          <w:tcPr>
            <w:tcW w:w="1250" w:type="pct"/>
            <w:shd w:val="clear" w:color="auto" w:fill="B8CCE4" w:themeFill="accent1" w:themeFillTint="66"/>
          </w:tcPr>
          <w:p w14:paraId="26F833F4" w14:textId="0145D67E" w:rsidR="00542830" w:rsidRPr="00B97954" w:rsidRDefault="00542830" w:rsidP="0053196A">
            <w:pPr>
              <w:rPr>
                <w:rFonts w:cs="Open Sans"/>
                <w:b/>
              </w:rPr>
            </w:pPr>
            <w:r w:rsidRPr="00B97954">
              <w:rPr>
                <w:rFonts w:cs="Open Sans"/>
                <w:b/>
              </w:rPr>
              <w:t>Delivery</w:t>
            </w:r>
          </w:p>
        </w:tc>
      </w:tr>
      <w:tr w:rsidR="00542830" w:rsidRPr="00B97954" w14:paraId="7C36078B" w14:textId="77777777" w:rsidTr="0053196A">
        <w:tc>
          <w:tcPr>
            <w:tcW w:w="1250" w:type="pct"/>
            <w:shd w:val="clear" w:color="auto" w:fill="auto"/>
          </w:tcPr>
          <w:p w14:paraId="30930431" w14:textId="7EBAEA81" w:rsidR="00542830" w:rsidRPr="00B97954" w:rsidRDefault="00542830" w:rsidP="0053196A">
            <w:pPr>
              <w:jc w:val="left"/>
              <w:rPr>
                <w:rFonts w:cs="Open Sans"/>
                <w:highlight w:val="green"/>
              </w:rPr>
            </w:pPr>
            <w:r w:rsidRPr="00B97954">
              <w:rPr>
                <w:rFonts w:cs="Open Sans"/>
              </w:rPr>
              <w:t>Service</w:t>
            </w:r>
            <w:r w:rsidR="005238F3">
              <w:rPr>
                <w:rFonts w:cs="Open Sans"/>
              </w:rPr>
              <w:t>s</w:t>
            </w:r>
            <w:r w:rsidRPr="00B97954">
              <w:rPr>
                <w:rFonts w:cs="Open Sans"/>
              </w:rPr>
              <w:t xml:space="preserve"> Performance Report</w:t>
            </w:r>
          </w:p>
        </w:tc>
        <w:tc>
          <w:tcPr>
            <w:tcW w:w="1250" w:type="pct"/>
            <w:shd w:val="clear" w:color="auto" w:fill="auto"/>
          </w:tcPr>
          <w:p w14:paraId="131493CF" w14:textId="77777777" w:rsidR="00542830" w:rsidRPr="00B97954" w:rsidRDefault="00542830" w:rsidP="0053196A">
            <w:pPr>
              <w:jc w:val="left"/>
              <w:rPr>
                <w:rFonts w:cs="Open Sans"/>
                <w:highlight w:val="green"/>
              </w:rPr>
            </w:pPr>
            <w:r w:rsidRPr="00B97954">
              <w:rPr>
                <w:rFonts w:cs="Open Sans"/>
              </w:rPr>
              <w:t>The document provides the overall assessment of service performance (per month) and SLA target performance achieved during last 6 months</w:t>
            </w:r>
          </w:p>
        </w:tc>
        <w:tc>
          <w:tcPr>
            <w:tcW w:w="1250" w:type="pct"/>
            <w:shd w:val="clear" w:color="auto" w:fill="auto"/>
          </w:tcPr>
          <w:p w14:paraId="17773508" w14:textId="77777777" w:rsidR="00542830" w:rsidRPr="00B97954" w:rsidRDefault="00542830" w:rsidP="0053196A">
            <w:pPr>
              <w:jc w:val="left"/>
              <w:rPr>
                <w:rFonts w:cs="Open Sans"/>
                <w:highlight w:val="green"/>
              </w:rPr>
            </w:pPr>
            <w:r w:rsidRPr="00B97954">
              <w:rPr>
                <w:rFonts w:cs="Open Sans"/>
              </w:rPr>
              <w:t>Every six months</w:t>
            </w:r>
          </w:p>
        </w:tc>
        <w:tc>
          <w:tcPr>
            <w:tcW w:w="1250" w:type="pct"/>
            <w:shd w:val="clear" w:color="auto" w:fill="auto"/>
          </w:tcPr>
          <w:p w14:paraId="533A3CA9" w14:textId="77777777" w:rsidR="00542830" w:rsidRPr="00B97954" w:rsidRDefault="00542830" w:rsidP="0053196A">
            <w:pPr>
              <w:jc w:val="left"/>
              <w:rPr>
                <w:rFonts w:ascii="Cambria" w:hAnsi="Cambria" w:cs="Open Sans"/>
                <w:b/>
                <w:bCs/>
                <w:highlight w:val="green"/>
              </w:rPr>
            </w:pPr>
            <w:r w:rsidRPr="00B97954">
              <w:rPr>
                <w:rFonts w:cs="Open Sans"/>
              </w:rPr>
              <w:t xml:space="preserve">Email </w:t>
            </w:r>
            <w:r>
              <w:rPr>
                <w:rFonts w:cs="Open Sans"/>
              </w:rPr>
              <w:t>to the Customer</w:t>
            </w:r>
          </w:p>
        </w:tc>
      </w:tr>
    </w:tbl>
    <w:p w14:paraId="3FCC4BC5" w14:textId="77777777" w:rsidR="00542830" w:rsidRPr="00B97954" w:rsidRDefault="00542830" w:rsidP="00542830"/>
    <w:p w14:paraId="1B838A2D" w14:textId="77777777" w:rsidR="00542830" w:rsidRPr="00B97954" w:rsidRDefault="00542830" w:rsidP="00D206E9">
      <w:pPr>
        <w:pStyle w:val="Heading2"/>
      </w:pPr>
      <w:bookmarkStart w:id="24" w:name="_Toc403992933"/>
      <w:bookmarkStart w:id="25" w:name="_Toc437010248"/>
      <w:r>
        <w:t>V</w:t>
      </w:r>
      <w:r w:rsidRPr="00B97954">
        <w:t>iolations</w:t>
      </w:r>
      <w:bookmarkEnd w:id="24"/>
      <w:bookmarkEnd w:id="25"/>
    </w:p>
    <w:p w14:paraId="2058B060" w14:textId="77777777" w:rsidR="00542830" w:rsidRPr="004F6ECD" w:rsidRDefault="00542830" w:rsidP="004F6ECD">
      <w:r w:rsidRPr="004F6ECD">
        <w:t>The Provider commits to inform the Customer, if this Agreement is violated or violation is anticipated. The following rules are agreed for communication in the event of violation:</w:t>
      </w:r>
    </w:p>
    <w:p w14:paraId="0573060E" w14:textId="4E1415B2" w:rsidR="00542830" w:rsidRPr="004F6ECD" w:rsidRDefault="00542830" w:rsidP="004F6ECD">
      <w:pPr>
        <w:pStyle w:val="ListParagraph"/>
        <w:numPr>
          <w:ilvl w:val="0"/>
          <w:numId w:val="30"/>
        </w:numPr>
      </w:pPr>
      <w:r w:rsidRPr="004F6ECD">
        <w:t>In case of violations of the Service</w:t>
      </w:r>
      <w:r w:rsidR="005238F3">
        <w:t>s</w:t>
      </w:r>
      <w:r w:rsidRPr="004F6ECD">
        <w:t xml:space="preserve"> targets for two consecutive months, the Provider will provide justifications and a plan for Service</w:t>
      </w:r>
      <w:r w:rsidR="005238F3">
        <w:t>s</w:t>
      </w:r>
      <w:r w:rsidRPr="004F6ECD">
        <w:t xml:space="preserve"> enhancement to the Customer. The </w:t>
      </w:r>
      <w:r w:rsidRPr="004F6ECD">
        <w:lastRenderedPageBreak/>
        <w:t>Provider will produce a status report and a Service enhancement plan for the improvement of the Service</w:t>
      </w:r>
      <w:r w:rsidR="005238F3">
        <w:t>s</w:t>
      </w:r>
      <w:r w:rsidRPr="004F6ECD">
        <w:t xml:space="preserve"> within one month from the date of the first notification. </w:t>
      </w:r>
    </w:p>
    <w:p w14:paraId="28BBFCE3" w14:textId="2296FBB5" w:rsidR="00542830" w:rsidRPr="004F6ECD" w:rsidRDefault="00542830" w:rsidP="004F6ECD">
      <w:pPr>
        <w:pStyle w:val="ListParagraph"/>
        <w:numPr>
          <w:ilvl w:val="0"/>
          <w:numId w:val="30"/>
        </w:numPr>
      </w:pPr>
      <w:r w:rsidRPr="004F6ECD">
        <w:t xml:space="preserve">The Customer will notify the supporting Resource Centres in case of suspected violation via the EGI Service Desk (Section 3). The case will be analysed to identify the cause and verify the violation. </w:t>
      </w:r>
    </w:p>
    <w:p w14:paraId="4EE153FA" w14:textId="49C73FEE" w:rsidR="00542830" w:rsidRPr="00B97954" w:rsidRDefault="00542830" w:rsidP="00D206E9">
      <w:pPr>
        <w:pStyle w:val="Heading2"/>
      </w:pPr>
      <w:bookmarkStart w:id="26" w:name="_Toc403992934"/>
      <w:bookmarkStart w:id="27" w:name="_Toc437010249"/>
      <w:r w:rsidRPr="00B97954">
        <w:t xml:space="preserve">Escalation </w:t>
      </w:r>
      <w:r>
        <w:t>and</w:t>
      </w:r>
      <w:r w:rsidRPr="00B97954">
        <w:t xml:space="preserve"> complaints</w:t>
      </w:r>
      <w:bookmarkEnd w:id="26"/>
      <w:bookmarkEnd w:id="27"/>
    </w:p>
    <w:p w14:paraId="355F6A8C" w14:textId="77777777" w:rsidR="00542830" w:rsidRPr="00B97954" w:rsidRDefault="00542830" w:rsidP="00542830">
      <w:pPr>
        <w:rPr>
          <w:rFonts w:cs="Open Sans"/>
        </w:rPr>
      </w:pPr>
      <w:r w:rsidRPr="00B97954">
        <w:rPr>
          <w:rFonts w:cs="Open Sans"/>
        </w:rPr>
        <w:t xml:space="preserve">For escalation and complaints, the Provider contact (section </w:t>
      </w:r>
      <w:r>
        <w:rPr>
          <w:rFonts w:cs="Open Sans"/>
        </w:rPr>
        <w:t>6</w:t>
      </w:r>
      <w:r w:rsidRPr="00B97954">
        <w:rPr>
          <w:rFonts w:cs="Open Sans"/>
        </w:rPr>
        <w:t>.1) point shall be used, and the following rules apply</w:t>
      </w:r>
      <w:r>
        <w:rPr>
          <w:rFonts w:cs="Open Sans"/>
        </w:rPr>
        <w:t>.</w:t>
      </w:r>
    </w:p>
    <w:p w14:paraId="288756B3" w14:textId="2512359A" w:rsidR="00542830" w:rsidRPr="004F6ECD" w:rsidRDefault="00542830" w:rsidP="004F6ECD">
      <w:pPr>
        <w:pStyle w:val="ListParagraph"/>
        <w:numPr>
          <w:ilvl w:val="0"/>
          <w:numId w:val="37"/>
        </w:numPr>
      </w:pPr>
      <w:r w:rsidRPr="004F6ECD">
        <w:t>In case of repeated violation of the Service</w:t>
      </w:r>
      <w:r w:rsidR="005238F3">
        <w:t>s</w:t>
      </w:r>
      <w:r w:rsidRPr="004F6ECD">
        <w:t xml:space="preserve"> targets for four consecutive months, a review of the Agreement and of the Service</w:t>
      </w:r>
      <w:r w:rsidR="005238F3">
        <w:t>s</w:t>
      </w:r>
      <w:r w:rsidRPr="004F6ECD">
        <w:t xml:space="preserve"> enhancement plan will take place involving the parties of the Agreement.</w:t>
      </w:r>
    </w:p>
    <w:p w14:paraId="6D5F2E28" w14:textId="469F268B" w:rsidR="00542830" w:rsidRPr="0005061C" w:rsidRDefault="00542830" w:rsidP="00542830">
      <w:pPr>
        <w:pStyle w:val="ListParagraph"/>
        <w:numPr>
          <w:ilvl w:val="0"/>
          <w:numId w:val="37"/>
        </w:numPr>
      </w:pPr>
      <w:r w:rsidRPr="004F6ECD">
        <w:t>Complaints or concerns about the Service</w:t>
      </w:r>
      <w:r w:rsidR="005238F3">
        <w:t>s</w:t>
      </w:r>
      <w:r w:rsidRPr="004F6ECD">
        <w:t xml:space="preserve"> provided should be directed to the Provider contact who will promptly address these concerns. Should the Customer still feel dissatisfied, about either the result of the response or the behaviour of the supporting Resource Centres, </w:t>
      </w:r>
      <w:r w:rsidR="002B2235">
        <w:t xml:space="preserve">EGI.eu Director </w:t>
      </w:r>
      <w:hyperlink r:id="rId12" w:tgtFrame="_blank" w:history="1">
        <w:r w:rsidR="002B2235">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37010250"/>
      <w:r>
        <w:t>Information security and</w:t>
      </w:r>
      <w:r w:rsidRPr="00B97954">
        <w:t xml:space="preserve"> data protection</w:t>
      </w:r>
      <w:bookmarkEnd w:id="28"/>
      <w:bookmarkEnd w:id="29"/>
    </w:p>
    <w:p w14:paraId="375DA616" w14:textId="77777777" w:rsidR="00CC7A3E" w:rsidRPr="00B97954" w:rsidRDefault="00CC7A3E" w:rsidP="00CC7A3E">
      <w:pPr>
        <w:rPr>
          <w:rFonts w:cs="Open Sans"/>
        </w:rPr>
      </w:pPr>
      <w:r w:rsidRPr="00B97954">
        <w:rPr>
          <w:rFonts w:cs="Open Sans"/>
        </w:rPr>
        <w:t xml:space="preserve">The following rules for information security and data protection </w:t>
      </w:r>
      <w:r>
        <w:rPr>
          <w:rFonts w:cs="Open Sans"/>
        </w:rPr>
        <w:t xml:space="preserve">related to the Service </w:t>
      </w:r>
      <w:r w:rsidRPr="00B97954">
        <w:rPr>
          <w:rFonts w:cs="Open Sans"/>
        </w:rPr>
        <w:t>apply</w:t>
      </w:r>
      <w:r>
        <w:rPr>
          <w:rFonts w:cs="Open Sans"/>
        </w:rPr>
        <w:t>.</w:t>
      </w:r>
    </w:p>
    <w:p w14:paraId="1EB97A94" w14:textId="77777777" w:rsidR="00CC7A3E" w:rsidRPr="004F6ECD" w:rsidRDefault="00CC7A3E" w:rsidP="004F6ECD">
      <w:pPr>
        <w:pStyle w:val="ListParagraph"/>
        <w:numPr>
          <w:ilvl w:val="0"/>
          <w:numId w:val="40"/>
        </w:numPr>
      </w:pPr>
      <w:r w:rsidRPr="004F6ECD">
        <w:t>Assertion of absolute security in IT systems is impossible. The Provider is making every effort to maximize security level of users’ data and minimalize possible harm in the event of an incident.</w:t>
      </w:r>
    </w:p>
    <w:p w14:paraId="4CA03869" w14:textId="77777777" w:rsidR="00CC7A3E" w:rsidRPr="004F6ECD" w:rsidRDefault="00CC7A3E" w:rsidP="004F6ECD">
      <w:pPr>
        <w:pStyle w:val="ListParagraph"/>
        <w:numPr>
          <w:ilvl w:val="0"/>
          <w:numId w:val="40"/>
        </w:numPr>
      </w:pPr>
      <w:r w:rsidRPr="004F6ECD">
        <w:t xml:space="preserve">The Provider will define and abide by an information security and data </w:t>
      </w:r>
      <w:r w:rsidRPr="004F6ECD">
        <w:br/>
        <w:t xml:space="preserve">protection policy related to the service being provided. </w:t>
      </w:r>
    </w:p>
    <w:p w14:paraId="39A0FA46" w14:textId="489DB8DB" w:rsidR="00CC7A3E" w:rsidRPr="004F6ECD" w:rsidRDefault="00CC7A3E" w:rsidP="004F6ECD">
      <w:pPr>
        <w:pStyle w:val="ListParagraph"/>
        <w:numPr>
          <w:ilvl w:val="0"/>
          <w:numId w:val="40"/>
        </w:numPr>
      </w:pPr>
      <w:r w:rsidRPr="004F6ECD">
        <w:t>The parties of the Agreement will meet all requirements of any relevant policy or</w:t>
      </w:r>
      <w:r w:rsidR="00884A91">
        <w:t xml:space="preserve"> procedure of the Provider</w:t>
      </w:r>
      <w:r w:rsidR="00884A91">
        <w:rPr>
          <w:rStyle w:val="FootnoteReference"/>
        </w:rPr>
        <w:footnoteReference w:id="9"/>
      </w:r>
      <w:r w:rsidRPr="004F6ECD">
        <w:t xml:space="preserve"> and will comply with the applicable national legislations.</w:t>
      </w:r>
    </w:p>
    <w:p w14:paraId="6127C083" w14:textId="690B204A" w:rsidR="00CC7A3E" w:rsidRDefault="00CC7A3E" w:rsidP="00CE1F5A">
      <w:pPr>
        <w:pStyle w:val="Heading1"/>
      </w:pPr>
      <w:bookmarkStart w:id="30" w:name="_Toc437010251"/>
      <w:bookmarkStart w:id="31" w:name="_Toc403992936"/>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2" w:name="_Toc437010252"/>
      <w:r>
        <w:t>O</w:t>
      </w:r>
      <w:r w:rsidRPr="00B97954">
        <w:t xml:space="preserve">f the </w:t>
      </w:r>
      <w:r>
        <w:t>P</w:t>
      </w:r>
      <w:r w:rsidRPr="00B97954">
        <w:t>rovider</w:t>
      </w:r>
      <w:bookmarkEnd w:id="31"/>
      <w:bookmarkEnd w:id="32"/>
    </w:p>
    <w:p w14:paraId="2A18F183" w14:textId="77777777" w:rsidR="00CC7A3E" w:rsidRPr="00B97954" w:rsidRDefault="00CC7A3E" w:rsidP="00CC7A3E">
      <w:pPr>
        <w:rPr>
          <w:rFonts w:cs="Open Sans"/>
        </w:rPr>
      </w:pPr>
      <w:r w:rsidRPr="00B97954">
        <w:rPr>
          <w:rFonts w:cs="Open Sans"/>
        </w:rPr>
        <w:t>Additional responsibilities of the Provider are as follow</w:t>
      </w:r>
      <w:r>
        <w:rPr>
          <w:rFonts w:cs="Open Sans"/>
        </w:rPr>
        <w:t>s.</w:t>
      </w:r>
    </w:p>
    <w:p w14:paraId="19F5FED7" w14:textId="21329D59" w:rsidR="00CC7A3E" w:rsidRPr="004F6ECD" w:rsidRDefault="00CC7A3E" w:rsidP="004F6ECD">
      <w:pPr>
        <w:pStyle w:val="ListParagraph"/>
        <w:numPr>
          <w:ilvl w:val="0"/>
          <w:numId w:val="39"/>
        </w:numPr>
      </w:pPr>
      <w:r w:rsidRPr="004F6ECD">
        <w:t>The Provider adheres to all applicable operational and security policies</w:t>
      </w:r>
      <w:r w:rsidR="00884A91">
        <w:t xml:space="preserve"> and procedures</w:t>
      </w:r>
      <w:r w:rsidR="00884A91">
        <w:rPr>
          <w:rStyle w:val="FootnoteReference"/>
        </w:rPr>
        <w:footnoteReference w:id="10"/>
      </w:r>
      <w:r w:rsidRPr="004F6ECD">
        <w:t xml:space="preserve"> and to other policy documents referenced therein.</w:t>
      </w:r>
    </w:p>
    <w:p w14:paraId="0D3E4631" w14:textId="39480B4F" w:rsidR="00CC7A3E" w:rsidRPr="004F6ECD" w:rsidRDefault="00CC7A3E" w:rsidP="004F6ECD">
      <w:pPr>
        <w:pStyle w:val="ListParagraph"/>
        <w:numPr>
          <w:ilvl w:val="0"/>
          <w:numId w:val="39"/>
        </w:numPr>
      </w:pPr>
      <w:r w:rsidRPr="004F6ECD">
        <w:lastRenderedPageBreak/>
        <w:t>The Provider allows monitoring of the Service in order to measure the fulfilment of the agreed service level targets.</w:t>
      </w:r>
    </w:p>
    <w:p w14:paraId="29176F3D" w14:textId="77777777" w:rsidR="00CC7A3E" w:rsidRPr="004F6ECD" w:rsidRDefault="00CC7A3E" w:rsidP="004F6ECD">
      <w:pPr>
        <w:pStyle w:val="ListParagraph"/>
        <w:numPr>
          <w:ilvl w:val="0"/>
          <w:numId w:val="39"/>
        </w:numPr>
      </w:pPr>
      <w:r w:rsidRPr="004F6ECD">
        <w:t>The Provider retains the right to introduce changes in how the Service is provided, in which case the Provider will promptly inform the Customer and update the Agreement accordingly.</w:t>
      </w:r>
    </w:p>
    <w:p w14:paraId="03133BCC" w14:textId="77777777" w:rsidR="00CC7A3E" w:rsidRPr="00B97954" w:rsidRDefault="00CC7A3E" w:rsidP="00CC7A3E"/>
    <w:p w14:paraId="13E9C346" w14:textId="77777777" w:rsidR="00CC7A3E" w:rsidRPr="00B97954" w:rsidRDefault="00CC7A3E" w:rsidP="00D206E9">
      <w:pPr>
        <w:pStyle w:val="Heading2"/>
      </w:pPr>
      <w:bookmarkStart w:id="33" w:name="_Toc437010253"/>
      <w:bookmarkStart w:id="34" w:name="_Toc403992937"/>
      <w:r>
        <w:t xml:space="preserve">Of the </w:t>
      </w:r>
      <w:r w:rsidRPr="00B97954">
        <w:t>Customer</w:t>
      </w:r>
      <w:bookmarkEnd w:id="33"/>
      <w:r w:rsidRPr="00B97954">
        <w:t xml:space="preserve"> </w:t>
      </w:r>
      <w:bookmarkEnd w:id="34"/>
    </w:p>
    <w:p w14:paraId="09F516D2" w14:textId="77777777" w:rsidR="00CC7A3E" w:rsidRPr="00B97954" w:rsidRDefault="00CC7A3E" w:rsidP="00CC7A3E">
      <w:pPr>
        <w:rPr>
          <w:rFonts w:cs="Open Sans"/>
        </w:rPr>
      </w:pPr>
      <w:r w:rsidRPr="00316A21">
        <w:rPr>
          <w:rFonts w:cs="Open Sans"/>
        </w:rPr>
        <w:t>The responsibilities of the Customer are:</w:t>
      </w:r>
    </w:p>
    <w:p w14:paraId="1A793E39" w14:textId="77777777" w:rsidR="00CC7A3E" w:rsidRPr="004F6ECD" w:rsidRDefault="00CC7A3E" w:rsidP="004F6ECD">
      <w:pPr>
        <w:pStyle w:val="ListParagraph"/>
        <w:numPr>
          <w:ilvl w:val="0"/>
          <w:numId w:val="38"/>
        </w:numPr>
      </w:pPr>
      <w:r w:rsidRPr="004F6ECD">
        <w:t>The Customer must not share access credentials with anyone else.</w:t>
      </w:r>
    </w:p>
    <w:p w14:paraId="3854D292" w14:textId="77777777" w:rsidR="00CC7A3E" w:rsidRPr="004F6ECD" w:rsidRDefault="00CC7A3E" w:rsidP="004F6ECD">
      <w:pPr>
        <w:pStyle w:val="ListParagraph"/>
        <w:numPr>
          <w:ilvl w:val="0"/>
          <w:numId w:val="38"/>
        </w:numPr>
      </w:pPr>
      <w:r w:rsidRPr="004F6ECD">
        <w:t xml:space="preserve">The data stored in the system by the Customer must not cause any legal violation due to the content type (such as copyright infringement, dual use, illegal material). </w:t>
      </w:r>
    </w:p>
    <w:p w14:paraId="291EF7EB" w14:textId="08E4F7D7" w:rsidR="00CC7A3E" w:rsidRPr="004F6ECD" w:rsidRDefault="00CC7A3E" w:rsidP="004F6ECD">
      <w:pPr>
        <w:pStyle w:val="ListParagraph"/>
        <w:numPr>
          <w:ilvl w:val="0"/>
          <w:numId w:val="38"/>
        </w:numPr>
      </w:pPr>
      <w:r w:rsidRPr="004F6ECD">
        <w:t>The use must be consistent with the Acceptable Use Policy</w:t>
      </w:r>
      <w:r w:rsidR="00EB2352">
        <w:rPr>
          <w:rStyle w:val="FootnoteReference"/>
        </w:rPr>
        <w:footnoteReference w:id="11"/>
      </w:r>
      <w:r w:rsidRPr="004F6ECD">
        <w:t xml:space="preserve"> of the Service.</w:t>
      </w:r>
    </w:p>
    <w:p w14:paraId="2419B3C9" w14:textId="77777777" w:rsidR="00CC7A3E" w:rsidRPr="004F6ECD" w:rsidRDefault="00CC7A3E" w:rsidP="004F6ECD">
      <w:pPr>
        <w:pStyle w:val="ListParagraph"/>
        <w:numPr>
          <w:ilvl w:val="0"/>
          <w:numId w:val="38"/>
        </w:numPr>
      </w:pPr>
      <w:r w:rsidRPr="004F6ECD">
        <w:t xml:space="preserve">The Customer will notify the Provider in case the actual amount of the Service used results in being under- or over-estimated. The Customer will request an update of the Agreement to ensure optimal usage of the Service. </w:t>
      </w:r>
    </w:p>
    <w:p w14:paraId="0912EF74" w14:textId="7B263A24" w:rsidR="00CC7A3E" w:rsidRPr="004F6ECD" w:rsidRDefault="00CC7A3E" w:rsidP="004F6ECD">
      <w:pPr>
        <w:pStyle w:val="ListParagraph"/>
        <w:numPr>
          <w:ilvl w:val="0"/>
          <w:numId w:val="38"/>
        </w:numPr>
      </w:pPr>
      <w:r w:rsidRPr="004F6ECD">
        <w:t>The Customer will create one or more Virtual Organizations (VOs) to define the group of users entitled to access the Service. Information about the VO will be regularly updated</w:t>
      </w:r>
      <w:r w:rsidR="003C43E1">
        <w:t xml:space="preserve"> in EGI Operations Portal</w:t>
      </w:r>
      <w:r w:rsidR="003C43E1">
        <w:rPr>
          <w:rStyle w:val="FootnoteReference"/>
        </w:rPr>
        <w:footnoteReference w:id="12"/>
      </w:r>
      <w:r w:rsidRPr="004F6ECD">
        <w:t>.</w:t>
      </w:r>
    </w:p>
    <w:p w14:paraId="3678E8EB" w14:textId="4591D636" w:rsidR="00CC7A3E" w:rsidRPr="004F6ECD" w:rsidRDefault="00CC7A3E" w:rsidP="004F6ECD">
      <w:pPr>
        <w:pStyle w:val="ListParagraph"/>
        <w:numPr>
          <w:ilvl w:val="0"/>
          <w:numId w:val="38"/>
        </w:numPr>
      </w:pPr>
      <w:r w:rsidRPr="004F6ECD">
        <w:t>The Customer must reques</w:t>
      </w:r>
      <w:r w:rsidR="00884A91">
        <w:t>t EGI Service Desk support</w:t>
      </w:r>
      <w:r w:rsidR="00884A91">
        <w:rPr>
          <w:rStyle w:val="FootnoteReference"/>
        </w:rPr>
        <w:footnoteReference w:id="13"/>
      </w:r>
      <w:r w:rsidRPr="004F6ECD">
        <w:t xml:space="preserve"> to enable assigning tickets with appropriate VO name.</w:t>
      </w:r>
    </w:p>
    <w:p w14:paraId="578C468D" w14:textId="50159C8B" w:rsidR="00CC7A3E" w:rsidRPr="004F6ECD" w:rsidRDefault="00CC7A3E" w:rsidP="004F6ECD">
      <w:pPr>
        <w:pStyle w:val="ListParagraph"/>
        <w:numPr>
          <w:ilvl w:val="0"/>
          <w:numId w:val="38"/>
        </w:numPr>
      </w:pPr>
      <w:r w:rsidRPr="004F6ECD">
        <w:t>When applicable, the Customer is responsible of ensuring that the Virtual Machine images en</w:t>
      </w:r>
      <w:r w:rsidR="00884A91">
        <w:t xml:space="preserve">dorsed and listed in the </w:t>
      </w:r>
      <w:proofErr w:type="spellStart"/>
      <w:r w:rsidR="00884A91">
        <w:t>AppDB</w:t>
      </w:r>
      <w:proofErr w:type="spellEnd"/>
      <w:r w:rsidR="00884A91">
        <w:rPr>
          <w:rStyle w:val="FootnoteReference"/>
        </w:rPr>
        <w:footnoteReference w:id="14"/>
      </w:r>
      <w:r w:rsidR="00884A91">
        <w:t xml:space="preserve"> </w:t>
      </w:r>
      <w:r w:rsidRPr="004F6ECD">
        <w:t xml:space="preserve">VO image list are properly maintained and updated. </w:t>
      </w:r>
    </w:p>
    <w:p w14:paraId="7B4922F1" w14:textId="3F4864FD" w:rsidR="00CC7A3E" w:rsidRDefault="00CC7A3E" w:rsidP="00D00DDB">
      <w:pPr>
        <w:pStyle w:val="ListParagraph"/>
        <w:numPr>
          <w:ilvl w:val="0"/>
          <w:numId w:val="38"/>
        </w:numPr>
      </w:pPr>
      <w:r w:rsidRPr="004F6ECD">
        <w:t>The Customer commits to acknowledge EGI in the scientific publications benefiting from the Service: “This work used the EGI infrastructure w</w:t>
      </w:r>
      <w:r w:rsidR="003C43E1">
        <w:t xml:space="preserve">ith the support of </w:t>
      </w:r>
      <w:r w:rsidR="002D5A09" w:rsidRPr="002D5A09">
        <w:rPr>
          <w:highlight w:val="yellow"/>
        </w:rPr>
        <w:t>[resource provider 1]</w:t>
      </w:r>
      <w:r w:rsidR="002D5A09">
        <w:t xml:space="preserve"> </w:t>
      </w:r>
      <w:r w:rsidR="003C43E1">
        <w:rPr>
          <w:rFonts w:cs="Times New Roman"/>
        </w:rPr>
        <w:t xml:space="preserve">and </w:t>
      </w:r>
      <w:r w:rsidR="002D5A09" w:rsidRPr="002D5A09">
        <w:rPr>
          <w:rFonts w:cs="Times New Roman"/>
          <w:highlight w:val="yellow"/>
        </w:rPr>
        <w:t>[resource provider 2]</w:t>
      </w:r>
      <w:r w:rsidRPr="004F6ECD">
        <w:t>”.</w:t>
      </w:r>
    </w:p>
    <w:p w14:paraId="47CCE7A2" w14:textId="4BD11F42" w:rsidR="00B96855" w:rsidRPr="00D00DDB" w:rsidRDefault="00B96855" w:rsidP="00B96855">
      <w:pPr>
        <w:pStyle w:val="ListParagraph"/>
        <w:numPr>
          <w:ilvl w:val="0"/>
          <w:numId w:val="38"/>
        </w:numPr>
      </w:pPr>
      <w:r>
        <w:t xml:space="preserve">The Customer will provide during Agreement review (yearly) list of </w:t>
      </w:r>
      <w:r w:rsidRPr="004F6ECD">
        <w:t>scientific publications benefiting from the</w:t>
      </w:r>
      <w:r>
        <w:tab/>
      </w:r>
      <w:r w:rsidRPr="004F6ECD">
        <w:t xml:space="preserve"> Service</w:t>
      </w:r>
      <w:r>
        <w:t>.</w:t>
      </w:r>
    </w:p>
    <w:p w14:paraId="6FC38E0C" w14:textId="0E57C2E8" w:rsidR="00CC7A3E" w:rsidRPr="00B97954" w:rsidRDefault="00CC7A3E" w:rsidP="00CE1F5A">
      <w:pPr>
        <w:pStyle w:val="Heading1"/>
      </w:pPr>
      <w:bookmarkStart w:id="35" w:name="_Toc403992938"/>
      <w:bookmarkStart w:id="36" w:name="_Toc437010254"/>
      <w:r w:rsidRPr="00B97954">
        <w:t>Review</w:t>
      </w:r>
      <w:bookmarkEnd w:id="35"/>
      <w:r>
        <w:t>, extensions and termination</w:t>
      </w:r>
      <w:bookmarkEnd w:id="36"/>
    </w:p>
    <w:p w14:paraId="3C2D6556" w14:textId="629674EA" w:rsidR="00CC7A3E" w:rsidRDefault="00CC7A3E" w:rsidP="00CC7A3E">
      <w:r>
        <w:rPr>
          <w:rFonts w:cs="Open Sans"/>
        </w:rPr>
        <w:t>The</w:t>
      </w:r>
      <w:r w:rsidRPr="00B97954">
        <w:rPr>
          <w:rFonts w:cs="Open Sans"/>
        </w:rPr>
        <w:t xml:space="preserve"> </w:t>
      </w:r>
      <w:r>
        <w:rPr>
          <w:rFonts w:cs="Open Sans"/>
        </w:rPr>
        <w:t>S</w:t>
      </w:r>
      <w:r w:rsidRPr="00B97954">
        <w:rPr>
          <w:rFonts w:cs="Open Sans"/>
        </w:rPr>
        <w:t>ervice</w:t>
      </w:r>
      <w:r w:rsidR="005238F3">
        <w:rPr>
          <w:rFonts w:cs="Open Sans"/>
        </w:rPr>
        <w:t>s</w:t>
      </w:r>
      <w:r w:rsidRPr="00B97954">
        <w:rPr>
          <w:rFonts w:cs="Open Sans"/>
        </w:rPr>
        <w:t xml:space="preserve"> performance </w:t>
      </w:r>
      <w:r>
        <w:rPr>
          <w:rFonts w:cs="Open Sans"/>
        </w:rPr>
        <w:t xml:space="preserve">will be reviewed </w:t>
      </w:r>
      <w:r w:rsidRPr="00B97954">
        <w:rPr>
          <w:rFonts w:cs="Open Sans"/>
        </w:rPr>
        <w:t xml:space="preserve">against </w:t>
      </w:r>
      <w:r>
        <w:rPr>
          <w:rFonts w:cs="Open Sans"/>
        </w:rPr>
        <w:t>the defined S</w:t>
      </w:r>
      <w:r w:rsidRPr="00B97954">
        <w:rPr>
          <w:rFonts w:cs="Open Sans"/>
        </w:rPr>
        <w:t xml:space="preserve">ervice level targets </w:t>
      </w:r>
      <w:r>
        <w:rPr>
          <w:rFonts w:cs="Open Sans"/>
        </w:rPr>
        <w:t>according to Section 4. T</w:t>
      </w:r>
      <w:r w:rsidRPr="00B97954">
        <w:t>h</w:t>
      </w:r>
      <w:r>
        <w:t xml:space="preserve">e Agreement </w:t>
      </w:r>
      <w:r w:rsidRPr="00B97954">
        <w:t>will be annual</w:t>
      </w:r>
      <w:r>
        <w:t xml:space="preserve">ly reviewed </w:t>
      </w:r>
      <w:r w:rsidRPr="00B97954">
        <w:t xml:space="preserve">until </w:t>
      </w:r>
      <w:r>
        <w:t>expiration</w:t>
      </w:r>
      <w:r w:rsidRPr="00B97954">
        <w:t>.</w:t>
      </w:r>
    </w:p>
    <w:p w14:paraId="34955B33" w14:textId="77777777" w:rsidR="00CC7A3E" w:rsidRPr="00B97954" w:rsidRDefault="00CC7A3E" w:rsidP="00CC7A3E">
      <w:pPr>
        <w:rPr>
          <w:rFonts w:cs="Open Sans"/>
        </w:rPr>
      </w:pPr>
      <w:r w:rsidRPr="00B97954">
        <w:lastRenderedPageBreak/>
        <w:t xml:space="preserve">If </w:t>
      </w:r>
      <w:r>
        <w:t xml:space="preserve">the </w:t>
      </w:r>
      <w:r w:rsidRPr="00B97954">
        <w:t xml:space="preserve">Customer </w:t>
      </w:r>
      <w:r>
        <w:t>wishes to extend the duration after the Agreement termination date, an extension will</w:t>
      </w:r>
      <w:r w:rsidRPr="00B97954">
        <w:t xml:space="preserve"> be </w:t>
      </w:r>
      <w:r>
        <w:t>negotiated with the Provider</w:t>
      </w:r>
      <w:r w:rsidRPr="00B97954">
        <w:t>.</w:t>
      </w:r>
      <w:r>
        <w:rPr>
          <w:rFonts w:cs="Open Sans"/>
        </w:rPr>
        <w:t xml:space="preserve"> </w:t>
      </w:r>
    </w:p>
    <w:p w14:paraId="60D88DE4" w14:textId="38934421" w:rsidR="00CC7A3E" w:rsidRDefault="00CC7A3E" w:rsidP="00CC7A3E">
      <w:pPr>
        <w:rPr>
          <w:lang w:eastAsia="en-GB"/>
        </w:rPr>
      </w:pPr>
      <w:r w:rsidRPr="00B97954">
        <w:rPr>
          <w:lang w:eastAsia="en-GB"/>
        </w:rPr>
        <w:t xml:space="preserve">The Provider retains </w:t>
      </w:r>
      <w:r>
        <w:rPr>
          <w:lang w:eastAsia="en-GB"/>
        </w:rPr>
        <w:t xml:space="preserve">the </w:t>
      </w:r>
      <w:r w:rsidRPr="00B97954">
        <w:rPr>
          <w:lang w:eastAsia="en-GB"/>
        </w:rPr>
        <w:t xml:space="preserve">right to introduce changes </w:t>
      </w:r>
      <w:r>
        <w:rPr>
          <w:lang w:eastAsia="en-GB"/>
        </w:rPr>
        <w:t>in the Service</w:t>
      </w:r>
      <w:r w:rsidRPr="00B97954">
        <w:rPr>
          <w:lang w:eastAsia="en-GB"/>
        </w:rPr>
        <w:t xml:space="preserve">, </w:t>
      </w:r>
      <w:r>
        <w:rPr>
          <w:lang w:eastAsia="en-GB"/>
        </w:rPr>
        <w:t xml:space="preserve">in which case </w:t>
      </w:r>
      <w:r w:rsidRPr="00B97954">
        <w:rPr>
          <w:lang w:eastAsia="en-GB"/>
        </w:rPr>
        <w:t xml:space="preserve">the </w:t>
      </w:r>
      <w:r>
        <w:rPr>
          <w:lang w:eastAsia="en-GB"/>
        </w:rPr>
        <w:t>Customer retains the right of terminating the Agreement</w:t>
      </w:r>
      <w:r w:rsidRPr="00B97954">
        <w:rPr>
          <w:lang w:eastAsia="en-GB"/>
        </w:rPr>
        <w:t xml:space="preserve">. </w:t>
      </w:r>
    </w:p>
    <w:p w14:paraId="5FF443FD" w14:textId="244C7068" w:rsidR="004338C6" w:rsidRPr="002D5A09" w:rsidRDefault="00CC7A3E" w:rsidP="004338C6">
      <w:pPr>
        <w:rPr>
          <w:rFonts w:cs="Open Sans"/>
        </w:rPr>
      </w:pPr>
      <w:r w:rsidRPr="00B97954">
        <w:rPr>
          <w:rFonts w:cs="Open Sans"/>
        </w:rPr>
        <w:t xml:space="preserve">The Agreement can be terminated at any time </w:t>
      </w:r>
      <w:r>
        <w:rPr>
          <w:rFonts w:cs="Open Sans"/>
        </w:rPr>
        <w:t>upon agreement of the parties</w:t>
      </w:r>
      <w:r w:rsidRPr="00B97954">
        <w:rPr>
          <w:rFonts w:cs="Open Sans"/>
        </w:rPr>
        <w:t>.</w:t>
      </w:r>
      <w:r>
        <w:rPr>
          <w:rFonts w:cs="Open Sans"/>
        </w:rPr>
        <w:t xml:space="preserve"> </w:t>
      </w:r>
      <w:r w:rsidRPr="00B97954">
        <w:rPr>
          <w:rFonts w:cs="Open Sans"/>
        </w:rPr>
        <w:t>Amendments, comments and suggestions must be addressed to</w:t>
      </w:r>
      <w:r w:rsidRPr="00B97954">
        <w:rPr>
          <w:rFonts w:cs="Open Sans"/>
          <w:b/>
        </w:rPr>
        <w:t xml:space="preserve"> </w:t>
      </w:r>
      <w:r w:rsidRPr="00B97954">
        <w:rPr>
          <w:rFonts w:cs="Open Sans"/>
        </w:rPr>
        <w:t xml:space="preserve">the </w:t>
      </w:r>
      <w:r>
        <w:rPr>
          <w:rFonts w:cs="Open Sans"/>
        </w:rPr>
        <w:t xml:space="preserve">Provider and the </w:t>
      </w:r>
      <w:r w:rsidRPr="00B97954">
        <w:rPr>
          <w:rFonts w:cs="Open Sans"/>
        </w:rPr>
        <w:t xml:space="preserve">Customer </w:t>
      </w:r>
      <w:r>
        <w:rPr>
          <w:rFonts w:cs="Open Sans"/>
        </w:rPr>
        <w:t>according to Section 6.</w:t>
      </w:r>
    </w:p>
    <w:sectPr w:rsidR="004338C6" w:rsidRPr="002D5A09"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D24E2" w14:textId="77777777" w:rsidR="00771DA6" w:rsidRDefault="00771DA6" w:rsidP="00835E24">
      <w:pPr>
        <w:spacing w:after="0" w:line="240" w:lineRule="auto"/>
      </w:pPr>
      <w:r>
        <w:separator/>
      </w:r>
    </w:p>
  </w:endnote>
  <w:endnote w:type="continuationSeparator" w:id="0">
    <w:p w14:paraId="013FBDBF" w14:textId="77777777" w:rsidR="00771DA6" w:rsidRDefault="00771DA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DC49FC" w:rsidRDefault="00DC49F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C49FC" w14:paraId="20E80DE0" w14:textId="77777777" w:rsidTr="00D065EF">
      <w:trPr>
        <w:trHeight w:val="857"/>
      </w:trPr>
      <w:tc>
        <w:tcPr>
          <w:tcW w:w="3060" w:type="dxa"/>
          <w:vAlign w:val="bottom"/>
        </w:tcPr>
        <w:p w14:paraId="5BCF0121" w14:textId="77777777" w:rsidR="00DC49FC" w:rsidRDefault="00DC49FC"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C49FC" w:rsidRDefault="00771DA6" w:rsidP="0053196A">
          <w:pPr>
            <w:pStyle w:val="Header"/>
            <w:jc w:val="center"/>
          </w:pPr>
          <w:sdt>
            <w:sdtPr>
              <w:id w:val="1030074310"/>
              <w:docPartObj>
                <w:docPartGallery w:val="Page Numbers (Bottom of Page)"/>
                <w:docPartUnique/>
              </w:docPartObj>
            </w:sdtPr>
            <w:sdtEndPr>
              <w:rPr>
                <w:noProof/>
              </w:rPr>
            </w:sdtEndPr>
            <w:sdtContent>
              <w:r w:rsidR="00DC49FC">
                <w:fldChar w:fldCharType="begin"/>
              </w:r>
              <w:r w:rsidR="00DC49FC">
                <w:instrText xml:space="preserve"> PAGE   \* MERGEFORMAT </w:instrText>
              </w:r>
              <w:r w:rsidR="00DC49FC">
                <w:fldChar w:fldCharType="separate"/>
              </w:r>
              <w:r w:rsidR="00632022">
                <w:rPr>
                  <w:noProof/>
                </w:rPr>
                <w:t>7</w:t>
              </w:r>
              <w:r w:rsidR="00DC49FC">
                <w:rPr>
                  <w:noProof/>
                </w:rPr>
                <w:fldChar w:fldCharType="end"/>
              </w:r>
            </w:sdtContent>
          </w:sdt>
        </w:p>
      </w:tc>
      <w:tc>
        <w:tcPr>
          <w:tcW w:w="3060" w:type="dxa"/>
          <w:vAlign w:val="bottom"/>
        </w:tcPr>
        <w:p w14:paraId="3CFBBF56" w14:textId="77777777" w:rsidR="00DC49FC" w:rsidRDefault="00DC49FC" w:rsidP="0053196A">
          <w:pPr>
            <w:pStyle w:val="Header"/>
            <w:jc w:val="right"/>
          </w:pPr>
        </w:p>
      </w:tc>
    </w:tr>
  </w:tbl>
  <w:p w14:paraId="016916BB" w14:textId="77777777" w:rsidR="00DC49FC" w:rsidRDefault="00DC49FC"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DC49FC" w14:paraId="76DB1E08" w14:textId="77777777" w:rsidTr="0010672E">
      <w:tc>
        <w:tcPr>
          <w:tcW w:w="1242" w:type="dxa"/>
          <w:vAlign w:val="center"/>
        </w:tcPr>
        <w:p w14:paraId="1FA522BE" w14:textId="77777777" w:rsidR="00DC49FC" w:rsidRDefault="00DC49FC"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C49FC" w:rsidRPr="00757E35" w:rsidRDefault="00DC49FC"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DC49FC" w:rsidRPr="00962667" w:rsidRDefault="00771DA6" w:rsidP="00D859A3">
          <w:pPr>
            <w:pStyle w:val="Footer"/>
            <w:jc w:val="center"/>
            <w:rPr>
              <w:i/>
              <w:sz w:val="20"/>
            </w:rPr>
          </w:pPr>
          <w:hyperlink r:id="rId2" w:history="1">
            <w:r w:rsidR="00DC49FC" w:rsidRPr="00757E35">
              <w:rPr>
                <w:rStyle w:val="Hyperlink"/>
                <w:rFonts w:asciiTheme="minorHAnsi" w:eastAsia="Verdana" w:hAnsiTheme="minorHAnsi"/>
                <w:sz w:val="18"/>
                <w:szCs w:val="18"/>
              </w:rPr>
              <w:t>Creative Commons Attribution 4.0 International License</w:t>
            </w:r>
          </w:hyperlink>
        </w:p>
      </w:tc>
    </w:tr>
    <w:tr w:rsidR="00DC49FC" w14:paraId="7924B2F7" w14:textId="77777777" w:rsidTr="0010672E">
      <w:tc>
        <w:tcPr>
          <w:tcW w:w="1242" w:type="dxa"/>
          <w:vAlign w:val="center"/>
        </w:tcPr>
        <w:p w14:paraId="6F8CA869" w14:textId="1B0D6158" w:rsidR="00DC49FC" w:rsidRDefault="00DC49FC"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DC49FC" w:rsidRPr="00220329" w:rsidRDefault="00DC49FC"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DC49FC" w:rsidRPr="00757E35" w:rsidRDefault="00DC49FC" w:rsidP="00D859A3">
          <w:pPr>
            <w:pStyle w:val="Footer"/>
            <w:snapToGrid w:val="0"/>
            <w:jc w:val="center"/>
            <w:rPr>
              <w:rFonts w:asciiTheme="minorHAnsi" w:hAnsiTheme="minorHAnsi"/>
              <w:sz w:val="18"/>
              <w:szCs w:val="18"/>
            </w:rPr>
          </w:pPr>
        </w:p>
      </w:tc>
    </w:tr>
  </w:tbl>
  <w:p w14:paraId="4F1C14D6" w14:textId="77777777" w:rsidR="00DC49FC" w:rsidRDefault="00DC4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03C58" w14:textId="77777777" w:rsidR="00771DA6" w:rsidRDefault="00771DA6" w:rsidP="00835E24">
      <w:pPr>
        <w:spacing w:after="0" w:line="240" w:lineRule="auto"/>
      </w:pPr>
      <w:r>
        <w:separator/>
      </w:r>
    </w:p>
  </w:footnote>
  <w:footnote w:type="continuationSeparator" w:id="0">
    <w:p w14:paraId="0512081D" w14:textId="77777777" w:rsidR="00771DA6" w:rsidRDefault="00771DA6" w:rsidP="00835E24">
      <w:pPr>
        <w:spacing w:after="0" w:line="240" w:lineRule="auto"/>
      </w:pPr>
      <w:r>
        <w:continuationSeparator/>
      </w:r>
    </w:p>
  </w:footnote>
  <w:footnote w:id="1">
    <w:p w14:paraId="7E31BEC8" w14:textId="1E1CC8AD" w:rsidR="00E5142D" w:rsidRDefault="00E5142D">
      <w:pPr>
        <w:pStyle w:val="FootnoteText"/>
      </w:pPr>
      <w:r>
        <w:rPr>
          <w:rStyle w:val="FootnoteReference"/>
        </w:rPr>
        <w:footnoteRef/>
      </w:r>
      <w:r>
        <w:t xml:space="preserve"> </w:t>
      </w:r>
      <w:hyperlink r:id="rId1" w:history="1">
        <w:r w:rsidRPr="003B1140">
          <w:rPr>
            <w:rStyle w:val="Hyperlink"/>
          </w:rPr>
          <w:t>http://accounting.egi.eu/</w:t>
        </w:r>
      </w:hyperlink>
      <w:r>
        <w:t xml:space="preserve"> </w:t>
      </w:r>
    </w:p>
  </w:footnote>
  <w:footnote w:id="2">
    <w:p w14:paraId="2B8E0BC9" w14:textId="2B342209" w:rsidR="00E5142D" w:rsidRDefault="00E5142D">
      <w:pPr>
        <w:pStyle w:val="FootnoteText"/>
      </w:pPr>
      <w:r>
        <w:rPr>
          <w:rStyle w:val="FootnoteReference"/>
        </w:rPr>
        <w:footnoteRef/>
      </w:r>
      <w:r>
        <w:t xml:space="preserve"> </w:t>
      </w:r>
      <w:hyperlink r:id="rId2" w:history="1">
        <w:r w:rsidRPr="003B1140">
          <w:rPr>
            <w:rStyle w:val="Hyperlink"/>
          </w:rPr>
          <w:t>http://argo.egi.eu/</w:t>
        </w:r>
      </w:hyperlink>
      <w:r>
        <w:t xml:space="preserve"> </w:t>
      </w:r>
    </w:p>
  </w:footnote>
  <w:footnote w:id="3">
    <w:p w14:paraId="3CBC59A4" w14:textId="77777777" w:rsidR="00DC49FC" w:rsidRPr="00021E80" w:rsidRDefault="00DC49FC" w:rsidP="00176CC7">
      <w:pPr>
        <w:pStyle w:val="FootnoteText"/>
      </w:pPr>
      <w:r>
        <w:rPr>
          <w:rStyle w:val="FootnoteReference"/>
        </w:rPr>
        <w:footnoteRef/>
      </w:r>
      <w:r>
        <w:t xml:space="preserve"> </w:t>
      </w:r>
      <w:hyperlink r:id="rId3" w:anchor="Downtimes" w:history="1">
        <w:r w:rsidRPr="00D63D74">
          <w:rPr>
            <w:rStyle w:val="Hyperlink"/>
            <w:rFonts w:cs="Cambria"/>
          </w:rPr>
          <w:t>https://wiki.egi.eu/wiki/GOCDB/Input_System_User_Documentation#Downtimes</w:t>
        </w:r>
      </w:hyperlink>
    </w:p>
  </w:footnote>
  <w:footnote w:id="4">
    <w:p w14:paraId="38723179" w14:textId="3F04AE24" w:rsidR="00DC49FC" w:rsidRDefault="00DC49FC">
      <w:pPr>
        <w:pStyle w:val="FootnoteText"/>
      </w:pPr>
      <w:r>
        <w:rPr>
          <w:rStyle w:val="FootnoteReference"/>
        </w:rPr>
        <w:footnoteRef/>
      </w:r>
      <w:r>
        <w:t xml:space="preserve"> </w:t>
      </w:r>
      <w:hyperlink r:id="rId4" w:history="1">
        <w:r w:rsidRPr="00B97954">
          <w:rPr>
            <w:rStyle w:val="Hyperlink"/>
            <w:rFonts w:eastAsia="Calibri" w:cs="Open Sans"/>
            <w:lang w:val="pl-PL"/>
          </w:rPr>
          <w:t>http://goc.egi.eu/</w:t>
        </w:r>
      </w:hyperlink>
    </w:p>
  </w:footnote>
  <w:footnote w:id="5">
    <w:p w14:paraId="0C29469E" w14:textId="6D15BA27" w:rsidR="00DC49FC" w:rsidRDefault="00DC49F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6D1D8F39" w14:textId="1D7FCE73" w:rsidR="00DC49FC" w:rsidRDefault="00DC49FC">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551FF4E9" w14:textId="13CB3D2B" w:rsidR="00DC49FC" w:rsidRDefault="00DC49FC">
      <w:pPr>
        <w:pStyle w:val="FootnoteText"/>
      </w:pPr>
      <w:r>
        <w:rPr>
          <w:rStyle w:val="FootnoteReference"/>
        </w:rPr>
        <w:footnoteRef/>
      </w:r>
      <w:r>
        <w:t xml:space="preserve"> </w:t>
      </w:r>
      <w:hyperlink r:id="rId7" w:history="1">
        <w:r w:rsidRPr="00EC5A8D">
          <w:rPr>
            <w:rStyle w:val="Hyperlink"/>
          </w:rPr>
          <w:t>https://wiki.egi.eu/wiki/FAQ_GGUS-QoS-Levels</w:t>
        </w:r>
      </w:hyperlink>
      <w:r>
        <w:t xml:space="preserve"> </w:t>
      </w:r>
    </w:p>
  </w:footnote>
  <w:footnote w:id="8">
    <w:p w14:paraId="74D66C64" w14:textId="44E1F754" w:rsidR="00DC49FC" w:rsidRDefault="00DC49FC">
      <w:pPr>
        <w:pStyle w:val="FootnoteText"/>
      </w:pPr>
      <w:r>
        <w:rPr>
          <w:rStyle w:val="FootnoteReference"/>
        </w:rPr>
        <w:footnoteRef/>
      </w:r>
      <w:r>
        <w:t xml:space="preserve"> </w:t>
      </w:r>
      <w:hyperlink r:id="rId8" w:history="1">
        <w:r w:rsidRPr="00886941">
          <w:rPr>
            <w:rStyle w:val="Hyperlink"/>
          </w:rPr>
          <w:t>https://wiki.egi.eu/wiki/FAQ_GGUS-Ticket-Priority</w:t>
        </w:r>
      </w:hyperlink>
      <w:r>
        <w:t xml:space="preserve"> </w:t>
      </w:r>
    </w:p>
  </w:footnote>
  <w:footnote w:id="9">
    <w:p w14:paraId="65C97635" w14:textId="125F58FC" w:rsidR="00DC49FC" w:rsidRDefault="00DC49FC">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2DCB2BAF" w14:textId="5D6B54F6" w:rsidR="00DC49FC" w:rsidRDefault="00DC49FC">
      <w:pPr>
        <w:pStyle w:val="FootnoteText"/>
      </w:pPr>
      <w:r>
        <w:rPr>
          <w:rStyle w:val="FootnoteReference"/>
        </w:rPr>
        <w:footnoteRef/>
      </w:r>
      <w:r>
        <w:t xml:space="preserve"> </w:t>
      </w:r>
      <w:hyperlink r:id="rId10" w:history="1">
        <w:r w:rsidRPr="00B97954">
          <w:rPr>
            <w:rStyle w:val="Hyperlink"/>
            <w:rFonts w:cs="Open Sans"/>
          </w:rPr>
          <w:t>https://www.egi.eu/about/policy/policies_procedures.html</w:t>
        </w:r>
      </w:hyperlink>
    </w:p>
  </w:footnote>
  <w:footnote w:id="11">
    <w:p w14:paraId="5304B39E" w14:textId="5CDCB3DC" w:rsidR="00DC49FC" w:rsidRDefault="00DC49FC">
      <w:pPr>
        <w:pStyle w:val="FootnoteText"/>
      </w:pPr>
      <w:r>
        <w:rPr>
          <w:rStyle w:val="FootnoteReference"/>
        </w:rPr>
        <w:footnoteRef/>
      </w:r>
      <w:r>
        <w:t xml:space="preserve"> </w:t>
      </w:r>
      <w:hyperlink r:id="rId11" w:history="1">
        <w:r w:rsidRPr="003C43E1">
          <w:rPr>
            <w:rStyle w:val="Hyperlink"/>
          </w:rPr>
          <w:t>https://documents.egi.eu/document/74</w:t>
        </w:r>
      </w:hyperlink>
    </w:p>
  </w:footnote>
  <w:footnote w:id="12">
    <w:p w14:paraId="0491776F" w14:textId="60BCE3C5" w:rsidR="00DC49FC" w:rsidRDefault="00DC49FC">
      <w:pPr>
        <w:pStyle w:val="FootnoteText"/>
      </w:pPr>
      <w:r>
        <w:rPr>
          <w:rStyle w:val="FootnoteReference"/>
        </w:rPr>
        <w:footnoteRef/>
      </w:r>
      <w:r>
        <w:t xml:space="preserve"> </w:t>
      </w:r>
      <w:hyperlink r:id="rId12" w:history="1">
        <w:r w:rsidRPr="00EC5A8D">
          <w:rPr>
            <w:rStyle w:val="Hyperlink"/>
          </w:rPr>
          <w:t>http://operations-portal.egi.eu/</w:t>
        </w:r>
      </w:hyperlink>
      <w:r>
        <w:t xml:space="preserve"> </w:t>
      </w:r>
    </w:p>
  </w:footnote>
  <w:footnote w:id="13">
    <w:p w14:paraId="06D39FF3" w14:textId="481D36EA" w:rsidR="00DC49FC" w:rsidRDefault="00DC49FC">
      <w:pPr>
        <w:pStyle w:val="FootnoteText"/>
      </w:pPr>
      <w:r>
        <w:rPr>
          <w:rStyle w:val="FootnoteReference"/>
        </w:rPr>
        <w:footnoteRef/>
      </w:r>
      <w:r>
        <w:t xml:space="preserve"> </w:t>
      </w:r>
      <w:hyperlink r:id="rId13" w:history="1">
        <w:r w:rsidRPr="00B97954">
          <w:rPr>
            <w:rStyle w:val="Hyperlink"/>
            <w:rFonts w:eastAsia="Calibri" w:cs="Open Sans"/>
          </w:rPr>
          <w:t>https://wiki.egi.eu/wiki/FAQ_GGUS-New-Support-Unit</w:t>
        </w:r>
      </w:hyperlink>
    </w:p>
  </w:footnote>
  <w:footnote w:id="14">
    <w:p w14:paraId="68236905" w14:textId="00C09707" w:rsidR="00DC49FC" w:rsidRDefault="00DC49FC">
      <w:pPr>
        <w:pStyle w:val="FootnoteText"/>
      </w:pPr>
      <w:r>
        <w:rPr>
          <w:rStyle w:val="FootnoteReference"/>
        </w:rPr>
        <w:footnoteRef/>
      </w:r>
      <w:r>
        <w:t xml:space="preserve"> </w:t>
      </w:r>
      <w:hyperlink r:id="rId14" w:history="1">
        <w:r w:rsidRPr="00B97954">
          <w:rPr>
            <w:rStyle w:val="Hyperlink"/>
            <w:rFonts w:cs="Open Sans"/>
          </w:rPr>
          <w:t>https://appdb.egi.eu/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31"/>
  </w:num>
  <w:num w:numId="3">
    <w:abstractNumId w:val="35"/>
  </w:num>
  <w:num w:numId="4">
    <w:abstractNumId w:val="2"/>
  </w:num>
  <w:num w:numId="5">
    <w:abstractNumId w:val="6"/>
  </w:num>
  <w:num w:numId="6">
    <w:abstractNumId w:val="15"/>
  </w:num>
  <w:num w:numId="7">
    <w:abstractNumId w:val="15"/>
    <w:lvlOverride w:ilvl="0">
      <w:startOverride w:val="1"/>
    </w:lvlOverride>
  </w:num>
  <w:num w:numId="8">
    <w:abstractNumId w:val="13"/>
  </w:num>
  <w:num w:numId="9">
    <w:abstractNumId w:val="8"/>
  </w:num>
  <w:num w:numId="10">
    <w:abstractNumId w:val="10"/>
  </w:num>
  <w:num w:numId="11">
    <w:abstractNumId w:val="5"/>
  </w:num>
  <w:num w:numId="12">
    <w:abstractNumId w:val="37"/>
  </w:num>
  <w:num w:numId="13">
    <w:abstractNumId w:val="32"/>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39"/>
  </w:num>
  <w:num w:numId="19">
    <w:abstractNumId w:val="33"/>
  </w:num>
  <w:num w:numId="20">
    <w:abstractNumId w:val="19"/>
  </w:num>
  <w:num w:numId="21">
    <w:abstractNumId w:val="0"/>
  </w:num>
  <w:num w:numId="22">
    <w:abstractNumId w:val="12"/>
  </w:num>
  <w:num w:numId="23">
    <w:abstractNumId w:val="29"/>
  </w:num>
  <w:num w:numId="24">
    <w:abstractNumId w:val="9"/>
  </w:num>
  <w:num w:numId="25">
    <w:abstractNumId w:val="30"/>
  </w:num>
  <w:num w:numId="26">
    <w:abstractNumId w:val="27"/>
  </w:num>
  <w:num w:numId="27">
    <w:abstractNumId w:val="22"/>
  </w:num>
  <w:num w:numId="28">
    <w:abstractNumId w:val="23"/>
  </w:num>
  <w:num w:numId="29">
    <w:abstractNumId w:val="17"/>
  </w:num>
  <w:num w:numId="30">
    <w:abstractNumId w:val="14"/>
  </w:num>
  <w:num w:numId="31">
    <w:abstractNumId w:val="26"/>
  </w:num>
  <w:num w:numId="32">
    <w:abstractNumId w:val="20"/>
  </w:num>
  <w:num w:numId="33">
    <w:abstractNumId w:val="7"/>
  </w:num>
  <w:num w:numId="34">
    <w:abstractNumId w:val="11"/>
  </w:num>
  <w:num w:numId="35">
    <w:abstractNumId w:val="24"/>
  </w:num>
  <w:num w:numId="36">
    <w:abstractNumId w:val="1"/>
  </w:num>
  <w:num w:numId="37">
    <w:abstractNumId w:val="36"/>
  </w:num>
  <w:num w:numId="38">
    <w:abstractNumId w:val="18"/>
  </w:num>
  <w:num w:numId="39">
    <w:abstractNumId w:val="4"/>
  </w:num>
  <w:num w:numId="40">
    <w:abstractNumId w:val="3"/>
  </w:num>
  <w:num w:numId="41">
    <w:abstractNumId w:val="28"/>
  </w:num>
  <w:num w:numId="42">
    <w:abstractNumId w:val="38"/>
  </w:num>
  <w:num w:numId="43">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36768"/>
    <w:rsid w:val="00046C4F"/>
    <w:rsid w:val="000502D5"/>
    <w:rsid w:val="00062C7D"/>
    <w:rsid w:val="000852E1"/>
    <w:rsid w:val="000C0E87"/>
    <w:rsid w:val="000E00D2"/>
    <w:rsid w:val="000E17FC"/>
    <w:rsid w:val="000F328F"/>
    <w:rsid w:val="001013F4"/>
    <w:rsid w:val="0010672E"/>
    <w:rsid w:val="00130F8B"/>
    <w:rsid w:val="00153BB4"/>
    <w:rsid w:val="001624FB"/>
    <w:rsid w:val="00162D8F"/>
    <w:rsid w:val="00163455"/>
    <w:rsid w:val="001725AC"/>
    <w:rsid w:val="00176CC7"/>
    <w:rsid w:val="001A5250"/>
    <w:rsid w:val="001C5D2E"/>
    <w:rsid w:val="001C68FD"/>
    <w:rsid w:val="001D1106"/>
    <w:rsid w:val="001E7F62"/>
    <w:rsid w:val="00221D0C"/>
    <w:rsid w:val="00227F47"/>
    <w:rsid w:val="002539A4"/>
    <w:rsid w:val="0027172A"/>
    <w:rsid w:val="00283160"/>
    <w:rsid w:val="002A3C5A"/>
    <w:rsid w:val="002A7241"/>
    <w:rsid w:val="002B2235"/>
    <w:rsid w:val="002D5A09"/>
    <w:rsid w:val="002E5F1F"/>
    <w:rsid w:val="00334E08"/>
    <w:rsid w:val="00337DFA"/>
    <w:rsid w:val="0035124F"/>
    <w:rsid w:val="00391D54"/>
    <w:rsid w:val="003B3E2E"/>
    <w:rsid w:val="003B5139"/>
    <w:rsid w:val="003C3C6F"/>
    <w:rsid w:val="003C43E1"/>
    <w:rsid w:val="003C6C87"/>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C01CF"/>
    <w:rsid w:val="005D14DF"/>
    <w:rsid w:val="005D18AA"/>
    <w:rsid w:val="005D2951"/>
    <w:rsid w:val="005D5F45"/>
    <w:rsid w:val="005E5D31"/>
    <w:rsid w:val="005F1B1D"/>
    <w:rsid w:val="0060639B"/>
    <w:rsid w:val="00632022"/>
    <w:rsid w:val="00656E4D"/>
    <w:rsid w:val="006669E7"/>
    <w:rsid w:val="00681029"/>
    <w:rsid w:val="006971E0"/>
    <w:rsid w:val="00697308"/>
    <w:rsid w:val="006B45F3"/>
    <w:rsid w:val="006D1955"/>
    <w:rsid w:val="006D527C"/>
    <w:rsid w:val="006E7D9B"/>
    <w:rsid w:val="006F7556"/>
    <w:rsid w:val="0072045A"/>
    <w:rsid w:val="0073233F"/>
    <w:rsid w:val="00733386"/>
    <w:rsid w:val="007677FE"/>
    <w:rsid w:val="00771DA6"/>
    <w:rsid w:val="00782A92"/>
    <w:rsid w:val="007C78CA"/>
    <w:rsid w:val="008138E8"/>
    <w:rsid w:val="00813ED4"/>
    <w:rsid w:val="00835E24"/>
    <w:rsid w:val="00840515"/>
    <w:rsid w:val="00873234"/>
    <w:rsid w:val="008765EB"/>
    <w:rsid w:val="00876CB0"/>
    <w:rsid w:val="00884A91"/>
    <w:rsid w:val="008B1E35"/>
    <w:rsid w:val="008B2F11"/>
    <w:rsid w:val="008B4217"/>
    <w:rsid w:val="008D1EC3"/>
    <w:rsid w:val="008F146C"/>
    <w:rsid w:val="008F5101"/>
    <w:rsid w:val="009138D4"/>
    <w:rsid w:val="00931656"/>
    <w:rsid w:val="00947A45"/>
    <w:rsid w:val="00976A73"/>
    <w:rsid w:val="009F1E23"/>
    <w:rsid w:val="009F5A4E"/>
    <w:rsid w:val="00A05867"/>
    <w:rsid w:val="00A312B2"/>
    <w:rsid w:val="00A5267D"/>
    <w:rsid w:val="00A53F7F"/>
    <w:rsid w:val="00A67816"/>
    <w:rsid w:val="00AB042E"/>
    <w:rsid w:val="00AC5F8D"/>
    <w:rsid w:val="00B107DD"/>
    <w:rsid w:val="00B44AF4"/>
    <w:rsid w:val="00B46C00"/>
    <w:rsid w:val="00B60F00"/>
    <w:rsid w:val="00B70698"/>
    <w:rsid w:val="00B80FB4"/>
    <w:rsid w:val="00B85B70"/>
    <w:rsid w:val="00B9637E"/>
    <w:rsid w:val="00B964AE"/>
    <w:rsid w:val="00B9661F"/>
    <w:rsid w:val="00B96855"/>
    <w:rsid w:val="00BA6136"/>
    <w:rsid w:val="00BB61C7"/>
    <w:rsid w:val="00C062E3"/>
    <w:rsid w:val="00C215FD"/>
    <w:rsid w:val="00C30F80"/>
    <w:rsid w:val="00C400A4"/>
    <w:rsid w:val="00C40D39"/>
    <w:rsid w:val="00C63D9F"/>
    <w:rsid w:val="00C7087D"/>
    <w:rsid w:val="00C82428"/>
    <w:rsid w:val="00C96C8F"/>
    <w:rsid w:val="00CB1D9E"/>
    <w:rsid w:val="00CC7A3E"/>
    <w:rsid w:val="00CD57DB"/>
    <w:rsid w:val="00CE1F5A"/>
    <w:rsid w:val="00CF1E31"/>
    <w:rsid w:val="00CF2238"/>
    <w:rsid w:val="00CF56AD"/>
    <w:rsid w:val="00D00565"/>
    <w:rsid w:val="00D00DDB"/>
    <w:rsid w:val="00D04EA5"/>
    <w:rsid w:val="00D065EF"/>
    <w:rsid w:val="00D075E1"/>
    <w:rsid w:val="00D206E9"/>
    <w:rsid w:val="00D26F29"/>
    <w:rsid w:val="00D42568"/>
    <w:rsid w:val="00D4438C"/>
    <w:rsid w:val="00D46739"/>
    <w:rsid w:val="00D859A3"/>
    <w:rsid w:val="00D861E6"/>
    <w:rsid w:val="00D9315C"/>
    <w:rsid w:val="00D95F48"/>
    <w:rsid w:val="00D97E64"/>
    <w:rsid w:val="00DC49FC"/>
    <w:rsid w:val="00E04C11"/>
    <w:rsid w:val="00E06D2A"/>
    <w:rsid w:val="00E07FA0"/>
    <w:rsid w:val="00E208DA"/>
    <w:rsid w:val="00E2379C"/>
    <w:rsid w:val="00E40082"/>
    <w:rsid w:val="00E5142D"/>
    <w:rsid w:val="00E8128D"/>
    <w:rsid w:val="00EA73F8"/>
    <w:rsid w:val="00EB2352"/>
    <w:rsid w:val="00EB6B9C"/>
    <w:rsid w:val="00EC504F"/>
    <w:rsid w:val="00EC75A5"/>
    <w:rsid w:val="00F06E24"/>
    <w:rsid w:val="00F30F42"/>
    <w:rsid w:val="00F337DD"/>
    <w:rsid w:val="00F42F91"/>
    <w:rsid w:val="00F516E7"/>
    <w:rsid w:val="00F66DAF"/>
    <w:rsid w:val="00F7162A"/>
    <w:rsid w:val="00F81A6C"/>
    <w:rsid w:val="00FB5C97"/>
    <w:rsid w:val="00FC58D6"/>
    <w:rsid w:val="00FD0C52"/>
    <w:rsid w:val="00FD56BF"/>
    <w:rsid w:val="00FE6B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rector@egi.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FAQ_GGUS-Ticket-Priority" TargetMode="External"/><Relationship Id="rId13" Type="http://schemas.openxmlformats.org/officeDocument/2006/relationships/hyperlink" Target="https://wiki.egi.eu/wiki/FAQ_GGUS-New-Support-Unit" TargetMode="External"/><Relationship Id="rId3" Type="http://schemas.openxmlformats.org/officeDocument/2006/relationships/hyperlink" Target="https://wiki.egi.eu/wiki/GOCDB/Input_System_User_Documentation" TargetMode="External"/><Relationship Id="rId7" Type="http://schemas.openxmlformats.org/officeDocument/2006/relationships/hyperlink" Target="https://wiki.egi.eu/wiki/FAQ_GGUS-QoS-Levels" TargetMode="External"/><Relationship Id="rId12" Type="http://schemas.openxmlformats.org/officeDocument/2006/relationships/hyperlink" Target="http://operations-portal.egi.eu/" TargetMode="External"/><Relationship Id="rId2" Type="http://schemas.openxmlformats.org/officeDocument/2006/relationships/hyperlink" Target="http://argo.egi.eu/" TargetMode="External"/><Relationship Id="rId1" Type="http://schemas.openxmlformats.org/officeDocument/2006/relationships/hyperlink" Target="http://accounting.egi.eu/" TargetMode="External"/><Relationship Id="rId6" Type="http://schemas.openxmlformats.org/officeDocument/2006/relationships/hyperlink" Target="https://www.egi.eu/sso/" TargetMode="External"/><Relationship Id="rId11" Type="http://schemas.openxmlformats.org/officeDocument/2006/relationships/hyperlink" Target="https://documents.egi.eu/document/74"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goc.egi.eu/" TargetMode="External"/><Relationship Id="rId9" Type="http://schemas.openxmlformats.org/officeDocument/2006/relationships/hyperlink" Target="https://www.egi.eu/about/policy/policies_procedures.html" TargetMode="External"/><Relationship Id="rId14" Type="http://schemas.openxmlformats.org/officeDocument/2006/relationships/hyperlink" Target="https://appdb.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D4744-C3EE-43D0-ADE3-B9332664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4667</TotalTime>
  <Pages>11</Pages>
  <Words>2001</Words>
  <Characters>11406</Characters>
  <Application>Microsoft Office Word</Application>
  <DocSecurity>0</DocSecurity>
  <Lines>95</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57</cp:revision>
  <cp:lastPrinted>2015-11-30T14:42:00Z</cp:lastPrinted>
  <dcterms:created xsi:type="dcterms:W3CDTF">2015-11-24T16:38:00Z</dcterms:created>
  <dcterms:modified xsi:type="dcterms:W3CDTF">2016-02-03T11:39:00Z</dcterms:modified>
</cp:coreProperties>
</file>