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0A" w:rsidRDefault="00385DD6">
      <w:pPr>
        <w:jc w:val="center"/>
      </w:pPr>
      <w:r>
        <w:rPr>
          <w:noProof/>
          <w:lang w:eastAsia="en-GB"/>
        </w:rPr>
        <w:drawing>
          <wp:inline distT="0" distB="0" distL="0" distR="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13170A" w:rsidRDefault="00385DD6">
      <w:pPr>
        <w:jc w:val="center"/>
        <w:rPr>
          <w:b/>
          <w:color w:val="0067B1"/>
          <w:sz w:val="56"/>
        </w:rPr>
      </w:pPr>
      <w:r>
        <w:rPr>
          <w:b/>
          <w:color w:val="0067B1"/>
          <w:sz w:val="56"/>
        </w:rPr>
        <w:t>EGI-Engage</w:t>
      </w:r>
    </w:p>
    <w:p w:rsidR="0013170A" w:rsidRDefault="0013170A"/>
    <w:p w:rsidR="0013170A" w:rsidRDefault="00385DD6">
      <w:pPr>
        <w:pStyle w:val="Title"/>
        <w:rPr>
          <w:i w:val="0"/>
        </w:rPr>
      </w:pPr>
      <w:r>
        <w:rPr>
          <w:i w:val="0"/>
        </w:rPr>
        <w:t>Deliverable/Milestone review form</w:t>
      </w:r>
    </w:p>
    <w:p w:rsidR="0013170A" w:rsidRDefault="0013170A"/>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13170A">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13170A" w:rsidRDefault="00385DD6">
            <w:pPr>
              <w:pStyle w:val="CommentText"/>
              <w:jc w:val="center"/>
              <w:rPr>
                <w:b/>
                <w:szCs w:val="22"/>
              </w:rPr>
            </w:pPr>
            <w:r>
              <w:rPr>
                <w:b/>
                <w:szCs w:val="22"/>
              </w:rPr>
              <w:t>Details of the document being reviewed</w:t>
            </w:r>
          </w:p>
        </w:tc>
      </w:tr>
      <w:tr w:rsidR="0013170A">
        <w:trPr>
          <w:cantSplit/>
        </w:trPr>
        <w:tc>
          <w:tcPr>
            <w:tcW w:w="1276" w:type="dxa"/>
            <w:tcBorders>
              <w:left w:val="single" w:sz="6" w:space="0" w:color="auto"/>
              <w:bottom w:val="single" w:sz="6" w:space="0" w:color="auto"/>
            </w:tcBorders>
          </w:tcPr>
          <w:p w:rsidR="0013170A" w:rsidRDefault="00385DD6">
            <w:pPr>
              <w:ind w:left="113" w:right="113"/>
              <w:rPr>
                <w:i/>
              </w:rPr>
            </w:pPr>
            <w:r>
              <w:rPr>
                <w:i/>
              </w:rPr>
              <w:t>Title:</w:t>
            </w:r>
          </w:p>
        </w:tc>
        <w:tc>
          <w:tcPr>
            <w:tcW w:w="3402" w:type="dxa"/>
            <w:tcBorders>
              <w:bottom w:val="single" w:sz="6" w:space="0" w:color="auto"/>
              <w:right w:val="single" w:sz="6" w:space="0" w:color="auto"/>
            </w:tcBorders>
          </w:tcPr>
          <w:p w:rsidR="0013170A" w:rsidRDefault="00385DD6">
            <w:pPr>
              <w:ind w:left="113" w:right="113"/>
              <w:jc w:val="left"/>
              <w:rPr>
                <w:b/>
              </w:rPr>
            </w:pPr>
            <w:r>
              <w:t xml:space="preserve">EGI training plan </w:t>
            </w:r>
            <w:r>
              <w:rPr>
                <w:b/>
              </w:rPr>
              <w:t>(March 2015 – February 2016)</w:t>
            </w:r>
          </w:p>
        </w:tc>
        <w:tc>
          <w:tcPr>
            <w:tcW w:w="2268" w:type="dxa"/>
            <w:tcBorders>
              <w:left w:val="single" w:sz="6" w:space="0" w:color="auto"/>
              <w:bottom w:val="single" w:sz="6" w:space="0" w:color="auto"/>
            </w:tcBorders>
          </w:tcPr>
          <w:p w:rsidR="0013170A" w:rsidRDefault="00385DD6">
            <w:pPr>
              <w:ind w:left="113" w:right="113"/>
              <w:rPr>
                <w:i/>
              </w:rPr>
            </w:pPr>
            <w:r>
              <w:rPr>
                <w:i/>
              </w:rPr>
              <w:t>Document identifier:</w:t>
            </w:r>
          </w:p>
        </w:tc>
        <w:tc>
          <w:tcPr>
            <w:tcW w:w="2694" w:type="dxa"/>
            <w:tcBorders>
              <w:bottom w:val="single" w:sz="6" w:space="0" w:color="auto"/>
              <w:right w:val="single" w:sz="6" w:space="0" w:color="auto"/>
            </w:tcBorders>
          </w:tcPr>
          <w:p w:rsidR="0013170A" w:rsidRDefault="00385DD6">
            <w:pPr>
              <w:ind w:right="113"/>
              <w:jc w:val="left"/>
              <w:rPr>
                <w:b/>
                <w:highlight w:val="yellow"/>
              </w:rPr>
            </w:pPr>
            <w:r>
              <w:rPr>
                <w:b/>
              </w:rPr>
              <w:t>EGI-doc-2482</w:t>
            </w:r>
          </w:p>
        </w:tc>
      </w:tr>
      <w:tr w:rsidR="0013170A">
        <w:trPr>
          <w:cantSplit/>
        </w:trPr>
        <w:tc>
          <w:tcPr>
            <w:tcW w:w="1276" w:type="dxa"/>
            <w:tcBorders>
              <w:top w:val="single" w:sz="6" w:space="0" w:color="auto"/>
              <w:left w:val="single" w:sz="6" w:space="0" w:color="auto"/>
              <w:bottom w:val="single" w:sz="6" w:space="0" w:color="auto"/>
            </w:tcBorders>
          </w:tcPr>
          <w:p w:rsidR="0013170A" w:rsidRDefault="00385DD6">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13170A" w:rsidRDefault="00385DD6">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13170A" w:rsidRDefault="00385DD6">
            <w:pPr>
              <w:ind w:left="113" w:right="113"/>
              <w:rPr>
                <w:b/>
              </w:rPr>
            </w:pPr>
            <w:r>
              <w:rPr>
                <w:i/>
              </w:rPr>
              <w:t>Document url:</w:t>
            </w:r>
          </w:p>
        </w:tc>
        <w:tc>
          <w:tcPr>
            <w:tcW w:w="2694" w:type="dxa"/>
            <w:tcBorders>
              <w:top w:val="single" w:sz="6" w:space="0" w:color="auto"/>
              <w:bottom w:val="single" w:sz="6" w:space="0" w:color="auto"/>
              <w:right w:val="single" w:sz="6" w:space="0" w:color="auto"/>
            </w:tcBorders>
          </w:tcPr>
          <w:p w:rsidR="0013170A" w:rsidRDefault="00385DD6">
            <w:pPr>
              <w:ind w:right="113"/>
              <w:jc w:val="left"/>
              <w:rPr>
                <w:b/>
              </w:rPr>
            </w:pPr>
            <w:hyperlink r:id="rId10" w:history="1">
              <w:r>
                <w:rPr>
                  <w:rStyle w:val="Hyperlink"/>
                </w:rPr>
                <w:t>https://documents.egi.eu/document/2482</w:t>
              </w:r>
            </w:hyperlink>
          </w:p>
        </w:tc>
      </w:tr>
      <w:tr w:rsidR="0013170A">
        <w:trPr>
          <w:cantSplit/>
        </w:trPr>
        <w:tc>
          <w:tcPr>
            <w:tcW w:w="1276" w:type="dxa"/>
            <w:tcBorders>
              <w:top w:val="single" w:sz="6" w:space="0" w:color="auto"/>
              <w:left w:val="single" w:sz="6" w:space="0" w:color="auto"/>
              <w:bottom w:val="single" w:sz="6" w:space="0" w:color="auto"/>
            </w:tcBorders>
          </w:tcPr>
          <w:p w:rsidR="0013170A" w:rsidRDefault="00385DD6">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13170A" w:rsidRDefault="00385DD6">
            <w:pPr>
              <w:ind w:left="113" w:right="113"/>
              <w:jc w:val="left"/>
              <w:rPr>
                <w:b/>
              </w:rPr>
            </w:pPr>
            <w:r>
              <w:t>Gergely Sipos</w:t>
            </w:r>
          </w:p>
        </w:tc>
        <w:tc>
          <w:tcPr>
            <w:tcW w:w="2268" w:type="dxa"/>
            <w:tcBorders>
              <w:top w:val="single" w:sz="6" w:space="0" w:color="auto"/>
              <w:left w:val="single" w:sz="6" w:space="0" w:color="auto"/>
              <w:bottom w:val="single" w:sz="6" w:space="0" w:color="auto"/>
            </w:tcBorders>
          </w:tcPr>
          <w:p w:rsidR="0013170A" w:rsidRDefault="00385DD6">
            <w:pPr>
              <w:ind w:left="113" w:right="113"/>
            </w:pPr>
            <w:r>
              <w:rPr>
                <w:i/>
              </w:rPr>
              <w:t>Date:</w:t>
            </w:r>
          </w:p>
        </w:tc>
        <w:tc>
          <w:tcPr>
            <w:tcW w:w="2694" w:type="dxa"/>
            <w:tcBorders>
              <w:top w:val="single" w:sz="6" w:space="0" w:color="auto"/>
              <w:bottom w:val="single" w:sz="6" w:space="0" w:color="auto"/>
              <w:right w:val="single" w:sz="6" w:space="0" w:color="auto"/>
            </w:tcBorders>
          </w:tcPr>
          <w:p w:rsidR="0013170A" w:rsidRDefault="00385DD6">
            <w:pPr>
              <w:ind w:right="113"/>
              <w:jc w:val="left"/>
              <w:rPr>
                <w:highlight w:val="yellow"/>
              </w:rPr>
            </w:pPr>
            <w:r>
              <w:t>May 2015</w:t>
            </w:r>
          </w:p>
        </w:tc>
      </w:tr>
    </w:tbl>
    <w:p w:rsidR="0013170A" w:rsidRDefault="0013170A"/>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13170A">
        <w:trPr>
          <w:cantSplit/>
        </w:trPr>
        <w:tc>
          <w:tcPr>
            <w:tcW w:w="9639" w:type="dxa"/>
            <w:gridSpan w:val="4"/>
            <w:shd w:val="clear" w:color="auto" w:fill="95B3D7" w:themeFill="accent1" w:themeFillTint="99"/>
          </w:tcPr>
          <w:p w:rsidR="0013170A" w:rsidRDefault="00385DD6">
            <w:pPr>
              <w:pStyle w:val="CommentText"/>
              <w:jc w:val="center"/>
              <w:rPr>
                <w:b/>
                <w:szCs w:val="22"/>
              </w:rPr>
            </w:pPr>
            <w:r>
              <w:rPr>
                <w:b/>
                <w:szCs w:val="22"/>
              </w:rPr>
              <w:t>Identification of the reviewer</w:t>
            </w:r>
          </w:p>
        </w:tc>
      </w:tr>
      <w:tr w:rsidR="0013170A">
        <w:trPr>
          <w:cantSplit/>
        </w:trPr>
        <w:tc>
          <w:tcPr>
            <w:tcW w:w="1418" w:type="dxa"/>
          </w:tcPr>
          <w:p w:rsidR="0013170A" w:rsidRDefault="00385DD6">
            <w:pPr>
              <w:ind w:left="113" w:right="113"/>
              <w:rPr>
                <w:i/>
              </w:rPr>
            </w:pPr>
            <w:r>
              <w:rPr>
                <w:i/>
              </w:rPr>
              <w:t>Reviewer:</w:t>
            </w:r>
          </w:p>
        </w:tc>
        <w:tc>
          <w:tcPr>
            <w:tcW w:w="3260" w:type="dxa"/>
          </w:tcPr>
          <w:p w:rsidR="0013170A" w:rsidRDefault="00385DD6">
            <w:pPr>
              <w:ind w:left="113" w:right="113"/>
              <w:jc w:val="left"/>
            </w:pPr>
            <w:r>
              <w:t>Geneviève Romier</w:t>
            </w:r>
          </w:p>
        </w:tc>
        <w:tc>
          <w:tcPr>
            <w:tcW w:w="1134" w:type="dxa"/>
          </w:tcPr>
          <w:p w:rsidR="0013170A" w:rsidRDefault="00385DD6">
            <w:pPr>
              <w:ind w:left="113" w:right="113"/>
              <w:rPr>
                <w:b/>
              </w:rPr>
            </w:pPr>
            <w:r>
              <w:rPr>
                <w:i/>
              </w:rPr>
              <w:t>Activity:</w:t>
            </w:r>
          </w:p>
        </w:tc>
        <w:tc>
          <w:tcPr>
            <w:tcW w:w="3827" w:type="dxa"/>
          </w:tcPr>
          <w:p w:rsidR="0013170A" w:rsidRDefault="00385DD6">
            <w:pPr>
              <w:ind w:right="113"/>
              <w:rPr>
                <w:bCs/>
                <w:iCs/>
              </w:rPr>
            </w:pPr>
            <w:r>
              <w:t xml:space="preserve">CNRS – NGI-FR </w:t>
            </w:r>
            <w:r>
              <w:t>NIL</w:t>
            </w:r>
          </w:p>
        </w:tc>
      </w:tr>
    </w:tbl>
    <w:p w:rsidR="0013170A" w:rsidRDefault="0013170A">
      <w:pPr>
        <w:rPr>
          <w:b/>
          <w:bCs/>
        </w:rPr>
      </w:pPr>
    </w:p>
    <w:p w:rsidR="0013170A" w:rsidRDefault="00385DD6">
      <w:pPr>
        <w:outlineLvl w:val="0"/>
        <w:rPr>
          <w:b/>
          <w:bCs/>
          <w:sz w:val="24"/>
        </w:rPr>
      </w:pPr>
      <w:r>
        <w:rPr>
          <w:b/>
          <w:bCs/>
          <w:sz w:val="24"/>
        </w:rPr>
        <w:t>General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13170A">
        <w:trPr>
          <w:trHeight w:val="333"/>
        </w:trPr>
        <w:tc>
          <w:tcPr>
            <w:tcW w:w="9622" w:type="dxa"/>
            <w:shd w:val="clear" w:color="auto" w:fill="95B3D7" w:themeFill="accent1" w:themeFillTint="99"/>
          </w:tcPr>
          <w:p w:rsidR="0013170A" w:rsidRDefault="00385DD6">
            <w:r>
              <w:rPr>
                <w:b/>
                <w:bCs/>
              </w:rPr>
              <w:t>Comments from Reviewer:</w:t>
            </w:r>
          </w:p>
        </w:tc>
      </w:tr>
      <w:tr w:rsidR="0013170A">
        <w:trPr>
          <w:trHeight w:val="900"/>
        </w:trPr>
        <w:tc>
          <w:tcPr>
            <w:tcW w:w="9622" w:type="dxa"/>
          </w:tcPr>
          <w:p w:rsidR="0013170A" w:rsidRDefault="00385DD6">
            <w:r>
              <w:t xml:space="preserve">The plan is really ambitious but it is not really clear who will setup the pilot infrastructure, produce the modules and run the training sessions. I think the related EGI-Engage tasks (and </w:t>
            </w:r>
            <w:r>
              <w:t>related PMs) could be given.</w:t>
            </w:r>
          </w:p>
          <w:p w:rsidR="0013170A" w:rsidRDefault="00385DD6">
            <w:r>
              <w:t>This training plan sounds more as a user training plan than a general training plan. There is very few about technical staff training and nothing on security training. I think it should be explained to show it is not a forgetti</w:t>
            </w:r>
            <w:r>
              <w:t>ng.</w:t>
            </w:r>
          </w:p>
          <w:p w:rsidR="0013170A" w:rsidRDefault="00385DD6">
            <w:r>
              <w:t xml:space="preserve">The choice of the modules is not explained. It is probably the result of discussions or of EGI-Inspire. A </w:t>
            </w:r>
            <w:r>
              <w:lastRenderedPageBreak/>
              <w:t>few words to explain should be good.</w:t>
            </w:r>
          </w:p>
          <w:p w:rsidR="0013170A" w:rsidRDefault="00385DD6">
            <w:r>
              <w:t>How will we measure the success and impact of the training plan?  Are there indicators to be added?</w:t>
            </w:r>
          </w:p>
          <w:p w:rsidR="0013170A" w:rsidRDefault="00385DD6">
            <w:r>
              <w:t>Do we nee</w:t>
            </w:r>
            <w:r>
              <w:t xml:space="preserve">d a risks evaluation? </w:t>
            </w:r>
          </w:p>
        </w:tc>
      </w:tr>
      <w:tr w:rsidR="0013170A">
        <w:trPr>
          <w:trHeight w:val="358"/>
        </w:trPr>
        <w:tc>
          <w:tcPr>
            <w:tcW w:w="9622" w:type="dxa"/>
            <w:shd w:val="clear" w:color="auto" w:fill="95B3D7" w:themeFill="accent1" w:themeFillTint="99"/>
          </w:tcPr>
          <w:p w:rsidR="0013170A" w:rsidRDefault="00385DD6">
            <w:pPr>
              <w:rPr>
                <w:b/>
                <w:bCs/>
              </w:rPr>
            </w:pPr>
            <w:r>
              <w:rPr>
                <w:b/>
                <w:bCs/>
              </w:rPr>
              <w:lastRenderedPageBreak/>
              <w:t xml:space="preserve">Response from Author: </w:t>
            </w:r>
          </w:p>
        </w:tc>
      </w:tr>
      <w:tr w:rsidR="0013170A">
        <w:trPr>
          <w:trHeight w:val="914"/>
        </w:trPr>
        <w:tc>
          <w:tcPr>
            <w:tcW w:w="9622" w:type="dxa"/>
          </w:tcPr>
          <w:p w:rsidR="0013170A" w:rsidRDefault="003B257D" w:rsidP="003B257D">
            <w:pPr>
              <w:rPr>
                <w:b/>
                <w:bCs/>
              </w:rPr>
            </w:pPr>
            <w:r>
              <w:rPr>
                <w:b/>
                <w:bCs/>
              </w:rPr>
              <w:t>The Summary section has been updated with effort estimates for each activity area with a summary at the level of Task6.1.</w:t>
            </w:r>
          </w:p>
          <w:p w:rsidR="003B257D" w:rsidRDefault="003B257D" w:rsidP="003B257D">
            <w:pPr>
              <w:rPr>
                <w:b/>
                <w:bCs/>
              </w:rPr>
            </w:pPr>
            <w:r>
              <w:rPr>
                <w:b/>
                <w:bCs/>
              </w:rPr>
              <w:t xml:space="preserve">The plan has been extended with topics on security (3 new modules). </w:t>
            </w:r>
          </w:p>
          <w:p w:rsidR="003B257D" w:rsidRDefault="003B257D" w:rsidP="001A77A6">
            <w:pPr>
              <w:rPr>
                <w:b/>
                <w:bCs/>
              </w:rPr>
            </w:pPr>
            <w:r>
              <w:rPr>
                <w:b/>
                <w:bCs/>
              </w:rPr>
              <w:t xml:space="preserve">The target audience of training activities has been specified. (It’s often a mixture of researchers, </w:t>
            </w:r>
            <w:r w:rsidR="001A77A6" w:rsidRPr="001A77A6">
              <w:rPr>
                <w:b/>
                <w:bCs/>
              </w:rPr>
              <w:t>IT support teams within research collaborations, research project coordinators, managers of research infrastructures and technical staff at service</w:t>
            </w:r>
            <w:r w:rsidR="001A77A6">
              <w:rPr>
                <w:b/>
                <w:bCs/>
              </w:rPr>
              <w:t>/resource provider institutes. Where possible the exact target audience was defined.)</w:t>
            </w:r>
          </w:p>
          <w:p w:rsidR="001A77A6" w:rsidRDefault="001A77A6" w:rsidP="001A77A6">
            <w:pPr>
              <w:rPr>
                <w:b/>
                <w:bCs/>
              </w:rPr>
            </w:pPr>
            <w:r>
              <w:rPr>
                <w:b/>
                <w:bCs/>
              </w:rPr>
              <w:t>The rational for choosing modules for development is now given. (In order to support the EGI Engagement Streategy. The technical topics are chosen from previous discussions from EGI-InSPIRE)</w:t>
            </w:r>
          </w:p>
          <w:p w:rsidR="001A77A6" w:rsidRDefault="001A77A6" w:rsidP="001A77A6">
            <w:pPr>
              <w:rPr>
                <w:b/>
                <w:bCs/>
              </w:rPr>
            </w:pPr>
            <w:r>
              <w:rPr>
                <w:b/>
                <w:bCs/>
              </w:rPr>
              <w:t xml:space="preserve">A new area of work has been added: 2.8 Evaluation process. This defines how we will measure and evaluate the impact and satisfaction with the activity. </w:t>
            </w:r>
          </w:p>
          <w:p w:rsidR="001A77A6" w:rsidRDefault="001A77A6" w:rsidP="001A77A6">
            <w:pPr>
              <w:rPr>
                <w:b/>
                <w:bCs/>
              </w:rPr>
            </w:pPr>
            <w:r>
              <w:rPr>
                <w:b/>
                <w:bCs/>
              </w:rPr>
              <w:t xml:space="preserve">Risk evaluation is not given. I don’t feel the need for this. </w:t>
            </w:r>
          </w:p>
        </w:tc>
      </w:tr>
    </w:tbl>
    <w:p w:rsidR="0013170A" w:rsidRDefault="0013170A">
      <w:pPr>
        <w:rPr>
          <w:b/>
          <w:bCs/>
        </w:rPr>
      </w:pPr>
    </w:p>
    <w:p w:rsidR="0013170A" w:rsidRDefault="0013170A">
      <w:pPr>
        <w:rPr>
          <w:b/>
          <w:bCs/>
        </w:rPr>
      </w:pPr>
    </w:p>
    <w:p w:rsidR="0013170A" w:rsidRDefault="00385DD6">
      <w:pPr>
        <w:rPr>
          <w:b/>
          <w:bCs/>
          <w:sz w:val="24"/>
        </w:rPr>
      </w:pPr>
      <w:r>
        <w:rPr>
          <w:b/>
          <w:bCs/>
          <w:sz w:val="24"/>
        </w:rPr>
        <w:t xml:space="preserve">Additional comments </w:t>
      </w:r>
    </w:p>
    <w:p w:rsidR="0013170A" w:rsidRDefault="00385DD6">
      <w:pPr>
        <w:rPr>
          <w:i/>
        </w:rPr>
      </w:pPr>
      <w:r>
        <w:rPr>
          <w:bCs/>
          <w:i/>
        </w:rPr>
        <w:t>(not affecting the document content e.g.  recommendations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13170A">
        <w:trPr>
          <w:trHeight w:val="370"/>
        </w:trPr>
        <w:tc>
          <w:tcPr>
            <w:tcW w:w="9622" w:type="dxa"/>
            <w:shd w:val="clear" w:color="auto" w:fill="95B3D7" w:themeFill="accent1" w:themeFillTint="99"/>
          </w:tcPr>
          <w:p w:rsidR="0013170A" w:rsidRDefault="00385DD6">
            <w:pPr>
              <w:rPr>
                <w:b/>
                <w:bCs/>
              </w:rPr>
            </w:pPr>
            <w:r>
              <w:rPr>
                <w:b/>
                <w:bCs/>
              </w:rPr>
              <w:t>From reviewer:</w:t>
            </w:r>
          </w:p>
        </w:tc>
      </w:tr>
      <w:tr w:rsidR="0013170A">
        <w:trPr>
          <w:trHeight w:val="1265"/>
        </w:trPr>
        <w:tc>
          <w:tcPr>
            <w:tcW w:w="9622" w:type="dxa"/>
          </w:tcPr>
          <w:p w:rsidR="0013170A" w:rsidRDefault="0013170A"/>
        </w:tc>
      </w:tr>
    </w:tbl>
    <w:p w:rsidR="0013170A" w:rsidRDefault="0013170A">
      <w:pPr>
        <w:outlineLvl w:val="0"/>
        <w:rPr>
          <w:b/>
          <w:bCs/>
        </w:rPr>
      </w:pPr>
    </w:p>
    <w:p w:rsidR="0013170A" w:rsidRDefault="00385DD6">
      <w:pPr>
        <w:outlineLvl w:val="0"/>
        <w:rPr>
          <w:b/>
          <w:bCs/>
          <w:sz w:val="24"/>
        </w:rPr>
      </w:pPr>
      <w:r>
        <w:rPr>
          <w:b/>
          <w:bCs/>
          <w:sz w:val="24"/>
        </w:rPr>
        <w:t>Detailed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13170A">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13170A" w:rsidRDefault="00385DD6">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13170A" w:rsidRDefault="00385DD6">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13170A" w:rsidRDefault="00385DD6">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13170A" w:rsidRDefault="00385DD6">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13170A" w:rsidRDefault="00385DD6">
            <w:pPr>
              <w:pStyle w:val="NoSpacing"/>
              <w:rPr>
                <w:b/>
              </w:rPr>
            </w:pPr>
            <w:r>
              <w:rPr>
                <w:b/>
              </w:rPr>
              <w:t>Reply from author</w:t>
            </w:r>
            <w:r>
              <w:rPr>
                <w:b/>
              </w:rPr>
              <w:br/>
              <w:t>(correction /</w:t>
            </w:r>
            <w:r>
              <w:rPr>
                <w:b/>
              </w:rPr>
              <w:t xml:space="preserve"> reject,  …)</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The document identifier is not clearly in the first page of the document. In the document server page it is EGI-doc-2482-v2 but the version downloaded is Training plan_v1.docx</w:t>
            </w:r>
          </w:p>
        </w:tc>
        <w:tc>
          <w:tcPr>
            <w:tcW w:w="2835" w:type="dxa"/>
            <w:tcBorders>
              <w:top w:val="single" w:sz="6" w:space="0" w:color="auto"/>
              <w:bottom w:val="single" w:sz="6" w:space="0" w:color="auto"/>
              <w:right w:val="single" w:sz="6" w:space="0" w:color="auto"/>
            </w:tcBorders>
          </w:tcPr>
          <w:p w:rsidR="0013170A" w:rsidRDefault="0013170A">
            <w:pPr>
              <w:pStyle w:val="NoSpacing"/>
              <w:rPr>
                <w:b/>
              </w:rPr>
            </w:pP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3/4</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3.7 and 4.10 are highlighted</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2.5</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 xml:space="preserve">You may add that </w:t>
            </w:r>
            <w:r>
              <w:rPr>
                <w:b/>
              </w:rPr>
              <w:t>webinar are also usually recorded and followed on demand. It’s important because more people can watch them.</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Text added.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2.6</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It should be explained that the level of control will depend on the services and that open access will be given as much as possible.</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Text added.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Cern focus is not given</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Text added.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rPr>
                <w:b/>
              </w:rPr>
              <w:t>“…</w:t>
            </w:r>
            <w:r>
              <w:t>to implement all the 6 elements of EGI training…”</w:t>
            </w:r>
          </w:p>
          <w:p w:rsidR="0013170A" w:rsidRDefault="00385DD6">
            <w:pPr>
              <w:pStyle w:val="NoSpacing"/>
              <w:rPr>
                <w:b/>
              </w:rPr>
            </w:pPr>
            <w:r>
              <w:t>There are 7 elements</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2.1</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rPr>
                <w:b/>
              </w:rPr>
              <w:t xml:space="preserve">Training on HTC/Grid infrastructure seems out of the scope of this document but in part1 page 5 it is written demonstrate to researchers…. </w:t>
            </w:r>
            <w:r>
              <w:rPr>
                <w:b/>
              </w:rPr>
              <w:t>Training … about EGI solutions. The first solution is “</w:t>
            </w:r>
            <w:r>
              <w:t>Solution for high-throughput Data analysis”.</w:t>
            </w:r>
          </w:p>
          <w:p w:rsidR="0013170A" w:rsidRDefault="00385DD6">
            <w:pPr>
              <w:pStyle w:val="NoSpacing"/>
              <w:rPr>
                <w:b/>
              </w:rPr>
            </w:pPr>
            <w:r>
              <w:t>On what infrastructure will be done this training? This should be explained.</w:t>
            </w:r>
          </w:p>
        </w:tc>
        <w:tc>
          <w:tcPr>
            <w:tcW w:w="2835" w:type="dxa"/>
            <w:tcBorders>
              <w:top w:val="single" w:sz="6" w:space="0" w:color="auto"/>
              <w:bottom w:val="single" w:sz="6" w:space="0" w:color="auto"/>
              <w:right w:val="single" w:sz="6" w:space="0" w:color="auto"/>
            </w:tcBorders>
          </w:tcPr>
          <w:p w:rsidR="0013170A" w:rsidRDefault="001A77A6" w:rsidP="001A77A6">
            <w:pPr>
              <w:pStyle w:val="NoSpacing"/>
              <w:rPr>
                <w:b/>
              </w:rPr>
            </w:pPr>
            <w:r>
              <w:rPr>
                <w:b/>
              </w:rPr>
              <w:t>HTC training can be also performed on the virtualised (cloud) training infra. Most of the cloud use cases are using cloud for HTC on the production sites.</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rPr>
                <w:b/>
              </w:rPr>
              <w:t>“</w:t>
            </w:r>
            <w:r>
              <w:t xml:space="preserve"> in a training VO” It’s not clear if this is the training VO described </w:t>
            </w:r>
            <w:r>
              <w:t>in the pilot or if there will be several training VOS. In this case they could be described in the 2.1 part.</w:t>
            </w:r>
          </w:p>
          <w:p w:rsidR="0013170A" w:rsidRDefault="00385DD6">
            <w:pPr>
              <w:pStyle w:val="NoSpacing"/>
              <w:rPr>
                <w:b/>
              </w:rPr>
            </w:pPr>
            <w:r>
              <w:t>If there is one VO named fedcloud.egi.eu the name could be given in the 2.1 part</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The joint training module with EUDAT is really interesting b</w:t>
            </w:r>
            <w:r>
              <w:t>ut could be seen as out of the scope of the training plan. I propose to introduce this in the first chapter page 5 at “3. Intensify the integration…”. This could be “Training EGI members and external communities about new technologies and integration of so</w:t>
            </w:r>
            <w:r>
              <w:t>lutions from different infrastructures or projects .</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 xml:space="preserve">EUDAT collaboration is explicitely mentioned in the EGI-Engage DoW and in T6.1, so this must remain visible here. </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w:t>
            </w:r>
            <w:r>
              <w:t>Logging into the most level tool to develop and use applications suitable environment and using it as a high in the HTC/cloud environment. “ the wording is not easy to understand</w:t>
            </w:r>
          </w:p>
        </w:tc>
        <w:tc>
          <w:tcPr>
            <w:tcW w:w="2835" w:type="dxa"/>
            <w:tcBorders>
              <w:top w:val="single" w:sz="6" w:space="0" w:color="auto"/>
              <w:bottom w:val="single" w:sz="6" w:space="0" w:color="auto"/>
              <w:right w:val="single" w:sz="6" w:space="0" w:color="auto"/>
            </w:tcBorders>
          </w:tcPr>
          <w:p w:rsidR="0013170A" w:rsidRDefault="001A77A6">
            <w:pPr>
              <w:pStyle w:val="NoSpacing"/>
              <w:rPr>
                <w:b/>
              </w:rPr>
            </w:pPr>
            <w:r>
              <w:rPr>
                <w:b/>
              </w:rPr>
              <w:t>Rephrased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r>
              <w:t>and</w:t>
            </w:r>
            <w:r>
              <w:t xml:space="preserve"> recognising the lower value of the resources than in production environments. (I.e. even potential misuse would cause less damage.)</w:t>
            </w:r>
          </w:p>
          <w:p w:rsidR="0013170A" w:rsidRDefault="00385DD6">
            <w:pPr>
              <w:pStyle w:val="NoSpacing"/>
            </w:pPr>
            <w:r>
              <w:t xml:space="preserve">The wording especially “lower value” could be misunderstood by people not aware of security questions. I propose something </w:t>
            </w:r>
            <w:r>
              <w:t>like: “Access should be as open and as easy as possible taking according to security criteria”</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Rephrased.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2.6</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 xml:space="preserve">You could explain that the webinars are recorded when needed and available on demand through the market place </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Text added.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2.6</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e-learning needs human beings to a</w:t>
            </w:r>
            <w:r>
              <w:t>nimate the tutorials and support trainees. A Moodle platform is not enough to conduct e-learning sessions.</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 xml:space="preserve">Note taken. </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2.7</w:t>
            </w: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pPr>
            <w:r>
              <w:t>Change Gergely to Gergely Sipos</w:t>
            </w:r>
          </w:p>
          <w:p w:rsidR="0013170A" w:rsidRDefault="00385DD6">
            <w:pPr>
              <w:pStyle w:val="NoSpacing"/>
            </w:pPr>
            <w:r>
              <w:t>Idem for Diego, Enol, Yin</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w:t>
            </w:r>
            <w:r>
              <w:t>delivery of f2 or online training” -&gt; “delivery of f2f or online training”</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385DD6">
            <w:r>
              <w:rPr>
                <w:b/>
              </w:rPr>
              <w:t>“</w:t>
            </w:r>
            <w:r>
              <w:t>We have internally discussed this within BBMRI and it seems that we are fine with the common webinars and educational and training tools that are available in EGI at the moment.” Change the wording “We…” to be more formal</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3.4</w:t>
            </w:r>
          </w:p>
        </w:tc>
        <w:tc>
          <w:tcPr>
            <w:tcW w:w="4961" w:type="dxa"/>
            <w:tcBorders>
              <w:top w:val="single" w:sz="6" w:space="0" w:color="auto"/>
              <w:left w:val="single" w:sz="6" w:space="0" w:color="auto"/>
              <w:bottom w:val="single" w:sz="6" w:space="0" w:color="auto"/>
              <w:right w:val="single" w:sz="6" w:space="0" w:color="auto"/>
            </w:tcBorders>
          </w:tcPr>
          <w:p w:rsidR="0013170A" w:rsidRDefault="00385DD6">
            <w:r>
              <w:t xml:space="preserve">LMS is the e-learning system in ELIXIR, based on MOODLE environment </w:t>
            </w:r>
          </w:p>
          <w:p w:rsidR="0013170A" w:rsidRDefault="00385DD6">
            <w:pPr>
              <w:rPr>
                <w:b/>
              </w:rPr>
            </w:pPr>
            <w:r>
              <w:t>MOODLE is an LMS. LMS is “learning management system”. The wording should be changed</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Fixed.</w:t>
            </w:r>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385DD6">
            <w:pPr>
              <w:pStyle w:val="NoSpacing"/>
              <w:rPr>
                <w:b/>
              </w:rPr>
            </w:pPr>
            <w:r>
              <w:rPr>
                <w:b/>
              </w:rPr>
              <w:t>5.4</w:t>
            </w:r>
          </w:p>
        </w:tc>
        <w:tc>
          <w:tcPr>
            <w:tcW w:w="4961" w:type="dxa"/>
            <w:tcBorders>
              <w:top w:val="single" w:sz="6" w:space="0" w:color="auto"/>
              <w:left w:val="single" w:sz="6" w:space="0" w:color="auto"/>
              <w:bottom w:val="single" w:sz="6" w:space="0" w:color="auto"/>
              <w:right w:val="single" w:sz="6" w:space="0" w:color="auto"/>
            </w:tcBorders>
          </w:tcPr>
          <w:p w:rsidR="0013170A" w:rsidRDefault="00385DD6">
            <w:r>
              <w:t>D4Sciecne -&gt; D4Science</w:t>
            </w:r>
          </w:p>
        </w:tc>
        <w:tc>
          <w:tcPr>
            <w:tcW w:w="2835" w:type="dxa"/>
            <w:tcBorders>
              <w:top w:val="single" w:sz="6" w:space="0" w:color="auto"/>
              <w:bottom w:val="single" w:sz="6" w:space="0" w:color="auto"/>
              <w:right w:val="single" w:sz="6" w:space="0" w:color="auto"/>
            </w:tcBorders>
          </w:tcPr>
          <w:p w:rsidR="0013170A" w:rsidRDefault="00206019">
            <w:pPr>
              <w:pStyle w:val="NoSpacing"/>
              <w:rPr>
                <w:b/>
              </w:rPr>
            </w:pPr>
            <w:r>
              <w:rPr>
                <w:b/>
              </w:rPr>
              <w:t>Fixed.</w:t>
            </w:r>
            <w:bookmarkStart w:id="0" w:name="_GoBack"/>
            <w:bookmarkEnd w:id="0"/>
          </w:p>
        </w:tc>
      </w:tr>
      <w:tr w:rsidR="0013170A">
        <w:trPr>
          <w:cantSplit/>
          <w:trHeight w:val="480"/>
        </w:trPr>
        <w:tc>
          <w:tcPr>
            <w:tcW w:w="426"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13170A" w:rsidRDefault="0013170A">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13170A" w:rsidRDefault="0013170A"/>
        </w:tc>
        <w:tc>
          <w:tcPr>
            <w:tcW w:w="2835" w:type="dxa"/>
            <w:tcBorders>
              <w:top w:val="single" w:sz="6" w:space="0" w:color="auto"/>
              <w:bottom w:val="single" w:sz="6" w:space="0" w:color="auto"/>
              <w:right w:val="single" w:sz="6" w:space="0" w:color="auto"/>
            </w:tcBorders>
          </w:tcPr>
          <w:p w:rsidR="0013170A" w:rsidRDefault="0013170A">
            <w:pPr>
              <w:pStyle w:val="NoSpacing"/>
              <w:rPr>
                <w:b/>
              </w:rPr>
            </w:pPr>
          </w:p>
        </w:tc>
      </w:tr>
    </w:tbl>
    <w:p w:rsidR="0013170A" w:rsidRDefault="0013170A"/>
    <w:p w:rsidR="0013170A" w:rsidRDefault="00385DD6">
      <w:pPr>
        <w:outlineLvl w:val="0"/>
        <w:rPr>
          <w:b/>
          <w:bCs/>
          <w:sz w:val="24"/>
        </w:rPr>
      </w:pPr>
      <w:r>
        <w:rPr>
          <w:b/>
          <w:bCs/>
          <w:sz w:val="24"/>
        </w:rPr>
        <w:t>English and other corrections:</w:t>
      </w:r>
    </w:p>
    <w:p w:rsidR="0013170A" w:rsidRDefault="00385DD6">
      <w:r>
        <w:t xml:space="preserve">Note: English and typo </w:t>
      </w:r>
      <w:r>
        <w:t>corrections can be made directly in the document as comments.</w:t>
      </w:r>
    </w:p>
    <w:p w:rsidR="0013170A" w:rsidRDefault="0013170A"/>
    <w:p w:rsidR="0013170A" w:rsidRDefault="0013170A">
      <w:pPr>
        <w:spacing w:after="200"/>
        <w:jc w:val="left"/>
      </w:pPr>
    </w:p>
    <w:p w:rsidR="0013170A" w:rsidRDefault="0013170A"/>
    <w:p w:rsidR="0013170A" w:rsidRDefault="0013170A"/>
    <w:p w:rsidR="0013170A" w:rsidRDefault="0013170A"/>
    <w:p w:rsidR="0013170A" w:rsidRDefault="0013170A"/>
    <w:sectPr w:rsidR="0013170A">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D6" w:rsidRDefault="00385DD6">
      <w:pPr>
        <w:spacing w:after="0" w:line="240" w:lineRule="auto"/>
      </w:pPr>
      <w:r>
        <w:separator/>
      </w:r>
    </w:p>
  </w:endnote>
  <w:endnote w:type="continuationSeparator" w:id="0">
    <w:p w:rsidR="00385DD6" w:rsidRDefault="0038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A" w:rsidRDefault="0013170A">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3170A">
      <w:trPr>
        <w:trHeight w:val="857"/>
      </w:trPr>
      <w:tc>
        <w:tcPr>
          <w:tcW w:w="3060" w:type="dxa"/>
          <w:vAlign w:val="bottom"/>
        </w:tcPr>
        <w:p w:rsidR="0013170A" w:rsidRDefault="00385DD6">
          <w:pPr>
            <w:pStyle w:val="Header"/>
            <w:jc w:val="left"/>
          </w:pPr>
          <w:r>
            <w:rPr>
              <w:noProof/>
              <w:lang w:eastAsia="en-GB"/>
            </w:rPr>
            <w:drawing>
              <wp:inline distT="0" distB="0" distL="0" distR="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13170A" w:rsidRDefault="00385DD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6019">
                <w:rPr>
                  <w:noProof/>
                </w:rPr>
                <w:t>4</w:t>
              </w:r>
              <w:r>
                <w:rPr>
                  <w:noProof/>
                </w:rPr>
                <w:fldChar w:fldCharType="end"/>
              </w:r>
            </w:sdtContent>
          </w:sdt>
        </w:p>
      </w:tc>
      <w:tc>
        <w:tcPr>
          <w:tcW w:w="3060" w:type="dxa"/>
          <w:vAlign w:val="bottom"/>
        </w:tcPr>
        <w:p w:rsidR="0013170A" w:rsidRDefault="00385DD6">
          <w:pPr>
            <w:pStyle w:val="Header"/>
            <w:jc w:val="right"/>
          </w:pPr>
          <w:r>
            <w:rPr>
              <w:noProof/>
              <w:lang w:eastAsia="en-GB"/>
            </w:rPr>
            <w:drawing>
              <wp:inline distT="0" distB="0" distL="0" distR="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13170A" w:rsidRDefault="0013170A">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3170A">
      <w:tc>
        <w:tcPr>
          <w:tcW w:w="1242" w:type="dxa"/>
        </w:tcPr>
        <w:p w:rsidR="0013170A" w:rsidRDefault="00385DD6">
          <w:pPr>
            <w:pStyle w:val="Footer"/>
          </w:pPr>
          <w:r>
            <w:rPr>
              <w:noProof/>
              <w:lang w:eastAsia="en-GB"/>
            </w:rPr>
            <w:drawing>
              <wp:inline distT="0" distB="0" distL="0" distR="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3170A" w:rsidRDefault="00385DD6">
          <w:pPr>
            <w:pStyle w:val="Footer"/>
            <w:jc w:val="left"/>
            <w:rPr>
              <w:i/>
            </w:rPr>
          </w:pPr>
          <w:r>
            <w:t>EGI-Engage is</w:t>
          </w:r>
          <w:r>
            <w:t xml:space="preserve"> co-funded by the Horizon 2020 Framework Programme of the European Union under grant number 654142. </w:t>
          </w:r>
          <w:r>
            <w:rPr>
              <w:i/>
            </w:rPr>
            <w:t>http://go.egi.eu/eng</w:t>
          </w:r>
        </w:p>
      </w:tc>
    </w:tr>
  </w:tbl>
  <w:p w:rsidR="0013170A" w:rsidRDefault="0013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D6" w:rsidRDefault="00385DD6">
      <w:pPr>
        <w:spacing w:after="0" w:line="240" w:lineRule="auto"/>
      </w:pPr>
      <w:r>
        <w:separator/>
      </w:r>
    </w:p>
  </w:footnote>
  <w:footnote w:type="continuationSeparator" w:id="0">
    <w:p w:rsidR="00385DD6" w:rsidRDefault="0038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3170A">
      <w:tc>
        <w:tcPr>
          <w:tcW w:w="4621" w:type="dxa"/>
        </w:tcPr>
        <w:p w:rsidR="0013170A" w:rsidRDefault="0013170A"/>
      </w:tc>
      <w:tc>
        <w:tcPr>
          <w:tcW w:w="4621" w:type="dxa"/>
        </w:tcPr>
        <w:p w:rsidR="0013170A" w:rsidRDefault="00385DD6">
          <w:pPr>
            <w:jc w:val="right"/>
          </w:pPr>
          <w:r>
            <w:t>EGI-Engage</w:t>
          </w:r>
        </w:p>
      </w:tc>
    </w:tr>
  </w:tbl>
  <w:p w:rsidR="0013170A" w:rsidRDefault="00385DD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0A"/>
    <w:rsid w:val="0013170A"/>
    <w:rsid w:val="001A77A6"/>
    <w:rsid w:val="00206019"/>
    <w:rsid w:val="00385DD6"/>
    <w:rsid w:val="003B257D"/>
    <w:rsid w:val="0041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Calibri" w:hAnsi="Calibri"/>
      <w:spacing w:val="2"/>
    </w:rPr>
  </w:style>
  <w:style w:type="paragraph" w:styleId="Heading1">
    <w:name w:val="heading 1"/>
    <w:basedOn w:val="Normal"/>
    <w:next w:val="Normal"/>
    <w:link w:val="Heading1Char"/>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Normal"/>
    <w:next w:val="Normal"/>
    <w:link w:val="Heading7Char"/>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Pr>
      <w:rFonts w:ascii="Calibri" w:eastAsiaTheme="majorEastAsia" w:hAnsi="Calibri" w:cstheme="majorBidi"/>
      <w:color w:val="0063AA"/>
    </w:rPr>
  </w:style>
  <w:style w:type="character" w:customStyle="1" w:styleId="Heading6Char">
    <w:name w:val="Heading 6 Char"/>
    <w:basedOn w:val="DefaultParagraphFont"/>
    <w:link w:val="Heading6"/>
    <w:uiPriority w:val="9"/>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pPr>
      <w:jc w:val="center"/>
    </w:pPr>
    <w:rPr>
      <w:b/>
      <w:i/>
      <w:sz w:val="44"/>
    </w:rPr>
  </w:style>
  <w:style w:type="character" w:customStyle="1" w:styleId="TitleChar">
    <w:name w:val="Title Char"/>
    <w:basedOn w:val="DefaultParagraphFont"/>
    <w:link w:val="Title"/>
    <w:uiPriority w:val="10"/>
    <w:rPr>
      <w:rFonts w:ascii="Open Sans" w:hAnsi="Open Sans"/>
      <w:b/>
      <w:i/>
      <w:spacing w:val="2"/>
      <w:sz w:val="44"/>
    </w:rPr>
  </w:style>
  <w:style w:type="paragraph" w:styleId="Subtitle">
    <w:name w:val="Subtitle"/>
    <w:basedOn w:val="Normal"/>
    <w:next w:val="Normal"/>
    <w:link w:val="SubtitleChar"/>
    <w:autoRedefine/>
    <w:uiPriority w:val="11"/>
    <w:qFormat/>
    <w:pPr>
      <w:jc w:val="center"/>
    </w:pPr>
    <w:rPr>
      <w:b/>
      <w:sz w:val="26"/>
    </w:rPr>
  </w:style>
  <w:style w:type="character" w:customStyle="1" w:styleId="SubtitleChar">
    <w:name w:val="Subtitle Char"/>
    <w:basedOn w:val="DefaultParagraphFont"/>
    <w:link w:val="Subtitle"/>
    <w:uiPriority w:val="11"/>
    <w:rPr>
      <w:rFonts w:ascii="Open Sans" w:hAnsi="Open Sans"/>
      <w:b/>
      <w:spacing w:val="2"/>
      <w:sz w:val="26"/>
    </w:rPr>
  </w:style>
  <w:style w:type="character" w:styleId="Strong">
    <w:name w:val="Strong"/>
    <w:basedOn w:val="DefaultParagraphFont"/>
    <w:uiPriority w:val="22"/>
    <w:qFormat/>
    <w:rPr>
      <w:b/>
      <w:bCs/>
    </w:rPr>
  </w:style>
  <w:style w:type="character" w:styleId="Emphasis">
    <w:name w:val="Emphasis"/>
    <w:uiPriority w:val="20"/>
    <w:qFormat/>
  </w:style>
  <w:style w:type="paragraph" w:styleId="NoSpacing">
    <w:name w:val="No Spacing"/>
    <w:basedOn w:val="Normal"/>
    <w:uiPriority w:val="1"/>
    <w:qFormat/>
    <w:pPr>
      <w:spacing w:after="0" w:line="240" w:lineRule="auto"/>
    </w:pPr>
  </w:style>
  <w:style w:type="paragraph" w:styleId="ListParagraph">
    <w:name w:val="List Paragraph"/>
    <w:basedOn w:val="Normal"/>
    <w:link w:val="ListParagraphChar"/>
    <w:uiPriority w:val="34"/>
    <w:qFormat/>
    <w:pPr>
      <w:ind w:left="720"/>
      <w:contextualSpacing/>
    </w:pPr>
    <w:rPr>
      <w:spacing w:val="0"/>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Open Sans" w:hAnsi="Open Sans"/>
      <w:i/>
      <w:iCs/>
      <w:color w:val="000000" w:themeColor="text1"/>
      <w:spacing w:val="2"/>
      <w:sz w:val="20"/>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Open Sans" w:hAnsi="Open Sans"/>
      <w:b/>
      <w:bCs/>
      <w:i/>
      <w:iCs/>
      <w:color w:val="4F81BD" w:themeColor="accent1"/>
      <w:spacing w:val="2"/>
      <w:sz w:val="20"/>
    </w:rPr>
  </w:style>
  <w:style w:type="character" w:styleId="SubtleEmphasis">
    <w:name w:val="Subtle Emphasis"/>
    <w:basedOn w:val="DefaultParagraphFont"/>
    <w:uiPriority w:val="19"/>
    <w:qFormat/>
    <w:rPr>
      <w:i/>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Pr>
      <w:b w:val="0"/>
      <w:i/>
      <w:color w:val="0067B1"/>
      <w:spacing w:val="10"/>
      <w:sz w:val="20"/>
    </w:rPr>
  </w:style>
  <w:style w:type="character" w:customStyle="1" w:styleId="authorChar">
    <w:name w:val="author Char"/>
    <w:basedOn w:val="SubtitleChar"/>
    <w:link w:val="author"/>
    <w:rPr>
      <w:rFonts w:ascii="Open Sans" w:hAnsi="Open Sans"/>
      <w:b w:val="0"/>
      <w:i/>
      <w:color w:val="0067B1"/>
      <w:spacing w:val="10"/>
      <w:sz w:val="20"/>
    </w:rPr>
  </w:style>
  <w:style w:type="paragraph" w:customStyle="1" w:styleId="Caption1">
    <w:name w:val="Caption1"/>
    <w:basedOn w:val="Normal"/>
    <w:next w:val="Normal"/>
    <w:link w:val="captionChar"/>
    <w:qFormat/>
    <w:pPr>
      <w:keepNext/>
      <w:spacing w:after="240"/>
      <w:jc w:val="center"/>
    </w:pPr>
    <w:rPr>
      <w:b/>
      <w:i/>
      <w:color w:val="0067B1"/>
    </w:rPr>
  </w:style>
  <w:style w:type="character" w:customStyle="1" w:styleId="captionChar">
    <w:name w:val="caption Char"/>
    <w:basedOn w:val="SubtitleChar"/>
    <w:link w:val="Caption1"/>
    <w:rPr>
      <w:rFonts w:ascii="Calibri" w:hAnsi="Calibri"/>
      <w:b/>
      <w:i/>
      <w:color w:val="0067B1"/>
      <w:spacing w:val="2"/>
      <w:sz w:val="26"/>
    </w:rPr>
  </w:style>
  <w:style w:type="paragraph" w:customStyle="1" w:styleId="corresponding">
    <w:name w:val="corresponding"/>
    <w:basedOn w:val="author"/>
    <w:next w:val="Normal"/>
    <w:link w:val="correspondingChar"/>
    <w:rPr>
      <w:spacing w:val="15"/>
    </w:rPr>
  </w:style>
  <w:style w:type="character" w:customStyle="1" w:styleId="correspondingChar">
    <w:name w:val="corresponding Char"/>
    <w:basedOn w:val="SubtitleChar"/>
    <w:link w:val="corresponding"/>
    <w:rPr>
      <w:rFonts w:ascii="Open Sans" w:hAnsi="Open Sans"/>
      <w:b/>
      <w:spacing w:val="2"/>
      <w:sz w:val="20"/>
    </w:rPr>
  </w:style>
  <w:style w:type="paragraph" w:styleId="Caption">
    <w:name w:val="caption"/>
    <w:basedOn w:val="Normal"/>
    <w:next w:val="Normal"/>
    <w:uiPriority w:val="35"/>
    <w:semiHidden/>
    <w:unhideWhenUsed/>
    <w:qFormat/>
    <w:pPr>
      <w:spacing w:after="240" w:line="240" w:lineRule="auto"/>
    </w:pPr>
    <w:rPr>
      <w:b/>
      <w:bCs/>
      <w:color w:val="4F81BD" w:themeColor="accent1"/>
      <w:sz w:val="18"/>
      <w:szCs w:val="18"/>
    </w:rPr>
  </w:style>
  <w:style w:type="character" w:customStyle="1" w:styleId="ListParagraphChar">
    <w:name w:val="List Paragraph Char"/>
    <w:link w:val="ListParagraph"/>
    <w:uiPriority w:val="34"/>
    <w:rPr>
      <w:rFonts w:ascii="Open Sans" w:hAnsi="Open Sans"/>
      <w:sz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pacing w:val="2"/>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Open Sans" w:hAnsi="Open Sans"/>
      <w:spacing w:val="2"/>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Open Sans" w:hAnsi="Open Sans"/>
      <w:spacing w:val="2"/>
      <w:sz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Cs w:val="20"/>
    </w:rPr>
  </w:style>
  <w:style w:type="character" w:customStyle="1" w:styleId="CommentTextChar">
    <w:name w:val="Comment Text Char"/>
    <w:basedOn w:val="DefaultParagraphFont"/>
    <w:link w:val="CommentText"/>
    <w:uiPriority w:val="99"/>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Open Sans" w:hAnsi="Open Sans"/>
      <w:b/>
      <w:bCs/>
      <w:spacing w:val="2"/>
      <w:sz w:val="20"/>
      <w:szCs w:val="20"/>
    </w:rPr>
  </w:style>
  <w:style w:type="character" w:styleId="PlaceholderText">
    <w:name w:val="Placeholder Text"/>
    <w:basedOn w:val="DefaultParagraphFont"/>
    <w:uiPriority w:val="99"/>
    <w:semiHidden/>
    <w:rPr>
      <w:color w:val="808080"/>
    </w:rPr>
  </w:style>
  <w:style w:type="paragraph" w:customStyle="1" w:styleId="Appendix">
    <w:name w:val="Appendix"/>
    <w:basedOn w:val="Heading1"/>
    <w:next w:val="Normal"/>
    <w:link w:val="AppendixChar"/>
    <w:qFormat/>
    <w:pPr>
      <w:numPr>
        <w:numId w:val="16"/>
      </w:numPr>
    </w:pPr>
    <w:rPr>
      <w:color w:val="0070C0"/>
      <w:szCs w:val="40"/>
    </w:rPr>
  </w:style>
  <w:style w:type="character" w:customStyle="1" w:styleId="AppendixChar">
    <w:name w:val="Appendix Char"/>
    <w:basedOn w:val="ListParagraphChar"/>
    <w:link w:val="Appendix"/>
    <w:rPr>
      <w:rFonts w:ascii="Calibri" w:eastAsiaTheme="majorEastAsia" w:hAnsi="Calibri" w:cstheme="majorBidi"/>
      <w:b/>
      <w:bCs/>
      <w:color w:val="0070C0"/>
      <w:sz w:val="40"/>
      <w:szCs w:val="40"/>
    </w:rPr>
  </w:style>
  <w:style w:type="character" w:customStyle="1" w:styleId="watch-title">
    <w:name w:val="watch-tit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Calibri" w:hAnsi="Calibri"/>
      <w:spacing w:val="2"/>
    </w:rPr>
  </w:style>
  <w:style w:type="paragraph" w:styleId="Heading1">
    <w:name w:val="heading 1"/>
    <w:basedOn w:val="Normal"/>
    <w:next w:val="Normal"/>
    <w:link w:val="Heading1Char"/>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Normal"/>
    <w:next w:val="Normal"/>
    <w:link w:val="Heading7Char"/>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Pr>
      <w:rFonts w:ascii="Calibri" w:eastAsiaTheme="majorEastAsia" w:hAnsi="Calibri" w:cstheme="majorBidi"/>
      <w:color w:val="0063AA"/>
    </w:rPr>
  </w:style>
  <w:style w:type="character" w:customStyle="1" w:styleId="Heading6Char">
    <w:name w:val="Heading 6 Char"/>
    <w:basedOn w:val="DefaultParagraphFont"/>
    <w:link w:val="Heading6"/>
    <w:uiPriority w:val="9"/>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pPr>
      <w:jc w:val="center"/>
    </w:pPr>
    <w:rPr>
      <w:b/>
      <w:i/>
      <w:sz w:val="44"/>
    </w:rPr>
  </w:style>
  <w:style w:type="character" w:customStyle="1" w:styleId="TitleChar">
    <w:name w:val="Title Char"/>
    <w:basedOn w:val="DefaultParagraphFont"/>
    <w:link w:val="Title"/>
    <w:uiPriority w:val="10"/>
    <w:rPr>
      <w:rFonts w:ascii="Open Sans" w:hAnsi="Open Sans"/>
      <w:b/>
      <w:i/>
      <w:spacing w:val="2"/>
      <w:sz w:val="44"/>
    </w:rPr>
  </w:style>
  <w:style w:type="paragraph" w:styleId="Subtitle">
    <w:name w:val="Subtitle"/>
    <w:basedOn w:val="Normal"/>
    <w:next w:val="Normal"/>
    <w:link w:val="SubtitleChar"/>
    <w:autoRedefine/>
    <w:uiPriority w:val="11"/>
    <w:qFormat/>
    <w:pPr>
      <w:jc w:val="center"/>
    </w:pPr>
    <w:rPr>
      <w:b/>
      <w:sz w:val="26"/>
    </w:rPr>
  </w:style>
  <w:style w:type="character" w:customStyle="1" w:styleId="SubtitleChar">
    <w:name w:val="Subtitle Char"/>
    <w:basedOn w:val="DefaultParagraphFont"/>
    <w:link w:val="Subtitle"/>
    <w:uiPriority w:val="11"/>
    <w:rPr>
      <w:rFonts w:ascii="Open Sans" w:hAnsi="Open Sans"/>
      <w:b/>
      <w:spacing w:val="2"/>
      <w:sz w:val="26"/>
    </w:rPr>
  </w:style>
  <w:style w:type="character" w:styleId="Strong">
    <w:name w:val="Strong"/>
    <w:basedOn w:val="DefaultParagraphFont"/>
    <w:uiPriority w:val="22"/>
    <w:qFormat/>
    <w:rPr>
      <w:b/>
      <w:bCs/>
    </w:rPr>
  </w:style>
  <w:style w:type="character" w:styleId="Emphasis">
    <w:name w:val="Emphasis"/>
    <w:uiPriority w:val="20"/>
    <w:qFormat/>
  </w:style>
  <w:style w:type="paragraph" w:styleId="NoSpacing">
    <w:name w:val="No Spacing"/>
    <w:basedOn w:val="Normal"/>
    <w:uiPriority w:val="1"/>
    <w:qFormat/>
    <w:pPr>
      <w:spacing w:after="0" w:line="240" w:lineRule="auto"/>
    </w:pPr>
  </w:style>
  <w:style w:type="paragraph" w:styleId="ListParagraph">
    <w:name w:val="List Paragraph"/>
    <w:basedOn w:val="Normal"/>
    <w:link w:val="ListParagraphChar"/>
    <w:uiPriority w:val="34"/>
    <w:qFormat/>
    <w:pPr>
      <w:ind w:left="720"/>
      <w:contextualSpacing/>
    </w:pPr>
    <w:rPr>
      <w:spacing w:val="0"/>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Open Sans" w:hAnsi="Open Sans"/>
      <w:i/>
      <w:iCs/>
      <w:color w:val="000000" w:themeColor="text1"/>
      <w:spacing w:val="2"/>
      <w:sz w:val="20"/>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Open Sans" w:hAnsi="Open Sans"/>
      <w:b/>
      <w:bCs/>
      <w:i/>
      <w:iCs/>
      <w:color w:val="4F81BD" w:themeColor="accent1"/>
      <w:spacing w:val="2"/>
      <w:sz w:val="20"/>
    </w:rPr>
  </w:style>
  <w:style w:type="character" w:styleId="SubtleEmphasis">
    <w:name w:val="Subtle Emphasis"/>
    <w:basedOn w:val="DefaultParagraphFont"/>
    <w:uiPriority w:val="19"/>
    <w:qFormat/>
    <w:rPr>
      <w:i/>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Pr>
      <w:b w:val="0"/>
      <w:i/>
      <w:color w:val="0067B1"/>
      <w:spacing w:val="10"/>
      <w:sz w:val="20"/>
    </w:rPr>
  </w:style>
  <w:style w:type="character" w:customStyle="1" w:styleId="authorChar">
    <w:name w:val="author Char"/>
    <w:basedOn w:val="SubtitleChar"/>
    <w:link w:val="author"/>
    <w:rPr>
      <w:rFonts w:ascii="Open Sans" w:hAnsi="Open Sans"/>
      <w:b w:val="0"/>
      <w:i/>
      <w:color w:val="0067B1"/>
      <w:spacing w:val="10"/>
      <w:sz w:val="20"/>
    </w:rPr>
  </w:style>
  <w:style w:type="paragraph" w:customStyle="1" w:styleId="Caption1">
    <w:name w:val="Caption1"/>
    <w:basedOn w:val="Normal"/>
    <w:next w:val="Normal"/>
    <w:link w:val="captionChar"/>
    <w:qFormat/>
    <w:pPr>
      <w:keepNext/>
      <w:spacing w:after="240"/>
      <w:jc w:val="center"/>
    </w:pPr>
    <w:rPr>
      <w:b/>
      <w:i/>
      <w:color w:val="0067B1"/>
    </w:rPr>
  </w:style>
  <w:style w:type="character" w:customStyle="1" w:styleId="captionChar">
    <w:name w:val="caption Char"/>
    <w:basedOn w:val="SubtitleChar"/>
    <w:link w:val="Caption1"/>
    <w:rPr>
      <w:rFonts w:ascii="Calibri" w:hAnsi="Calibri"/>
      <w:b/>
      <w:i/>
      <w:color w:val="0067B1"/>
      <w:spacing w:val="2"/>
      <w:sz w:val="26"/>
    </w:rPr>
  </w:style>
  <w:style w:type="paragraph" w:customStyle="1" w:styleId="corresponding">
    <w:name w:val="corresponding"/>
    <w:basedOn w:val="author"/>
    <w:next w:val="Normal"/>
    <w:link w:val="correspondingChar"/>
    <w:rPr>
      <w:spacing w:val="15"/>
    </w:rPr>
  </w:style>
  <w:style w:type="character" w:customStyle="1" w:styleId="correspondingChar">
    <w:name w:val="corresponding Char"/>
    <w:basedOn w:val="SubtitleChar"/>
    <w:link w:val="corresponding"/>
    <w:rPr>
      <w:rFonts w:ascii="Open Sans" w:hAnsi="Open Sans"/>
      <w:b/>
      <w:spacing w:val="2"/>
      <w:sz w:val="20"/>
    </w:rPr>
  </w:style>
  <w:style w:type="paragraph" w:styleId="Caption">
    <w:name w:val="caption"/>
    <w:basedOn w:val="Normal"/>
    <w:next w:val="Normal"/>
    <w:uiPriority w:val="35"/>
    <w:semiHidden/>
    <w:unhideWhenUsed/>
    <w:qFormat/>
    <w:pPr>
      <w:spacing w:after="240" w:line="240" w:lineRule="auto"/>
    </w:pPr>
    <w:rPr>
      <w:b/>
      <w:bCs/>
      <w:color w:val="4F81BD" w:themeColor="accent1"/>
      <w:sz w:val="18"/>
      <w:szCs w:val="18"/>
    </w:rPr>
  </w:style>
  <w:style w:type="character" w:customStyle="1" w:styleId="ListParagraphChar">
    <w:name w:val="List Paragraph Char"/>
    <w:link w:val="ListParagraph"/>
    <w:uiPriority w:val="34"/>
    <w:rPr>
      <w:rFonts w:ascii="Open Sans" w:hAnsi="Open Sans"/>
      <w:sz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pacing w:val="2"/>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Open Sans" w:hAnsi="Open Sans"/>
      <w:spacing w:val="2"/>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Open Sans" w:hAnsi="Open Sans"/>
      <w:spacing w:val="2"/>
      <w:sz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Cs w:val="20"/>
    </w:rPr>
  </w:style>
  <w:style w:type="character" w:customStyle="1" w:styleId="CommentTextChar">
    <w:name w:val="Comment Text Char"/>
    <w:basedOn w:val="DefaultParagraphFont"/>
    <w:link w:val="CommentText"/>
    <w:uiPriority w:val="99"/>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Open Sans" w:hAnsi="Open Sans"/>
      <w:b/>
      <w:bCs/>
      <w:spacing w:val="2"/>
      <w:sz w:val="20"/>
      <w:szCs w:val="20"/>
    </w:rPr>
  </w:style>
  <w:style w:type="character" w:styleId="PlaceholderText">
    <w:name w:val="Placeholder Text"/>
    <w:basedOn w:val="DefaultParagraphFont"/>
    <w:uiPriority w:val="99"/>
    <w:semiHidden/>
    <w:rPr>
      <w:color w:val="808080"/>
    </w:rPr>
  </w:style>
  <w:style w:type="paragraph" w:customStyle="1" w:styleId="Appendix">
    <w:name w:val="Appendix"/>
    <w:basedOn w:val="Heading1"/>
    <w:next w:val="Normal"/>
    <w:link w:val="AppendixChar"/>
    <w:qFormat/>
    <w:pPr>
      <w:numPr>
        <w:numId w:val="16"/>
      </w:numPr>
    </w:pPr>
    <w:rPr>
      <w:color w:val="0070C0"/>
      <w:szCs w:val="40"/>
    </w:rPr>
  </w:style>
  <w:style w:type="character" w:customStyle="1" w:styleId="AppendixChar">
    <w:name w:val="Appendix Char"/>
    <w:basedOn w:val="ListParagraphChar"/>
    <w:link w:val="Appendix"/>
    <w:rPr>
      <w:rFonts w:ascii="Calibri" w:eastAsiaTheme="majorEastAsia" w:hAnsi="Calibri" w:cstheme="majorBidi"/>
      <w:b/>
      <w:bCs/>
      <w:color w:val="0070C0"/>
      <w:sz w:val="40"/>
      <w:szCs w:val="40"/>
    </w:rPr>
  </w:style>
  <w:style w:type="character" w:customStyle="1" w:styleId="watch-title">
    <w:name w:val="watch-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4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664A-F896-42E4-AA46-F0F6F1B7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876</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3</cp:revision>
  <dcterms:created xsi:type="dcterms:W3CDTF">2015-06-02T14:47:00Z</dcterms:created>
  <dcterms:modified xsi:type="dcterms:W3CDTF">2015-06-02T15:02:00Z</dcterms:modified>
</cp:coreProperties>
</file>