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48E4705" w14:textId="527880A7" w:rsidR="00201186" w:rsidRPr="00AE4E63" w:rsidRDefault="00201186" w:rsidP="004538FB">
      <w:pPr>
        <w:pStyle w:val="Caption"/>
        <w:spacing w:before="40" w:after="40"/>
      </w:pPr>
    </w:p>
    <w:p w14:paraId="037F1052" w14:textId="77777777" w:rsidR="00E359CD" w:rsidRDefault="00E359CD" w:rsidP="00E359CD">
      <w:pPr>
        <w:jc w:val="center"/>
        <w:rPr>
          <w:b/>
          <w:sz w:val="32"/>
        </w:rPr>
      </w:pPr>
      <w:r w:rsidRPr="00AF4A89">
        <w:rPr>
          <w:b/>
          <w:sz w:val="32"/>
        </w:rPr>
        <w:t xml:space="preserve">EGI.eu Core services performance report </w:t>
      </w:r>
    </w:p>
    <w:p w14:paraId="6615FE45" w14:textId="285D6395" w:rsidR="00EF4CC1" w:rsidRDefault="00E359CD" w:rsidP="00E359CD">
      <w:pPr>
        <w:jc w:val="center"/>
        <w:rPr>
          <w:b/>
          <w:sz w:val="32"/>
        </w:rPr>
      </w:pPr>
      <w:r w:rsidRPr="00AF4A89">
        <w:rPr>
          <w:b/>
          <w:sz w:val="32"/>
        </w:rPr>
        <w:t>May</w:t>
      </w:r>
      <w:r>
        <w:rPr>
          <w:b/>
          <w:sz w:val="32"/>
        </w:rPr>
        <w:t xml:space="preserve"> </w:t>
      </w:r>
      <w:r w:rsidRPr="00AF4A89">
        <w:rPr>
          <w:b/>
          <w:sz w:val="32"/>
        </w:rPr>
        <w:t>-</w:t>
      </w:r>
      <w:r>
        <w:rPr>
          <w:b/>
          <w:sz w:val="32"/>
        </w:rPr>
        <w:t xml:space="preserve"> </w:t>
      </w:r>
      <w:r w:rsidRPr="00AF4A89">
        <w:rPr>
          <w:b/>
          <w:sz w:val="32"/>
        </w:rPr>
        <w:t>October 2014</w:t>
      </w:r>
    </w:p>
    <w:p w14:paraId="21C20726" w14:textId="77777777" w:rsidR="00E359CD" w:rsidRDefault="00E359CD" w:rsidP="00E359CD">
      <w:pPr>
        <w:jc w:val="center"/>
        <w:rPr>
          <w:b/>
          <w:sz w:val="32"/>
        </w:rPr>
      </w:pPr>
    </w:p>
    <w:sdt>
      <w:sdtPr>
        <w:id w:val="1891758211"/>
        <w:docPartObj>
          <w:docPartGallery w:val="Table of Contents"/>
          <w:docPartUnique/>
        </w:docPartObj>
      </w:sdtPr>
      <w:sdtEndPr>
        <w:rPr>
          <w:rFonts w:eastAsia="Times New Roman" w:cs="Times New Roman"/>
          <w:noProof/>
          <w:color w:val="auto"/>
          <w:sz w:val="22"/>
          <w:szCs w:val="24"/>
        </w:rPr>
      </w:sdtEndPr>
      <w:sdtContent>
        <w:p w14:paraId="281F6E99" w14:textId="0248A7FA" w:rsidR="00E359CD" w:rsidRDefault="00E359CD">
          <w:pPr>
            <w:pStyle w:val="TOCHeading"/>
          </w:pPr>
          <w:r>
            <w:t>Contents</w:t>
          </w:r>
        </w:p>
        <w:p w14:paraId="1873643A" w14:textId="77777777" w:rsidR="001B0136" w:rsidRDefault="00E359CD">
          <w:pPr>
            <w:pStyle w:val="TOC1"/>
            <w:tabs>
              <w:tab w:val="right" w:leader="dot" w:pos="9771"/>
            </w:tabs>
            <w:rPr>
              <w:rFonts w:eastAsiaTheme="minorEastAsia" w:cstheme="minorBidi"/>
              <w:b w:val="0"/>
              <w:noProof/>
              <w:szCs w:val="22"/>
              <w:lang w:eastAsia="en-GB"/>
            </w:rPr>
          </w:pPr>
          <w:r>
            <w:fldChar w:fldCharType="begin"/>
          </w:r>
          <w:r>
            <w:instrText xml:space="preserve"> TOC \o "1-3" \h \z \u </w:instrText>
          </w:r>
          <w:r>
            <w:fldChar w:fldCharType="separate"/>
          </w:r>
          <w:hyperlink w:anchor="_Toc423098854" w:history="1">
            <w:r w:rsidR="001B0136" w:rsidRPr="00895F83">
              <w:rPr>
                <w:rStyle w:val="Hyperlink"/>
                <w:noProof/>
              </w:rPr>
              <w:t>EGI.eu Core Services/Activities</w:t>
            </w:r>
            <w:r w:rsidR="001B0136">
              <w:rPr>
                <w:noProof/>
                <w:webHidden/>
              </w:rPr>
              <w:tab/>
            </w:r>
            <w:r w:rsidR="001B0136">
              <w:rPr>
                <w:noProof/>
                <w:webHidden/>
              </w:rPr>
              <w:fldChar w:fldCharType="begin"/>
            </w:r>
            <w:r w:rsidR="001B0136">
              <w:rPr>
                <w:noProof/>
                <w:webHidden/>
              </w:rPr>
              <w:instrText xml:space="preserve"> PAGEREF _Toc423098854 \h </w:instrText>
            </w:r>
            <w:r w:rsidR="001B0136">
              <w:rPr>
                <w:noProof/>
                <w:webHidden/>
              </w:rPr>
            </w:r>
            <w:r w:rsidR="001B0136">
              <w:rPr>
                <w:noProof/>
                <w:webHidden/>
              </w:rPr>
              <w:fldChar w:fldCharType="separate"/>
            </w:r>
            <w:r w:rsidR="001B0136">
              <w:rPr>
                <w:noProof/>
                <w:webHidden/>
              </w:rPr>
              <w:t>1</w:t>
            </w:r>
            <w:r w:rsidR="001B0136">
              <w:rPr>
                <w:noProof/>
                <w:webHidden/>
              </w:rPr>
              <w:fldChar w:fldCharType="end"/>
            </w:r>
          </w:hyperlink>
        </w:p>
        <w:p w14:paraId="1DD8C7C2" w14:textId="77777777" w:rsidR="001B0136" w:rsidRDefault="001B0136">
          <w:pPr>
            <w:pStyle w:val="TOC1"/>
            <w:tabs>
              <w:tab w:val="right" w:leader="dot" w:pos="9771"/>
            </w:tabs>
            <w:rPr>
              <w:rFonts w:eastAsiaTheme="minorEastAsia" w:cstheme="minorBidi"/>
              <w:b w:val="0"/>
              <w:noProof/>
              <w:szCs w:val="22"/>
              <w:lang w:eastAsia="en-GB"/>
            </w:rPr>
          </w:pPr>
          <w:hyperlink w:anchor="_Toc423098855" w:history="1">
            <w:r w:rsidRPr="00895F83">
              <w:rPr>
                <w:rStyle w:val="Hyperlink"/>
                <w:noProof/>
              </w:rPr>
              <w:t>Performance report summary</w:t>
            </w:r>
            <w:r>
              <w:rPr>
                <w:noProof/>
                <w:webHidden/>
              </w:rPr>
              <w:tab/>
            </w:r>
            <w:r>
              <w:rPr>
                <w:noProof/>
                <w:webHidden/>
              </w:rPr>
              <w:fldChar w:fldCharType="begin"/>
            </w:r>
            <w:r>
              <w:rPr>
                <w:noProof/>
                <w:webHidden/>
              </w:rPr>
              <w:instrText xml:space="preserve"> PAGEREF _Toc423098855 \h </w:instrText>
            </w:r>
            <w:r>
              <w:rPr>
                <w:noProof/>
                <w:webHidden/>
              </w:rPr>
            </w:r>
            <w:r>
              <w:rPr>
                <w:noProof/>
                <w:webHidden/>
              </w:rPr>
              <w:fldChar w:fldCharType="separate"/>
            </w:r>
            <w:r>
              <w:rPr>
                <w:noProof/>
                <w:webHidden/>
              </w:rPr>
              <w:t>2</w:t>
            </w:r>
            <w:r>
              <w:rPr>
                <w:noProof/>
                <w:webHidden/>
              </w:rPr>
              <w:fldChar w:fldCharType="end"/>
            </w:r>
          </w:hyperlink>
        </w:p>
        <w:p w14:paraId="20742A48"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56" w:history="1">
            <w:r w:rsidRPr="00895F83">
              <w:rPr>
                <w:rStyle w:val="Hyperlink"/>
                <w:noProof/>
              </w:rPr>
              <w:t>1.1</w:t>
            </w:r>
            <w:r>
              <w:rPr>
                <w:rFonts w:eastAsiaTheme="minorEastAsia" w:cstheme="minorBidi"/>
                <w:i w:val="0"/>
                <w:noProof/>
                <w:szCs w:val="22"/>
                <w:lang w:eastAsia="en-GB"/>
              </w:rPr>
              <w:tab/>
            </w:r>
            <w:r w:rsidRPr="00895F83">
              <w:rPr>
                <w:rStyle w:val="Hyperlink"/>
                <w:noProof/>
              </w:rPr>
              <w:t>Message Broker Network</w:t>
            </w:r>
            <w:r>
              <w:rPr>
                <w:noProof/>
                <w:webHidden/>
              </w:rPr>
              <w:tab/>
            </w:r>
            <w:r>
              <w:rPr>
                <w:noProof/>
                <w:webHidden/>
              </w:rPr>
              <w:fldChar w:fldCharType="begin"/>
            </w:r>
            <w:r>
              <w:rPr>
                <w:noProof/>
                <w:webHidden/>
              </w:rPr>
              <w:instrText xml:space="preserve"> PAGEREF _Toc423098856 \h </w:instrText>
            </w:r>
            <w:r>
              <w:rPr>
                <w:noProof/>
                <w:webHidden/>
              </w:rPr>
            </w:r>
            <w:r>
              <w:rPr>
                <w:noProof/>
                <w:webHidden/>
              </w:rPr>
              <w:fldChar w:fldCharType="separate"/>
            </w:r>
            <w:r>
              <w:rPr>
                <w:noProof/>
                <w:webHidden/>
              </w:rPr>
              <w:t>2</w:t>
            </w:r>
            <w:r>
              <w:rPr>
                <w:noProof/>
                <w:webHidden/>
              </w:rPr>
              <w:fldChar w:fldCharType="end"/>
            </w:r>
          </w:hyperlink>
        </w:p>
        <w:p w14:paraId="2386C69A"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57" w:history="1">
            <w:r w:rsidRPr="00895F83">
              <w:rPr>
                <w:rStyle w:val="Hyperlink"/>
                <w:noProof/>
              </w:rPr>
              <w:t>1.2</w:t>
            </w:r>
            <w:r>
              <w:rPr>
                <w:rFonts w:eastAsiaTheme="minorEastAsia" w:cstheme="minorBidi"/>
                <w:i w:val="0"/>
                <w:noProof/>
                <w:szCs w:val="22"/>
                <w:lang w:eastAsia="en-GB"/>
              </w:rPr>
              <w:tab/>
            </w:r>
            <w:r w:rsidRPr="00895F83">
              <w:rPr>
                <w:rStyle w:val="Hyperlink"/>
                <w:noProof/>
              </w:rPr>
              <w:t>Operations Portal</w:t>
            </w:r>
            <w:r>
              <w:rPr>
                <w:noProof/>
                <w:webHidden/>
              </w:rPr>
              <w:tab/>
            </w:r>
            <w:r>
              <w:rPr>
                <w:noProof/>
                <w:webHidden/>
              </w:rPr>
              <w:fldChar w:fldCharType="begin"/>
            </w:r>
            <w:r>
              <w:rPr>
                <w:noProof/>
                <w:webHidden/>
              </w:rPr>
              <w:instrText xml:space="preserve"> PAGEREF _Toc423098857 \h </w:instrText>
            </w:r>
            <w:r>
              <w:rPr>
                <w:noProof/>
                <w:webHidden/>
              </w:rPr>
            </w:r>
            <w:r>
              <w:rPr>
                <w:noProof/>
                <w:webHidden/>
              </w:rPr>
              <w:fldChar w:fldCharType="separate"/>
            </w:r>
            <w:r>
              <w:rPr>
                <w:noProof/>
                <w:webHidden/>
              </w:rPr>
              <w:t>2</w:t>
            </w:r>
            <w:r>
              <w:rPr>
                <w:noProof/>
                <w:webHidden/>
              </w:rPr>
              <w:fldChar w:fldCharType="end"/>
            </w:r>
          </w:hyperlink>
        </w:p>
        <w:p w14:paraId="047DCF80"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58" w:history="1">
            <w:r w:rsidRPr="00895F83">
              <w:rPr>
                <w:rStyle w:val="Hyperlink"/>
                <w:noProof/>
              </w:rPr>
              <w:t>1.3</w:t>
            </w:r>
            <w:r>
              <w:rPr>
                <w:rFonts w:eastAsiaTheme="minorEastAsia" w:cstheme="minorBidi"/>
                <w:i w:val="0"/>
                <w:noProof/>
                <w:szCs w:val="22"/>
                <w:lang w:eastAsia="en-GB"/>
              </w:rPr>
              <w:tab/>
            </w:r>
            <w:r w:rsidRPr="00895F83">
              <w:rPr>
                <w:rStyle w:val="Hyperlink"/>
                <w:noProof/>
              </w:rPr>
              <w:t>Accounting Repository</w:t>
            </w:r>
            <w:r>
              <w:rPr>
                <w:noProof/>
                <w:webHidden/>
              </w:rPr>
              <w:tab/>
            </w:r>
            <w:r>
              <w:rPr>
                <w:noProof/>
                <w:webHidden/>
              </w:rPr>
              <w:fldChar w:fldCharType="begin"/>
            </w:r>
            <w:r>
              <w:rPr>
                <w:noProof/>
                <w:webHidden/>
              </w:rPr>
              <w:instrText xml:space="preserve"> PAGEREF _Toc423098858 \h </w:instrText>
            </w:r>
            <w:r>
              <w:rPr>
                <w:noProof/>
                <w:webHidden/>
              </w:rPr>
            </w:r>
            <w:r>
              <w:rPr>
                <w:noProof/>
                <w:webHidden/>
              </w:rPr>
              <w:fldChar w:fldCharType="separate"/>
            </w:r>
            <w:r>
              <w:rPr>
                <w:noProof/>
                <w:webHidden/>
              </w:rPr>
              <w:t>3</w:t>
            </w:r>
            <w:r>
              <w:rPr>
                <w:noProof/>
                <w:webHidden/>
              </w:rPr>
              <w:fldChar w:fldCharType="end"/>
            </w:r>
          </w:hyperlink>
        </w:p>
        <w:p w14:paraId="698E14E6"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59" w:history="1">
            <w:r w:rsidRPr="00895F83">
              <w:rPr>
                <w:rStyle w:val="Hyperlink"/>
                <w:noProof/>
              </w:rPr>
              <w:t>1.4</w:t>
            </w:r>
            <w:r>
              <w:rPr>
                <w:rFonts w:eastAsiaTheme="minorEastAsia" w:cstheme="minorBidi"/>
                <w:i w:val="0"/>
                <w:noProof/>
                <w:szCs w:val="22"/>
                <w:lang w:eastAsia="en-GB"/>
              </w:rPr>
              <w:tab/>
            </w:r>
            <w:r w:rsidRPr="00895F83">
              <w:rPr>
                <w:rStyle w:val="Hyperlink"/>
                <w:noProof/>
              </w:rPr>
              <w:t>Accounting and Metric Portal</w:t>
            </w:r>
            <w:r>
              <w:rPr>
                <w:noProof/>
                <w:webHidden/>
              </w:rPr>
              <w:tab/>
            </w:r>
            <w:r>
              <w:rPr>
                <w:noProof/>
                <w:webHidden/>
              </w:rPr>
              <w:fldChar w:fldCharType="begin"/>
            </w:r>
            <w:r>
              <w:rPr>
                <w:noProof/>
                <w:webHidden/>
              </w:rPr>
              <w:instrText xml:space="preserve"> PAGEREF _Toc423098859 \h </w:instrText>
            </w:r>
            <w:r>
              <w:rPr>
                <w:noProof/>
                <w:webHidden/>
              </w:rPr>
            </w:r>
            <w:r>
              <w:rPr>
                <w:noProof/>
                <w:webHidden/>
              </w:rPr>
              <w:fldChar w:fldCharType="separate"/>
            </w:r>
            <w:r>
              <w:rPr>
                <w:noProof/>
                <w:webHidden/>
              </w:rPr>
              <w:t>4</w:t>
            </w:r>
            <w:r>
              <w:rPr>
                <w:noProof/>
                <w:webHidden/>
              </w:rPr>
              <w:fldChar w:fldCharType="end"/>
            </w:r>
          </w:hyperlink>
        </w:p>
        <w:p w14:paraId="0AC4ACA0"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0" w:history="1">
            <w:r w:rsidRPr="00895F83">
              <w:rPr>
                <w:rStyle w:val="Hyperlink"/>
                <w:noProof/>
              </w:rPr>
              <w:t>1.5</w:t>
            </w:r>
            <w:r>
              <w:rPr>
                <w:rFonts w:eastAsiaTheme="minorEastAsia" w:cstheme="minorBidi"/>
                <w:i w:val="0"/>
                <w:noProof/>
                <w:szCs w:val="22"/>
                <w:lang w:eastAsia="en-GB"/>
              </w:rPr>
              <w:tab/>
            </w:r>
            <w:r w:rsidRPr="00895F83">
              <w:rPr>
                <w:rStyle w:val="Hyperlink"/>
                <w:noProof/>
              </w:rPr>
              <w:t>SAM central services</w:t>
            </w:r>
            <w:r>
              <w:rPr>
                <w:noProof/>
                <w:webHidden/>
              </w:rPr>
              <w:tab/>
            </w:r>
            <w:r>
              <w:rPr>
                <w:noProof/>
                <w:webHidden/>
              </w:rPr>
              <w:fldChar w:fldCharType="begin"/>
            </w:r>
            <w:r>
              <w:rPr>
                <w:noProof/>
                <w:webHidden/>
              </w:rPr>
              <w:instrText xml:space="preserve"> PAGEREF _Toc423098860 \h </w:instrText>
            </w:r>
            <w:r>
              <w:rPr>
                <w:noProof/>
                <w:webHidden/>
              </w:rPr>
            </w:r>
            <w:r>
              <w:rPr>
                <w:noProof/>
                <w:webHidden/>
              </w:rPr>
              <w:fldChar w:fldCharType="separate"/>
            </w:r>
            <w:r>
              <w:rPr>
                <w:noProof/>
                <w:webHidden/>
              </w:rPr>
              <w:t>4</w:t>
            </w:r>
            <w:r>
              <w:rPr>
                <w:noProof/>
                <w:webHidden/>
              </w:rPr>
              <w:fldChar w:fldCharType="end"/>
            </w:r>
          </w:hyperlink>
        </w:p>
        <w:p w14:paraId="361F2D46"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1" w:history="1">
            <w:r w:rsidRPr="00895F83">
              <w:rPr>
                <w:rStyle w:val="Hyperlink"/>
                <w:noProof/>
              </w:rPr>
              <w:t>1.6</w:t>
            </w:r>
            <w:r>
              <w:rPr>
                <w:rFonts w:eastAsiaTheme="minorEastAsia" w:cstheme="minorBidi"/>
                <w:i w:val="0"/>
                <w:noProof/>
                <w:szCs w:val="22"/>
                <w:lang w:eastAsia="en-GB"/>
              </w:rPr>
              <w:tab/>
            </w:r>
            <w:r w:rsidRPr="00895F83">
              <w:rPr>
                <w:rStyle w:val="Hyperlink"/>
                <w:noProof/>
              </w:rPr>
              <w:t>Monitoring central services</w:t>
            </w:r>
            <w:r>
              <w:rPr>
                <w:noProof/>
                <w:webHidden/>
              </w:rPr>
              <w:tab/>
            </w:r>
            <w:r>
              <w:rPr>
                <w:noProof/>
                <w:webHidden/>
              </w:rPr>
              <w:fldChar w:fldCharType="begin"/>
            </w:r>
            <w:r>
              <w:rPr>
                <w:noProof/>
                <w:webHidden/>
              </w:rPr>
              <w:instrText xml:space="preserve"> PAGEREF _Toc423098861 \h </w:instrText>
            </w:r>
            <w:r>
              <w:rPr>
                <w:noProof/>
                <w:webHidden/>
              </w:rPr>
            </w:r>
            <w:r>
              <w:rPr>
                <w:noProof/>
                <w:webHidden/>
              </w:rPr>
              <w:fldChar w:fldCharType="separate"/>
            </w:r>
            <w:r>
              <w:rPr>
                <w:noProof/>
                <w:webHidden/>
              </w:rPr>
              <w:t>5</w:t>
            </w:r>
            <w:r>
              <w:rPr>
                <w:noProof/>
                <w:webHidden/>
              </w:rPr>
              <w:fldChar w:fldCharType="end"/>
            </w:r>
          </w:hyperlink>
        </w:p>
        <w:p w14:paraId="6518A447"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2" w:history="1">
            <w:r w:rsidRPr="00895F83">
              <w:rPr>
                <w:rStyle w:val="Hyperlink"/>
                <w:noProof/>
              </w:rPr>
              <w:t>1.7</w:t>
            </w:r>
            <w:r>
              <w:rPr>
                <w:rFonts w:eastAsiaTheme="minorEastAsia" w:cstheme="minorBidi"/>
                <w:i w:val="0"/>
                <w:noProof/>
                <w:szCs w:val="22"/>
                <w:lang w:eastAsia="en-GB"/>
              </w:rPr>
              <w:tab/>
            </w:r>
            <w:r w:rsidRPr="00895F83">
              <w:rPr>
                <w:rStyle w:val="Hyperlink"/>
                <w:noProof/>
              </w:rPr>
              <w:t>Security monitoring and related support tools</w:t>
            </w:r>
            <w:r>
              <w:rPr>
                <w:noProof/>
                <w:webHidden/>
              </w:rPr>
              <w:tab/>
            </w:r>
            <w:r>
              <w:rPr>
                <w:noProof/>
                <w:webHidden/>
              </w:rPr>
              <w:fldChar w:fldCharType="begin"/>
            </w:r>
            <w:r>
              <w:rPr>
                <w:noProof/>
                <w:webHidden/>
              </w:rPr>
              <w:instrText xml:space="preserve"> PAGEREF _Toc423098862 \h </w:instrText>
            </w:r>
            <w:r>
              <w:rPr>
                <w:noProof/>
                <w:webHidden/>
              </w:rPr>
            </w:r>
            <w:r>
              <w:rPr>
                <w:noProof/>
                <w:webHidden/>
              </w:rPr>
              <w:fldChar w:fldCharType="separate"/>
            </w:r>
            <w:r>
              <w:rPr>
                <w:noProof/>
                <w:webHidden/>
              </w:rPr>
              <w:t>5</w:t>
            </w:r>
            <w:r>
              <w:rPr>
                <w:noProof/>
                <w:webHidden/>
              </w:rPr>
              <w:fldChar w:fldCharType="end"/>
            </w:r>
          </w:hyperlink>
        </w:p>
        <w:p w14:paraId="7D632D6D"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3" w:history="1">
            <w:r w:rsidRPr="00895F83">
              <w:rPr>
                <w:rStyle w:val="Hyperlink"/>
                <w:noProof/>
              </w:rPr>
              <w:t>1.8</w:t>
            </w:r>
            <w:r>
              <w:rPr>
                <w:rFonts w:eastAsiaTheme="minorEastAsia" w:cstheme="minorBidi"/>
                <w:i w:val="0"/>
                <w:noProof/>
                <w:szCs w:val="22"/>
                <w:lang w:eastAsia="en-GB"/>
              </w:rPr>
              <w:tab/>
            </w:r>
            <w:r w:rsidRPr="00895F83">
              <w:rPr>
                <w:rStyle w:val="Hyperlink"/>
                <w:noProof/>
              </w:rPr>
              <w:t>Service registry (GOCDB)</w:t>
            </w:r>
            <w:r>
              <w:rPr>
                <w:noProof/>
                <w:webHidden/>
              </w:rPr>
              <w:tab/>
            </w:r>
            <w:r>
              <w:rPr>
                <w:noProof/>
                <w:webHidden/>
              </w:rPr>
              <w:fldChar w:fldCharType="begin"/>
            </w:r>
            <w:r>
              <w:rPr>
                <w:noProof/>
                <w:webHidden/>
              </w:rPr>
              <w:instrText xml:space="preserve"> PAGEREF _Toc423098863 \h </w:instrText>
            </w:r>
            <w:r>
              <w:rPr>
                <w:noProof/>
                <w:webHidden/>
              </w:rPr>
            </w:r>
            <w:r>
              <w:rPr>
                <w:noProof/>
                <w:webHidden/>
              </w:rPr>
              <w:fldChar w:fldCharType="separate"/>
            </w:r>
            <w:r>
              <w:rPr>
                <w:noProof/>
                <w:webHidden/>
              </w:rPr>
              <w:t>6</w:t>
            </w:r>
            <w:r>
              <w:rPr>
                <w:noProof/>
                <w:webHidden/>
              </w:rPr>
              <w:fldChar w:fldCharType="end"/>
            </w:r>
          </w:hyperlink>
        </w:p>
        <w:p w14:paraId="60D2B58B"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4" w:history="1">
            <w:r w:rsidRPr="00895F83">
              <w:rPr>
                <w:rStyle w:val="Hyperlink"/>
                <w:noProof/>
              </w:rPr>
              <w:t>1.9</w:t>
            </w:r>
            <w:r>
              <w:rPr>
                <w:rFonts w:eastAsiaTheme="minorEastAsia" w:cstheme="minorBidi"/>
                <w:i w:val="0"/>
                <w:noProof/>
                <w:szCs w:val="22"/>
                <w:lang w:eastAsia="en-GB"/>
              </w:rPr>
              <w:tab/>
            </w:r>
            <w:r w:rsidRPr="00895F83">
              <w:rPr>
                <w:rStyle w:val="Hyperlink"/>
                <w:noProof/>
              </w:rPr>
              <w:t>Catchall services</w:t>
            </w:r>
            <w:r>
              <w:rPr>
                <w:noProof/>
                <w:webHidden/>
              </w:rPr>
              <w:tab/>
            </w:r>
            <w:r>
              <w:rPr>
                <w:noProof/>
                <w:webHidden/>
              </w:rPr>
              <w:fldChar w:fldCharType="begin"/>
            </w:r>
            <w:r>
              <w:rPr>
                <w:noProof/>
                <w:webHidden/>
              </w:rPr>
              <w:instrText xml:space="preserve"> PAGEREF _Toc423098864 \h </w:instrText>
            </w:r>
            <w:r>
              <w:rPr>
                <w:noProof/>
                <w:webHidden/>
              </w:rPr>
            </w:r>
            <w:r>
              <w:rPr>
                <w:noProof/>
                <w:webHidden/>
              </w:rPr>
              <w:fldChar w:fldCharType="separate"/>
            </w:r>
            <w:r>
              <w:rPr>
                <w:noProof/>
                <w:webHidden/>
              </w:rPr>
              <w:t>7</w:t>
            </w:r>
            <w:r>
              <w:rPr>
                <w:noProof/>
                <w:webHidden/>
              </w:rPr>
              <w:fldChar w:fldCharType="end"/>
            </w:r>
          </w:hyperlink>
        </w:p>
        <w:p w14:paraId="0E8B7495"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5" w:history="1">
            <w:r w:rsidRPr="00895F83">
              <w:rPr>
                <w:rStyle w:val="Hyperlink"/>
                <w:noProof/>
              </w:rPr>
              <w:t>1.10</w:t>
            </w:r>
            <w:r>
              <w:rPr>
                <w:rFonts w:eastAsiaTheme="minorEastAsia" w:cstheme="minorBidi"/>
                <w:i w:val="0"/>
                <w:noProof/>
                <w:szCs w:val="22"/>
                <w:lang w:eastAsia="en-GB"/>
              </w:rPr>
              <w:tab/>
            </w:r>
            <w:r w:rsidRPr="00895F83">
              <w:rPr>
                <w:rStyle w:val="Hyperlink"/>
                <w:noProof/>
              </w:rPr>
              <w:t>Operations support</w:t>
            </w:r>
            <w:r>
              <w:rPr>
                <w:noProof/>
                <w:webHidden/>
              </w:rPr>
              <w:tab/>
            </w:r>
            <w:r>
              <w:rPr>
                <w:noProof/>
                <w:webHidden/>
              </w:rPr>
              <w:fldChar w:fldCharType="begin"/>
            </w:r>
            <w:r>
              <w:rPr>
                <w:noProof/>
                <w:webHidden/>
              </w:rPr>
              <w:instrText xml:space="preserve"> PAGEREF _Toc423098865 \h </w:instrText>
            </w:r>
            <w:r>
              <w:rPr>
                <w:noProof/>
                <w:webHidden/>
              </w:rPr>
            </w:r>
            <w:r>
              <w:rPr>
                <w:noProof/>
                <w:webHidden/>
              </w:rPr>
              <w:fldChar w:fldCharType="separate"/>
            </w:r>
            <w:r>
              <w:rPr>
                <w:noProof/>
                <w:webHidden/>
              </w:rPr>
              <w:t>7</w:t>
            </w:r>
            <w:r>
              <w:rPr>
                <w:noProof/>
                <w:webHidden/>
              </w:rPr>
              <w:fldChar w:fldCharType="end"/>
            </w:r>
          </w:hyperlink>
        </w:p>
        <w:p w14:paraId="17043EDD"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6" w:history="1">
            <w:r w:rsidRPr="00895F83">
              <w:rPr>
                <w:rStyle w:val="Hyperlink"/>
                <w:noProof/>
              </w:rPr>
              <w:t>1.11</w:t>
            </w:r>
            <w:r>
              <w:rPr>
                <w:rFonts w:eastAsiaTheme="minorEastAsia" w:cstheme="minorBidi"/>
                <w:i w:val="0"/>
                <w:noProof/>
                <w:szCs w:val="22"/>
                <w:lang w:eastAsia="en-GB"/>
              </w:rPr>
              <w:tab/>
            </w:r>
            <w:r w:rsidRPr="00895F83">
              <w:rPr>
                <w:rStyle w:val="Hyperlink"/>
                <w:noProof/>
              </w:rPr>
              <w:t>Security coordination</w:t>
            </w:r>
            <w:r>
              <w:rPr>
                <w:noProof/>
                <w:webHidden/>
              </w:rPr>
              <w:tab/>
            </w:r>
            <w:r>
              <w:rPr>
                <w:noProof/>
                <w:webHidden/>
              </w:rPr>
              <w:fldChar w:fldCharType="begin"/>
            </w:r>
            <w:r>
              <w:rPr>
                <w:noProof/>
                <w:webHidden/>
              </w:rPr>
              <w:instrText xml:space="preserve"> PAGEREF _Toc423098866 \h </w:instrText>
            </w:r>
            <w:r>
              <w:rPr>
                <w:noProof/>
                <w:webHidden/>
              </w:rPr>
            </w:r>
            <w:r>
              <w:rPr>
                <w:noProof/>
                <w:webHidden/>
              </w:rPr>
              <w:fldChar w:fldCharType="separate"/>
            </w:r>
            <w:r>
              <w:rPr>
                <w:noProof/>
                <w:webHidden/>
              </w:rPr>
              <w:t>8</w:t>
            </w:r>
            <w:r>
              <w:rPr>
                <w:noProof/>
                <w:webHidden/>
              </w:rPr>
              <w:fldChar w:fldCharType="end"/>
            </w:r>
          </w:hyperlink>
        </w:p>
        <w:p w14:paraId="18EC69BF"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7" w:history="1">
            <w:r w:rsidRPr="00895F83">
              <w:rPr>
                <w:rStyle w:val="Hyperlink"/>
                <w:noProof/>
              </w:rPr>
              <w:t>1.12</w:t>
            </w:r>
            <w:r>
              <w:rPr>
                <w:rFonts w:eastAsiaTheme="minorEastAsia" w:cstheme="minorBidi"/>
                <w:i w:val="0"/>
                <w:noProof/>
                <w:szCs w:val="22"/>
                <w:lang w:eastAsia="en-GB"/>
              </w:rPr>
              <w:tab/>
            </w:r>
            <w:r w:rsidRPr="00895F83">
              <w:rPr>
                <w:rStyle w:val="Hyperlink"/>
                <w:noProof/>
              </w:rPr>
              <w:t>Acceptance criteria</w:t>
            </w:r>
            <w:r>
              <w:rPr>
                <w:noProof/>
                <w:webHidden/>
              </w:rPr>
              <w:tab/>
            </w:r>
            <w:r>
              <w:rPr>
                <w:noProof/>
                <w:webHidden/>
              </w:rPr>
              <w:fldChar w:fldCharType="begin"/>
            </w:r>
            <w:r>
              <w:rPr>
                <w:noProof/>
                <w:webHidden/>
              </w:rPr>
              <w:instrText xml:space="preserve"> PAGEREF _Toc423098867 \h </w:instrText>
            </w:r>
            <w:r>
              <w:rPr>
                <w:noProof/>
                <w:webHidden/>
              </w:rPr>
            </w:r>
            <w:r>
              <w:rPr>
                <w:noProof/>
                <w:webHidden/>
              </w:rPr>
              <w:fldChar w:fldCharType="separate"/>
            </w:r>
            <w:r>
              <w:rPr>
                <w:noProof/>
                <w:webHidden/>
              </w:rPr>
              <w:t>9</w:t>
            </w:r>
            <w:r>
              <w:rPr>
                <w:noProof/>
                <w:webHidden/>
              </w:rPr>
              <w:fldChar w:fldCharType="end"/>
            </w:r>
          </w:hyperlink>
        </w:p>
        <w:p w14:paraId="40A18679"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8" w:history="1">
            <w:r w:rsidRPr="00895F83">
              <w:rPr>
                <w:rStyle w:val="Hyperlink"/>
                <w:noProof/>
              </w:rPr>
              <w:t>1.13</w:t>
            </w:r>
            <w:r>
              <w:rPr>
                <w:rFonts w:eastAsiaTheme="minorEastAsia" w:cstheme="minorBidi"/>
                <w:i w:val="0"/>
                <w:noProof/>
                <w:szCs w:val="22"/>
                <w:lang w:eastAsia="en-GB"/>
              </w:rPr>
              <w:tab/>
            </w:r>
            <w:r w:rsidRPr="00895F83">
              <w:rPr>
                <w:rStyle w:val="Hyperlink"/>
                <w:noProof/>
              </w:rPr>
              <w:t>Collaboration tools/IT support</w:t>
            </w:r>
            <w:r>
              <w:rPr>
                <w:noProof/>
                <w:webHidden/>
              </w:rPr>
              <w:tab/>
            </w:r>
            <w:r>
              <w:rPr>
                <w:noProof/>
                <w:webHidden/>
              </w:rPr>
              <w:fldChar w:fldCharType="begin"/>
            </w:r>
            <w:r>
              <w:rPr>
                <w:noProof/>
                <w:webHidden/>
              </w:rPr>
              <w:instrText xml:space="preserve"> PAGEREF _Toc423098868 \h </w:instrText>
            </w:r>
            <w:r>
              <w:rPr>
                <w:noProof/>
                <w:webHidden/>
              </w:rPr>
            </w:r>
            <w:r>
              <w:rPr>
                <w:noProof/>
                <w:webHidden/>
              </w:rPr>
              <w:fldChar w:fldCharType="separate"/>
            </w:r>
            <w:r>
              <w:rPr>
                <w:noProof/>
                <w:webHidden/>
              </w:rPr>
              <w:t>9</w:t>
            </w:r>
            <w:r>
              <w:rPr>
                <w:noProof/>
                <w:webHidden/>
              </w:rPr>
              <w:fldChar w:fldCharType="end"/>
            </w:r>
          </w:hyperlink>
        </w:p>
        <w:p w14:paraId="0FB0B1BE"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69" w:history="1">
            <w:r w:rsidRPr="00895F83">
              <w:rPr>
                <w:rStyle w:val="Hyperlink"/>
                <w:noProof/>
              </w:rPr>
              <w:t>1.14</w:t>
            </w:r>
            <w:r>
              <w:rPr>
                <w:rFonts w:eastAsiaTheme="minorEastAsia" w:cstheme="minorBidi"/>
                <w:i w:val="0"/>
                <w:noProof/>
                <w:szCs w:val="22"/>
                <w:lang w:eastAsia="en-GB"/>
              </w:rPr>
              <w:tab/>
            </w:r>
            <w:r w:rsidRPr="00895F83">
              <w:rPr>
                <w:rStyle w:val="Hyperlink"/>
                <w:noProof/>
              </w:rPr>
              <w:t>Staged Rollout</w:t>
            </w:r>
            <w:r>
              <w:rPr>
                <w:noProof/>
                <w:webHidden/>
              </w:rPr>
              <w:tab/>
            </w:r>
            <w:r>
              <w:rPr>
                <w:noProof/>
                <w:webHidden/>
              </w:rPr>
              <w:fldChar w:fldCharType="begin"/>
            </w:r>
            <w:r>
              <w:rPr>
                <w:noProof/>
                <w:webHidden/>
              </w:rPr>
              <w:instrText xml:space="preserve"> PAGEREF _Toc423098869 \h </w:instrText>
            </w:r>
            <w:r>
              <w:rPr>
                <w:noProof/>
                <w:webHidden/>
              </w:rPr>
            </w:r>
            <w:r>
              <w:rPr>
                <w:noProof/>
                <w:webHidden/>
              </w:rPr>
              <w:fldChar w:fldCharType="separate"/>
            </w:r>
            <w:r>
              <w:rPr>
                <w:noProof/>
                <w:webHidden/>
              </w:rPr>
              <w:t>10</w:t>
            </w:r>
            <w:r>
              <w:rPr>
                <w:noProof/>
                <w:webHidden/>
              </w:rPr>
              <w:fldChar w:fldCharType="end"/>
            </w:r>
          </w:hyperlink>
        </w:p>
        <w:p w14:paraId="089F7B14"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70" w:history="1">
            <w:r w:rsidRPr="00895F83">
              <w:rPr>
                <w:rStyle w:val="Hyperlink"/>
                <w:noProof/>
              </w:rPr>
              <w:t>1.15</w:t>
            </w:r>
            <w:r>
              <w:rPr>
                <w:rFonts w:eastAsiaTheme="minorEastAsia" w:cstheme="minorBidi"/>
                <w:i w:val="0"/>
                <w:noProof/>
                <w:szCs w:val="22"/>
                <w:lang w:eastAsia="en-GB"/>
              </w:rPr>
              <w:tab/>
            </w:r>
            <w:r w:rsidRPr="00895F83">
              <w:rPr>
                <w:rStyle w:val="Hyperlink"/>
                <w:noProof/>
              </w:rPr>
              <w:t>Software provisioning infrastructure</w:t>
            </w:r>
            <w:r>
              <w:rPr>
                <w:noProof/>
                <w:webHidden/>
              </w:rPr>
              <w:tab/>
            </w:r>
            <w:r>
              <w:rPr>
                <w:noProof/>
                <w:webHidden/>
              </w:rPr>
              <w:fldChar w:fldCharType="begin"/>
            </w:r>
            <w:r>
              <w:rPr>
                <w:noProof/>
                <w:webHidden/>
              </w:rPr>
              <w:instrText xml:space="preserve"> PAGEREF _Toc423098870 \h </w:instrText>
            </w:r>
            <w:r>
              <w:rPr>
                <w:noProof/>
                <w:webHidden/>
              </w:rPr>
            </w:r>
            <w:r>
              <w:rPr>
                <w:noProof/>
                <w:webHidden/>
              </w:rPr>
              <w:fldChar w:fldCharType="separate"/>
            </w:r>
            <w:r>
              <w:rPr>
                <w:noProof/>
                <w:webHidden/>
              </w:rPr>
              <w:t>10</w:t>
            </w:r>
            <w:r>
              <w:rPr>
                <w:noProof/>
                <w:webHidden/>
              </w:rPr>
              <w:fldChar w:fldCharType="end"/>
            </w:r>
          </w:hyperlink>
        </w:p>
        <w:p w14:paraId="69415274"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71" w:history="1">
            <w:r w:rsidRPr="00895F83">
              <w:rPr>
                <w:rStyle w:val="Hyperlink"/>
                <w:noProof/>
              </w:rPr>
              <w:t>1.16</w:t>
            </w:r>
            <w:r>
              <w:rPr>
                <w:rFonts w:eastAsiaTheme="minorEastAsia" w:cstheme="minorBidi"/>
                <w:i w:val="0"/>
                <w:noProof/>
                <w:szCs w:val="22"/>
                <w:lang w:eastAsia="en-GB"/>
              </w:rPr>
              <w:tab/>
            </w:r>
            <w:r w:rsidRPr="00895F83">
              <w:rPr>
                <w:rStyle w:val="Hyperlink"/>
                <w:noProof/>
              </w:rPr>
              <w:t>Incident management helpdesk</w:t>
            </w:r>
            <w:r>
              <w:rPr>
                <w:noProof/>
                <w:webHidden/>
              </w:rPr>
              <w:tab/>
            </w:r>
            <w:r>
              <w:rPr>
                <w:noProof/>
                <w:webHidden/>
              </w:rPr>
              <w:fldChar w:fldCharType="begin"/>
            </w:r>
            <w:r>
              <w:rPr>
                <w:noProof/>
                <w:webHidden/>
              </w:rPr>
              <w:instrText xml:space="preserve"> PAGEREF _Toc423098871 \h </w:instrText>
            </w:r>
            <w:r>
              <w:rPr>
                <w:noProof/>
                <w:webHidden/>
              </w:rPr>
            </w:r>
            <w:r>
              <w:rPr>
                <w:noProof/>
                <w:webHidden/>
              </w:rPr>
              <w:fldChar w:fldCharType="separate"/>
            </w:r>
            <w:r>
              <w:rPr>
                <w:noProof/>
                <w:webHidden/>
              </w:rPr>
              <w:t>11</w:t>
            </w:r>
            <w:r>
              <w:rPr>
                <w:noProof/>
                <w:webHidden/>
              </w:rPr>
              <w:fldChar w:fldCharType="end"/>
            </w:r>
          </w:hyperlink>
        </w:p>
        <w:p w14:paraId="0A052215" w14:textId="77777777" w:rsidR="001B0136" w:rsidRDefault="001B0136">
          <w:pPr>
            <w:pStyle w:val="TOC2"/>
            <w:tabs>
              <w:tab w:val="left" w:pos="880"/>
              <w:tab w:val="right" w:leader="dot" w:pos="9771"/>
            </w:tabs>
            <w:rPr>
              <w:rFonts w:eastAsiaTheme="minorEastAsia" w:cstheme="minorBidi"/>
              <w:i w:val="0"/>
              <w:noProof/>
              <w:szCs w:val="22"/>
              <w:lang w:eastAsia="en-GB"/>
            </w:rPr>
          </w:pPr>
          <w:hyperlink w:anchor="_Toc423098872" w:history="1">
            <w:r w:rsidRPr="00895F83">
              <w:rPr>
                <w:rStyle w:val="Hyperlink"/>
                <w:noProof/>
              </w:rPr>
              <w:t>1.17</w:t>
            </w:r>
            <w:r>
              <w:rPr>
                <w:rFonts w:eastAsiaTheme="minorEastAsia" w:cstheme="minorBidi"/>
                <w:i w:val="0"/>
                <w:noProof/>
                <w:szCs w:val="22"/>
                <w:lang w:eastAsia="en-GB"/>
              </w:rPr>
              <w:tab/>
            </w:r>
            <w:r w:rsidRPr="00895F83">
              <w:rPr>
                <w:rStyle w:val="Hyperlink"/>
                <w:noProof/>
              </w:rPr>
              <w:t>1st and 2nd level support</w:t>
            </w:r>
            <w:r>
              <w:rPr>
                <w:noProof/>
                <w:webHidden/>
              </w:rPr>
              <w:tab/>
            </w:r>
            <w:r>
              <w:rPr>
                <w:noProof/>
                <w:webHidden/>
              </w:rPr>
              <w:fldChar w:fldCharType="begin"/>
            </w:r>
            <w:r>
              <w:rPr>
                <w:noProof/>
                <w:webHidden/>
              </w:rPr>
              <w:instrText xml:space="preserve"> PAGEREF _Toc423098872 \h </w:instrText>
            </w:r>
            <w:r>
              <w:rPr>
                <w:noProof/>
                <w:webHidden/>
              </w:rPr>
            </w:r>
            <w:r>
              <w:rPr>
                <w:noProof/>
                <w:webHidden/>
              </w:rPr>
              <w:fldChar w:fldCharType="separate"/>
            </w:r>
            <w:r>
              <w:rPr>
                <w:noProof/>
                <w:webHidden/>
              </w:rPr>
              <w:t>11</w:t>
            </w:r>
            <w:r>
              <w:rPr>
                <w:noProof/>
                <w:webHidden/>
              </w:rPr>
              <w:fldChar w:fldCharType="end"/>
            </w:r>
          </w:hyperlink>
        </w:p>
        <w:p w14:paraId="58E2ADFC" w14:textId="137ECB44" w:rsidR="00E359CD" w:rsidRDefault="00E359CD">
          <w:r>
            <w:rPr>
              <w:b/>
              <w:bCs/>
              <w:noProof/>
            </w:rPr>
            <w:fldChar w:fldCharType="end"/>
          </w:r>
        </w:p>
      </w:sdtContent>
    </w:sdt>
    <w:p w14:paraId="2B99033D" w14:textId="77777777" w:rsidR="00E359CD" w:rsidRDefault="00E359CD" w:rsidP="00E359CD">
      <w:pPr>
        <w:jc w:val="center"/>
        <w:rPr>
          <w:sz w:val="24"/>
          <w:lang w:eastAsia="en-GB"/>
        </w:rPr>
      </w:pPr>
      <w:bookmarkStart w:id="0" w:name="_GoBack"/>
      <w:bookmarkEnd w:id="0"/>
    </w:p>
    <w:p w14:paraId="020BEDB9" w14:textId="77777777" w:rsidR="00E359CD" w:rsidRPr="00317381" w:rsidRDefault="00E359CD" w:rsidP="00E359CD">
      <w:pPr>
        <w:pStyle w:val="Heading1"/>
        <w:numPr>
          <w:ilvl w:val="0"/>
          <w:numId w:val="0"/>
        </w:numPr>
        <w:spacing w:before="40" w:after="40"/>
        <w:ind w:left="432" w:hanging="432"/>
      </w:pPr>
      <w:bookmarkStart w:id="1" w:name="_Toc404776747"/>
      <w:bookmarkStart w:id="2" w:name="_Toc423098854"/>
      <w:r>
        <w:t>EGI.eu Core Services/Activities</w:t>
      </w:r>
      <w:bookmarkEnd w:id="1"/>
      <w:bookmarkEnd w:id="2"/>
      <w:r>
        <w:t xml:space="preserve"> </w:t>
      </w:r>
    </w:p>
    <w:p w14:paraId="18527430" w14:textId="49906D5D" w:rsidR="00E359CD" w:rsidRDefault="00E359CD" w:rsidP="00E359CD">
      <w:pPr>
        <w:rPr>
          <w:rFonts w:cs="Open Sans"/>
        </w:rPr>
      </w:pPr>
      <w:r>
        <w:t>As part of the</w:t>
      </w:r>
      <w:r>
        <w:t xml:space="preserve"> EGI Core activity</w:t>
      </w:r>
      <w:r>
        <w:t xml:space="preserve"> reporting process EGI.eu partners are obligated to provide every 6 month performance report</w:t>
      </w:r>
      <w:r>
        <w:t xml:space="preserve">, defined in </w:t>
      </w:r>
      <w:r>
        <w:t>EGI.eu Operational Level Agreement</w:t>
      </w:r>
      <w:r>
        <w:rPr>
          <w:rStyle w:val="FootnoteReference"/>
        </w:rPr>
        <w:footnoteReference w:id="1"/>
      </w:r>
      <w:r>
        <w:t>,</w:t>
      </w:r>
      <w:r>
        <w:t xml:space="preserve"> covering such aspects as: </w:t>
      </w:r>
      <w:r>
        <w:rPr>
          <w:rFonts w:cs="Open Sans"/>
        </w:rPr>
        <w:t>general overview of performance, performance against Service Targets, issues arising in the period</w:t>
      </w:r>
      <w:bookmarkStart w:id="3" w:name="__RefHeading___Toc393385665"/>
      <w:r>
        <w:rPr>
          <w:rFonts w:cs="Open Sans"/>
        </w:rPr>
        <w:t>, measures planned</w:t>
      </w:r>
      <w:bookmarkEnd w:id="3"/>
      <w:r>
        <w:rPr>
          <w:rFonts w:cs="Open Sans"/>
        </w:rPr>
        <w:t xml:space="preserve"> and </w:t>
      </w:r>
      <w:bookmarkStart w:id="4" w:name="__RefHeading___Toc393385666"/>
      <w:r>
        <w:rPr>
          <w:rFonts w:cs="Open Sans"/>
        </w:rPr>
        <w:t>foreseen activities and changes</w:t>
      </w:r>
      <w:bookmarkEnd w:id="4"/>
      <w:r>
        <w:rPr>
          <w:rFonts w:cs="Open Sans"/>
        </w:rPr>
        <w:t>.</w:t>
      </w:r>
    </w:p>
    <w:p w14:paraId="4AE16FFC" w14:textId="44C06A44" w:rsidR="00E359CD" w:rsidRDefault="00E359CD" w:rsidP="00E359CD">
      <w:r>
        <w:lastRenderedPageBreak/>
        <w:t xml:space="preserve">This document provides a </w:t>
      </w:r>
      <w:r>
        <w:t>summary from received reports</w:t>
      </w:r>
      <w:r>
        <w:rPr>
          <w:rStyle w:val="FootnoteReference"/>
        </w:rPr>
        <w:footnoteReference w:id="2"/>
      </w:r>
      <w:r>
        <w:t xml:space="preserve"> for period </w:t>
      </w:r>
      <w:r>
        <w:t>November 2014</w:t>
      </w:r>
      <w:r>
        <w:t xml:space="preserve"> – </w:t>
      </w:r>
      <w:r>
        <w:t>April 2015</w:t>
      </w:r>
      <w:r>
        <w:t>.</w:t>
      </w:r>
    </w:p>
    <w:p w14:paraId="4591E3B9" w14:textId="77777777" w:rsidR="00E359CD" w:rsidRDefault="00E359CD" w:rsidP="00E359CD">
      <w:pPr>
        <w:pStyle w:val="Heading1"/>
        <w:numPr>
          <w:ilvl w:val="0"/>
          <w:numId w:val="0"/>
        </w:numPr>
        <w:ind w:left="432" w:hanging="432"/>
      </w:pPr>
      <w:bookmarkStart w:id="5" w:name="_Toc404776748"/>
      <w:bookmarkStart w:id="6" w:name="_Toc423098855"/>
      <w:r>
        <w:t>Performance report summary</w:t>
      </w:r>
      <w:bookmarkEnd w:id="5"/>
      <w:bookmarkEnd w:id="6"/>
    </w:p>
    <w:p w14:paraId="08DA0D7F" w14:textId="77777777" w:rsidR="00E359CD" w:rsidRDefault="00E359CD" w:rsidP="00E359CD">
      <w:pPr>
        <w:pStyle w:val="Heading2"/>
      </w:pPr>
      <w:bookmarkStart w:id="7" w:name="_Toc404776749"/>
      <w:bookmarkStart w:id="8" w:name="_Toc423098856"/>
      <w:r>
        <w:t>Message Broker Network</w:t>
      </w:r>
      <w:bookmarkEnd w:id="7"/>
      <w:bookmarkEnd w:id="8"/>
    </w:p>
    <w:p w14:paraId="30447A15" w14:textId="77777777" w:rsidR="00E359CD" w:rsidRPr="002B1400" w:rsidRDefault="00E359CD" w:rsidP="00E359CD">
      <w:pPr>
        <w:rPr>
          <w:b/>
        </w:rPr>
      </w:pPr>
      <w:r w:rsidRPr="002B1400">
        <w:rPr>
          <w:b/>
        </w:rPr>
        <w:t>Short description</w:t>
      </w:r>
    </w:p>
    <w:p w14:paraId="4E0C5344" w14:textId="77777777" w:rsidR="00E359CD" w:rsidRDefault="00E359CD" w:rsidP="00E359CD">
      <w:r>
        <w:t>Consortium: GRNET, SRCE</w:t>
      </w:r>
    </w:p>
    <w:p w14:paraId="49E33729" w14:textId="77777777" w:rsidR="00E359CD" w:rsidRDefault="00E359CD" w:rsidP="00E359CD">
      <w:r>
        <w:t>The message broker network is a fundamental part of the operations infrastructure ensuring message exchange for monitoring, the operations dashboard and accounting. As such it is a critical infrastructure component whose continuity and high availability configuration must be ensured. The Message Broker Network is part of the EGI Core Infrastructure Platform which is needed to support the running of tools used for the daily operations of EGI.</w:t>
      </w:r>
    </w:p>
    <w:p w14:paraId="2CC80978" w14:textId="77777777" w:rsidR="00E359CD" w:rsidRDefault="00E359CD" w:rsidP="00E359CD"/>
    <w:p w14:paraId="112017D0" w14:textId="77777777" w:rsidR="00E359CD" w:rsidRDefault="00E359CD" w:rsidP="00E359CD">
      <w:pPr>
        <w:rPr>
          <w:b/>
        </w:rPr>
      </w:pPr>
      <w:r w:rsidRPr="002B1400">
        <w:rPr>
          <w:b/>
        </w:rPr>
        <w:t>Report summary</w:t>
      </w:r>
    </w:p>
    <w:p w14:paraId="642F6736" w14:textId="77777777" w:rsidR="00A9578E" w:rsidRDefault="00A9578E" w:rsidP="00A9578E">
      <w:r>
        <w:t>Main activities</w:t>
      </w:r>
    </w:p>
    <w:p w14:paraId="09977197" w14:textId="77777777" w:rsidR="00A9578E" w:rsidRDefault="00A9578E" w:rsidP="00A9578E">
      <w:pPr>
        <w:pStyle w:val="ListParagraph"/>
        <w:numPr>
          <w:ilvl w:val="0"/>
          <w:numId w:val="17"/>
        </w:numPr>
      </w:pPr>
      <w:r>
        <w:t xml:space="preserve">Normal maintenance of the message brokers </w:t>
      </w:r>
    </w:p>
    <w:p w14:paraId="11ED61B6" w14:textId="77777777" w:rsidR="00A9578E" w:rsidRDefault="00A9578E" w:rsidP="00A9578E">
      <w:r>
        <w:t>OLA Performances report</w:t>
      </w:r>
    </w:p>
    <w:p w14:paraId="5ACA2AE7" w14:textId="77777777" w:rsidR="00A9578E" w:rsidRDefault="00A9578E" w:rsidP="00A9578E">
      <w:pPr>
        <w:pStyle w:val="ListParagraph"/>
        <w:numPr>
          <w:ilvl w:val="0"/>
          <w:numId w:val="17"/>
        </w:numPr>
      </w:pPr>
      <w:r>
        <w:t>The combined availability of the distributed brokers have been above the targets during the monitored period</w:t>
      </w:r>
    </w:p>
    <w:p w14:paraId="18DCCB11" w14:textId="77777777" w:rsidR="00A9578E" w:rsidRDefault="00A9578E" w:rsidP="00A9578E">
      <w:r>
        <w:t>Issues</w:t>
      </w:r>
    </w:p>
    <w:p w14:paraId="69671B46" w14:textId="77777777" w:rsidR="00A9578E" w:rsidRDefault="00A9578E" w:rsidP="00A9578E">
      <w:pPr>
        <w:pStyle w:val="ListParagraph"/>
        <w:numPr>
          <w:ilvl w:val="0"/>
          <w:numId w:val="17"/>
        </w:numPr>
      </w:pPr>
      <w:r>
        <w:t>A misconfigured APEL client consumed accounting data</w:t>
      </w:r>
    </w:p>
    <w:p w14:paraId="338E2CF0" w14:textId="77777777" w:rsidR="00A9578E" w:rsidRDefault="00A9578E" w:rsidP="00A9578E">
      <w:pPr>
        <w:pStyle w:val="ListParagraph"/>
        <w:numPr>
          <w:ilvl w:val="1"/>
          <w:numId w:val="17"/>
        </w:numPr>
      </w:pPr>
      <w:r>
        <w:t>ACL implemented to mitigate this issue</w:t>
      </w:r>
    </w:p>
    <w:p w14:paraId="705ECB3A" w14:textId="77777777" w:rsidR="00A9578E" w:rsidRDefault="00A9578E" w:rsidP="00A9578E">
      <w:pPr>
        <w:pStyle w:val="ListParagraph"/>
        <w:numPr>
          <w:ilvl w:val="0"/>
          <w:numId w:val="17"/>
        </w:numPr>
      </w:pPr>
      <w:r>
        <w:t>A misconfiguration at CERN caused one broker to be unresponsive. The clients with automatic failover configuration were not affected, clients without failover capabilities were affected</w:t>
      </w:r>
    </w:p>
    <w:p w14:paraId="7FA75A51" w14:textId="77777777" w:rsidR="00A9578E" w:rsidRDefault="00A9578E" w:rsidP="00A9578E">
      <w:pPr>
        <w:pStyle w:val="ListParagraph"/>
        <w:numPr>
          <w:ilvl w:val="1"/>
          <w:numId w:val="17"/>
        </w:numPr>
      </w:pPr>
      <w:r>
        <w:t>Still under investigation with the support of CERN</w:t>
      </w:r>
    </w:p>
    <w:p w14:paraId="5240C525" w14:textId="77777777" w:rsidR="00A9578E" w:rsidRDefault="00A9578E" w:rsidP="00A9578E">
      <w:r>
        <w:t>Plans</w:t>
      </w:r>
    </w:p>
    <w:p w14:paraId="616B6B4B" w14:textId="19D7EFB0" w:rsidR="00A9578E" w:rsidRPr="00A9578E" w:rsidRDefault="00A9578E" w:rsidP="00A9578E">
      <w:pPr>
        <w:pStyle w:val="ListParagraph"/>
        <w:numPr>
          <w:ilvl w:val="0"/>
          <w:numId w:val="18"/>
        </w:numPr>
      </w:pPr>
      <w:r>
        <w:t>Deploy the ACL features in production</w:t>
      </w:r>
    </w:p>
    <w:p w14:paraId="0BF4CC0B" w14:textId="77777777" w:rsidR="00E359CD" w:rsidRDefault="00E359CD" w:rsidP="00E359CD">
      <w:pPr>
        <w:pStyle w:val="Heading2"/>
      </w:pPr>
      <w:bookmarkStart w:id="9" w:name="_Toc404776750"/>
      <w:bookmarkStart w:id="10" w:name="_Toc423098857"/>
      <w:r>
        <w:t>Operations Portal</w:t>
      </w:r>
      <w:bookmarkEnd w:id="9"/>
      <w:bookmarkEnd w:id="10"/>
    </w:p>
    <w:p w14:paraId="494487AE" w14:textId="77777777" w:rsidR="00E359CD" w:rsidRPr="002B1400" w:rsidRDefault="00E359CD" w:rsidP="00E359CD">
      <w:pPr>
        <w:rPr>
          <w:b/>
        </w:rPr>
      </w:pPr>
      <w:r w:rsidRPr="002B1400">
        <w:rPr>
          <w:b/>
        </w:rPr>
        <w:t>Short description</w:t>
      </w:r>
    </w:p>
    <w:p w14:paraId="6515F533" w14:textId="77777777" w:rsidR="00E359CD" w:rsidRDefault="00E359CD" w:rsidP="00E359CD">
      <w:r>
        <w:t>Consortium: CNRS</w:t>
      </w:r>
    </w:p>
    <w:p w14:paraId="166CA150" w14:textId="77777777" w:rsidR="00E359CD" w:rsidRDefault="00E359CD" w:rsidP="00E359CD">
      <w:r>
        <w:t xml:space="preserve">The Operations Portal provides VO management functions and other capabilities which support the daily operations of EGI.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Centres affected. The dashboard also supports the central grid oversight activities. It is fully </w:t>
      </w:r>
      <w:r>
        <w:lastRenderedPageBreak/>
        <w:t>interfaced with the EGI Helpdesk and the monitoring system through messaging. It is a critical component as it is used by all EGI Operations Centres to provide support to the respective Resource Centres. The Operations Portal provides tools supporting the daily running of operations of the entire infrastructure: grid oversight, security operations, VO management, broadcast, availability reporting.</w:t>
      </w:r>
    </w:p>
    <w:p w14:paraId="6075303C" w14:textId="77777777" w:rsidR="00E359CD" w:rsidRDefault="00E359CD" w:rsidP="00E359CD"/>
    <w:p w14:paraId="0AC85427" w14:textId="77777777" w:rsidR="00E359CD" w:rsidRDefault="00E359CD" w:rsidP="00E359CD">
      <w:pPr>
        <w:rPr>
          <w:b/>
        </w:rPr>
      </w:pPr>
      <w:r w:rsidRPr="002B1400">
        <w:rPr>
          <w:b/>
        </w:rPr>
        <w:t>Report summary</w:t>
      </w:r>
    </w:p>
    <w:p w14:paraId="7EAE9599" w14:textId="77777777" w:rsidR="00C4422E" w:rsidRDefault="00C4422E" w:rsidP="00C4422E">
      <w:r>
        <w:t>Main activities</w:t>
      </w:r>
    </w:p>
    <w:p w14:paraId="0AAE1C6D" w14:textId="77777777" w:rsidR="00C4422E" w:rsidRDefault="00C4422E" w:rsidP="00C4422E">
      <w:pPr>
        <w:pStyle w:val="ListParagraph"/>
        <w:numPr>
          <w:ilvl w:val="0"/>
          <w:numId w:val="18"/>
        </w:numPr>
      </w:pPr>
      <w:r>
        <w:t>Portal release, upgrade of the system</w:t>
      </w:r>
    </w:p>
    <w:p w14:paraId="54852F3A" w14:textId="77777777" w:rsidR="00C4422E" w:rsidRDefault="00C4422E" w:rsidP="00C4422E">
      <w:pPr>
        <w:pStyle w:val="ListParagraph"/>
        <w:numPr>
          <w:ilvl w:val="0"/>
          <w:numId w:val="18"/>
        </w:numPr>
      </w:pPr>
      <w:r>
        <w:t>Improved release process/testing</w:t>
      </w:r>
    </w:p>
    <w:p w14:paraId="1471B5AA" w14:textId="77777777" w:rsidR="00C4422E" w:rsidRDefault="00C4422E" w:rsidP="00C4422E">
      <w:r>
        <w:t>OLA Performances report</w:t>
      </w:r>
    </w:p>
    <w:p w14:paraId="6952FC51" w14:textId="77777777" w:rsidR="00C4422E" w:rsidRDefault="00C4422E" w:rsidP="00C4422E">
      <w:pPr>
        <w:pStyle w:val="ListParagraph"/>
        <w:numPr>
          <w:ilvl w:val="0"/>
          <w:numId w:val="40"/>
        </w:numPr>
      </w:pPr>
      <w:r>
        <w:t xml:space="preserve">The targets for both availability and support have been exceeded during the monitored period </w:t>
      </w:r>
    </w:p>
    <w:p w14:paraId="2FA6AD28" w14:textId="77777777" w:rsidR="00C4422E" w:rsidRDefault="00C4422E" w:rsidP="00C4422E">
      <w:r>
        <w:t>Plans</w:t>
      </w:r>
    </w:p>
    <w:p w14:paraId="2E79116F" w14:textId="284DA96E" w:rsidR="00C4422E" w:rsidRPr="00C4422E" w:rsidRDefault="00C4422E" w:rsidP="00C4422E">
      <w:pPr>
        <w:pStyle w:val="ListParagraph"/>
        <w:numPr>
          <w:ilvl w:val="0"/>
          <w:numId w:val="40"/>
        </w:numPr>
      </w:pPr>
      <w:r>
        <w:t>Regular deployment in production of the developments done within EGI-Engage, or within the core activity funds, and maintenance of the services</w:t>
      </w:r>
    </w:p>
    <w:p w14:paraId="5A2F4BA5" w14:textId="77777777" w:rsidR="00E359CD" w:rsidRDefault="00E359CD" w:rsidP="00E359CD">
      <w:pPr>
        <w:pStyle w:val="Heading2"/>
      </w:pPr>
      <w:bookmarkStart w:id="11" w:name="_Toc404776751"/>
      <w:bookmarkStart w:id="12" w:name="_Toc423098858"/>
      <w:r>
        <w:t>Accounting Repository</w:t>
      </w:r>
      <w:bookmarkEnd w:id="11"/>
      <w:bookmarkEnd w:id="12"/>
    </w:p>
    <w:p w14:paraId="6375DE64" w14:textId="77777777" w:rsidR="00E359CD" w:rsidRPr="002B1400" w:rsidRDefault="00E359CD" w:rsidP="00E359CD">
      <w:pPr>
        <w:rPr>
          <w:b/>
        </w:rPr>
      </w:pPr>
      <w:r w:rsidRPr="002B1400">
        <w:rPr>
          <w:b/>
        </w:rPr>
        <w:t>Short description</w:t>
      </w:r>
    </w:p>
    <w:p w14:paraId="3BE1A048" w14:textId="77777777" w:rsidR="00E359CD" w:rsidRDefault="00E359CD" w:rsidP="00E359CD">
      <w:r>
        <w:t>Consortium: STFC</w:t>
      </w:r>
    </w:p>
    <w:p w14:paraId="59CED0F5" w14:textId="77777777" w:rsidR="00E359CD" w:rsidRDefault="00E359CD" w:rsidP="00E359CD">
      <w:r>
        <w:t>The Accounting Repository stores user accounting records from various services offered by EGI. It is part of the EGI Core Infrastructure Platform, which supports the daily operations of EGI. 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w:t>
      </w:r>
    </w:p>
    <w:p w14:paraId="6E3328EF" w14:textId="77777777" w:rsidR="00E359CD" w:rsidRDefault="00E359CD" w:rsidP="00E359CD"/>
    <w:p w14:paraId="3BB6422D" w14:textId="77777777" w:rsidR="00E359CD" w:rsidRDefault="00E359CD" w:rsidP="00E359CD">
      <w:pPr>
        <w:rPr>
          <w:b/>
        </w:rPr>
      </w:pPr>
      <w:r w:rsidRPr="002B1400">
        <w:rPr>
          <w:b/>
        </w:rPr>
        <w:t>Report summary</w:t>
      </w:r>
    </w:p>
    <w:p w14:paraId="57AA4642" w14:textId="77777777" w:rsidR="00000000" w:rsidRPr="000D1383" w:rsidRDefault="003E646C" w:rsidP="000D1383">
      <w:r w:rsidRPr="000D1383">
        <w:t>Main activities</w:t>
      </w:r>
    </w:p>
    <w:p w14:paraId="3A564298" w14:textId="20AA948E" w:rsidR="00000000" w:rsidRPr="000D1383" w:rsidRDefault="000D1383" w:rsidP="000D1383">
      <w:pPr>
        <w:pStyle w:val="ListParagraph"/>
        <w:numPr>
          <w:ilvl w:val="0"/>
          <w:numId w:val="7"/>
        </w:numPr>
      </w:pPr>
      <w:r>
        <w:t>f</w:t>
      </w:r>
      <w:r w:rsidR="003E646C" w:rsidRPr="000D1383">
        <w:t>inalized transition to EMI-3 probes in all EGI sites</w:t>
      </w:r>
    </w:p>
    <w:p w14:paraId="1A459B49" w14:textId="309C8659" w:rsidR="00000000" w:rsidRPr="000D1383" w:rsidRDefault="003E646C" w:rsidP="000D1383">
      <w:pPr>
        <w:pStyle w:val="ListParagraph"/>
        <w:numPr>
          <w:ilvl w:val="0"/>
          <w:numId w:val="7"/>
        </w:numPr>
      </w:pPr>
      <w:r w:rsidRPr="000D1383">
        <w:t>releases of the APEL software</w:t>
      </w:r>
    </w:p>
    <w:p w14:paraId="7B62FFBB" w14:textId="77777777" w:rsidR="00000000" w:rsidRDefault="003E646C" w:rsidP="000D1383">
      <w:pPr>
        <w:pStyle w:val="ListParagraph"/>
        <w:numPr>
          <w:ilvl w:val="0"/>
          <w:numId w:val="7"/>
        </w:numPr>
      </w:pPr>
      <w:r w:rsidRPr="000D1383">
        <w:t>Interface with the Accounting portal for the new data</w:t>
      </w:r>
    </w:p>
    <w:p w14:paraId="5D3C9FE3" w14:textId="77777777" w:rsidR="000D1383" w:rsidRDefault="000D1383" w:rsidP="000D1383">
      <w:r>
        <w:t>OLA Performances report</w:t>
      </w:r>
    </w:p>
    <w:p w14:paraId="79CEA8DE" w14:textId="77777777" w:rsidR="000D1383" w:rsidRDefault="000D1383" w:rsidP="000D1383">
      <w:pPr>
        <w:pStyle w:val="ListParagraph"/>
        <w:numPr>
          <w:ilvl w:val="0"/>
          <w:numId w:val="8"/>
        </w:numPr>
      </w:pPr>
      <w:r>
        <w:t>Availability and reliability: always over 99%</w:t>
      </w:r>
    </w:p>
    <w:p w14:paraId="083151F3" w14:textId="77777777" w:rsidR="000D1383" w:rsidRDefault="000D1383" w:rsidP="000D1383">
      <w:pPr>
        <w:pStyle w:val="ListParagraph"/>
        <w:numPr>
          <w:ilvl w:val="0"/>
          <w:numId w:val="8"/>
        </w:numPr>
      </w:pPr>
      <w:r>
        <w:t>Support response time: below target only in November</w:t>
      </w:r>
    </w:p>
    <w:p w14:paraId="67219025" w14:textId="77777777" w:rsidR="000D1383" w:rsidRDefault="000D1383" w:rsidP="000D1383">
      <w:pPr>
        <w:pStyle w:val="ListParagraph"/>
        <w:numPr>
          <w:ilvl w:val="1"/>
          <w:numId w:val="8"/>
        </w:numPr>
      </w:pPr>
      <w:r>
        <w:t>The breach has been caused by an erroneous re-assignment of the ticket from another support unit</w:t>
      </w:r>
    </w:p>
    <w:p w14:paraId="0DA3D67A" w14:textId="77777777" w:rsidR="000D1383" w:rsidRDefault="000D1383" w:rsidP="000D1383">
      <w:r>
        <w:t>Issues</w:t>
      </w:r>
    </w:p>
    <w:p w14:paraId="6167C389" w14:textId="77777777" w:rsidR="000D1383" w:rsidRDefault="000D1383" w:rsidP="000D1383">
      <w:pPr>
        <w:pStyle w:val="ListParagraph"/>
        <w:numPr>
          <w:ilvl w:val="0"/>
          <w:numId w:val="9"/>
        </w:numPr>
      </w:pPr>
      <w:r>
        <w:t>The following issues caused data loss:</w:t>
      </w:r>
    </w:p>
    <w:p w14:paraId="64C547F8" w14:textId="77777777" w:rsidR="000D1383" w:rsidRDefault="000D1383" w:rsidP="000D1383">
      <w:pPr>
        <w:pStyle w:val="ListParagraph"/>
        <w:numPr>
          <w:ilvl w:val="1"/>
          <w:numId w:val="9"/>
        </w:numPr>
      </w:pPr>
      <w:r>
        <w:lastRenderedPageBreak/>
        <w:t>Misconfigured site, acting as repository</w:t>
      </w:r>
    </w:p>
    <w:p w14:paraId="7F66CFD4" w14:textId="77777777" w:rsidR="000D1383" w:rsidRDefault="000D1383" w:rsidP="000D1383">
      <w:pPr>
        <w:pStyle w:val="ListParagraph"/>
        <w:numPr>
          <w:ilvl w:val="1"/>
          <w:numId w:val="9"/>
        </w:numPr>
      </w:pPr>
      <w:r>
        <w:t>Crash caused by another site misconfiguration</w:t>
      </w:r>
    </w:p>
    <w:p w14:paraId="7EF1705C" w14:textId="62CE6B32" w:rsidR="000D1383" w:rsidRDefault="000D1383" w:rsidP="000D1383">
      <w:pPr>
        <w:pStyle w:val="ListParagraph"/>
        <w:numPr>
          <w:ilvl w:val="0"/>
          <w:numId w:val="9"/>
        </w:numPr>
      </w:pPr>
      <w:r>
        <w:t>Data was re-published by affected sites, or is being republished</w:t>
      </w:r>
    </w:p>
    <w:p w14:paraId="0F708072" w14:textId="77777777" w:rsidR="000D1383" w:rsidRDefault="000D1383" w:rsidP="000D1383">
      <w:r>
        <w:t>Plans</w:t>
      </w:r>
    </w:p>
    <w:p w14:paraId="69FC552D" w14:textId="77777777" w:rsidR="000D1383" w:rsidRDefault="000D1383" w:rsidP="000D1383">
      <w:pPr>
        <w:pStyle w:val="ListParagraph"/>
        <w:numPr>
          <w:ilvl w:val="0"/>
          <w:numId w:val="10"/>
        </w:numPr>
      </w:pPr>
      <w:r>
        <w:t>Review accounting monitoring tests</w:t>
      </w:r>
    </w:p>
    <w:p w14:paraId="105C8F4B" w14:textId="77777777" w:rsidR="000D1383" w:rsidRDefault="000D1383" w:rsidP="000D1383">
      <w:pPr>
        <w:pStyle w:val="ListParagraph"/>
        <w:numPr>
          <w:ilvl w:val="0"/>
          <w:numId w:val="10"/>
        </w:numPr>
      </w:pPr>
      <w:r>
        <w:t>Migrate EMI-2 data in the new repository</w:t>
      </w:r>
    </w:p>
    <w:p w14:paraId="23BB7CC3" w14:textId="007BC59B" w:rsidR="00E359CD" w:rsidRPr="008644C9" w:rsidRDefault="000D1383" w:rsidP="00E359CD">
      <w:pPr>
        <w:pStyle w:val="ListParagraph"/>
        <w:numPr>
          <w:ilvl w:val="0"/>
          <w:numId w:val="10"/>
        </w:numPr>
      </w:pPr>
      <w:r>
        <w:t>Support for multicore accounting in production</w:t>
      </w:r>
    </w:p>
    <w:p w14:paraId="6AAE00A1" w14:textId="77777777" w:rsidR="00E359CD" w:rsidRDefault="00E359CD" w:rsidP="00E359CD">
      <w:pPr>
        <w:pStyle w:val="Heading2"/>
      </w:pPr>
      <w:bookmarkStart w:id="13" w:name="_Toc404776752"/>
      <w:bookmarkStart w:id="14" w:name="_Toc423098859"/>
      <w:r>
        <w:t>Accounting and Metric Portal</w:t>
      </w:r>
      <w:bookmarkEnd w:id="13"/>
      <w:bookmarkEnd w:id="14"/>
    </w:p>
    <w:p w14:paraId="305B1EBE" w14:textId="77777777" w:rsidR="00E359CD" w:rsidRPr="002B1400" w:rsidRDefault="00E359CD" w:rsidP="00E359CD">
      <w:pPr>
        <w:rPr>
          <w:b/>
        </w:rPr>
      </w:pPr>
      <w:r w:rsidRPr="002B1400">
        <w:rPr>
          <w:b/>
        </w:rPr>
        <w:t>Short description</w:t>
      </w:r>
    </w:p>
    <w:p w14:paraId="32B73B56" w14:textId="77777777" w:rsidR="00E359CD" w:rsidRDefault="00E359CD" w:rsidP="00E359CD">
      <w:r>
        <w:t>Consortium: CESGA</w:t>
      </w:r>
    </w:p>
    <w:p w14:paraId="3A6C23B1" w14:textId="77777777" w:rsidR="00E359CD" w:rsidRDefault="00E359CD" w:rsidP="00E359CD">
      <w:r>
        <w:t>The Accounting Portal provides data accounting views for users, VO Managers, NGI operations and the general public. The Accounting Portal is part of the EGI Core Infrastructure Platform which supports the daily operations of EGI. The EGI Accounting Infrastructure is distributed. At a central level it includes the repositories for the persistent storage of usage records. The central databases are populated through individual usage records published by the Resource Centres, or through the publication of summarised usage records. The Accounting Infrastructure is essential in a service-oriented business model to record usage information.</w:t>
      </w:r>
    </w:p>
    <w:p w14:paraId="61A201C9" w14:textId="77777777" w:rsidR="00E359CD" w:rsidRDefault="00E359CD" w:rsidP="00E359CD">
      <w:r>
        <w:t>The Metrics Portal aggregates metrics from the EGI Infrastructure from activity leaders and NGI managers in order to quantify and track the infrastructure evolution.</w:t>
      </w:r>
    </w:p>
    <w:p w14:paraId="1F2B569C" w14:textId="77777777" w:rsidR="00E359CD" w:rsidRDefault="00E359CD" w:rsidP="00E359CD"/>
    <w:p w14:paraId="5CA6694D" w14:textId="77777777" w:rsidR="00E359CD" w:rsidRPr="002B1400" w:rsidRDefault="00E359CD" w:rsidP="00E359CD">
      <w:pPr>
        <w:rPr>
          <w:b/>
        </w:rPr>
      </w:pPr>
      <w:r w:rsidRPr="002B1400">
        <w:rPr>
          <w:b/>
        </w:rPr>
        <w:t>Report summary</w:t>
      </w:r>
    </w:p>
    <w:p w14:paraId="46E11678" w14:textId="77777777" w:rsidR="00725997" w:rsidRDefault="00725997" w:rsidP="00725997">
      <w:r>
        <w:t>Main activities</w:t>
      </w:r>
    </w:p>
    <w:p w14:paraId="4427D48F" w14:textId="77777777" w:rsidR="00725997" w:rsidRDefault="00725997" w:rsidP="00725997">
      <w:pPr>
        <w:pStyle w:val="ListParagraph"/>
        <w:numPr>
          <w:ilvl w:val="0"/>
          <w:numId w:val="37"/>
        </w:numPr>
      </w:pPr>
      <w:r>
        <w:t>Maintenance and support through helpdesk tickets</w:t>
      </w:r>
    </w:p>
    <w:p w14:paraId="4712390E" w14:textId="77777777" w:rsidR="00725997" w:rsidRDefault="00725997" w:rsidP="00725997">
      <w:r>
        <w:t>OLA Performances report</w:t>
      </w:r>
    </w:p>
    <w:p w14:paraId="2123B663" w14:textId="77777777" w:rsidR="00725997" w:rsidRDefault="00725997" w:rsidP="00725997">
      <w:pPr>
        <w:pStyle w:val="ListParagraph"/>
        <w:numPr>
          <w:ilvl w:val="0"/>
          <w:numId w:val="37"/>
        </w:numPr>
      </w:pPr>
      <w:r>
        <w:t>Availability targets met for all the months but March, due to a failure during a week end</w:t>
      </w:r>
    </w:p>
    <w:p w14:paraId="7218C7CF" w14:textId="77777777" w:rsidR="00725997" w:rsidRDefault="00725997" w:rsidP="00725997">
      <w:r>
        <w:t>Issues</w:t>
      </w:r>
    </w:p>
    <w:p w14:paraId="3BB633DB" w14:textId="77777777" w:rsidR="00725997" w:rsidRDefault="00725997" w:rsidP="00725997">
      <w:pPr>
        <w:pStyle w:val="ListParagraph"/>
        <w:numPr>
          <w:ilvl w:val="0"/>
          <w:numId w:val="37"/>
        </w:numPr>
      </w:pPr>
      <w:r>
        <w:t>Failures during week-end</w:t>
      </w:r>
    </w:p>
    <w:p w14:paraId="57F02283" w14:textId="77777777" w:rsidR="00725997" w:rsidRDefault="00725997" w:rsidP="00725997">
      <w:r>
        <w:t>Plans</w:t>
      </w:r>
    </w:p>
    <w:p w14:paraId="3268E025" w14:textId="77777777" w:rsidR="00725997" w:rsidRDefault="00725997" w:rsidP="00725997">
      <w:pPr>
        <w:pStyle w:val="ListParagraph"/>
        <w:numPr>
          <w:ilvl w:val="0"/>
          <w:numId w:val="37"/>
        </w:numPr>
      </w:pPr>
      <w:r>
        <w:t>Installation of apache watchdog service</w:t>
      </w:r>
    </w:p>
    <w:p w14:paraId="0E095526" w14:textId="7C6BBC23" w:rsidR="00E359CD" w:rsidRDefault="00725997" w:rsidP="00725997">
      <w:pPr>
        <w:pStyle w:val="ListParagraph"/>
        <w:numPr>
          <w:ilvl w:val="0"/>
          <w:numId w:val="37"/>
        </w:numPr>
      </w:pPr>
      <w:r>
        <w:t>Study feasibility of a redundant deployment</w:t>
      </w:r>
    </w:p>
    <w:p w14:paraId="17145E7D" w14:textId="77777777" w:rsidR="00E359CD" w:rsidRDefault="00E359CD" w:rsidP="00E359CD">
      <w:pPr>
        <w:pStyle w:val="Heading2"/>
      </w:pPr>
      <w:bookmarkStart w:id="15" w:name="_Toc404776753"/>
      <w:bookmarkStart w:id="16" w:name="_Toc423098860"/>
      <w:r>
        <w:t>SAM central services</w:t>
      </w:r>
      <w:bookmarkEnd w:id="15"/>
      <w:bookmarkEnd w:id="16"/>
    </w:p>
    <w:p w14:paraId="03799710" w14:textId="77777777" w:rsidR="00E359CD" w:rsidRPr="002B1400" w:rsidRDefault="00E359CD" w:rsidP="00E359CD">
      <w:pPr>
        <w:rPr>
          <w:b/>
        </w:rPr>
      </w:pPr>
      <w:r w:rsidRPr="002B1400">
        <w:rPr>
          <w:b/>
        </w:rPr>
        <w:t>Short description</w:t>
      </w:r>
    </w:p>
    <w:p w14:paraId="6AA4F662" w14:textId="77777777" w:rsidR="00E359CD" w:rsidRDefault="00E359CD" w:rsidP="00E359CD">
      <w:r>
        <w:t>Consortium: GRNET, SRCE, CNRS</w:t>
      </w:r>
    </w:p>
    <w:p w14:paraId="558D08EF" w14:textId="77777777" w:rsidR="00E359CD" w:rsidRDefault="00E359CD" w:rsidP="00E359CD">
      <w:r>
        <w:t xml:space="preserve">SAM Central Service is part of the EGI Core Infrastructure Platform which supports the daily operations of EGI. Central systems are needed for accessing and archiving infrastructure monitoring results of the services </w:t>
      </w:r>
      <w:r>
        <w:lastRenderedPageBreak/>
        <w:t>provided at many levels (Resource Centres, NGIs and EGI.EU), for the generation of service level reports, and for the central monitoring of EGI.eu operational tools and other central monitoring needs.</w:t>
      </w:r>
    </w:p>
    <w:p w14:paraId="1E9C91EB" w14:textId="77777777" w:rsidR="00E359CD" w:rsidRDefault="00E359CD" w:rsidP="00E359CD"/>
    <w:p w14:paraId="779696B8" w14:textId="77777777" w:rsidR="00E359CD" w:rsidRDefault="00E359CD" w:rsidP="00E359CD">
      <w:pPr>
        <w:rPr>
          <w:b/>
        </w:rPr>
      </w:pPr>
      <w:r>
        <w:rPr>
          <w:b/>
        </w:rPr>
        <w:t>Report summary</w:t>
      </w:r>
    </w:p>
    <w:p w14:paraId="79F911F3" w14:textId="77777777" w:rsidR="00CA3ECC" w:rsidRDefault="00CA3ECC" w:rsidP="00CA3ECC">
      <w:r>
        <w:t>Main activities</w:t>
      </w:r>
    </w:p>
    <w:p w14:paraId="63327F5A" w14:textId="77777777" w:rsidR="00CA3ECC" w:rsidRDefault="00CA3ECC" w:rsidP="00CA3ECC">
      <w:pPr>
        <w:pStyle w:val="ListParagraph"/>
        <w:numPr>
          <w:ilvl w:val="0"/>
          <w:numId w:val="19"/>
        </w:numPr>
      </w:pPr>
      <w:r>
        <w:t>SAM Update-23 has been released and deployed</w:t>
      </w:r>
    </w:p>
    <w:p w14:paraId="234C8513" w14:textId="77777777" w:rsidR="00CA3ECC" w:rsidRDefault="00CA3ECC" w:rsidP="00CA3ECC">
      <w:pPr>
        <w:pStyle w:val="ListParagraph"/>
        <w:numPr>
          <w:ilvl w:val="0"/>
          <w:numId w:val="19"/>
        </w:numPr>
      </w:pPr>
      <w:r>
        <w:t xml:space="preserve">Support </w:t>
      </w:r>
    </w:p>
    <w:p w14:paraId="4999FA86" w14:textId="77777777" w:rsidR="00CA3ECC" w:rsidRDefault="00CA3ECC" w:rsidP="00CA3ECC">
      <w:r>
        <w:t>OLA Performances report</w:t>
      </w:r>
    </w:p>
    <w:p w14:paraId="5971E280" w14:textId="172CA9ED" w:rsidR="00CA3ECC" w:rsidRDefault="00CA3ECC" w:rsidP="00CA3ECC">
      <w:pPr>
        <w:pStyle w:val="ListParagraph"/>
        <w:numPr>
          <w:ilvl w:val="0"/>
          <w:numId w:val="20"/>
        </w:numPr>
      </w:pPr>
      <w:r>
        <w:t>Both the targets for service availability and support were met and exceeded during the monitored period</w:t>
      </w:r>
    </w:p>
    <w:p w14:paraId="010B3560" w14:textId="77777777" w:rsidR="00CA3ECC" w:rsidRDefault="00CA3ECC" w:rsidP="00CA3ECC">
      <w:r>
        <w:t>Plans</w:t>
      </w:r>
    </w:p>
    <w:p w14:paraId="260B546E" w14:textId="77777777" w:rsidR="00CA3ECC" w:rsidRDefault="00CA3ECC" w:rsidP="00CA3ECC">
      <w:pPr>
        <w:pStyle w:val="ListParagraph"/>
        <w:numPr>
          <w:ilvl w:val="0"/>
          <w:numId w:val="20"/>
        </w:numPr>
      </w:pPr>
      <w:r>
        <w:t>Deployment of ARGO service in production</w:t>
      </w:r>
    </w:p>
    <w:p w14:paraId="618BB8DC" w14:textId="2353F854" w:rsidR="00CA3ECC" w:rsidRPr="00CA3ECC" w:rsidRDefault="00CA3ECC" w:rsidP="00CA3ECC">
      <w:pPr>
        <w:pStyle w:val="ListParagraph"/>
        <w:numPr>
          <w:ilvl w:val="0"/>
          <w:numId w:val="20"/>
        </w:numPr>
      </w:pPr>
      <w:r>
        <w:t xml:space="preserve">Test feasibility for monitoring with central </w:t>
      </w:r>
      <w:proofErr w:type="spellStart"/>
      <w:r>
        <w:t>Nagios</w:t>
      </w:r>
      <w:r>
        <w:t>’</w:t>
      </w:r>
      <w:r>
        <w:t>es</w:t>
      </w:r>
      <w:proofErr w:type="spellEnd"/>
    </w:p>
    <w:p w14:paraId="23D8615E" w14:textId="77777777" w:rsidR="00E359CD" w:rsidRDefault="00E359CD" w:rsidP="00E359CD">
      <w:pPr>
        <w:pStyle w:val="Heading2"/>
      </w:pPr>
      <w:bookmarkStart w:id="17" w:name="_Toc404776754"/>
      <w:bookmarkStart w:id="18" w:name="_Toc423098861"/>
      <w:r>
        <w:t>Monitoring central services</w:t>
      </w:r>
      <w:bookmarkEnd w:id="17"/>
      <w:bookmarkEnd w:id="18"/>
    </w:p>
    <w:p w14:paraId="3F1C0952" w14:textId="77777777" w:rsidR="00E359CD" w:rsidRPr="00E85A84" w:rsidRDefault="00E359CD" w:rsidP="00E359CD">
      <w:pPr>
        <w:rPr>
          <w:b/>
        </w:rPr>
      </w:pPr>
      <w:r w:rsidRPr="00E85A84">
        <w:rPr>
          <w:b/>
        </w:rPr>
        <w:t>Short description</w:t>
      </w:r>
    </w:p>
    <w:p w14:paraId="319E7524" w14:textId="77777777" w:rsidR="00E359CD" w:rsidRDefault="00E359CD" w:rsidP="00E359CD">
      <w:r>
        <w:t xml:space="preserve">Consortium: GRNET, SRCE </w:t>
      </w:r>
    </w:p>
    <w:p w14:paraId="2700C491" w14:textId="77777777" w:rsidR="00E359CD" w:rsidRDefault="00E359CD" w:rsidP="00E359CD"/>
    <w:p w14:paraId="6381A406" w14:textId="77777777" w:rsidR="00E359CD" w:rsidRDefault="00E359CD" w:rsidP="00E359CD">
      <w:r>
        <w:t xml:space="preserve">Monitoring Central Services is supporting monitoring of activities to be conducted centrally, like monitoring of e.g. </w:t>
      </w:r>
      <w:proofErr w:type="spellStart"/>
      <w:r>
        <w:t>UserDN</w:t>
      </w:r>
      <w:proofErr w:type="spellEnd"/>
      <w:r>
        <w:t xml:space="preserve"> publishing in accounting records, GLUE information validation, </w:t>
      </w:r>
      <w:proofErr w:type="gramStart"/>
      <w:r>
        <w:t>software</w:t>
      </w:r>
      <w:proofErr w:type="gramEnd"/>
      <w:r>
        <w:t xml:space="preserve"> versions of deployed middleware, security incidents and weaknesses and EGI.eu technical services. Central Monitoring Services is part of the EGI Core Infrastructure Platform, which supports the daily operations of EGI</w:t>
      </w:r>
    </w:p>
    <w:p w14:paraId="7F7E609A" w14:textId="77777777" w:rsidR="00E359CD" w:rsidRDefault="00E359CD" w:rsidP="00E359CD"/>
    <w:p w14:paraId="2E4CFFC3" w14:textId="77777777" w:rsidR="00E359CD" w:rsidRPr="00E85A84" w:rsidRDefault="00E359CD" w:rsidP="00E359CD">
      <w:pPr>
        <w:rPr>
          <w:b/>
        </w:rPr>
      </w:pPr>
      <w:r w:rsidRPr="00E85A84">
        <w:rPr>
          <w:b/>
        </w:rPr>
        <w:t>Report summary</w:t>
      </w:r>
    </w:p>
    <w:p w14:paraId="6B1C43E9" w14:textId="77777777" w:rsidR="00ED1841" w:rsidRDefault="00ED1841" w:rsidP="00ED1841">
      <w:r>
        <w:t>Main activities</w:t>
      </w:r>
    </w:p>
    <w:p w14:paraId="36662826" w14:textId="77777777" w:rsidR="00ED1841" w:rsidRDefault="00ED1841" w:rsidP="00ED1841">
      <w:pPr>
        <w:pStyle w:val="ListParagraph"/>
        <w:numPr>
          <w:ilvl w:val="0"/>
          <w:numId w:val="21"/>
        </w:numPr>
      </w:pPr>
      <w:r>
        <w:t>Upgrade of the SAM instances to SAM-23</w:t>
      </w:r>
    </w:p>
    <w:p w14:paraId="081EFFDE" w14:textId="77777777" w:rsidR="00ED1841" w:rsidRDefault="00ED1841" w:rsidP="00ED1841">
      <w:pPr>
        <w:pStyle w:val="ListParagraph"/>
        <w:numPr>
          <w:ilvl w:val="0"/>
          <w:numId w:val="21"/>
        </w:numPr>
      </w:pPr>
      <w:r>
        <w:t>Changes in the monitoring probes</w:t>
      </w:r>
    </w:p>
    <w:p w14:paraId="284A94C2" w14:textId="77777777" w:rsidR="00ED1841" w:rsidRDefault="00ED1841" w:rsidP="00ED1841">
      <w:r>
        <w:t>OLA Performances report</w:t>
      </w:r>
    </w:p>
    <w:p w14:paraId="5039974A" w14:textId="2D007B76" w:rsidR="00ED1841" w:rsidRDefault="00ED1841" w:rsidP="00ED1841">
      <w:pPr>
        <w:pStyle w:val="ListParagraph"/>
        <w:numPr>
          <w:ilvl w:val="0"/>
          <w:numId w:val="22"/>
        </w:numPr>
      </w:pPr>
      <w:r>
        <w:t>The service was</w:t>
      </w:r>
      <w:r>
        <w:t xml:space="preserve"> available 100% of the time during the monitored period.</w:t>
      </w:r>
    </w:p>
    <w:p w14:paraId="4C6DD04B" w14:textId="77777777" w:rsidR="00ED1841" w:rsidRDefault="00ED1841" w:rsidP="00ED1841">
      <w:r>
        <w:t>Plans</w:t>
      </w:r>
    </w:p>
    <w:p w14:paraId="3B7F138E" w14:textId="2BDCA1FE" w:rsidR="00E359CD" w:rsidRDefault="00ED1841" w:rsidP="00ED1841">
      <w:pPr>
        <w:pStyle w:val="ListParagraph"/>
        <w:numPr>
          <w:ilvl w:val="0"/>
          <w:numId w:val="22"/>
        </w:numPr>
      </w:pPr>
      <w:r>
        <w:t>Normal maintenance of the services</w:t>
      </w:r>
    </w:p>
    <w:p w14:paraId="151DF253" w14:textId="77777777" w:rsidR="00E359CD" w:rsidRDefault="00E359CD" w:rsidP="00E359CD">
      <w:pPr>
        <w:pStyle w:val="Heading2"/>
      </w:pPr>
      <w:bookmarkStart w:id="19" w:name="_Toc404776755"/>
      <w:bookmarkStart w:id="20" w:name="_Toc423098862"/>
      <w:r>
        <w:t>Security monitoring and related support tools</w:t>
      </w:r>
      <w:bookmarkEnd w:id="19"/>
      <w:bookmarkEnd w:id="20"/>
    </w:p>
    <w:p w14:paraId="38E6156C" w14:textId="77777777" w:rsidR="00E359CD" w:rsidRPr="00E85A84" w:rsidRDefault="00E359CD" w:rsidP="00E359CD">
      <w:pPr>
        <w:rPr>
          <w:b/>
        </w:rPr>
      </w:pPr>
      <w:r w:rsidRPr="00E85A84">
        <w:rPr>
          <w:b/>
        </w:rPr>
        <w:t>Short description</w:t>
      </w:r>
    </w:p>
    <w:p w14:paraId="6DD09DB5" w14:textId="77777777" w:rsidR="00E359CD" w:rsidRDefault="00E359CD" w:rsidP="00E359CD">
      <w:r>
        <w:t xml:space="preserve">Consortium: CESNET </w:t>
      </w:r>
    </w:p>
    <w:p w14:paraId="773F21E9" w14:textId="77777777" w:rsidR="00E359CD" w:rsidRDefault="00E359CD" w:rsidP="00E359CD">
      <w:r>
        <w:t xml:space="preserve">Security monitoring and related support tools are part of the EGI Core Infrastructure Platform which supports the daily security operations of EGI. EGI is an interconnected federation where a single vulnerable place may </w:t>
      </w:r>
      <w:r>
        <w:lastRenderedPageBreak/>
        <w:t>have a huge impact on the whole infrastructure. In order to recognise the risks and to address potential vulnerabilities in a timely manner, the EGI Security Monitoring provides an oversight of the infrastructure from the security standpoint. Also, sites connected to EGI differ significantly in the level of security and detecting weaknesses exposed by the sites allows the EGI security operations to contact the sites before the issue leads to an incident. Information produced by security monitoring is also important during assessment of new risks and vulnerabilities since it enables to identify the scope and impact of a potential security incident.</w:t>
      </w:r>
    </w:p>
    <w:p w14:paraId="4C04DCE8" w14:textId="77777777" w:rsidR="00E359CD" w:rsidRDefault="00E359CD" w:rsidP="00E359CD"/>
    <w:p w14:paraId="719B9475" w14:textId="77777777" w:rsidR="00E359CD" w:rsidRDefault="00E359CD" w:rsidP="00E359CD">
      <w:pPr>
        <w:rPr>
          <w:b/>
        </w:rPr>
      </w:pPr>
      <w:r w:rsidRPr="00E85A84">
        <w:rPr>
          <w:b/>
        </w:rPr>
        <w:t>Report summary</w:t>
      </w:r>
    </w:p>
    <w:p w14:paraId="4CA04DE7" w14:textId="77777777" w:rsidR="007A2C2C" w:rsidRDefault="007A2C2C" w:rsidP="007A2C2C">
      <w:r>
        <w:t>Main activities</w:t>
      </w:r>
    </w:p>
    <w:p w14:paraId="3CD9678B" w14:textId="1ECDFC08" w:rsidR="007A2C2C" w:rsidRDefault="007A2C2C" w:rsidP="007A2C2C">
      <w:pPr>
        <w:pStyle w:val="ListParagraph"/>
        <w:numPr>
          <w:ilvl w:val="0"/>
          <w:numId w:val="22"/>
        </w:numPr>
      </w:pPr>
      <w:r>
        <w:t xml:space="preserve">Provisioning of the </w:t>
      </w:r>
      <w:proofErr w:type="spellStart"/>
      <w:r>
        <w:t>P</w:t>
      </w:r>
      <w:r>
        <w:t>akiti</w:t>
      </w:r>
      <w:proofErr w:type="spellEnd"/>
      <w:r>
        <w:t xml:space="preserve"> service</w:t>
      </w:r>
    </w:p>
    <w:p w14:paraId="7B661B0E" w14:textId="77777777" w:rsidR="007A2C2C" w:rsidRDefault="007A2C2C" w:rsidP="007A2C2C">
      <w:pPr>
        <w:pStyle w:val="ListParagraph"/>
        <w:numPr>
          <w:ilvl w:val="0"/>
          <w:numId w:val="22"/>
        </w:numPr>
      </w:pPr>
      <w:r>
        <w:t>Implementation of new probes for vulnerability test</w:t>
      </w:r>
    </w:p>
    <w:p w14:paraId="1728E6F1" w14:textId="77777777" w:rsidR="007A2C2C" w:rsidRDefault="007A2C2C" w:rsidP="007A2C2C">
      <w:pPr>
        <w:pStyle w:val="ListParagraph"/>
        <w:numPr>
          <w:ilvl w:val="0"/>
          <w:numId w:val="22"/>
        </w:numPr>
      </w:pPr>
      <w:r>
        <w:t>Development of the clients</w:t>
      </w:r>
    </w:p>
    <w:p w14:paraId="173072F6" w14:textId="77777777" w:rsidR="007A2C2C" w:rsidRDefault="007A2C2C" w:rsidP="007A2C2C">
      <w:pPr>
        <w:pStyle w:val="ListParagraph"/>
        <w:numPr>
          <w:ilvl w:val="0"/>
          <w:numId w:val="22"/>
        </w:numPr>
      </w:pPr>
      <w:r>
        <w:t>Development in the security dashboard</w:t>
      </w:r>
    </w:p>
    <w:p w14:paraId="38B6FED1" w14:textId="77777777" w:rsidR="007A2C2C" w:rsidRDefault="007A2C2C" w:rsidP="007A2C2C">
      <w:r>
        <w:t>OLA Performances report</w:t>
      </w:r>
    </w:p>
    <w:p w14:paraId="5F5A5B49" w14:textId="77777777" w:rsidR="007A2C2C" w:rsidRDefault="007A2C2C" w:rsidP="007A2C2C">
      <w:pPr>
        <w:pStyle w:val="ListParagraph"/>
        <w:numPr>
          <w:ilvl w:val="0"/>
          <w:numId w:val="35"/>
        </w:numPr>
      </w:pPr>
      <w:r>
        <w:t>The services and the support met and exceeded the targets during the monitored period</w:t>
      </w:r>
    </w:p>
    <w:p w14:paraId="286CE4AD" w14:textId="77777777" w:rsidR="007A2C2C" w:rsidRDefault="007A2C2C" w:rsidP="007A2C2C">
      <w:r>
        <w:t>Plans</w:t>
      </w:r>
    </w:p>
    <w:p w14:paraId="5560F9AF" w14:textId="748D7C90" w:rsidR="007A2C2C" w:rsidRPr="007A2C2C" w:rsidRDefault="007A2C2C" w:rsidP="007A2C2C">
      <w:pPr>
        <w:pStyle w:val="ListParagraph"/>
        <w:numPr>
          <w:ilvl w:val="0"/>
          <w:numId w:val="35"/>
        </w:numPr>
      </w:pPr>
      <w:r>
        <w:t>No changes in the service, besides regular maintenance (new vulnerabilities support)</w:t>
      </w:r>
    </w:p>
    <w:p w14:paraId="42F983E0" w14:textId="77777777" w:rsidR="00E359CD" w:rsidRDefault="00E359CD" w:rsidP="00E359CD">
      <w:pPr>
        <w:pStyle w:val="Heading2"/>
      </w:pPr>
      <w:bookmarkStart w:id="21" w:name="_Toc404776756"/>
      <w:bookmarkStart w:id="22" w:name="_Toc423098863"/>
      <w:r>
        <w:t>Service registry (GOCDB)</w:t>
      </w:r>
      <w:bookmarkEnd w:id="21"/>
      <w:bookmarkEnd w:id="22"/>
    </w:p>
    <w:p w14:paraId="7944F28D" w14:textId="77777777" w:rsidR="00E359CD" w:rsidRPr="00E85A84" w:rsidRDefault="00E359CD" w:rsidP="00E359CD">
      <w:pPr>
        <w:rPr>
          <w:b/>
        </w:rPr>
      </w:pPr>
      <w:r w:rsidRPr="00E85A84">
        <w:rPr>
          <w:b/>
        </w:rPr>
        <w:t>Short description</w:t>
      </w:r>
    </w:p>
    <w:p w14:paraId="651A04AE" w14:textId="77777777" w:rsidR="00E359CD" w:rsidRDefault="00E359CD" w:rsidP="00E359CD">
      <w:r>
        <w:t>Consortium: STFC</w:t>
      </w:r>
    </w:p>
    <w:p w14:paraId="323271FC" w14:textId="77777777" w:rsidR="00E359CD" w:rsidRDefault="00E359CD" w:rsidP="00E359CD">
      <w:r>
        <w:t>Service Registry (GOCDB) is a central registry to record information about different entities such as the Operations Centres, the Resource Centres, service endpoints and the contact information and roles of people responsible for operations at different levels. GOCDB is a source of information for many other operational tools, such as the broadcast tool, the Aggregated Topology Provider, the Accounting Portal, etc. GOCDB is part of the EGI Core Infrastructure Platform, which supports the daily operations of EGI.</w:t>
      </w:r>
    </w:p>
    <w:p w14:paraId="544BA42A" w14:textId="77777777" w:rsidR="00E359CD" w:rsidRDefault="00E359CD" w:rsidP="00E359CD"/>
    <w:p w14:paraId="74E5D45E" w14:textId="77777777" w:rsidR="00E359CD" w:rsidRPr="00E85A84" w:rsidRDefault="00E359CD" w:rsidP="00E359CD">
      <w:pPr>
        <w:rPr>
          <w:b/>
        </w:rPr>
      </w:pPr>
      <w:r>
        <w:rPr>
          <w:b/>
        </w:rPr>
        <w:t>Report summary</w:t>
      </w:r>
    </w:p>
    <w:p w14:paraId="2ADFC8B2" w14:textId="77777777" w:rsidR="00497987" w:rsidRDefault="00497987" w:rsidP="00497987">
      <w:r>
        <w:t>Main activities</w:t>
      </w:r>
    </w:p>
    <w:p w14:paraId="6623145A" w14:textId="77777777" w:rsidR="00497987" w:rsidRDefault="00497987" w:rsidP="00497987">
      <w:pPr>
        <w:pStyle w:val="ListParagraph"/>
        <w:numPr>
          <w:ilvl w:val="0"/>
          <w:numId w:val="22"/>
        </w:numPr>
      </w:pPr>
      <w:r>
        <w:t>Operation of the service</w:t>
      </w:r>
    </w:p>
    <w:p w14:paraId="6AD0A9AB" w14:textId="77777777" w:rsidR="00497987" w:rsidRDefault="00497987" w:rsidP="00497987">
      <w:pPr>
        <w:pStyle w:val="ListParagraph"/>
        <w:numPr>
          <w:ilvl w:val="0"/>
          <w:numId w:val="22"/>
        </w:numPr>
      </w:pPr>
      <w:r>
        <w:t>Two new releases of GOCDB</w:t>
      </w:r>
    </w:p>
    <w:p w14:paraId="6209F151" w14:textId="77777777" w:rsidR="00497987" w:rsidRDefault="00497987" w:rsidP="00497987">
      <w:pPr>
        <w:pStyle w:val="ListParagraph"/>
        <w:numPr>
          <w:ilvl w:val="1"/>
          <w:numId w:val="22"/>
        </w:numPr>
      </w:pPr>
      <w:r>
        <w:t>Multiple endpoints support, federated identities support</w:t>
      </w:r>
    </w:p>
    <w:p w14:paraId="327B955B" w14:textId="77777777" w:rsidR="00497987" w:rsidRDefault="00497987" w:rsidP="00497987">
      <w:r>
        <w:t>OLA Performances report</w:t>
      </w:r>
    </w:p>
    <w:p w14:paraId="4A1D913C" w14:textId="77777777" w:rsidR="00497987" w:rsidRDefault="00497987" w:rsidP="00497987">
      <w:pPr>
        <w:pStyle w:val="ListParagraph"/>
        <w:numPr>
          <w:ilvl w:val="0"/>
          <w:numId w:val="27"/>
        </w:numPr>
      </w:pPr>
      <w:r>
        <w:t xml:space="preserve">Availability targets were achieved during the monitored period </w:t>
      </w:r>
    </w:p>
    <w:p w14:paraId="6B598815" w14:textId="77777777" w:rsidR="00497987" w:rsidRDefault="00497987" w:rsidP="00497987">
      <w:pPr>
        <w:pStyle w:val="ListParagraph"/>
        <w:numPr>
          <w:ilvl w:val="0"/>
          <w:numId w:val="27"/>
        </w:numPr>
      </w:pPr>
      <w:r>
        <w:t>Support targets were achieved all the months but in March where one very urgent ticket was handled in 1.25 days, caused by unavailability of staff</w:t>
      </w:r>
    </w:p>
    <w:p w14:paraId="64C66CF0" w14:textId="77777777" w:rsidR="00497987" w:rsidRDefault="00497987" w:rsidP="00497987">
      <w:r>
        <w:lastRenderedPageBreak/>
        <w:t>Issues</w:t>
      </w:r>
    </w:p>
    <w:p w14:paraId="2B4E0ED4" w14:textId="46F97275" w:rsidR="00497987" w:rsidRDefault="00497987" w:rsidP="00497987">
      <w:pPr>
        <w:pStyle w:val="ListParagraph"/>
        <w:numPr>
          <w:ilvl w:val="0"/>
          <w:numId w:val="28"/>
        </w:numPr>
      </w:pPr>
      <w:r>
        <w:t>Unavail</w:t>
      </w:r>
      <w:r>
        <w:t>ability of staff during holiday</w:t>
      </w:r>
      <w:r>
        <w:t xml:space="preserve"> periods</w:t>
      </w:r>
    </w:p>
    <w:p w14:paraId="6C9B941C" w14:textId="77777777" w:rsidR="00497987" w:rsidRDefault="00497987" w:rsidP="00497987">
      <w:pPr>
        <w:pStyle w:val="ListParagraph"/>
        <w:numPr>
          <w:ilvl w:val="1"/>
          <w:numId w:val="28"/>
        </w:numPr>
      </w:pPr>
      <w:r>
        <w:t>One additional staff member is following operational support for GOCDB from April</w:t>
      </w:r>
    </w:p>
    <w:p w14:paraId="278DDFBF" w14:textId="77777777" w:rsidR="00497987" w:rsidRDefault="00497987" w:rsidP="00497987">
      <w:pPr>
        <w:pStyle w:val="ListParagraph"/>
        <w:numPr>
          <w:ilvl w:val="0"/>
          <w:numId w:val="28"/>
        </w:numPr>
      </w:pPr>
      <w:r>
        <w:t>Deployment of federated identity support was affected by some issues</w:t>
      </w:r>
    </w:p>
    <w:p w14:paraId="08CD79AF" w14:textId="77777777" w:rsidR="00497987" w:rsidRDefault="00497987" w:rsidP="00497987">
      <w:pPr>
        <w:pStyle w:val="ListParagraph"/>
        <w:numPr>
          <w:ilvl w:val="1"/>
          <w:numId w:val="28"/>
        </w:numPr>
      </w:pPr>
      <w:r>
        <w:t>Not directly affecting production features</w:t>
      </w:r>
    </w:p>
    <w:p w14:paraId="4DC1D324" w14:textId="77777777" w:rsidR="00497987" w:rsidRDefault="00497987" w:rsidP="00497987">
      <w:r>
        <w:t>Plans</w:t>
      </w:r>
    </w:p>
    <w:p w14:paraId="4E388934" w14:textId="7097EA0C" w:rsidR="00E359CD" w:rsidRDefault="00497987" w:rsidP="00497987">
      <w:pPr>
        <w:pStyle w:val="ListParagraph"/>
        <w:numPr>
          <w:ilvl w:val="0"/>
          <w:numId w:val="29"/>
        </w:numPr>
      </w:pPr>
      <w:r>
        <w:t>Planned Database migration</w:t>
      </w:r>
    </w:p>
    <w:p w14:paraId="69F46F7F" w14:textId="77777777" w:rsidR="00E359CD" w:rsidRDefault="00E359CD" w:rsidP="00E359CD">
      <w:pPr>
        <w:pStyle w:val="Heading2"/>
      </w:pPr>
      <w:bookmarkStart w:id="23" w:name="_Toc404776757"/>
      <w:bookmarkStart w:id="24" w:name="_Toc423098864"/>
      <w:r>
        <w:t>Catchall services</w:t>
      </w:r>
      <w:bookmarkEnd w:id="23"/>
      <w:bookmarkEnd w:id="24"/>
    </w:p>
    <w:p w14:paraId="616652A5" w14:textId="77777777" w:rsidR="00E359CD" w:rsidRPr="00E85A84" w:rsidRDefault="00E359CD" w:rsidP="00E359CD">
      <w:pPr>
        <w:rPr>
          <w:b/>
        </w:rPr>
      </w:pPr>
      <w:r w:rsidRPr="00E85A84">
        <w:rPr>
          <w:b/>
        </w:rPr>
        <w:t>Short description</w:t>
      </w:r>
    </w:p>
    <w:p w14:paraId="2D7D7948" w14:textId="77777777" w:rsidR="00E359CD" w:rsidRDefault="00E359CD" w:rsidP="00E359CD">
      <w:r>
        <w:t>Consortium: GRNET</w:t>
      </w:r>
    </w:p>
    <w:p w14:paraId="41A283DE" w14:textId="77777777" w:rsidR="00E359CD" w:rsidRDefault="00E359CD" w:rsidP="00E359CD">
      <w:r>
        <w:t>Catch-All services are auxiliary services needed by the Core Infrastructure Platform and by various operational activities of EGI. Auxiliary services and activities are needed for the good running of Infrastructure Services. Examples of such services are VOMS service and VO membership management for infrastructural VOs (DTEAM, OPS), the provisioning of middleware services needed by the monitoring infrastructure (e.g. top-BDII and WMS), and catch-all services for emerging user communities.</w:t>
      </w:r>
    </w:p>
    <w:p w14:paraId="12A9A4C8" w14:textId="77777777" w:rsidR="00E359CD" w:rsidRDefault="00E359CD" w:rsidP="00E359CD">
      <w:pPr>
        <w:rPr>
          <w:b/>
        </w:rPr>
      </w:pPr>
    </w:p>
    <w:p w14:paraId="11234AED" w14:textId="77777777" w:rsidR="00E359CD" w:rsidRPr="00E85A84" w:rsidRDefault="00E359CD" w:rsidP="00E359CD">
      <w:pPr>
        <w:rPr>
          <w:b/>
        </w:rPr>
      </w:pPr>
      <w:r w:rsidRPr="00E85A84">
        <w:rPr>
          <w:b/>
        </w:rPr>
        <w:t>Report summary</w:t>
      </w:r>
    </w:p>
    <w:p w14:paraId="24604192" w14:textId="77777777" w:rsidR="00A9578E" w:rsidRDefault="00A9578E" w:rsidP="00A9578E">
      <w:r>
        <w:t>Main activities</w:t>
      </w:r>
    </w:p>
    <w:p w14:paraId="1BC05542" w14:textId="40491B96" w:rsidR="00A9578E" w:rsidRDefault="00A9578E" w:rsidP="00A9578E">
      <w:pPr>
        <w:pStyle w:val="ListParagraph"/>
        <w:numPr>
          <w:ilvl w:val="0"/>
          <w:numId w:val="15"/>
        </w:numPr>
      </w:pPr>
      <w:proofErr w:type="spellStart"/>
      <w:r>
        <w:t>Dteam</w:t>
      </w:r>
      <w:proofErr w:type="spellEnd"/>
      <w:r>
        <w:t xml:space="preserve"> VO: administration of the </w:t>
      </w:r>
      <w:proofErr w:type="spellStart"/>
      <w:r>
        <w:t>VOMSes</w:t>
      </w:r>
      <w:proofErr w:type="spellEnd"/>
      <w:r>
        <w:t>, upgrade of VOMS software</w:t>
      </w:r>
    </w:p>
    <w:p w14:paraId="3C9388F0" w14:textId="77777777" w:rsidR="00A9578E" w:rsidRDefault="00A9578E" w:rsidP="00A9578E">
      <w:pPr>
        <w:pStyle w:val="ListParagraph"/>
        <w:numPr>
          <w:ilvl w:val="0"/>
          <w:numId w:val="15"/>
        </w:numPr>
      </w:pPr>
      <w:r>
        <w:t>CA: One new RA established, re-key of one RA. 3 new personal certificates and 6 new server certificates</w:t>
      </w:r>
    </w:p>
    <w:p w14:paraId="02F92F5D" w14:textId="77777777" w:rsidR="00A9578E" w:rsidRDefault="00A9578E" w:rsidP="00A9578E">
      <w:pPr>
        <w:pStyle w:val="ListParagraph"/>
        <w:numPr>
          <w:ilvl w:val="0"/>
          <w:numId w:val="15"/>
        </w:numPr>
      </w:pPr>
      <w:r>
        <w:t>Normal administration of the other catch-all services</w:t>
      </w:r>
    </w:p>
    <w:p w14:paraId="2C9AC3E6" w14:textId="77777777" w:rsidR="00A9578E" w:rsidRDefault="00A9578E" w:rsidP="00A9578E">
      <w:r>
        <w:t>OLA Performances report</w:t>
      </w:r>
    </w:p>
    <w:p w14:paraId="485A227A" w14:textId="77777777" w:rsidR="00A9578E" w:rsidRDefault="00A9578E" w:rsidP="00A9578E">
      <w:pPr>
        <w:pStyle w:val="ListParagraph"/>
        <w:numPr>
          <w:ilvl w:val="0"/>
          <w:numId w:val="16"/>
        </w:numPr>
      </w:pPr>
      <w:r>
        <w:t>All the catch all services were above the availability targets during the monitored period</w:t>
      </w:r>
    </w:p>
    <w:p w14:paraId="44E97D95" w14:textId="77777777" w:rsidR="00A9578E" w:rsidRDefault="00A9578E" w:rsidP="00A9578E">
      <w:r>
        <w:t>Plans</w:t>
      </w:r>
    </w:p>
    <w:p w14:paraId="4C83A01C" w14:textId="77777777" w:rsidR="00A9578E" w:rsidRDefault="00A9578E" w:rsidP="00A9578E">
      <w:pPr>
        <w:pStyle w:val="ListParagraph"/>
        <w:numPr>
          <w:ilvl w:val="0"/>
          <w:numId w:val="16"/>
        </w:numPr>
      </w:pPr>
      <w:r>
        <w:t>Deployment of a web portal for the catch-all CA</w:t>
      </w:r>
    </w:p>
    <w:p w14:paraId="5E70331F" w14:textId="70A229FC" w:rsidR="00E359CD" w:rsidRDefault="00A9578E" w:rsidP="00A9578E">
      <w:pPr>
        <w:pStyle w:val="ListParagraph"/>
        <w:numPr>
          <w:ilvl w:val="0"/>
          <w:numId w:val="16"/>
        </w:numPr>
      </w:pPr>
      <w:r>
        <w:t>Routine system administration of the services</w:t>
      </w:r>
    </w:p>
    <w:p w14:paraId="11660CB3" w14:textId="77777777" w:rsidR="00E359CD" w:rsidRDefault="00E359CD" w:rsidP="00E359CD">
      <w:pPr>
        <w:pStyle w:val="Heading2"/>
      </w:pPr>
      <w:bookmarkStart w:id="25" w:name="_Toc404776758"/>
      <w:bookmarkStart w:id="26" w:name="_Toc423098865"/>
      <w:r>
        <w:t>Operations support</w:t>
      </w:r>
      <w:bookmarkEnd w:id="25"/>
      <w:bookmarkEnd w:id="26"/>
    </w:p>
    <w:p w14:paraId="1301D9BD" w14:textId="77777777" w:rsidR="00E359CD" w:rsidRPr="00101DCF" w:rsidRDefault="00E359CD" w:rsidP="00E359CD">
      <w:pPr>
        <w:rPr>
          <w:b/>
        </w:rPr>
      </w:pPr>
      <w:r w:rsidRPr="00101DCF">
        <w:rPr>
          <w:b/>
        </w:rPr>
        <w:t>Short description</w:t>
      </w:r>
    </w:p>
    <w:p w14:paraId="490AEFAB" w14:textId="77777777" w:rsidR="00E359CD" w:rsidRDefault="00E359CD" w:rsidP="00E359CD">
      <w:r>
        <w:t xml:space="preserve">Consortium: CYFRONET </w:t>
      </w:r>
    </w:p>
    <w:p w14:paraId="43993BF4" w14:textId="77777777" w:rsidR="00E359CD" w:rsidRDefault="00E359CD" w:rsidP="00E359CD">
      <w:r>
        <w:t>Operations support is auxiliary service needed by the Core Infrastructure Platform and by various operational activities of EGI. Auxiliary activities are needed for the good running of Infrastructure Services. Examples of such are activities for service level management, service level reporting, service management in general and central technical.</w:t>
      </w:r>
    </w:p>
    <w:p w14:paraId="689DC865" w14:textId="77777777" w:rsidR="00E359CD" w:rsidRDefault="00E359CD" w:rsidP="00E359CD"/>
    <w:p w14:paraId="081DB2D8" w14:textId="77777777" w:rsidR="00E359CD" w:rsidRPr="00101DCF" w:rsidRDefault="00E359CD" w:rsidP="00E359CD">
      <w:pPr>
        <w:rPr>
          <w:b/>
        </w:rPr>
      </w:pPr>
      <w:r w:rsidRPr="00101DCF">
        <w:rPr>
          <w:b/>
        </w:rPr>
        <w:lastRenderedPageBreak/>
        <w:t>Report summary</w:t>
      </w:r>
    </w:p>
    <w:p w14:paraId="5F82F4F7" w14:textId="77777777" w:rsidR="00B93AB7" w:rsidRDefault="00B93AB7" w:rsidP="00B93AB7">
      <w:r>
        <w:t>Main activities</w:t>
      </w:r>
    </w:p>
    <w:p w14:paraId="3DFC80F8" w14:textId="77777777" w:rsidR="00B93AB7" w:rsidRDefault="00B93AB7" w:rsidP="00B93AB7">
      <w:pPr>
        <w:pStyle w:val="ListParagraph"/>
        <w:numPr>
          <w:ilvl w:val="0"/>
          <w:numId w:val="13"/>
        </w:numPr>
      </w:pPr>
      <w:r>
        <w:t>Updating manuals on wiki</w:t>
      </w:r>
    </w:p>
    <w:p w14:paraId="1AEC90C0" w14:textId="77777777" w:rsidR="00B93AB7" w:rsidRDefault="00B93AB7" w:rsidP="00B93AB7">
      <w:pPr>
        <w:pStyle w:val="ListParagraph"/>
        <w:numPr>
          <w:ilvl w:val="0"/>
          <w:numId w:val="13"/>
        </w:numPr>
      </w:pPr>
      <w:r>
        <w:t xml:space="preserve">Carrying out upgrade campaigns </w:t>
      </w:r>
    </w:p>
    <w:p w14:paraId="0079C363" w14:textId="77777777" w:rsidR="00B93AB7" w:rsidRDefault="00B93AB7" w:rsidP="00B93AB7">
      <w:pPr>
        <w:pStyle w:val="ListParagraph"/>
        <w:numPr>
          <w:ilvl w:val="0"/>
          <w:numId w:val="13"/>
        </w:numPr>
      </w:pPr>
      <w:r>
        <w:t>Handling procedures</w:t>
      </w:r>
    </w:p>
    <w:p w14:paraId="5A4951D4" w14:textId="77777777" w:rsidR="00B93AB7" w:rsidRDefault="00B93AB7" w:rsidP="00B93AB7">
      <w:pPr>
        <w:pStyle w:val="ListParagraph"/>
        <w:numPr>
          <w:ilvl w:val="0"/>
          <w:numId w:val="13"/>
        </w:numPr>
      </w:pPr>
      <w:r>
        <w:t>Coordination of advisory boards for the ops tools supporting the operations procedures</w:t>
      </w:r>
    </w:p>
    <w:p w14:paraId="49D519F1" w14:textId="77777777" w:rsidR="00B93AB7" w:rsidRDefault="00B93AB7" w:rsidP="00B93AB7">
      <w:pPr>
        <w:pStyle w:val="ListParagraph"/>
        <w:numPr>
          <w:ilvl w:val="0"/>
          <w:numId w:val="13"/>
        </w:numPr>
      </w:pPr>
      <w:r>
        <w:t>Resource allocation process</w:t>
      </w:r>
    </w:p>
    <w:p w14:paraId="0F511562" w14:textId="77777777" w:rsidR="00B93AB7" w:rsidRDefault="00B93AB7" w:rsidP="00B93AB7">
      <w:r>
        <w:t>OLA Performances report</w:t>
      </w:r>
    </w:p>
    <w:p w14:paraId="34AE1A7B" w14:textId="77777777" w:rsidR="00B93AB7" w:rsidRDefault="00B93AB7" w:rsidP="00B93AB7">
      <w:pPr>
        <w:pStyle w:val="ListParagraph"/>
        <w:numPr>
          <w:ilvl w:val="0"/>
          <w:numId w:val="14"/>
        </w:numPr>
      </w:pPr>
      <w:r>
        <w:t>Targets for support have been achieved during the monitored period</w:t>
      </w:r>
    </w:p>
    <w:p w14:paraId="163ABE46" w14:textId="77777777" w:rsidR="00B93AB7" w:rsidRDefault="00B93AB7" w:rsidP="00B93AB7">
      <w:r>
        <w:t>Plans</w:t>
      </w:r>
    </w:p>
    <w:p w14:paraId="64197157" w14:textId="66A231E2" w:rsidR="00E359CD" w:rsidRDefault="00B93AB7" w:rsidP="00B93AB7">
      <w:pPr>
        <w:pStyle w:val="ListParagraph"/>
        <w:numPr>
          <w:ilvl w:val="0"/>
          <w:numId w:val="14"/>
        </w:numPr>
      </w:pPr>
      <w:r>
        <w:t>Integrate the resource allocation process with the technical outreach activities</w:t>
      </w:r>
    </w:p>
    <w:p w14:paraId="3F1DF9E3" w14:textId="77777777" w:rsidR="00E359CD" w:rsidRDefault="00E359CD" w:rsidP="00E359CD">
      <w:pPr>
        <w:pStyle w:val="Heading2"/>
      </w:pPr>
      <w:bookmarkStart w:id="27" w:name="_Toc404776759"/>
      <w:bookmarkStart w:id="28" w:name="_Toc423098866"/>
      <w:r>
        <w:t>Security coordination</w:t>
      </w:r>
      <w:bookmarkEnd w:id="27"/>
      <w:bookmarkEnd w:id="28"/>
    </w:p>
    <w:p w14:paraId="7C0846CA" w14:textId="77777777" w:rsidR="00E359CD" w:rsidRPr="00101DCF" w:rsidRDefault="00E359CD" w:rsidP="00E359CD">
      <w:pPr>
        <w:rPr>
          <w:b/>
        </w:rPr>
      </w:pPr>
      <w:r w:rsidRPr="00101DCF">
        <w:rPr>
          <w:b/>
        </w:rPr>
        <w:t>Short description</w:t>
      </w:r>
    </w:p>
    <w:p w14:paraId="64909E9A" w14:textId="77777777" w:rsidR="00E359CD" w:rsidRDefault="00E359CD" w:rsidP="00E359CD">
      <w:r>
        <w:t>Consortium: STFC, FOM, SNIC</w:t>
      </w:r>
    </w:p>
    <w:p w14:paraId="1B217774" w14:textId="77777777" w:rsidR="00E359CD" w:rsidRDefault="00E359CD" w:rsidP="00E359CD">
      <w:r>
        <w:t>Central coordination of the security activities ensures that policies, operational security, and maintenance are compatible amongst all partners, improving integrity and availability and lowering access barriers for use of the infrastructure.</w:t>
      </w:r>
    </w:p>
    <w:p w14:paraId="6DF05A21" w14:textId="77777777" w:rsidR="00E359CD" w:rsidRDefault="00E359CD" w:rsidP="00E359CD"/>
    <w:p w14:paraId="38BE9EA6" w14:textId="77777777" w:rsidR="00E359CD" w:rsidRPr="00101DCF" w:rsidRDefault="00E359CD" w:rsidP="00E359CD">
      <w:pPr>
        <w:rPr>
          <w:b/>
        </w:rPr>
      </w:pPr>
      <w:r w:rsidRPr="00101DCF">
        <w:rPr>
          <w:b/>
        </w:rPr>
        <w:t>Report summary</w:t>
      </w:r>
    </w:p>
    <w:p w14:paraId="635625E8" w14:textId="77777777" w:rsidR="00DE1650" w:rsidRDefault="00DE1650" w:rsidP="00DE1650">
      <w:r>
        <w:t>Main activities</w:t>
      </w:r>
    </w:p>
    <w:p w14:paraId="7AF924B2" w14:textId="77777777" w:rsidR="00DE1650" w:rsidRDefault="00DE1650" w:rsidP="00DE1650">
      <w:pPr>
        <w:pStyle w:val="ListParagraph"/>
        <w:numPr>
          <w:ilvl w:val="0"/>
          <w:numId w:val="14"/>
        </w:numPr>
      </w:pPr>
      <w:r>
        <w:t xml:space="preserve">IRTF handled 5 new security incidents, completed work on 11 old security incidents and issued 4 advisories. </w:t>
      </w:r>
    </w:p>
    <w:p w14:paraId="4301C4B0" w14:textId="77777777" w:rsidR="00DE1650" w:rsidRDefault="00DE1650" w:rsidP="00DE1650">
      <w:pPr>
        <w:pStyle w:val="ListParagraph"/>
        <w:numPr>
          <w:ilvl w:val="0"/>
          <w:numId w:val="14"/>
        </w:numPr>
      </w:pPr>
      <w:r>
        <w:t>SVG handled 25 new vulnerabilities and issued 10 advisories. Four of the advisories were assessed as “Critical” risk.</w:t>
      </w:r>
    </w:p>
    <w:p w14:paraId="35E36FE0" w14:textId="77777777" w:rsidR="00DE1650" w:rsidRDefault="00DE1650" w:rsidP="00DE1650">
      <w:pPr>
        <w:pStyle w:val="ListParagraph"/>
        <w:numPr>
          <w:ilvl w:val="0"/>
          <w:numId w:val="14"/>
        </w:numPr>
      </w:pPr>
      <w:r>
        <w:t>Policy coordination with IGTF, SIRTIFI, SCI. Evolution of Cloud security</w:t>
      </w:r>
    </w:p>
    <w:p w14:paraId="7147B957" w14:textId="77777777" w:rsidR="00DE1650" w:rsidRDefault="00DE1650" w:rsidP="00DE1650">
      <w:pPr>
        <w:pStyle w:val="ListParagraph"/>
        <w:numPr>
          <w:ilvl w:val="0"/>
          <w:numId w:val="14"/>
        </w:numPr>
      </w:pPr>
      <w:r>
        <w:t>IGTF Trust anchor regular releases</w:t>
      </w:r>
    </w:p>
    <w:p w14:paraId="679E3E0E" w14:textId="77777777" w:rsidR="00DE1650" w:rsidRDefault="00DE1650" w:rsidP="00DE1650">
      <w:r>
        <w:t>OLA Performances report</w:t>
      </w:r>
    </w:p>
    <w:p w14:paraId="3CBF9E3D" w14:textId="77777777" w:rsidR="00DE1650" w:rsidRDefault="00DE1650" w:rsidP="00DE1650">
      <w:pPr>
        <w:pStyle w:val="ListParagraph"/>
        <w:numPr>
          <w:ilvl w:val="0"/>
          <w:numId w:val="25"/>
        </w:numPr>
      </w:pPr>
      <w:r>
        <w:t>The support was provided according to the targets during the monitored period</w:t>
      </w:r>
    </w:p>
    <w:p w14:paraId="1E266D5E" w14:textId="77777777" w:rsidR="00DE1650" w:rsidRDefault="00DE1650" w:rsidP="00DE1650">
      <w:r>
        <w:t>Issues</w:t>
      </w:r>
    </w:p>
    <w:p w14:paraId="433E7582" w14:textId="77777777" w:rsidR="00DE1650" w:rsidRDefault="00DE1650" w:rsidP="00DE1650">
      <w:pPr>
        <w:pStyle w:val="ListParagraph"/>
        <w:numPr>
          <w:ilvl w:val="0"/>
          <w:numId w:val="25"/>
        </w:numPr>
      </w:pPr>
      <w:r>
        <w:t>Big number of vulnerabilities handled compared to previous periods</w:t>
      </w:r>
    </w:p>
    <w:p w14:paraId="4E2EC535" w14:textId="77777777" w:rsidR="00DE1650" w:rsidRDefault="00DE1650" w:rsidP="00DE1650">
      <w:pPr>
        <w:pStyle w:val="ListParagraph"/>
        <w:numPr>
          <w:ilvl w:val="1"/>
          <w:numId w:val="25"/>
        </w:numPr>
      </w:pPr>
      <w:r>
        <w:t xml:space="preserve">Revision of the SVG issue handling procedure </w:t>
      </w:r>
    </w:p>
    <w:p w14:paraId="735058F1" w14:textId="77777777" w:rsidR="00DE1650" w:rsidRDefault="00DE1650" w:rsidP="00DE1650">
      <w:pPr>
        <w:pStyle w:val="ListParagraph"/>
        <w:numPr>
          <w:ilvl w:val="0"/>
          <w:numId w:val="25"/>
        </w:numPr>
      </w:pPr>
      <w:r>
        <w:t>Lack of participation to security groups</w:t>
      </w:r>
    </w:p>
    <w:p w14:paraId="6C711BD2" w14:textId="77777777" w:rsidR="00DE1650" w:rsidRDefault="00DE1650" w:rsidP="00DE1650">
      <w:pPr>
        <w:pStyle w:val="ListParagraph"/>
        <w:numPr>
          <w:ilvl w:val="1"/>
          <w:numId w:val="25"/>
        </w:numPr>
      </w:pPr>
      <w:r>
        <w:t>Involve cloud providers, for example</w:t>
      </w:r>
    </w:p>
    <w:p w14:paraId="4A45344F" w14:textId="77777777" w:rsidR="00DE1650" w:rsidRDefault="00DE1650" w:rsidP="00DE1650">
      <w:r>
        <w:t>Plans</w:t>
      </w:r>
    </w:p>
    <w:p w14:paraId="5BF49FA0" w14:textId="77777777" w:rsidR="00DE1650" w:rsidRDefault="00DE1650" w:rsidP="00DE1650">
      <w:pPr>
        <w:pStyle w:val="ListParagraph"/>
        <w:numPr>
          <w:ilvl w:val="0"/>
          <w:numId w:val="26"/>
        </w:numPr>
      </w:pPr>
      <w:r>
        <w:lastRenderedPageBreak/>
        <w:t xml:space="preserve">Involve more resource providers in the activities, as well as other infrastructures such as PRACE and EUDAT. </w:t>
      </w:r>
    </w:p>
    <w:p w14:paraId="7BEE623B" w14:textId="03DC504F" w:rsidR="00E359CD" w:rsidRDefault="00DE1650" w:rsidP="00DE1650">
      <w:pPr>
        <w:pStyle w:val="ListParagraph"/>
        <w:numPr>
          <w:ilvl w:val="0"/>
          <w:numId w:val="26"/>
        </w:numPr>
      </w:pPr>
      <w:r>
        <w:t xml:space="preserve">New security </w:t>
      </w:r>
      <w:r>
        <w:t>risk assessment</w:t>
      </w:r>
    </w:p>
    <w:p w14:paraId="033B7503" w14:textId="77777777" w:rsidR="00E359CD" w:rsidRDefault="00E359CD" w:rsidP="00E359CD">
      <w:pPr>
        <w:pStyle w:val="Heading2"/>
      </w:pPr>
      <w:bookmarkStart w:id="29" w:name="_Toc404776760"/>
      <w:bookmarkStart w:id="30" w:name="_Toc423098867"/>
      <w:r>
        <w:t>Acceptance criteria</w:t>
      </w:r>
      <w:bookmarkEnd w:id="29"/>
      <w:bookmarkEnd w:id="30"/>
    </w:p>
    <w:p w14:paraId="1B04A612" w14:textId="77777777" w:rsidR="00E359CD" w:rsidRPr="00101DCF" w:rsidRDefault="00E359CD" w:rsidP="00E359CD">
      <w:pPr>
        <w:rPr>
          <w:b/>
        </w:rPr>
      </w:pPr>
      <w:r w:rsidRPr="00101DCF">
        <w:rPr>
          <w:b/>
        </w:rPr>
        <w:t>Short description</w:t>
      </w:r>
    </w:p>
    <w:p w14:paraId="1C63B9F0" w14:textId="77777777" w:rsidR="00E359CD" w:rsidRDefault="00E359CD" w:rsidP="00E359CD">
      <w:r>
        <w:t xml:space="preserve">Consortium: </w:t>
      </w:r>
      <w:proofErr w:type="spellStart"/>
      <w:r>
        <w:t>IberGrid</w:t>
      </w:r>
      <w:proofErr w:type="spellEnd"/>
      <w:r>
        <w:t xml:space="preserve"> </w:t>
      </w:r>
    </w:p>
    <w:p w14:paraId="38E0FBE9" w14:textId="77777777" w:rsidR="00E359CD" w:rsidRDefault="00E359CD" w:rsidP="00E359CD">
      <w:r>
        <w:t>The Acceptance Criteria are the functional and non-functional requirements that a product must fulfil to be released in UMD, these include generic requirement applicable to every product, and specific requirements applicable to the capabilities supported by a component.</w:t>
      </w:r>
    </w:p>
    <w:p w14:paraId="2A2CFDAD" w14:textId="77777777" w:rsidR="00E359CD" w:rsidRDefault="00E359CD" w:rsidP="00E359CD"/>
    <w:p w14:paraId="1B0C9C22" w14:textId="77777777" w:rsidR="00E359CD" w:rsidRDefault="00E359CD" w:rsidP="00E359CD">
      <w:pPr>
        <w:rPr>
          <w:b/>
        </w:rPr>
      </w:pPr>
      <w:r>
        <w:rPr>
          <w:b/>
        </w:rPr>
        <w:t>Report summary</w:t>
      </w:r>
    </w:p>
    <w:p w14:paraId="5C51A3FC" w14:textId="77777777" w:rsidR="0062356A" w:rsidRDefault="0062356A" w:rsidP="0062356A">
      <w:r>
        <w:t>Main activities</w:t>
      </w:r>
    </w:p>
    <w:p w14:paraId="430CDC54" w14:textId="77777777" w:rsidR="0062356A" w:rsidRDefault="0062356A" w:rsidP="0062356A">
      <w:pPr>
        <w:pStyle w:val="ListParagraph"/>
        <w:numPr>
          <w:ilvl w:val="0"/>
          <w:numId w:val="30"/>
        </w:numPr>
      </w:pPr>
      <w:r>
        <w:t>Quality verification of UMD products (28 products)</w:t>
      </w:r>
    </w:p>
    <w:p w14:paraId="5F6D5DED" w14:textId="77777777" w:rsidR="0062356A" w:rsidRDefault="0062356A" w:rsidP="0062356A">
      <w:pPr>
        <w:pStyle w:val="ListParagraph"/>
        <w:numPr>
          <w:ilvl w:val="0"/>
          <w:numId w:val="30"/>
        </w:numPr>
      </w:pPr>
      <w:r>
        <w:t>One product rejected</w:t>
      </w:r>
    </w:p>
    <w:p w14:paraId="01B93E05" w14:textId="77777777" w:rsidR="0062356A" w:rsidRDefault="0062356A" w:rsidP="0062356A">
      <w:pPr>
        <w:pStyle w:val="ListParagraph"/>
        <w:numPr>
          <w:ilvl w:val="0"/>
          <w:numId w:val="30"/>
        </w:numPr>
      </w:pPr>
      <w:r>
        <w:t>Started the deployment of an automatic verification framework</w:t>
      </w:r>
    </w:p>
    <w:p w14:paraId="6989A9E0" w14:textId="77777777" w:rsidR="00000000" w:rsidRPr="0062356A" w:rsidRDefault="003E646C" w:rsidP="0062356A">
      <w:r w:rsidRPr="0062356A">
        <w:t>OLA Performances report</w:t>
      </w:r>
    </w:p>
    <w:p w14:paraId="2ABE3905" w14:textId="1CABE5A0" w:rsidR="0062356A" w:rsidRDefault="0062356A" w:rsidP="0062356A">
      <w:pPr>
        <w:pStyle w:val="ListParagraph"/>
        <w:numPr>
          <w:ilvl w:val="0"/>
          <w:numId w:val="34"/>
        </w:numPr>
      </w:pPr>
      <w:r>
        <w:t xml:space="preserve">Producing new document was not necessary because set of requirement has not changed. Quality criteria were valid for previous </w:t>
      </w:r>
      <w:r w:rsidR="00313952">
        <w:t>period</w:t>
      </w:r>
      <w:r>
        <w:t xml:space="preserve">. </w:t>
      </w:r>
    </w:p>
    <w:p w14:paraId="32F725E9" w14:textId="28D49D60" w:rsidR="0062356A" w:rsidRDefault="0062356A" w:rsidP="0062356A">
      <w:pPr>
        <w:pStyle w:val="ListParagraph"/>
        <w:numPr>
          <w:ilvl w:val="1"/>
          <w:numId w:val="34"/>
        </w:numPr>
      </w:pPr>
      <w:r>
        <w:t>Service level target will be revised</w:t>
      </w:r>
    </w:p>
    <w:p w14:paraId="3A8CEF07" w14:textId="77777777" w:rsidR="0062356A" w:rsidRDefault="0062356A" w:rsidP="0062356A">
      <w:r>
        <w:t>Issues</w:t>
      </w:r>
    </w:p>
    <w:p w14:paraId="4BBAB5A3" w14:textId="77777777" w:rsidR="0062356A" w:rsidRDefault="0062356A" w:rsidP="0062356A">
      <w:pPr>
        <w:pStyle w:val="ListParagraph"/>
        <w:numPr>
          <w:ilvl w:val="0"/>
          <w:numId w:val="31"/>
        </w:numPr>
      </w:pPr>
      <w:r>
        <w:t>Security issue found in product was not properly followed up</w:t>
      </w:r>
    </w:p>
    <w:p w14:paraId="54D713BE" w14:textId="77777777" w:rsidR="0062356A" w:rsidRDefault="0062356A" w:rsidP="0062356A">
      <w:pPr>
        <w:pStyle w:val="ListParagraph"/>
        <w:numPr>
          <w:ilvl w:val="0"/>
          <w:numId w:val="31"/>
        </w:numPr>
      </w:pPr>
      <w:r>
        <w:t>Improve communication with security bodies of EGI</w:t>
      </w:r>
    </w:p>
    <w:p w14:paraId="5A1D3E95" w14:textId="77777777" w:rsidR="0062356A" w:rsidRDefault="0062356A" w:rsidP="0062356A">
      <w:r>
        <w:t>Plans</w:t>
      </w:r>
    </w:p>
    <w:p w14:paraId="2EF6BCD0" w14:textId="77777777" w:rsidR="0062356A" w:rsidRDefault="0062356A" w:rsidP="0062356A">
      <w:pPr>
        <w:pStyle w:val="ListParagraph"/>
        <w:numPr>
          <w:ilvl w:val="0"/>
          <w:numId w:val="32"/>
        </w:numPr>
      </w:pPr>
      <w:r>
        <w:t>Implement the automatic verification for all the UMD products</w:t>
      </w:r>
    </w:p>
    <w:p w14:paraId="19ECB2AD" w14:textId="5876D1DF" w:rsidR="0062356A" w:rsidRPr="0062356A" w:rsidRDefault="0062356A" w:rsidP="0062356A">
      <w:pPr>
        <w:pStyle w:val="ListParagraph"/>
        <w:numPr>
          <w:ilvl w:val="0"/>
          <w:numId w:val="32"/>
        </w:numPr>
      </w:pPr>
      <w:r>
        <w:t xml:space="preserve">Start the QA process for the </w:t>
      </w:r>
      <w:r w:rsidR="00EB14F0">
        <w:t xml:space="preserve">Engage JRA2 software </w:t>
      </w:r>
    </w:p>
    <w:p w14:paraId="027DA484" w14:textId="534F07D7" w:rsidR="00E359CD" w:rsidRDefault="00E359CD" w:rsidP="00E359CD">
      <w:pPr>
        <w:pStyle w:val="Heading2"/>
      </w:pPr>
      <w:bookmarkStart w:id="31" w:name="_Toc404776761"/>
      <w:bookmarkStart w:id="32" w:name="_Toc423098868"/>
      <w:r>
        <w:t>Collaboration tools/IT support</w:t>
      </w:r>
      <w:bookmarkEnd w:id="31"/>
      <w:bookmarkEnd w:id="32"/>
    </w:p>
    <w:p w14:paraId="291D07DD" w14:textId="77777777" w:rsidR="00E359CD" w:rsidRPr="00101DCF" w:rsidRDefault="00E359CD" w:rsidP="00E359CD">
      <w:pPr>
        <w:rPr>
          <w:b/>
        </w:rPr>
      </w:pPr>
      <w:r w:rsidRPr="00101DCF">
        <w:rPr>
          <w:b/>
        </w:rPr>
        <w:t>Short description</w:t>
      </w:r>
    </w:p>
    <w:p w14:paraId="59C36DB2" w14:textId="77777777" w:rsidR="00E359CD" w:rsidRDefault="00E359CD" w:rsidP="00E359CD">
      <w:r>
        <w:t xml:space="preserve">Consortium: CESNET </w:t>
      </w:r>
    </w:p>
    <w:p w14:paraId="3954304A" w14:textId="77777777" w:rsidR="00E359CD" w:rsidRDefault="00E359CD" w:rsidP="00E359CD">
      <w:r>
        <w:t>Collaborations tools are services needed by the EGI back-office and supporting EGI collaboration.</w:t>
      </w:r>
    </w:p>
    <w:p w14:paraId="6DCD4C90" w14:textId="77777777" w:rsidR="00E359CD" w:rsidRDefault="00E359CD" w:rsidP="00E359CD"/>
    <w:p w14:paraId="77FF2DAA" w14:textId="77777777" w:rsidR="00E359CD" w:rsidRPr="00101DCF" w:rsidRDefault="00E359CD" w:rsidP="00E359CD">
      <w:pPr>
        <w:rPr>
          <w:b/>
        </w:rPr>
      </w:pPr>
      <w:r w:rsidRPr="00101DCF">
        <w:rPr>
          <w:b/>
        </w:rPr>
        <w:t>Report summary</w:t>
      </w:r>
    </w:p>
    <w:p w14:paraId="3853B760" w14:textId="77777777" w:rsidR="008644C9" w:rsidRDefault="008644C9" w:rsidP="008644C9">
      <w:r>
        <w:t>Main activities</w:t>
      </w:r>
    </w:p>
    <w:p w14:paraId="7EAEA3C8" w14:textId="1EA6C1D6" w:rsidR="008644C9" w:rsidRDefault="008644C9" w:rsidP="008644C9">
      <w:pPr>
        <w:pStyle w:val="ListParagraph"/>
        <w:numPr>
          <w:ilvl w:val="0"/>
          <w:numId w:val="11"/>
        </w:numPr>
      </w:pPr>
      <w:r>
        <w:t xml:space="preserve">Provisioning of the </w:t>
      </w:r>
      <w:r w:rsidR="00CC1569">
        <w:t>EGI</w:t>
      </w:r>
      <w:r>
        <w:t xml:space="preserve"> collaboration tools:</w:t>
      </w:r>
      <w:r w:rsidR="00CC1569">
        <w:t xml:space="preserve"> wiki, document DB, website, </w:t>
      </w:r>
      <w:proofErr w:type="spellStart"/>
      <w:proofErr w:type="gramStart"/>
      <w:r w:rsidR="00CC1569">
        <w:t>ect</w:t>
      </w:r>
      <w:proofErr w:type="spellEnd"/>
      <w:proofErr w:type="gramEnd"/>
      <w:r>
        <w:t>…</w:t>
      </w:r>
    </w:p>
    <w:p w14:paraId="0CCE1B8E" w14:textId="77777777" w:rsidR="008644C9" w:rsidRDefault="008644C9" w:rsidP="008644C9">
      <w:r>
        <w:t>OLA Performances report</w:t>
      </w:r>
    </w:p>
    <w:p w14:paraId="5A03DFA4" w14:textId="77777777" w:rsidR="008644C9" w:rsidRDefault="008644C9" w:rsidP="008644C9">
      <w:pPr>
        <w:pStyle w:val="ListParagraph"/>
        <w:numPr>
          <w:ilvl w:val="0"/>
          <w:numId w:val="11"/>
        </w:numPr>
      </w:pPr>
      <w:r>
        <w:t>Availability and reliability always over 90%</w:t>
      </w:r>
    </w:p>
    <w:p w14:paraId="61A7743D" w14:textId="77777777" w:rsidR="008644C9" w:rsidRDefault="008644C9" w:rsidP="008644C9">
      <w:pPr>
        <w:pStyle w:val="ListParagraph"/>
        <w:numPr>
          <w:ilvl w:val="0"/>
          <w:numId w:val="11"/>
        </w:numPr>
      </w:pPr>
      <w:r>
        <w:lastRenderedPageBreak/>
        <w:t>Support targets achieved</w:t>
      </w:r>
    </w:p>
    <w:p w14:paraId="702323F2" w14:textId="77777777" w:rsidR="008644C9" w:rsidRDefault="008644C9" w:rsidP="008644C9">
      <w:r>
        <w:t>Plans</w:t>
      </w:r>
    </w:p>
    <w:p w14:paraId="24B40856" w14:textId="0F26E850" w:rsidR="00E359CD" w:rsidRDefault="008644C9" w:rsidP="008644C9">
      <w:pPr>
        <w:pStyle w:val="ListParagraph"/>
        <w:numPr>
          <w:ilvl w:val="0"/>
          <w:numId w:val="12"/>
        </w:numPr>
      </w:pPr>
      <w:r>
        <w:t>Continue the provisioning according to the requirements</w:t>
      </w:r>
    </w:p>
    <w:p w14:paraId="29B099B2" w14:textId="77777777" w:rsidR="00E359CD" w:rsidRDefault="00E359CD" w:rsidP="00E359CD">
      <w:pPr>
        <w:pStyle w:val="Heading2"/>
      </w:pPr>
      <w:bookmarkStart w:id="33" w:name="_Toc404776762"/>
      <w:bookmarkStart w:id="34" w:name="_Toc423098869"/>
      <w:r>
        <w:t>Staged Rollout</w:t>
      </w:r>
      <w:bookmarkEnd w:id="33"/>
      <w:bookmarkEnd w:id="34"/>
    </w:p>
    <w:p w14:paraId="7704FBF5" w14:textId="77777777" w:rsidR="00E359CD" w:rsidRPr="00101DCF" w:rsidRDefault="00E359CD" w:rsidP="00E359CD">
      <w:pPr>
        <w:rPr>
          <w:b/>
        </w:rPr>
      </w:pPr>
      <w:r w:rsidRPr="00101DCF">
        <w:rPr>
          <w:b/>
        </w:rPr>
        <w:t>Short description</w:t>
      </w:r>
    </w:p>
    <w:p w14:paraId="1542CBFC" w14:textId="77777777" w:rsidR="00E359CD" w:rsidRDefault="00E359CD" w:rsidP="00E359CD">
      <w:r>
        <w:t xml:space="preserve">Consortium: </w:t>
      </w:r>
      <w:proofErr w:type="spellStart"/>
      <w:r>
        <w:t>IberGrid</w:t>
      </w:r>
      <w:proofErr w:type="spellEnd"/>
      <w:r>
        <w:t xml:space="preserve"> </w:t>
      </w:r>
    </w:p>
    <w:p w14:paraId="3E983E44" w14:textId="77777777" w:rsidR="00E359CD" w:rsidRDefault="00E359CD" w:rsidP="00E359CD">
      <w:r>
        <w:t>The Staged Rollout is an activity by which certified updates of the supported middleware are first tested by Early Adopter (EA) sites before being made available to all sites through the production repositories. This procedure permits to test an update in a production environment that exposes the product to more heterogeneous use cases than the certification and verification phase. This allows the discovery of potential issues and potentially to add mitigation information to the UMD release notes. Early Adopters teams receive support, for questions related to the Stage Rollout process and for emergency releases.</w:t>
      </w:r>
    </w:p>
    <w:p w14:paraId="7199879F" w14:textId="77777777" w:rsidR="00E359CD" w:rsidRDefault="00E359CD" w:rsidP="00E359CD"/>
    <w:p w14:paraId="29F4E58F" w14:textId="77777777" w:rsidR="00E359CD" w:rsidRPr="00101DCF" w:rsidRDefault="00E359CD" w:rsidP="00E359CD">
      <w:pPr>
        <w:rPr>
          <w:b/>
        </w:rPr>
      </w:pPr>
      <w:r w:rsidRPr="00101DCF">
        <w:rPr>
          <w:b/>
        </w:rPr>
        <w:t>Report summary</w:t>
      </w:r>
    </w:p>
    <w:p w14:paraId="340077CB" w14:textId="77777777" w:rsidR="00634791" w:rsidRDefault="00634791" w:rsidP="00634791">
      <w:r>
        <w:t>Main activities</w:t>
      </w:r>
    </w:p>
    <w:p w14:paraId="11006E4E" w14:textId="77777777" w:rsidR="00634791" w:rsidRDefault="00634791" w:rsidP="00634791">
      <w:pPr>
        <w:pStyle w:val="ListParagraph"/>
        <w:numPr>
          <w:ilvl w:val="0"/>
          <w:numId w:val="12"/>
        </w:numPr>
      </w:pPr>
      <w:r>
        <w:t>Support for three UMD releases</w:t>
      </w:r>
    </w:p>
    <w:p w14:paraId="58946BB8" w14:textId="77777777" w:rsidR="00634791" w:rsidRDefault="00634791" w:rsidP="00634791">
      <w:pPr>
        <w:pStyle w:val="ListParagraph"/>
        <w:numPr>
          <w:ilvl w:val="0"/>
          <w:numId w:val="12"/>
        </w:numPr>
      </w:pPr>
      <w:r>
        <w:t xml:space="preserve">Total of 78 product releases, tested by 38 staged rollout deployments </w:t>
      </w:r>
    </w:p>
    <w:p w14:paraId="50F55353" w14:textId="77777777" w:rsidR="00634791" w:rsidRDefault="00634791" w:rsidP="00634791">
      <w:r>
        <w:t>OLA Performances report</w:t>
      </w:r>
    </w:p>
    <w:p w14:paraId="6E8A7D0D" w14:textId="77777777" w:rsidR="00634791" w:rsidRDefault="00634791" w:rsidP="00634791">
      <w:pPr>
        <w:pStyle w:val="ListParagraph"/>
        <w:numPr>
          <w:ilvl w:val="0"/>
          <w:numId w:val="38"/>
        </w:numPr>
      </w:pPr>
      <w:r>
        <w:t>No violation of the OLA targets</w:t>
      </w:r>
    </w:p>
    <w:p w14:paraId="51EC5D20" w14:textId="77777777" w:rsidR="00634791" w:rsidRDefault="00634791" w:rsidP="00634791">
      <w:r>
        <w:t>Issues</w:t>
      </w:r>
    </w:p>
    <w:p w14:paraId="73BD62C6" w14:textId="77777777" w:rsidR="00634791" w:rsidRDefault="00634791" w:rsidP="00634791">
      <w:pPr>
        <w:pStyle w:val="ListParagraph"/>
        <w:numPr>
          <w:ilvl w:val="0"/>
          <w:numId w:val="38"/>
        </w:numPr>
      </w:pPr>
      <w:r>
        <w:t>Lack of EAs</w:t>
      </w:r>
    </w:p>
    <w:p w14:paraId="43833114" w14:textId="77777777" w:rsidR="00634791" w:rsidRDefault="00634791" w:rsidP="00634791">
      <w:r>
        <w:t>Plans</w:t>
      </w:r>
    </w:p>
    <w:p w14:paraId="33EA1007" w14:textId="1AFE9C84" w:rsidR="00E359CD" w:rsidRDefault="00634791" w:rsidP="00634791">
      <w:pPr>
        <w:pStyle w:val="ListParagraph"/>
        <w:numPr>
          <w:ilvl w:val="0"/>
          <w:numId w:val="38"/>
        </w:numPr>
      </w:pPr>
      <w:r>
        <w:t>Review Staged rollout framework in the light of lack of EAs</w:t>
      </w:r>
    </w:p>
    <w:p w14:paraId="35759ACF" w14:textId="77777777" w:rsidR="00E359CD" w:rsidRDefault="00E359CD" w:rsidP="00E359CD"/>
    <w:p w14:paraId="7BC0CEDD" w14:textId="77777777" w:rsidR="00E359CD" w:rsidRDefault="00E359CD" w:rsidP="00E359CD">
      <w:pPr>
        <w:pStyle w:val="Heading2"/>
      </w:pPr>
      <w:bookmarkStart w:id="35" w:name="_Toc404776763"/>
      <w:bookmarkStart w:id="36" w:name="_Toc423098870"/>
      <w:r>
        <w:t>Software provisioning infrastructure</w:t>
      </w:r>
      <w:bookmarkEnd w:id="35"/>
      <w:bookmarkEnd w:id="36"/>
    </w:p>
    <w:p w14:paraId="2ECCE20E" w14:textId="77777777" w:rsidR="00E359CD" w:rsidRPr="00101DCF" w:rsidRDefault="00E359CD" w:rsidP="00E359CD">
      <w:pPr>
        <w:rPr>
          <w:b/>
        </w:rPr>
      </w:pPr>
      <w:r w:rsidRPr="00101DCF">
        <w:rPr>
          <w:b/>
        </w:rPr>
        <w:t>Short description</w:t>
      </w:r>
    </w:p>
    <w:p w14:paraId="050910FA" w14:textId="77777777" w:rsidR="00E359CD" w:rsidRDefault="00E359CD" w:rsidP="00E359CD">
      <w:r>
        <w:t xml:space="preserve">Consortium: GRNET, CESGA </w:t>
      </w:r>
    </w:p>
    <w:p w14:paraId="47DCEAC9" w14:textId="77777777" w:rsidR="00E359CD" w:rsidRDefault="00E359CD" w:rsidP="00E359CD">
      <w:r>
        <w:t>The software-provisioning infrastructure provides the technical tools to support the UMD release process from pulling packages from the developers’ repositories to the build of a release.</w:t>
      </w:r>
    </w:p>
    <w:p w14:paraId="0128020E" w14:textId="77777777" w:rsidR="00E359CD" w:rsidRDefault="00E359CD" w:rsidP="00E359CD">
      <w:pPr>
        <w:rPr>
          <w:b/>
        </w:rPr>
      </w:pPr>
    </w:p>
    <w:p w14:paraId="76E38F2D" w14:textId="77777777" w:rsidR="00E359CD" w:rsidRPr="00101DCF" w:rsidRDefault="00E359CD" w:rsidP="00E359CD">
      <w:pPr>
        <w:rPr>
          <w:b/>
        </w:rPr>
      </w:pPr>
      <w:r w:rsidRPr="00101DCF">
        <w:rPr>
          <w:b/>
        </w:rPr>
        <w:t>Report summary</w:t>
      </w:r>
    </w:p>
    <w:p w14:paraId="0D8C58C4" w14:textId="77777777" w:rsidR="005647E7" w:rsidRDefault="005647E7" w:rsidP="005647E7">
      <w:r>
        <w:t>Main activities</w:t>
      </w:r>
    </w:p>
    <w:p w14:paraId="5C3606A2" w14:textId="77777777" w:rsidR="005647E7" w:rsidRDefault="005647E7" w:rsidP="005647E7">
      <w:pPr>
        <w:pStyle w:val="ListParagraph"/>
        <w:numPr>
          <w:ilvl w:val="0"/>
          <w:numId w:val="12"/>
        </w:numPr>
      </w:pPr>
      <w:r>
        <w:t>Maintenance of the software provisioning infrastructure</w:t>
      </w:r>
    </w:p>
    <w:p w14:paraId="1FA94DDE" w14:textId="77777777" w:rsidR="005647E7" w:rsidRDefault="005647E7" w:rsidP="005647E7">
      <w:pPr>
        <w:pStyle w:val="ListParagraph"/>
        <w:numPr>
          <w:ilvl w:val="0"/>
          <w:numId w:val="12"/>
        </w:numPr>
      </w:pPr>
      <w:r>
        <w:t>Maintenance of the verification testbed for UMD QA</w:t>
      </w:r>
    </w:p>
    <w:p w14:paraId="3D1D0F65" w14:textId="77777777" w:rsidR="005647E7" w:rsidRDefault="005647E7" w:rsidP="005647E7">
      <w:r>
        <w:t>OLA Performances report</w:t>
      </w:r>
    </w:p>
    <w:p w14:paraId="1EE4760D" w14:textId="77777777" w:rsidR="005647E7" w:rsidRDefault="005647E7" w:rsidP="005647E7">
      <w:pPr>
        <w:pStyle w:val="ListParagraph"/>
        <w:numPr>
          <w:ilvl w:val="0"/>
          <w:numId w:val="23"/>
        </w:numPr>
      </w:pPr>
      <w:r>
        <w:lastRenderedPageBreak/>
        <w:t>The services exceeded the targets of availability during the monitored period</w:t>
      </w:r>
    </w:p>
    <w:p w14:paraId="3D919AD4" w14:textId="77777777" w:rsidR="005647E7" w:rsidRDefault="005647E7" w:rsidP="005647E7">
      <w:pPr>
        <w:pStyle w:val="ListParagraph"/>
        <w:numPr>
          <w:ilvl w:val="0"/>
          <w:numId w:val="23"/>
        </w:numPr>
      </w:pPr>
      <w:r>
        <w:t>The support targets were met all the months but in January, with a response time of 6 days for a ticket. Slightly over</w:t>
      </w:r>
    </w:p>
    <w:p w14:paraId="53CCEAE5" w14:textId="77777777" w:rsidR="005647E7" w:rsidRDefault="005647E7" w:rsidP="005647E7">
      <w:r>
        <w:t>Plans</w:t>
      </w:r>
    </w:p>
    <w:p w14:paraId="0FD5E5FD" w14:textId="775C45D4" w:rsidR="00E359CD" w:rsidRDefault="005647E7" w:rsidP="005647E7">
      <w:pPr>
        <w:pStyle w:val="ListParagraph"/>
        <w:numPr>
          <w:ilvl w:val="0"/>
          <w:numId w:val="24"/>
        </w:numPr>
      </w:pPr>
      <w:r>
        <w:t>Add support for EL7 repositories and Ubuntu and implement the UMD-4 major release for September 2015</w:t>
      </w:r>
    </w:p>
    <w:p w14:paraId="1BE4E444" w14:textId="77777777" w:rsidR="00E359CD" w:rsidRDefault="00E359CD" w:rsidP="00E359CD">
      <w:pPr>
        <w:pStyle w:val="Heading2"/>
      </w:pPr>
      <w:bookmarkStart w:id="37" w:name="_Toc404776764"/>
      <w:bookmarkStart w:id="38" w:name="_Toc423098871"/>
      <w:r>
        <w:t>Incident management helpdesk</w:t>
      </w:r>
      <w:bookmarkEnd w:id="37"/>
      <w:bookmarkEnd w:id="38"/>
    </w:p>
    <w:p w14:paraId="3715D7E0" w14:textId="77777777" w:rsidR="00E359CD" w:rsidRPr="00DF03F4" w:rsidRDefault="00E359CD" w:rsidP="00E359CD">
      <w:pPr>
        <w:rPr>
          <w:b/>
        </w:rPr>
      </w:pPr>
      <w:r w:rsidRPr="00DF03F4">
        <w:rPr>
          <w:b/>
        </w:rPr>
        <w:t>Short description</w:t>
      </w:r>
    </w:p>
    <w:p w14:paraId="5C0777AD" w14:textId="77777777" w:rsidR="00E359CD" w:rsidRDefault="00E359CD" w:rsidP="00E359CD">
      <w:r>
        <w:t>Consortium: KIT</w:t>
      </w:r>
    </w:p>
    <w:p w14:paraId="258716BE" w14:textId="77777777" w:rsidR="00E359CD" w:rsidRDefault="00E359CD" w:rsidP="00E359CD">
      <w:r>
        <w:t>Incident Management (Helpdesk) is the central helpdesk provides a single interface for support. The central system is interfaced to a variety of other ticketing systems at the NGI level in order to allow a bi-directional exchange of tickets. GGUS is part of the EGI Collaboration Platform and is needed to support users and infrastructure operators.</w:t>
      </w:r>
    </w:p>
    <w:p w14:paraId="4A804A45" w14:textId="77777777" w:rsidR="00E359CD" w:rsidRDefault="00E359CD" w:rsidP="00E359CD"/>
    <w:p w14:paraId="36AE0B57" w14:textId="77777777" w:rsidR="00E359CD" w:rsidRPr="00DF03F4" w:rsidRDefault="00E359CD" w:rsidP="00E359CD">
      <w:pPr>
        <w:rPr>
          <w:b/>
        </w:rPr>
      </w:pPr>
      <w:r w:rsidRPr="00DF03F4">
        <w:rPr>
          <w:b/>
        </w:rPr>
        <w:t>Report summary</w:t>
      </w:r>
    </w:p>
    <w:p w14:paraId="7E1B1E0B" w14:textId="77777777" w:rsidR="00B5261E" w:rsidRDefault="00B5261E" w:rsidP="00B5261E">
      <w:r>
        <w:t>Main activities</w:t>
      </w:r>
    </w:p>
    <w:p w14:paraId="715C8AD9" w14:textId="77777777" w:rsidR="00B5261E" w:rsidRDefault="00B5261E" w:rsidP="00B5261E">
      <w:pPr>
        <w:pStyle w:val="ListParagraph"/>
        <w:numPr>
          <w:ilvl w:val="0"/>
          <w:numId w:val="24"/>
        </w:numPr>
      </w:pPr>
      <w:r>
        <w:t>Support of the helpdesk tool</w:t>
      </w:r>
    </w:p>
    <w:p w14:paraId="0647949B" w14:textId="77777777" w:rsidR="00B5261E" w:rsidRDefault="00B5261E" w:rsidP="00B5261E">
      <w:pPr>
        <w:pStyle w:val="ListParagraph"/>
        <w:numPr>
          <w:ilvl w:val="0"/>
          <w:numId w:val="24"/>
        </w:numPr>
      </w:pPr>
      <w:r>
        <w:t>Creation/decommission of support units</w:t>
      </w:r>
    </w:p>
    <w:p w14:paraId="031CB5D6" w14:textId="77777777" w:rsidR="00B5261E" w:rsidRDefault="00B5261E" w:rsidP="00B5261E">
      <w:pPr>
        <w:pStyle w:val="ListParagraph"/>
        <w:numPr>
          <w:ilvl w:val="0"/>
          <w:numId w:val="24"/>
        </w:numPr>
      </w:pPr>
      <w:r>
        <w:t>Follow up with non-progressing tickets</w:t>
      </w:r>
    </w:p>
    <w:p w14:paraId="7F7876B4" w14:textId="77777777" w:rsidR="00B5261E" w:rsidRDefault="00B5261E" w:rsidP="00B5261E">
      <w:r>
        <w:t>OLA Performances report</w:t>
      </w:r>
    </w:p>
    <w:p w14:paraId="4B6EDECA" w14:textId="77777777" w:rsidR="00B5261E" w:rsidRDefault="00B5261E" w:rsidP="00B5261E">
      <w:pPr>
        <w:pStyle w:val="ListParagraph"/>
        <w:numPr>
          <w:ilvl w:val="0"/>
          <w:numId w:val="39"/>
        </w:numPr>
      </w:pPr>
      <w:r>
        <w:t>The service has exceeded the availability targets during the monitored period</w:t>
      </w:r>
    </w:p>
    <w:p w14:paraId="7765BE7A" w14:textId="77777777" w:rsidR="00B5261E" w:rsidRDefault="00B5261E" w:rsidP="00B5261E">
      <w:r>
        <w:t>Plans</w:t>
      </w:r>
    </w:p>
    <w:p w14:paraId="1587914E" w14:textId="2D1B4BDF" w:rsidR="00E359CD" w:rsidRDefault="00B5261E" w:rsidP="00B5261E">
      <w:pPr>
        <w:pStyle w:val="ListParagraph"/>
        <w:numPr>
          <w:ilvl w:val="0"/>
          <w:numId w:val="39"/>
        </w:numPr>
      </w:pPr>
      <w:r>
        <w:t>Development of GGUS, as reported in the release plans</w:t>
      </w:r>
      <w:r>
        <w:rPr>
          <w:rStyle w:val="FootnoteReference"/>
        </w:rPr>
        <w:footnoteReference w:id="3"/>
      </w:r>
    </w:p>
    <w:p w14:paraId="0CDE1935" w14:textId="77777777" w:rsidR="00E359CD" w:rsidRDefault="00E359CD" w:rsidP="00E359CD">
      <w:pPr>
        <w:pStyle w:val="Heading2"/>
      </w:pPr>
      <w:bookmarkStart w:id="39" w:name="_Toc404776765"/>
      <w:bookmarkStart w:id="40" w:name="_Toc423098872"/>
      <w:r>
        <w:t>1st and 2nd level support</w:t>
      </w:r>
      <w:bookmarkEnd w:id="39"/>
      <w:bookmarkEnd w:id="40"/>
    </w:p>
    <w:p w14:paraId="3F79BEC0" w14:textId="77777777" w:rsidR="00E359CD" w:rsidRPr="00DF03F4" w:rsidRDefault="00E359CD" w:rsidP="00E359CD">
      <w:pPr>
        <w:rPr>
          <w:b/>
        </w:rPr>
      </w:pPr>
      <w:r w:rsidRPr="00DF03F4">
        <w:rPr>
          <w:b/>
        </w:rPr>
        <w:t>Short description</w:t>
      </w:r>
    </w:p>
    <w:p w14:paraId="3C97A3F1" w14:textId="77777777" w:rsidR="00E359CD" w:rsidRDefault="00E359CD" w:rsidP="00E359CD">
      <w:r>
        <w:t xml:space="preserve">Consortium: </w:t>
      </w:r>
      <w:proofErr w:type="spellStart"/>
      <w:r>
        <w:t>IberGrid</w:t>
      </w:r>
      <w:proofErr w:type="spellEnd"/>
      <w:r>
        <w:t xml:space="preserve">, CESNET </w:t>
      </w:r>
    </w:p>
    <w:p w14:paraId="20792660" w14:textId="77777777" w:rsidR="00E359CD" w:rsidRDefault="00E359CD" w:rsidP="00E359CD">
      <w:r>
        <w:t>First level support is responsible for ticket triage and assignment. This activity is also responsible for the coordination with teams responsible for 2nd level and 3rd level support.</w:t>
      </w:r>
    </w:p>
    <w:p w14:paraId="62C1F1D6" w14:textId="77777777" w:rsidR="00E359CD" w:rsidRDefault="00E359CD" w:rsidP="00E359CD">
      <w:r>
        <w:t>Software-related tickets that reach the second level support are analysed and if necessary are forwarded to 3rd line support units only when there are clear indications of a defect (in software, documentation, etc.).</w:t>
      </w:r>
    </w:p>
    <w:p w14:paraId="45678B17" w14:textId="77777777" w:rsidR="00E359CD" w:rsidRDefault="00E359CD" w:rsidP="00E359CD">
      <w:pPr>
        <w:rPr>
          <w:b/>
        </w:rPr>
      </w:pPr>
    </w:p>
    <w:p w14:paraId="304FBDDC" w14:textId="77777777" w:rsidR="00E359CD" w:rsidRPr="00DF03F4" w:rsidRDefault="00E359CD" w:rsidP="00E359CD">
      <w:pPr>
        <w:rPr>
          <w:b/>
        </w:rPr>
      </w:pPr>
      <w:r w:rsidRPr="00DF03F4">
        <w:rPr>
          <w:b/>
        </w:rPr>
        <w:t>Report summary</w:t>
      </w:r>
    </w:p>
    <w:p w14:paraId="2F4C70DC" w14:textId="77777777" w:rsidR="00181432" w:rsidRPr="00181432" w:rsidRDefault="00181432" w:rsidP="00181432">
      <w:pPr>
        <w:jc w:val="left"/>
      </w:pPr>
      <w:r w:rsidRPr="00181432">
        <w:t>Main activities</w:t>
      </w:r>
    </w:p>
    <w:p w14:paraId="229261FE" w14:textId="77777777" w:rsidR="00181432" w:rsidRPr="00181432" w:rsidRDefault="00181432" w:rsidP="00181432">
      <w:pPr>
        <w:pStyle w:val="ListParagraph"/>
        <w:numPr>
          <w:ilvl w:val="0"/>
          <w:numId w:val="24"/>
        </w:numPr>
        <w:jc w:val="left"/>
      </w:pPr>
      <w:r w:rsidRPr="00181432">
        <w:lastRenderedPageBreak/>
        <w:t>Tickets support and redirection to 3rd level support when necessary</w:t>
      </w:r>
    </w:p>
    <w:p w14:paraId="64C61E58" w14:textId="77777777" w:rsidR="00181432" w:rsidRPr="00181432" w:rsidRDefault="00181432" w:rsidP="00181432">
      <w:pPr>
        <w:jc w:val="left"/>
      </w:pPr>
      <w:r w:rsidRPr="00181432">
        <w:t>OLA Performances report</w:t>
      </w:r>
    </w:p>
    <w:p w14:paraId="1F870457" w14:textId="77777777" w:rsidR="00181432" w:rsidRPr="00181432" w:rsidRDefault="00181432" w:rsidP="00181432">
      <w:pPr>
        <w:pStyle w:val="ListParagraph"/>
        <w:numPr>
          <w:ilvl w:val="0"/>
          <w:numId w:val="24"/>
        </w:numPr>
        <w:jc w:val="left"/>
      </w:pPr>
      <w:r w:rsidRPr="00181432">
        <w:t>There were deviations from the targets for the ticket assignment in four months and one month for top priority tickets handling by 2nd level support</w:t>
      </w:r>
    </w:p>
    <w:p w14:paraId="19BE4670" w14:textId="77777777" w:rsidR="00181432" w:rsidRPr="00181432" w:rsidRDefault="00181432" w:rsidP="00181432">
      <w:pPr>
        <w:jc w:val="left"/>
      </w:pPr>
      <w:r w:rsidRPr="00181432">
        <w:t>Issues</w:t>
      </w:r>
    </w:p>
    <w:p w14:paraId="33A0FF72" w14:textId="77777777" w:rsidR="00181432" w:rsidRPr="00181432" w:rsidRDefault="00181432" w:rsidP="00181432">
      <w:pPr>
        <w:pStyle w:val="ListParagraph"/>
        <w:numPr>
          <w:ilvl w:val="0"/>
          <w:numId w:val="24"/>
        </w:numPr>
        <w:jc w:val="left"/>
      </w:pPr>
      <w:r w:rsidRPr="00181432">
        <w:t>The delays in the assignment have been caused by “test tickets”, which in practice should not have been considered in the calculations, mostly</w:t>
      </w:r>
    </w:p>
    <w:p w14:paraId="42747A34" w14:textId="77777777" w:rsidR="00181432" w:rsidRPr="00181432" w:rsidRDefault="00181432" w:rsidP="00181432">
      <w:pPr>
        <w:pStyle w:val="ListParagraph"/>
        <w:numPr>
          <w:ilvl w:val="0"/>
          <w:numId w:val="24"/>
        </w:numPr>
        <w:jc w:val="left"/>
      </w:pPr>
      <w:r w:rsidRPr="00181432">
        <w:t>The delay in handling the top priority ticket by 2nd level support was caused by unavailability of the supported for a large part of the day</w:t>
      </w:r>
    </w:p>
    <w:p w14:paraId="0980E2CD" w14:textId="77777777" w:rsidR="00181432" w:rsidRPr="00181432" w:rsidRDefault="00181432" w:rsidP="00181432">
      <w:pPr>
        <w:pStyle w:val="ListParagraph"/>
        <w:numPr>
          <w:ilvl w:val="1"/>
          <w:numId w:val="24"/>
        </w:numPr>
        <w:jc w:val="left"/>
      </w:pPr>
      <w:r w:rsidRPr="00181432">
        <w:t>The support team implemented replacement procedures also for non-full day leaves</w:t>
      </w:r>
    </w:p>
    <w:p w14:paraId="30899802" w14:textId="77777777" w:rsidR="00181432" w:rsidRPr="00181432" w:rsidRDefault="00181432" w:rsidP="00181432">
      <w:pPr>
        <w:jc w:val="left"/>
      </w:pPr>
      <w:r w:rsidRPr="00181432">
        <w:t>Plans</w:t>
      </w:r>
    </w:p>
    <w:p w14:paraId="1B127F7B" w14:textId="29994DC9" w:rsidR="00E359CD" w:rsidRPr="00181432" w:rsidRDefault="00181432" w:rsidP="00181432">
      <w:pPr>
        <w:pStyle w:val="ListParagraph"/>
        <w:numPr>
          <w:ilvl w:val="0"/>
          <w:numId w:val="36"/>
        </w:numPr>
        <w:jc w:val="left"/>
      </w:pPr>
      <w:r w:rsidRPr="00181432">
        <w:t>Improvements in the ticket routing guidelines</w:t>
      </w:r>
    </w:p>
    <w:sectPr w:rsidR="00E359CD" w:rsidRPr="00181432" w:rsidSect="00DD577E">
      <w:headerReference w:type="default" r:id="rId9"/>
      <w:footerReference w:type="default" r:id="rId10"/>
      <w:type w:val="continuous"/>
      <w:pgSz w:w="11907" w:h="16839" w:code="9"/>
      <w:pgMar w:top="1134" w:right="992" w:bottom="851" w:left="1134" w:header="709" w:footer="0" w:gutter="0"/>
      <w:cols w:space="709"/>
      <w:docGrid w:linePitch="299"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D9F27" w14:textId="77777777" w:rsidR="003E646C" w:rsidRDefault="003E646C" w:rsidP="001C7A1F">
      <w:r>
        <w:separator/>
      </w:r>
    </w:p>
  </w:endnote>
  <w:endnote w:type="continuationSeparator" w:id="0">
    <w:p w14:paraId="0FD258E1" w14:textId="77777777" w:rsidR="003E646C" w:rsidRDefault="003E646C" w:rsidP="001C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Open Sans">
    <w:altName w:val="Times New Roman"/>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3191"/>
      <w:docPartObj>
        <w:docPartGallery w:val="Page Numbers (Bottom of Page)"/>
        <w:docPartUnique/>
      </w:docPartObj>
    </w:sdtPr>
    <w:sdtEndPr>
      <w:rPr>
        <w:noProof/>
      </w:rPr>
    </w:sdtEndPr>
    <w:sdtContent>
      <w:p w14:paraId="45C0711C" w14:textId="77777777" w:rsidR="00F962F7" w:rsidRPr="005F7BBB" w:rsidRDefault="00F962F7" w:rsidP="00F962F7">
        <w:pPr>
          <w:pStyle w:val="Footer"/>
          <w:jc w:val="center"/>
          <w:rPr>
            <w:rFonts w:ascii="Times" w:hAnsi="Times"/>
            <w:sz w:val="20"/>
            <w:szCs w:val="20"/>
            <w:lang w:val="en-US" w:eastAsia="en-US"/>
          </w:rPr>
        </w:pPr>
        <w:r w:rsidRPr="005F7BBB">
          <w:rPr>
            <w:rFonts w:ascii="Times" w:hAnsi="Times" w:cs="Calibri"/>
            <w:sz w:val="20"/>
            <w:szCs w:val="20"/>
            <w:lang w:val="en-US" w:eastAsia="en-US"/>
          </w:rPr>
          <w:t>EGI</w:t>
        </w:r>
        <w:r>
          <w:rPr>
            <w:rFonts w:ascii="Times" w:hAnsi="Times" w:cs="Calibri"/>
            <w:sz w:val="20"/>
            <w:szCs w:val="20"/>
            <w:lang w:val="en-US" w:eastAsia="en-US"/>
          </w:rPr>
          <w:t xml:space="preserve">.eu, Science Park 140, 1098 XG, </w:t>
        </w:r>
        <w:r w:rsidRPr="005F7BBB">
          <w:rPr>
            <w:rFonts w:ascii="Times" w:hAnsi="Times" w:cs="Calibri"/>
            <w:sz w:val="20"/>
            <w:szCs w:val="20"/>
            <w:lang w:val="en-US" w:eastAsia="en-US"/>
          </w:rPr>
          <w:t>Amsterdam</w:t>
        </w:r>
      </w:p>
      <w:p w14:paraId="0E8F9A45" w14:textId="77777777" w:rsidR="004538FB" w:rsidRDefault="004538FB">
        <w:pPr>
          <w:pStyle w:val="Footer"/>
          <w:jc w:val="center"/>
        </w:pPr>
        <w:r>
          <w:fldChar w:fldCharType="begin"/>
        </w:r>
        <w:r>
          <w:instrText xml:space="preserve"> PAGE   \* MERGEFORMAT </w:instrText>
        </w:r>
        <w:r>
          <w:fldChar w:fldCharType="separate"/>
        </w:r>
        <w:r w:rsidR="001B0136">
          <w:rPr>
            <w:noProof/>
          </w:rPr>
          <w:t>1</w:t>
        </w:r>
        <w:r>
          <w:rPr>
            <w:noProof/>
          </w:rPr>
          <w:fldChar w:fldCharType="end"/>
        </w:r>
      </w:p>
    </w:sdtContent>
  </w:sdt>
  <w:p w14:paraId="361E11D3" w14:textId="77777777" w:rsidR="004538FB" w:rsidRPr="00686506" w:rsidRDefault="004538FB" w:rsidP="00C22164">
    <w:pPr>
      <w:pStyle w:val="Footer"/>
      <w:rPr>
        <w:rFonts w:cs="Calibri"/>
        <w:sz w:val="20"/>
        <w:szCs w:val="20"/>
      </w:rPr>
    </w:pPr>
  </w:p>
  <w:p w14:paraId="36D67AF4" w14:textId="77777777" w:rsidR="00000000" w:rsidRDefault="003E64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3064D" w14:textId="77777777" w:rsidR="003E646C" w:rsidRDefault="003E646C" w:rsidP="001C7A1F">
      <w:r>
        <w:separator/>
      </w:r>
    </w:p>
  </w:footnote>
  <w:footnote w:type="continuationSeparator" w:id="0">
    <w:p w14:paraId="0F63E22A" w14:textId="77777777" w:rsidR="003E646C" w:rsidRDefault="003E646C" w:rsidP="001C7A1F">
      <w:r>
        <w:continuationSeparator/>
      </w:r>
    </w:p>
  </w:footnote>
  <w:footnote w:id="1">
    <w:p w14:paraId="309E7237" w14:textId="77777777" w:rsidR="00E359CD" w:rsidRDefault="00E359CD" w:rsidP="00E359CD">
      <w:pPr>
        <w:pStyle w:val="FootnoteText"/>
      </w:pPr>
      <w:r>
        <w:rPr>
          <w:rStyle w:val="FootnoteReference"/>
        </w:rPr>
        <w:footnoteRef/>
      </w:r>
      <w:r>
        <w:t xml:space="preserve"> </w:t>
      </w:r>
      <w:hyperlink r:id="rId1" w:history="1">
        <w:r>
          <w:rPr>
            <w:rStyle w:val="Hyperlink"/>
            <w:rFonts w:ascii="Arial" w:hAnsi="Arial" w:cs="Arial"/>
            <w:color w:val="1155CC"/>
            <w:sz w:val="17"/>
            <w:szCs w:val="17"/>
          </w:rPr>
          <w:t>https://documents.egi.eu/document/2170</w:t>
        </w:r>
      </w:hyperlink>
    </w:p>
  </w:footnote>
  <w:footnote w:id="2">
    <w:p w14:paraId="098024DA" w14:textId="332D12A4" w:rsidR="00E359CD" w:rsidRDefault="00E359CD">
      <w:pPr>
        <w:pStyle w:val="FootnoteText"/>
      </w:pPr>
      <w:r>
        <w:rPr>
          <w:rStyle w:val="FootnoteReference"/>
        </w:rPr>
        <w:footnoteRef/>
      </w:r>
      <w:r>
        <w:t xml:space="preserve"> </w:t>
      </w:r>
      <w:hyperlink r:id="rId2" w:history="1">
        <w:r w:rsidRPr="00E359CD">
          <w:rPr>
            <w:rStyle w:val="Hyperlink"/>
            <w:rFonts w:ascii="Arial" w:hAnsi="Arial" w:cs="Arial"/>
            <w:color w:val="1155CC"/>
            <w:sz w:val="17"/>
            <w:szCs w:val="17"/>
          </w:rPr>
          <w:t>https://documents.egi.eu/document/2517</w:t>
        </w:r>
      </w:hyperlink>
      <w:r>
        <w:t xml:space="preserve"> </w:t>
      </w:r>
    </w:p>
  </w:footnote>
  <w:footnote w:id="3">
    <w:p w14:paraId="0B3A7D56" w14:textId="28E91174" w:rsidR="00B5261E" w:rsidRDefault="00B5261E">
      <w:pPr>
        <w:pStyle w:val="FootnoteText"/>
      </w:pPr>
      <w:r>
        <w:rPr>
          <w:rStyle w:val="FootnoteReference"/>
        </w:rPr>
        <w:footnoteRef/>
      </w:r>
      <w:r>
        <w:t xml:space="preserve"> </w:t>
      </w:r>
      <w:hyperlink r:id="rId3" w:history="1">
        <w:r w:rsidRPr="00B5261E">
          <w:rPr>
            <w:rStyle w:val="Hyperlink"/>
          </w:rPr>
          <w:t>https://wiki.egi.eu/wiki/GGUS:Release_Schedule</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F82BE" w14:textId="77777777" w:rsidR="003473CE" w:rsidRDefault="003473CE">
    <w:pPr>
      <w:pStyle w:val="Header"/>
      <w:rPr>
        <w:noProof/>
        <w:lang w:eastAsia="en-GB"/>
      </w:rPr>
    </w:pPr>
  </w:p>
  <w:p w14:paraId="47978C56" w14:textId="77777777" w:rsidR="003473CE" w:rsidRDefault="003473CE">
    <w:pPr>
      <w:pStyle w:val="Header"/>
      <w:rPr>
        <w:noProof/>
        <w:lang w:eastAsia="en-GB"/>
      </w:rPr>
    </w:pPr>
  </w:p>
  <w:p w14:paraId="1BEFACDD" w14:textId="77777777" w:rsidR="003473CE" w:rsidRDefault="003473CE">
    <w:pPr>
      <w:pStyle w:val="Header"/>
      <w:rPr>
        <w:noProof/>
        <w:lang w:eastAsia="en-GB"/>
      </w:rPr>
    </w:pPr>
  </w:p>
  <w:p w14:paraId="54C76A28" w14:textId="77777777" w:rsidR="003473CE" w:rsidRDefault="003473CE">
    <w:pPr>
      <w:pStyle w:val="Header"/>
      <w:rPr>
        <w:noProof/>
        <w:lang w:eastAsia="en-GB"/>
      </w:rPr>
    </w:pPr>
  </w:p>
  <w:p w14:paraId="2E3F3A0C" w14:textId="778CC450" w:rsidR="007E7489" w:rsidRDefault="007E7489">
    <w:pPr>
      <w:pStyle w:val="Header"/>
    </w:pPr>
    <w:r>
      <w:rPr>
        <w:noProof/>
        <w:lang w:eastAsia="en-GB"/>
      </w:rPr>
      <w:drawing>
        <wp:anchor distT="0" distB="0" distL="114300" distR="114300" simplePos="0" relativeHeight="251658240" behindDoc="0" locked="0" layoutInCell="1" allowOverlap="1" wp14:anchorId="64C95754" wp14:editId="5ED33683">
          <wp:simplePos x="0" y="0"/>
          <wp:positionH relativeFrom="page">
            <wp:posOffset>-23149</wp:posOffset>
          </wp:positionH>
          <wp:positionV relativeFrom="page">
            <wp:posOffset>-11576</wp:posOffset>
          </wp:positionV>
          <wp:extent cx="7650865" cy="1464367"/>
          <wp:effectExtent l="0" t="0" r="762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716997" cy="1477025"/>
                  </a:xfrm>
                  <a:prstGeom prst="rect">
                    <a:avLst/>
                  </a:prstGeom>
                </pic:spPr>
              </pic:pic>
            </a:graphicData>
          </a:graphic>
          <wp14:sizeRelH relativeFrom="page">
            <wp14:pctWidth>0</wp14:pctWidth>
          </wp14:sizeRelH>
          <wp14:sizeRelV relativeFrom="page">
            <wp14:pctHeight>0</wp14:pctHeight>
          </wp14:sizeRelV>
        </wp:anchor>
      </w:drawing>
    </w:r>
    <w:r>
      <w:ptab w:relativeTo="margin" w:alignment="left" w:leader="none"/>
    </w:r>
  </w:p>
  <w:p w14:paraId="44F43102" w14:textId="77777777" w:rsidR="00000000" w:rsidRDefault="003E64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FFA"/>
    <w:multiLevelType w:val="hybridMultilevel"/>
    <w:tmpl w:val="209E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36633"/>
    <w:multiLevelType w:val="hybridMultilevel"/>
    <w:tmpl w:val="DB5E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A020C"/>
    <w:multiLevelType w:val="hybridMultilevel"/>
    <w:tmpl w:val="8096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8D72CC"/>
    <w:multiLevelType w:val="hybridMultilevel"/>
    <w:tmpl w:val="E5DE2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1250BB"/>
    <w:multiLevelType w:val="hybridMultilevel"/>
    <w:tmpl w:val="10563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314376"/>
    <w:multiLevelType w:val="hybridMultilevel"/>
    <w:tmpl w:val="9F66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4F4B54"/>
    <w:multiLevelType w:val="hybridMultilevel"/>
    <w:tmpl w:val="8D7E8C58"/>
    <w:lvl w:ilvl="0" w:tplc="AFBC68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C3962"/>
    <w:multiLevelType w:val="hybridMultilevel"/>
    <w:tmpl w:val="6298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8507BD"/>
    <w:multiLevelType w:val="multilevel"/>
    <w:tmpl w:val="41EC7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1E841BB"/>
    <w:multiLevelType w:val="hybridMultilevel"/>
    <w:tmpl w:val="6448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F42AF8"/>
    <w:multiLevelType w:val="hybridMultilevel"/>
    <w:tmpl w:val="5576E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A528EA"/>
    <w:multiLevelType w:val="hybridMultilevel"/>
    <w:tmpl w:val="7392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7115AD"/>
    <w:multiLevelType w:val="hybridMultilevel"/>
    <w:tmpl w:val="7FBEF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816F5F"/>
    <w:multiLevelType w:val="hybridMultilevel"/>
    <w:tmpl w:val="6A387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0E60577"/>
    <w:multiLevelType w:val="hybridMultilevel"/>
    <w:tmpl w:val="698C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961AF4"/>
    <w:multiLevelType w:val="hybridMultilevel"/>
    <w:tmpl w:val="6F60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3E7A23"/>
    <w:multiLevelType w:val="hybridMultilevel"/>
    <w:tmpl w:val="48FA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A71E1E"/>
    <w:multiLevelType w:val="hybridMultilevel"/>
    <w:tmpl w:val="12BE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B0067A"/>
    <w:multiLevelType w:val="hybridMultilevel"/>
    <w:tmpl w:val="BE96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E2782C"/>
    <w:multiLevelType w:val="hybridMultilevel"/>
    <w:tmpl w:val="0692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1C2241"/>
    <w:multiLevelType w:val="hybridMultilevel"/>
    <w:tmpl w:val="D4B6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4F1DA2"/>
    <w:multiLevelType w:val="hybridMultilevel"/>
    <w:tmpl w:val="0D0E2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310DE"/>
    <w:multiLevelType w:val="hybridMultilevel"/>
    <w:tmpl w:val="81CCE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F9183A"/>
    <w:multiLevelType w:val="hybridMultilevel"/>
    <w:tmpl w:val="620CBD3C"/>
    <w:lvl w:ilvl="0" w:tplc="1AFEE1D8">
      <w:start w:val="1"/>
      <w:numFmt w:val="bullet"/>
      <w:lvlText w:val="•"/>
      <w:lvlJc w:val="left"/>
      <w:pPr>
        <w:tabs>
          <w:tab w:val="num" w:pos="720"/>
        </w:tabs>
        <w:ind w:left="720" w:hanging="360"/>
      </w:pPr>
      <w:rPr>
        <w:rFonts w:ascii="Arial" w:hAnsi="Arial" w:hint="default"/>
      </w:rPr>
    </w:lvl>
    <w:lvl w:ilvl="1" w:tplc="C2468366">
      <w:start w:val="573"/>
      <w:numFmt w:val="bullet"/>
      <w:lvlText w:val="–"/>
      <w:lvlJc w:val="left"/>
      <w:pPr>
        <w:tabs>
          <w:tab w:val="num" w:pos="1440"/>
        </w:tabs>
        <w:ind w:left="1440" w:hanging="360"/>
      </w:pPr>
      <w:rPr>
        <w:rFonts w:ascii="Arial" w:hAnsi="Arial" w:hint="default"/>
      </w:rPr>
    </w:lvl>
    <w:lvl w:ilvl="2" w:tplc="73FADA8A" w:tentative="1">
      <w:start w:val="1"/>
      <w:numFmt w:val="bullet"/>
      <w:lvlText w:val="•"/>
      <w:lvlJc w:val="left"/>
      <w:pPr>
        <w:tabs>
          <w:tab w:val="num" w:pos="2160"/>
        </w:tabs>
        <w:ind w:left="2160" w:hanging="360"/>
      </w:pPr>
      <w:rPr>
        <w:rFonts w:ascii="Arial" w:hAnsi="Arial" w:hint="default"/>
      </w:rPr>
    </w:lvl>
    <w:lvl w:ilvl="3" w:tplc="98C651DE" w:tentative="1">
      <w:start w:val="1"/>
      <w:numFmt w:val="bullet"/>
      <w:lvlText w:val="•"/>
      <w:lvlJc w:val="left"/>
      <w:pPr>
        <w:tabs>
          <w:tab w:val="num" w:pos="2880"/>
        </w:tabs>
        <w:ind w:left="2880" w:hanging="360"/>
      </w:pPr>
      <w:rPr>
        <w:rFonts w:ascii="Arial" w:hAnsi="Arial" w:hint="default"/>
      </w:rPr>
    </w:lvl>
    <w:lvl w:ilvl="4" w:tplc="00CE56F6" w:tentative="1">
      <w:start w:val="1"/>
      <w:numFmt w:val="bullet"/>
      <w:lvlText w:val="•"/>
      <w:lvlJc w:val="left"/>
      <w:pPr>
        <w:tabs>
          <w:tab w:val="num" w:pos="3600"/>
        </w:tabs>
        <w:ind w:left="3600" w:hanging="360"/>
      </w:pPr>
      <w:rPr>
        <w:rFonts w:ascii="Arial" w:hAnsi="Arial" w:hint="default"/>
      </w:rPr>
    </w:lvl>
    <w:lvl w:ilvl="5" w:tplc="9D1479DC" w:tentative="1">
      <w:start w:val="1"/>
      <w:numFmt w:val="bullet"/>
      <w:lvlText w:val="•"/>
      <w:lvlJc w:val="left"/>
      <w:pPr>
        <w:tabs>
          <w:tab w:val="num" w:pos="4320"/>
        </w:tabs>
        <w:ind w:left="4320" w:hanging="360"/>
      </w:pPr>
      <w:rPr>
        <w:rFonts w:ascii="Arial" w:hAnsi="Arial" w:hint="default"/>
      </w:rPr>
    </w:lvl>
    <w:lvl w:ilvl="6" w:tplc="7180DC78" w:tentative="1">
      <w:start w:val="1"/>
      <w:numFmt w:val="bullet"/>
      <w:lvlText w:val="•"/>
      <w:lvlJc w:val="left"/>
      <w:pPr>
        <w:tabs>
          <w:tab w:val="num" w:pos="5040"/>
        </w:tabs>
        <w:ind w:left="5040" w:hanging="360"/>
      </w:pPr>
      <w:rPr>
        <w:rFonts w:ascii="Arial" w:hAnsi="Arial" w:hint="default"/>
      </w:rPr>
    </w:lvl>
    <w:lvl w:ilvl="7" w:tplc="7A942000" w:tentative="1">
      <w:start w:val="1"/>
      <w:numFmt w:val="bullet"/>
      <w:lvlText w:val="•"/>
      <w:lvlJc w:val="left"/>
      <w:pPr>
        <w:tabs>
          <w:tab w:val="num" w:pos="5760"/>
        </w:tabs>
        <w:ind w:left="5760" w:hanging="360"/>
      </w:pPr>
      <w:rPr>
        <w:rFonts w:ascii="Arial" w:hAnsi="Arial" w:hint="default"/>
      </w:rPr>
    </w:lvl>
    <w:lvl w:ilvl="8" w:tplc="E8AA4852" w:tentative="1">
      <w:start w:val="1"/>
      <w:numFmt w:val="bullet"/>
      <w:lvlText w:val="•"/>
      <w:lvlJc w:val="left"/>
      <w:pPr>
        <w:tabs>
          <w:tab w:val="num" w:pos="6480"/>
        </w:tabs>
        <w:ind w:left="6480" w:hanging="360"/>
      </w:pPr>
      <w:rPr>
        <w:rFonts w:ascii="Arial" w:hAnsi="Arial" w:hint="default"/>
      </w:rPr>
    </w:lvl>
  </w:abstractNum>
  <w:abstractNum w:abstractNumId="24">
    <w:nsid w:val="5D5E36BF"/>
    <w:multiLevelType w:val="hybridMultilevel"/>
    <w:tmpl w:val="1B5871B4"/>
    <w:lvl w:ilvl="0" w:tplc="D1D0B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B5628"/>
    <w:multiLevelType w:val="hybridMultilevel"/>
    <w:tmpl w:val="23DAD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AA552C"/>
    <w:multiLevelType w:val="hybridMultilevel"/>
    <w:tmpl w:val="6E2A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A069EA"/>
    <w:multiLevelType w:val="hybridMultilevel"/>
    <w:tmpl w:val="0382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C56C20"/>
    <w:multiLevelType w:val="hybridMultilevel"/>
    <w:tmpl w:val="9B80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75D18A8"/>
    <w:multiLevelType w:val="hybridMultilevel"/>
    <w:tmpl w:val="BAE0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A86ABE"/>
    <w:multiLevelType w:val="hybridMultilevel"/>
    <w:tmpl w:val="8DE0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B100A29"/>
    <w:multiLevelType w:val="hybridMultilevel"/>
    <w:tmpl w:val="4EFE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173D8D"/>
    <w:multiLevelType w:val="hybridMultilevel"/>
    <w:tmpl w:val="8CD2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3EE4EB6"/>
    <w:multiLevelType w:val="hybridMultilevel"/>
    <w:tmpl w:val="6C02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E75E29"/>
    <w:multiLevelType w:val="hybridMultilevel"/>
    <w:tmpl w:val="501A4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5F5064"/>
    <w:multiLevelType w:val="hybridMultilevel"/>
    <w:tmpl w:val="ACF6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B22FA"/>
    <w:multiLevelType w:val="hybridMultilevel"/>
    <w:tmpl w:val="072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8145C7"/>
    <w:multiLevelType w:val="hybridMultilevel"/>
    <w:tmpl w:val="664A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482898"/>
    <w:multiLevelType w:val="hybridMultilevel"/>
    <w:tmpl w:val="F59E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F008BB"/>
    <w:multiLevelType w:val="hybridMultilevel"/>
    <w:tmpl w:val="4A54EF02"/>
    <w:lvl w:ilvl="0" w:tplc="BC2C5616">
      <w:start w:val="1"/>
      <w:numFmt w:val="bullet"/>
      <w:lvlText w:val="•"/>
      <w:lvlJc w:val="left"/>
      <w:pPr>
        <w:tabs>
          <w:tab w:val="num" w:pos="720"/>
        </w:tabs>
        <w:ind w:left="720" w:hanging="360"/>
      </w:pPr>
      <w:rPr>
        <w:rFonts w:ascii="Arial" w:hAnsi="Arial" w:hint="default"/>
      </w:rPr>
    </w:lvl>
    <w:lvl w:ilvl="1" w:tplc="0ADE6C48" w:tentative="1">
      <w:start w:val="1"/>
      <w:numFmt w:val="bullet"/>
      <w:lvlText w:val="•"/>
      <w:lvlJc w:val="left"/>
      <w:pPr>
        <w:tabs>
          <w:tab w:val="num" w:pos="1440"/>
        </w:tabs>
        <w:ind w:left="1440" w:hanging="360"/>
      </w:pPr>
      <w:rPr>
        <w:rFonts w:ascii="Arial" w:hAnsi="Arial" w:hint="default"/>
      </w:rPr>
    </w:lvl>
    <w:lvl w:ilvl="2" w:tplc="71C40442" w:tentative="1">
      <w:start w:val="1"/>
      <w:numFmt w:val="bullet"/>
      <w:lvlText w:val="•"/>
      <w:lvlJc w:val="left"/>
      <w:pPr>
        <w:tabs>
          <w:tab w:val="num" w:pos="2160"/>
        </w:tabs>
        <w:ind w:left="2160" w:hanging="360"/>
      </w:pPr>
      <w:rPr>
        <w:rFonts w:ascii="Arial" w:hAnsi="Arial" w:hint="default"/>
      </w:rPr>
    </w:lvl>
    <w:lvl w:ilvl="3" w:tplc="9CD640AE" w:tentative="1">
      <w:start w:val="1"/>
      <w:numFmt w:val="bullet"/>
      <w:lvlText w:val="•"/>
      <w:lvlJc w:val="left"/>
      <w:pPr>
        <w:tabs>
          <w:tab w:val="num" w:pos="2880"/>
        </w:tabs>
        <w:ind w:left="2880" w:hanging="360"/>
      </w:pPr>
      <w:rPr>
        <w:rFonts w:ascii="Arial" w:hAnsi="Arial" w:hint="default"/>
      </w:rPr>
    </w:lvl>
    <w:lvl w:ilvl="4" w:tplc="A47CA64C" w:tentative="1">
      <w:start w:val="1"/>
      <w:numFmt w:val="bullet"/>
      <w:lvlText w:val="•"/>
      <w:lvlJc w:val="left"/>
      <w:pPr>
        <w:tabs>
          <w:tab w:val="num" w:pos="3600"/>
        </w:tabs>
        <w:ind w:left="3600" w:hanging="360"/>
      </w:pPr>
      <w:rPr>
        <w:rFonts w:ascii="Arial" w:hAnsi="Arial" w:hint="default"/>
      </w:rPr>
    </w:lvl>
    <w:lvl w:ilvl="5" w:tplc="47A6165E" w:tentative="1">
      <w:start w:val="1"/>
      <w:numFmt w:val="bullet"/>
      <w:lvlText w:val="•"/>
      <w:lvlJc w:val="left"/>
      <w:pPr>
        <w:tabs>
          <w:tab w:val="num" w:pos="4320"/>
        </w:tabs>
        <w:ind w:left="4320" w:hanging="360"/>
      </w:pPr>
      <w:rPr>
        <w:rFonts w:ascii="Arial" w:hAnsi="Arial" w:hint="default"/>
      </w:rPr>
    </w:lvl>
    <w:lvl w:ilvl="6" w:tplc="59846F9A" w:tentative="1">
      <w:start w:val="1"/>
      <w:numFmt w:val="bullet"/>
      <w:lvlText w:val="•"/>
      <w:lvlJc w:val="left"/>
      <w:pPr>
        <w:tabs>
          <w:tab w:val="num" w:pos="5040"/>
        </w:tabs>
        <w:ind w:left="5040" w:hanging="360"/>
      </w:pPr>
      <w:rPr>
        <w:rFonts w:ascii="Arial" w:hAnsi="Arial" w:hint="default"/>
      </w:rPr>
    </w:lvl>
    <w:lvl w:ilvl="7" w:tplc="F3687368" w:tentative="1">
      <w:start w:val="1"/>
      <w:numFmt w:val="bullet"/>
      <w:lvlText w:val="•"/>
      <w:lvlJc w:val="left"/>
      <w:pPr>
        <w:tabs>
          <w:tab w:val="num" w:pos="5760"/>
        </w:tabs>
        <w:ind w:left="5760" w:hanging="360"/>
      </w:pPr>
      <w:rPr>
        <w:rFonts w:ascii="Arial" w:hAnsi="Arial" w:hint="default"/>
      </w:rPr>
    </w:lvl>
    <w:lvl w:ilvl="8" w:tplc="CF6C1B1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4"/>
  </w:num>
  <w:num w:numId="3">
    <w:abstractNumId w:val="6"/>
  </w:num>
  <w:num w:numId="4">
    <w:abstractNumId w:val="36"/>
  </w:num>
  <w:num w:numId="5">
    <w:abstractNumId w:val="23"/>
  </w:num>
  <w:num w:numId="6">
    <w:abstractNumId w:val="37"/>
  </w:num>
  <w:num w:numId="7">
    <w:abstractNumId w:val="21"/>
  </w:num>
  <w:num w:numId="8">
    <w:abstractNumId w:val="25"/>
  </w:num>
  <w:num w:numId="9">
    <w:abstractNumId w:val="10"/>
  </w:num>
  <w:num w:numId="10">
    <w:abstractNumId w:val="7"/>
  </w:num>
  <w:num w:numId="11">
    <w:abstractNumId w:val="26"/>
  </w:num>
  <w:num w:numId="12">
    <w:abstractNumId w:val="14"/>
  </w:num>
  <w:num w:numId="13">
    <w:abstractNumId w:val="35"/>
  </w:num>
  <w:num w:numId="14">
    <w:abstractNumId w:val="33"/>
  </w:num>
  <w:num w:numId="15">
    <w:abstractNumId w:val="5"/>
  </w:num>
  <w:num w:numId="16">
    <w:abstractNumId w:val="29"/>
  </w:num>
  <w:num w:numId="17">
    <w:abstractNumId w:val="4"/>
  </w:num>
  <w:num w:numId="18">
    <w:abstractNumId w:val="32"/>
  </w:num>
  <w:num w:numId="19">
    <w:abstractNumId w:val="11"/>
  </w:num>
  <w:num w:numId="20">
    <w:abstractNumId w:val="31"/>
  </w:num>
  <w:num w:numId="21">
    <w:abstractNumId w:val="16"/>
  </w:num>
  <w:num w:numId="22">
    <w:abstractNumId w:val="3"/>
  </w:num>
  <w:num w:numId="23">
    <w:abstractNumId w:val="38"/>
  </w:num>
  <w:num w:numId="24">
    <w:abstractNumId w:val="13"/>
  </w:num>
  <w:num w:numId="25">
    <w:abstractNumId w:val="22"/>
  </w:num>
  <w:num w:numId="26">
    <w:abstractNumId w:val="15"/>
  </w:num>
  <w:num w:numId="27">
    <w:abstractNumId w:val="1"/>
  </w:num>
  <w:num w:numId="28">
    <w:abstractNumId w:val="28"/>
  </w:num>
  <w:num w:numId="29">
    <w:abstractNumId w:val="30"/>
  </w:num>
  <w:num w:numId="30">
    <w:abstractNumId w:val="19"/>
  </w:num>
  <w:num w:numId="31">
    <w:abstractNumId w:val="2"/>
  </w:num>
  <w:num w:numId="32">
    <w:abstractNumId w:val="27"/>
  </w:num>
  <w:num w:numId="33">
    <w:abstractNumId w:val="39"/>
  </w:num>
  <w:num w:numId="34">
    <w:abstractNumId w:val="34"/>
  </w:num>
  <w:num w:numId="35">
    <w:abstractNumId w:val="9"/>
  </w:num>
  <w:num w:numId="36">
    <w:abstractNumId w:val="12"/>
  </w:num>
  <w:num w:numId="37">
    <w:abstractNumId w:val="20"/>
  </w:num>
  <w:num w:numId="38">
    <w:abstractNumId w:val="17"/>
  </w:num>
  <w:num w:numId="39">
    <w:abstractNumId w:val="0"/>
  </w:num>
  <w:num w:numId="4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style="mso-position-horizontal-relative:page;mso-position-vertical-relative:page" o:allowincell="f" o:allowoverlap="f"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39F4"/>
    <w:rsid w:val="00003CE4"/>
    <w:rsid w:val="000047E3"/>
    <w:rsid w:val="00006706"/>
    <w:rsid w:val="00011E50"/>
    <w:rsid w:val="00017C1C"/>
    <w:rsid w:val="00020466"/>
    <w:rsid w:val="00023AE9"/>
    <w:rsid w:val="00023C57"/>
    <w:rsid w:val="00024D62"/>
    <w:rsid w:val="000273CC"/>
    <w:rsid w:val="00027EE3"/>
    <w:rsid w:val="000323DB"/>
    <w:rsid w:val="00032B5E"/>
    <w:rsid w:val="00034961"/>
    <w:rsid w:val="00035067"/>
    <w:rsid w:val="00037E2E"/>
    <w:rsid w:val="00043097"/>
    <w:rsid w:val="000438F9"/>
    <w:rsid w:val="00044D11"/>
    <w:rsid w:val="000472E9"/>
    <w:rsid w:val="00053452"/>
    <w:rsid w:val="00053DB7"/>
    <w:rsid w:val="0005522E"/>
    <w:rsid w:val="00060024"/>
    <w:rsid w:val="00060553"/>
    <w:rsid w:val="0006112C"/>
    <w:rsid w:val="00063AA8"/>
    <w:rsid w:val="00064AC3"/>
    <w:rsid w:val="00066C82"/>
    <w:rsid w:val="00080FB8"/>
    <w:rsid w:val="0008254E"/>
    <w:rsid w:val="0008451E"/>
    <w:rsid w:val="0008512A"/>
    <w:rsid w:val="00085352"/>
    <w:rsid w:val="000908CC"/>
    <w:rsid w:val="00091895"/>
    <w:rsid w:val="00091C73"/>
    <w:rsid w:val="00093694"/>
    <w:rsid w:val="0009392F"/>
    <w:rsid w:val="000950A8"/>
    <w:rsid w:val="00095991"/>
    <w:rsid w:val="000A1958"/>
    <w:rsid w:val="000A1B93"/>
    <w:rsid w:val="000A232A"/>
    <w:rsid w:val="000A55BE"/>
    <w:rsid w:val="000A569C"/>
    <w:rsid w:val="000A6C91"/>
    <w:rsid w:val="000A7BAF"/>
    <w:rsid w:val="000B3D05"/>
    <w:rsid w:val="000B4878"/>
    <w:rsid w:val="000C0DF3"/>
    <w:rsid w:val="000C549B"/>
    <w:rsid w:val="000C6FB3"/>
    <w:rsid w:val="000D1383"/>
    <w:rsid w:val="000D3071"/>
    <w:rsid w:val="000E0DAF"/>
    <w:rsid w:val="000F099D"/>
    <w:rsid w:val="000F1534"/>
    <w:rsid w:val="000F2E7D"/>
    <w:rsid w:val="000F52C0"/>
    <w:rsid w:val="000F66B6"/>
    <w:rsid w:val="001005A9"/>
    <w:rsid w:val="001014B4"/>
    <w:rsid w:val="0010218F"/>
    <w:rsid w:val="001031B5"/>
    <w:rsid w:val="00105DF8"/>
    <w:rsid w:val="00106B8D"/>
    <w:rsid w:val="00111E78"/>
    <w:rsid w:val="001120F5"/>
    <w:rsid w:val="0011270E"/>
    <w:rsid w:val="00113CFF"/>
    <w:rsid w:val="001143FA"/>
    <w:rsid w:val="001163E2"/>
    <w:rsid w:val="0012079A"/>
    <w:rsid w:val="00121238"/>
    <w:rsid w:val="00121FB9"/>
    <w:rsid w:val="001220CE"/>
    <w:rsid w:val="00122285"/>
    <w:rsid w:val="00125318"/>
    <w:rsid w:val="00125E86"/>
    <w:rsid w:val="00131938"/>
    <w:rsid w:val="001323FD"/>
    <w:rsid w:val="00132B77"/>
    <w:rsid w:val="00132CE4"/>
    <w:rsid w:val="001334F2"/>
    <w:rsid w:val="0013767B"/>
    <w:rsid w:val="001428B3"/>
    <w:rsid w:val="00144FB3"/>
    <w:rsid w:val="00144FE6"/>
    <w:rsid w:val="0015162D"/>
    <w:rsid w:val="0015251D"/>
    <w:rsid w:val="00155EEB"/>
    <w:rsid w:val="00157CC8"/>
    <w:rsid w:val="00160E0B"/>
    <w:rsid w:val="00162809"/>
    <w:rsid w:val="001651B5"/>
    <w:rsid w:val="00170F07"/>
    <w:rsid w:val="001711D2"/>
    <w:rsid w:val="0017393F"/>
    <w:rsid w:val="001753F8"/>
    <w:rsid w:val="001765ED"/>
    <w:rsid w:val="00177545"/>
    <w:rsid w:val="00181432"/>
    <w:rsid w:val="00181D58"/>
    <w:rsid w:val="001824F3"/>
    <w:rsid w:val="001826FE"/>
    <w:rsid w:val="00187DFE"/>
    <w:rsid w:val="0019057E"/>
    <w:rsid w:val="00195352"/>
    <w:rsid w:val="0019632C"/>
    <w:rsid w:val="00197471"/>
    <w:rsid w:val="00197CBC"/>
    <w:rsid w:val="001A0ABD"/>
    <w:rsid w:val="001A0B44"/>
    <w:rsid w:val="001A4CDC"/>
    <w:rsid w:val="001A6473"/>
    <w:rsid w:val="001B0136"/>
    <w:rsid w:val="001B31EB"/>
    <w:rsid w:val="001B3CC9"/>
    <w:rsid w:val="001B5BFD"/>
    <w:rsid w:val="001B73D1"/>
    <w:rsid w:val="001C0F71"/>
    <w:rsid w:val="001C10DC"/>
    <w:rsid w:val="001C1507"/>
    <w:rsid w:val="001C2A87"/>
    <w:rsid w:val="001C693D"/>
    <w:rsid w:val="001C7A1F"/>
    <w:rsid w:val="001D079C"/>
    <w:rsid w:val="001D58F8"/>
    <w:rsid w:val="001E1BB1"/>
    <w:rsid w:val="001E387D"/>
    <w:rsid w:val="001E3D98"/>
    <w:rsid w:val="001E46C1"/>
    <w:rsid w:val="001E560E"/>
    <w:rsid w:val="001E66B4"/>
    <w:rsid w:val="001E70C1"/>
    <w:rsid w:val="001E73B3"/>
    <w:rsid w:val="001F0813"/>
    <w:rsid w:val="00201186"/>
    <w:rsid w:val="00203345"/>
    <w:rsid w:val="00205D56"/>
    <w:rsid w:val="002062DA"/>
    <w:rsid w:val="00212FC8"/>
    <w:rsid w:val="0021395F"/>
    <w:rsid w:val="00215E41"/>
    <w:rsid w:val="00217C87"/>
    <w:rsid w:val="002200D1"/>
    <w:rsid w:val="00221F9D"/>
    <w:rsid w:val="0022750A"/>
    <w:rsid w:val="00234784"/>
    <w:rsid w:val="0024155B"/>
    <w:rsid w:val="002428E6"/>
    <w:rsid w:val="00245111"/>
    <w:rsid w:val="002501F4"/>
    <w:rsid w:val="00250679"/>
    <w:rsid w:val="00251495"/>
    <w:rsid w:val="002518AB"/>
    <w:rsid w:val="0025322D"/>
    <w:rsid w:val="002532D4"/>
    <w:rsid w:val="00267387"/>
    <w:rsid w:val="00272807"/>
    <w:rsid w:val="0027504B"/>
    <w:rsid w:val="00275946"/>
    <w:rsid w:val="002779EF"/>
    <w:rsid w:val="00283B74"/>
    <w:rsid w:val="002845A5"/>
    <w:rsid w:val="00297F36"/>
    <w:rsid w:val="002A113A"/>
    <w:rsid w:val="002A6CDB"/>
    <w:rsid w:val="002A7B48"/>
    <w:rsid w:val="002B062B"/>
    <w:rsid w:val="002B0830"/>
    <w:rsid w:val="002B333D"/>
    <w:rsid w:val="002B4940"/>
    <w:rsid w:val="002B496C"/>
    <w:rsid w:val="002B6457"/>
    <w:rsid w:val="002C460D"/>
    <w:rsid w:val="002C7F28"/>
    <w:rsid w:val="002D6835"/>
    <w:rsid w:val="002E3AD5"/>
    <w:rsid w:val="002E4575"/>
    <w:rsid w:val="002F3DE3"/>
    <w:rsid w:val="002F63A4"/>
    <w:rsid w:val="002F7B61"/>
    <w:rsid w:val="002F7F8D"/>
    <w:rsid w:val="003012DF"/>
    <w:rsid w:val="00301FCB"/>
    <w:rsid w:val="003115C3"/>
    <w:rsid w:val="00312142"/>
    <w:rsid w:val="00313952"/>
    <w:rsid w:val="00315619"/>
    <w:rsid w:val="00317381"/>
    <w:rsid w:val="00320F9E"/>
    <w:rsid w:val="00326260"/>
    <w:rsid w:val="003307BD"/>
    <w:rsid w:val="00334E94"/>
    <w:rsid w:val="00336F3C"/>
    <w:rsid w:val="00340605"/>
    <w:rsid w:val="003412E7"/>
    <w:rsid w:val="0034289F"/>
    <w:rsid w:val="003433A9"/>
    <w:rsid w:val="003473CE"/>
    <w:rsid w:val="00357B4C"/>
    <w:rsid w:val="00360B97"/>
    <w:rsid w:val="003624F7"/>
    <w:rsid w:val="00373935"/>
    <w:rsid w:val="003739F9"/>
    <w:rsid w:val="00375A42"/>
    <w:rsid w:val="003846C9"/>
    <w:rsid w:val="00385FFB"/>
    <w:rsid w:val="00390277"/>
    <w:rsid w:val="003911F9"/>
    <w:rsid w:val="00394BC4"/>
    <w:rsid w:val="003A0C58"/>
    <w:rsid w:val="003A1335"/>
    <w:rsid w:val="003A6972"/>
    <w:rsid w:val="003B1B7C"/>
    <w:rsid w:val="003B268E"/>
    <w:rsid w:val="003B386F"/>
    <w:rsid w:val="003B4BBB"/>
    <w:rsid w:val="003B4D2D"/>
    <w:rsid w:val="003B7441"/>
    <w:rsid w:val="003C551E"/>
    <w:rsid w:val="003C617A"/>
    <w:rsid w:val="003C6334"/>
    <w:rsid w:val="003C7CB0"/>
    <w:rsid w:val="003D5CA3"/>
    <w:rsid w:val="003E06B8"/>
    <w:rsid w:val="003E5627"/>
    <w:rsid w:val="003E646C"/>
    <w:rsid w:val="003F0FE0"/>
    <w:rsid w:val="003F2C86"/>
    <w:rsid w:val="003F3325"/>
    <w:rsid w:val="003F5DFD"/>
    <w:rsid w:val="003F63AF"/>
    <w:rsid w:val="00400257"/>
    <w:rsid w:val="004023F3"/>
    <w:rsid w:val="00402B9F"/>
    <w:rsid w:val="00403F64"/>
    <w:rsid w:val="00404D14"/>
    <w:rsid w:val="004053B9"/>
    <w:rsid w:val="004128C2"/>
    <w:rsid w:val="00412FA2"/>
    <w:rsid w:val="00413744"/>
    <w:rsid w:val="00415909"/>
    <w:rsid w:val="00415AB9"/>
    <w:rsid w:val="0041637F"/>
    <w:rsid w:val="00417046"/>
    <w:rsid w:val="004171FD"/>
    <w:rsid w:val="0042189D"/>
    <w:rsid w:val="00424DCA"/>
    <w:rsid w:val="004262F2"/>
    <w:rsid w:val="00430992"/>
    <w:rsid w:val="0043266E"/>
    <w:rsid w:val="00435F5F"/>
    <w:rsid w:val="0044676F"/>
    <w:rsid w:val="0044759E"/>
    <w:rsid w:val="00447C3B"/>
    <w:rsid w:val="00450F10"/>
    <w:rsid w:val="004515DD"/>
    <w:rsid w:val="004538FB"/>
    <w:rsid w:val="00460773"/>
    <w:rsid w:val="004645A8"/>
    <w:rsid w:val="004721DF"/>
    <w:rsid w:val="00474ECD"/>
    <w:rsid w:val="00475CA2"/>
    <w:rsid w:val="00480F25"/>
    <w:rsid w:val="00482E4E"/>
    <w:rsid w:val="00486F64"/>
    <w:rsid w:val="00491E0A"/>
    <w:rsid w:val="00492B2A"/>
    <w:rsid w:val="00497987"/>
    <w:rsid w:val="004A02AD"/>
    <w:rsid w:val="004A2E01"/>
    <w:rsid w:val="004A3855"/>
    <w:rsid w:val="004A7226"/>
    <w:rsid w:val="004B0F01"/>
    <w:rsid w:val="004B1EE3"/>
    <w:rsid w:val="004B3754"/>
    <w:rsid w:val="004C0A78"/>
    <w:rsid w:val="004C5E59"/>
    <w:rsid w:val="004C653C"/>
    <w:rsid w:val="004D418C"/>
    <w:rsid w:val="004D5536"/>
    <w:rsid w:val="004D674E"/>
    <w:rsid w:val="004D7929"/>
    <w:rsid w:val="004E25BF"/>
    <w:rsid w:val="004E4C76"/>
    <w:rsid w:val="004E4F16"/>
    <w:rsid w:val="004F1CDC"/>
    <w:rsid w:val="004F2530"/>
    <w:rsid w:val="004F5F2C"/>
    <w:rsid w:val="004F621E"/>
    <w:rsid w:val="00500638"/>
    <w:rsid w:val="005013DB"/>
    <w:rsid w:val="00501A20"/>
    <w:rsid w:val="00502D1D"/>
    <w:rsid w:val="00503689"/>
    <w:rsid w:val="005040C9"/>
    <w:rsid w:val="005040E5"/>
    <w:rsid w:val="00505149"/>
    <w:rsid w:val="005168A9"/>
    <w:rsid w:val="00517124"/>
    <w:rsid w:val="0051787F"/>
    <w:rsid w:val="0052615A"/>
    <w:rsid w:val="00526D5B"/>
    <w:rsid w:val="005353F8"/>
    <w:rsid w:val="00543317"/>
    <w:rsid w:val="00547B11"/>
    <w:rsid w:val="0055310F"/>
    <w:rsid w:val="00556501"/>
    <w:rsid w:val="00557E50"/>
    <w:rsid w:val="00560F81"/>
    <w:rsid w:val="00562BE1"/>
    <w:rsid w:val="005647E7"/>
    <w:rsid w:val="0057144D"/>
    <w:rsid w:val="00572502"/>
    <w:rsid w:val="00572E74"/>
    <w:rsid w:val="005846E5"/>
    <w:rsid w:val="005875D1"/>
    <w:rsid w:val="005904E8"/>
    <w:rsid w:val="005927C7"/>
    <w:rsid w:val="00597B71"/>
    <w:rsid w:val="005B274B"/>
    <w:rsid w:val="005C2897"/>
    <w:rsid w:val="005C4203"/>
    <w:rsid w:val="005C4AFA"/>
    <w:rsid w:val="005C65C4"/>
    <w:rsid w:val="005D2A86"/>
    <w:rsid w:val="005E0200"/>
    <w:rsid w:val="005E0548"/>
    <w:rsid w:val="005E168A"/>
    <w:rsid w:val="005E4593"/>
    <w:rsid w:val="005E607F"/>
    <w:rsid w:val="005E76FA"/>
    <w:rsid w:val="005F6BE4"/>
    <w:rsid w:val="005F789E"/>
    <w:rsid w:val="00606AA6"/>
    <w:rsid w:val="00607E74"/>
    <w:rsid w:val="00610EAE"/>
    <w:rsid w:val="00610FCF"/>
    <w:rsid w:val="00612540"/>
    <w:rsid w:val="00612EEC"/>
    <w:rsid w:val="0061458B"/>
    <w:rsid w:val="00616D3F"/>
    <w:rsid w:val="0062356A"/>
    <w:rsid w:val="0062435C"/>
    <w:rsid w:val="00624ECB"/>
    <w:rsid w:val="00634791"/>
    <w:rsid w:val="0063699E"/>
    <w:rsid w:val="00636A33"/>
    <w:rsid w:val="00637577"/>
    <w:rsid w:val="00637975"/>
    <w:rsid w:val="00646700"/>
    <w:rsid w:val="00646FEB"/>
    <w:rsid w:val="00651C1E"/>
    <w:rsid w:val="00651FC8"/>
    <w:rsid w:val="0065523D"/>
    <w:rsid w:val="00657E61"/>
    <w:rsid w:val="006649C1"/>
    <w:rsid w:val="00665090"/>
    <w:rsid w:val="00666936"/>
    <w:rsid w:val="006677F7"/>
    <w:rsid w:val="00667BEE"/>
    <w:rsid w:val="00670C31"/>
    <w:rsid w:val="00670C55"/>
    <w:rsid w:val="0067165D"/>
    <w:rsid w:val="006739F3"/>
    <w:rsid w:val="006810E3"/>
    <w:rsid w:val="0068401E"/>
    <w:rsid w:val="006844B7"/>
    <w:rsid w:val="00685D94"/>
    <w:rsid w:val="00686506"/>
    <w:rsid w:val="00690652"/>
    <w:rsid w:val="006966A9"/>
    <w:rsid w:val="006A4F58"/>
    <w:rsid w:val="006B0805"/>
    <w:rsid w:val="006B089B"/>
    <w:rsid w:val="006B0961"/>
    <w:rsid w:val="006B0962"/>
    <w:rsid w:val="006B3E8C"/>
    <w:rsid w:val="006B7A64"/>
    <w:rsid w:val="006B7AAA"/>
    <w:rsid w:val="006C1181"/>
    <w:rsid w:val="006C1DA9"/>
    <w:rsid w:val="006C45CF"/>
    <w:rsid w:val="006C49D1"/>
    <w:rsid w:val="006C5433"/>
    <w:rsid w:val="006C6817"/>
    <w:rsid w:val="006D48BA"/>
    <w:rsid w:val="006D4E93"/>
    <w:rsid w:val="006D79F5"/>
    <w:rsid w:val="006E1FAC"/>
    <w:rsid w:val="006E341A"/>
    <w:rsid w:val="006E7353"/>
    <w:rsid w:val="006E7D15"/>
    <w:rsid w:val="006F1B95"/>
    <w:rsid w:val="006F278B"/>
    <w:rsid w:val="006F27A2"/>
    <w:rsid w:val="006F36F7"/>
    <w:rsid w:val="006F3DA2"/>
    <w:rsid w:val="006F5E56"/>
    <w:rsid w:val="006F771F"/>
    <w:rsid w:val="007023A0"/>
    <w:rsid w:val="00704B75"/>
    <w:rsid w:val="00705F0E"/>
    <w:rsid w:val="007078FD"/>
    <w:rsid w:val="0071052E"/>
    <w:rsid w:val="007118E9"/>
    <w:rsid w:val="00725997"/>
    <w:rsid w:val="0073556B"/>
    <w:rsid w:val="007368F1"/>
    <w:rsid w:val="00742B69"/>
    <w:rsid w:val="0074396F"/>
    <w:rsid w:val="007444CB"/>
    <w:rsid w:val="0074590F"/>
    <w:rsid w:val="00751437"/>
    <w:rsid w:val="007517A9"/>
    <w:rsid w:val="0075427D"/>
    <w:rsid w:val="00760C02"/>
    <w:rsid w:val="00766896"/>
    <w:rsid w:val="00767EA5"/>
    <w:rsid w:val="007712C3"/>
    <w:rsid w:val="00772B60"/>
    <w:rsid w:val="00773DDB"/>
    <w:rsid w:val="007757F7"/>
    <w:rsid w:val="0077593C"/>
    <w:rsid w:val="00776B3B"/>
    <w:rsid w:val="00780C36"/>
    <w:rsid w:val="0078118E"/>
    <w:rsid w:val="00782D62"/>
    <w:rsid w:val="00783A93"/>
    <w:rsid w:val="007850FB"/>
    <w:rsid w:val="007A0F5A"/>
    <w:rsid w:val="007A2C2C"/>
    <w:rsid w:val="007A2C8F"/>
    <w:rsid w:val="007A3578"/>
    <w:rsid w:val="007A5A72"/>
    <w:rsid w:val="007B22DE"/>
    <w:rsid w:val="007B7941"/>
    <w:rsid w:val="007C1F66"/>
    <w:rsid w:val="007C6CCE"/>
    <w:rsid w:val="007C7BB0"/>
    <w:rsid w:val="007D1E7F"/>
    <w:rsid w:val="007D4E4D"/>
    <w:rsid w:val="007D6694"/>
    <w:rsid w:val="007E16BA"/>
    <w:rsid w:val="007E1EFF"/>
    <w:rsid w:val="007E325D"/>
    <w:rsid w:val="007E375F"/>
    <w:rsid w:val="007E455C"/>
    <w:rsid w:val="007E4810"/>
    <w:rsid w:val="007E56EC"/>
    <w:rsid w:val="007E6FD2"/>
    <w:rsid w:val="007E7489"/>
    <w:rsid w:val="007F206B"/>
    <w:rsid w:val="007F262C"/>
    <w:rsid w:val="007F3703"/>
    <w:rsid w:val="007F40A4"/>
    <w:rsid w:val="007F4C0A"/>
    <w:rsid w:val="00801883"/>
    <w:rsid w:val="00802141"/>
    <w:rsid w:val="00804A81"/>
    <w:rsid w:val="00807B9E"/>
    <w:rsid w:val="0081084B"/>
    <w:rsid w:val="0081793D"/>
    <w:rsid w:val="00820B4E"/>
    <w:rsid w:val="008245B3"/>
    <w:rsid w:val="00827C3C"/>
    <w:rsid w:val="00832398"/>
    <w:rsid w:val="0083358C"/>
    <w:rsid w:val="0083471B"/>
    <w:rsid w:val="00834FB2"/>
    <w:rsid w:val="00836E8D"/>
    <w:rsid w:val="00841371"/>
    <w:rsid w:val="008443D7"/>
    <w:rsid w:val="008517CC"/>
    <w:rsid w:val="00856A93"/>
    <w:rsid w:val="00862283"/>
    <w:rsid w:val="008642DB"/>
    <w:rsid w:val="008644C9"/>
    <w:rsid w:val="0086706B"/>
    <w:rsid w:val="00871098"/>
    <w:rsid w:val="008816D2"/>
    <w:rsid w:val="0088627F"/>
    <w:rsid w:val="00890DE6"/>
    <w:rsid w:val="00891106"/>
    <w:rsid w:val="008934D7"/>
    <w:rsid w:val="008939A6"/>
    <w:rsid w:val="008A2E1F"/>
    <w:rsid w:val="008A5CFE"/>
    <w:rsid w:val="008A7AEA"/>
    <w:rsid w:val="008B0A07"/>
    <w:rsid w:val="008B471E"/>
    <w:rsid w:val="008C1549"/>
    <w:rsid w:val="008C1C87"/>
    <w:rsid w:val="008C2FD0"/>
    <w:rsid w:val="008C4FE6"/>
    <w:rsid w:val="008D1BD2"/>
    <w:rsid w:val="008E32DF"/>
    <w:rsid w:val="008E779B"/>
    <w:rsid w:val="008F2C4B"/>
    <w:rsid w:val="008F630C"/>
    <w:rsid w:val="00900771"/>
    <w:rsid w:val="009068CC"/>
    <w:rsid w:val="009127F3"/>
    <w:rsid w:val="00912B23"/>
    <w:rsid w:val="009173D5"/>
    <w:rsid w:val="00917B52"/>
    <w:rsid w:val="00921331"/>
    <w:rsid w:val="0092219C"/>
    <w:rsid w:val="00927CBA"/>
    <w:rsid w:val="00932A2F"/>
    <w:rsid w:val="00934045"/>
    <w:rsid w:val="00934099"/>
    <w:rsid w:val="00934927"/>
    <w:rsid w:val="00937293"/>
    <w:rsid w:val="00940E25"/>
    <w:rsid w:val="00943144"/>
    <w:rsid w:val="00955FBA"/>
    <w:rsid w:val="00957018"/>
    <w:rsid w:val="00967447"/>
    <w:rsid w:val="00971773"/>
    <w:rsid w:val="00972F82"/>
    <w:rsid w:val="009757DC"/>
    <w:rsid w:val="0097689A"/>
    <w:rsid w:val="0098269C"/>
    <w:rsid w:val="00984E70"/>
    <w:rsid w:val="00987259"/>
    <w:rsid w:val="00987C32"/>
    <w:rsid w:val="00993804"/>
    <w:rsid w:val="009A0549"/>
    <w:rsid w:val="009A12BC"/>
    <w:rsid w:val="009A3D85"/>
    <w:rsid w:val="009B599C"/>
    <w:rsid w:val="009C2D15"/>
    <w:rsid w:val="009C497C"/>
    <w:rsid w:val="009C4C6B"/>
    <w:rsid w:val="009C50D7"/>
    <w:rsid w:val="009C73CF"/>
    <w:rsid w:val="009C7569"/>
    <w:rsid w:val="009C7BFB"/>
    <w:rsid w:val="009D0F0F"/>
    <w:rsid w:val="009D12F4"/>
    <w:rsid w:val="009D1E55"/>
    <w:rsid w:val="009D3F8C"/>
    <w:rsid w:val="009D582A"/>
    <w:rsid w:val="009E21D6"/>
    <w:rsid w:val="009E4358"/>
    <w:rsid w:val="009E5B61"/>
    <w:rsid w:val="009E688C"/>
    <w:rsid w:val="009E743B"/>
    <w:rsid w:val="009F19B5"/>
    <w:rsid w:val="009F3BD9"/>
    <w:rsid w:val="00A01615"/>
    <w:rsid w:val="00A0328A"/>
    <w:rsid w:val="00A03D2D"/>
    <w:rsid w:val="00A066F0"/>
    <w:rsid w:val="00A06B74"/>
    <w:rsid w:val="00A15311"/>
    <w:rsid w:val="00A17523"/>
    <w:rsid w:val="00A179FA"/>
    <w:rsid w:val="00A22BEE"/>
    <w:rsid w:val="00A23358"/>
    <w:rsid w:val="00A25283"/>
    <w:rsid w:val="00A25DFA"/>
    <w:rsid w:val="00A26E36"/>
    <w:rsid w:val="00A31EBB"/>
    <w:rsid w:val="00A34A7B"/>
    <w:rsid w:val="00A359FE"/>
    <w:rsid w:val="00A4024B"/>
    <w:rsid w:val="00A43103"/>
    <w:rsid w:val="00A45341"/>
    <w:rsid w:val="00A5148A"/>
    <w:rsid w:val="00A52E47"/>
    <w:rsid w:val="00A5565C"/>
    <w:rsid w:val="00A6087E"/>
    <w:rsid w:val="00A60CAA"/>
    <w:rsid w:val="00A61D21"/>
    <w:rsid w:val="00A65542"/>
    <w:rsid w:val="00A6642C"/>
    <w:rsid w:val="00A671BC"/>
    <w:rsid w:val="00A72F8A"/>
    <w:rsid w:val="00A73F1F"/>
    <w:rsid w:val="00A80785"/>
    <w:rsid w:val="00A83DAF"/>
    <w:rsid w:val="00A86250"/>
    <w:rsid w:val="00A865D6"/>
    <w:rsid w:val="00A87DEA"/>
    <w:rsid w:val="00A951B4"/>
    <w:rsid w:val="00A9578E"/>
    <w:rsid w:val="00AA43F9"/>
    <w:rsid w:val="00AB055F"/>
    <w:rsid w:val="00AB320C"/>
    <w:rsid w:val="00AB40C8"/>
    <w:rsid w:val="00AB53E6"/>
    <w:rsid w:val="00AC12CD"/>
    <w:rsid w:val="00AC149F"/>
    <w:rsid w:val="00AC19A4"/>
    <w:rsid w:val="00AC2312"/>
    <w:rsid w:val="00AC4AFF"/>
    <w:rsid w:val="00AC72ED"/>
    <w:rsid w:val="00AD0EBF"/>
    <w:rsid w:val="00AD1017"/>
    <w:rsid w:val="00AD4325"/>
    <w:rsid w:val="00AE02D8"/>
    <w:rsid w:val="00AE0E2B"/>
    <w:rsid w:val="00AE294A"/>
    <w:rsid w:val="00AE34C7"/>
    <w:rsid w:val="00AE3A00"/>
    <w:rsid w:val="00AE4BC7"/>
    <w:rsid w:val="00AE4E63"/>
    <w:rsid w:val="00AE531E"/>
    <w:rsid w:val="00AE7D46"/>
    <w:rsid w:val="00AF0957"/>
    <w:rsid w:val="00AF219B"/>
    <w:rsid w:val="00AF2BFC"/>
    <w:rsid w:val="00AF40EF"/>
    <w:rsid w:val="00AF55AE"/>
    <w:rsid w:val="00AF6012"/>
    <w:rsid w:val="00AF65BD"/>
    <w:rsid w:val="00B02923"/>
    <w:rsid w:val="00B0307F"/>
    <w:rsid w:val="00B03A86"/>
    <w:rsid w:val="00B044ED"/>
    <w:rsid w:val="00B05D6E"/>
    <w:rsid w:val="00B1063D"/>
    <w:rsid w:val="00B12318"/>
    <w:rsid w:val="00B130DC"/>
    <w:rsid w:val="00B16A7C"/>
    <w:rsid w:val="00B23C90"/>
    <w:rsid w:val="00B30D80"/>
    <w:rsid w:val="00B3117E"/>
    <w:rsid w:val="00B315C6"/>
    <w:rsid w:val="00B35708"/>
    <w:rsid w:val="00B36108"/>
    <w:rsid w:val="00B36197"/>
    <w:rsid w:val="00B36B21"/>
    <w:rsid w:val="00B41C01"/>
    <w:rsid w:val="00B42DAD"/>
    <w:rsid w:val="00B440D1"/>
    <w:rsid w:val="00B44AAD"/>
    <w:rsid w:val="00B45AFA"/>
    <w:rsid w:val="00B46BAE"/>
    <w:rsid w:val="00B5261E"/>
    <w:rsid w:val="00B57E19"/>
    <w:rsid w:val="00B615EA"/>
    <w:rsid w:val="00B6586D"/>
    <w:rsid w:val="00B67C01"/>
    <w:rsid w:val="00B70F22"/>
    <w:rsid w:val="00B712E4"/>
    <w:rsid w:val="00B71D2B"/>
    <w:rsid w:val="00B738E2"/>
    <w:rsid w:val="00B77BE3"/>
    <w:rsid w:val="00B86799"/>
    <w:rsid w:val="00B916D8"/>
    <w:rsid w:val="00B93AB7"/>
    <w:rsid w:val="00B95D42"/>
    <w:rsid w:val="00B95DE5"/>
    <w:rsid w:val="00BA1A65"/>
    <w:rsid w:val="00BA4A86"/>
    <w:rsid w:val="00BA6665"/>
    <w:rsid w:val="00BA6867"/>
    <w:rsid w:val="00BA6C6B"/>
    <w:rsid w:val="00BB2F1E"/>
    <w:rsid w:val="00BB3E27"/>
    <w:rsid w:val="00BB5B85"/>
    <w:rsid w:val="00BB6841"/>
    <w:rsid w:val="00BC0E55"/>
    <w:rsid w:val="00BC5B34"/>
    <w:rsid w:val="00BC6582"/>
    <w:rsid w:val="00BC6750"/>
    <w:rsid w:val="00BD1883"/>
    <w:rsid w:val="00BD3379"/>
    <w:rsid w:val="00BD4C6F"/>
    <w:rsid w:val="00BE1193"/>
    <w:rsid w:val="00BE1C96"/>
    <w:rsid w:val="00BE5524"/>
    <w:rsid w:val="00BE5E48"/>
    <w:rsid w:val="00BE652C"/>
    <w:rsid w:val="00BE7709"/>
    <w:rsid w:val="00BF23AA"/>
    <w:rsid w:val="00BF4143"/>
    <w:rsid w:val="00BF7EB9"/>
    <w:rsid w:val="00C0237F"/>
    <w:rsid w:val="00C03392"/>
    <w:rsid w:val="00C050AD"/>
    <w:rsid w:val="00C06F19"/>
    <w:rsid w:val="00C12DC2"/>
    <w:rsid w:val="00C16513"/>
    <w:rsid w:val="00C20FA2"/>
    <w:rsid w:val="00C21746"/>
    <w:rsid w:val="00C22164"/>
    <w:rsid w:val="00C22E97"/>
    <w:rsid w:val="00C234EC"/>
    <w:rsid w:val="00C2500E"/>
    <w:rsid w:val="00C26F3A"/>
    <w:rsid w:val="00C276F8"/>
    <w:rsid w:val="00C31026"/>
    <w:rsid w:val="00C35672"/>
    <w:rsid w:val="00C367BE"/>
    <w:rsid w:val="00C40430"/>
    <w:rsid w:val="00C41067"/>
    <w:rsid w:val="00C41CFC"/>
    <w:rsid w:val="00C42372"/>
    <w:rsid w:val="00C42AAB"/>
    <w:rsid w:val="00C4422E"/>
    <w:rsid w:val="00C44858"/>
    <w:rsid w:val="00C56CEA"/>
    <w:rsid w:val="00C7088B"/>
    <w:rsid w:val="00C75443"/>
    <w:rsid w:val="00C76137"/>
    <w:rsid w:val="00C77EB5"/>
    <w:rsid w:val="00C8324C"/>
    <w:rsid w:val="00C901B2"/>
    <w:rsid w:val="00C9270E"/>
    <w:rsid w:val="00C92A89"/>
    <w:rsid w:val="00C92B23"/>
    <w:rsid w:val="00C939A1"/>
    <w:rsid w:val="00C93B21"/>
    <w:rsid w:val="00C977A9"/>
    <w:rsid w:val="00CA08AE"/>
    <w:rsid w:val="00CA3ECC"/>
    <w:rsid w:val="00CA5A7A"/>
    <w:rsid w:val="00CB12A0"/>
    <w:rsid w:val="00CB40E3"/>
    <w:rsid w:val="00CB45A9"/>
    <w:rsid w:val="00CB4C8F"/>
    <w:rsid w:val="00CC1569"/>
    <w:rsid w:val="00CC5BD2"/>
    <w:rsid w:val="00CC60FF"/>
    <w:rsid w:val="00CD17F6"/>
    <w:rsid w:val="00CD1A76"/>
    <w:rsid w:val="00CD4101"/>
    <w:rsid w:val="00CD6761"/>
    <w:rsid w:val="00CE1D2E"/>
    <w:rsid w:val="00CE2A38"/>
    <w:rsid w:val="00CE31B5"/>
    <w:rsid w:val="00CE4B9F"/>
    <w:rsid w:val="00CE762C"/>
    <w:rsid w:val="00CF4BAB"/>
    <w:rsid w:val="00D063CA"/>
    <w:rsid w:val="00D06A70"/>
    <w:rsid w:val="00D07A42"/>
    <w:rsid w:val="00D16169"/>
    <w:rsid w:val="00D21319"/>
    <w:rsid w:val="00D21467"/>
    <w:rsid w:val="00D22DE0"/>
    <w:rsid w:val="00D239FC"/>
    <w:rsid w:val="00D319CE"/>
    <w:rsid w:val="00D3286F"/>
    <w:rsid w:val="00D331B3"/>
    <w:rsid w:val="00D3423E"/>
    <w:rsid w:val="00D3428F"/>
    <w:rsid w:val="00D40D95"/>
    <w:rsid w:val="00D40DAE"/>
    <w:rsid w:val="00D43F5C"/>
    <w:rsid w:val="00D448AE"/>
    <w:rsid w:val="00D517C7"/>
    <w:rsid w:val="00D5257E"/>
    <w:rsid w:val="00D56324"/>
    <w:rsid w:val="00D56789"/>
    <w:rsid w:val="00D60CF1"/>
    <w:rsid w:val="00D61AAE"/>
    <w:rsid w:val="00D64CEE"/>
    <w:rsid w:val="00D66D81"/>
    <w:rsid w:val="00D67574"/>
    <w:rsid w:val="00D70FA6"/>
    <w:rsid w:val="00D72A64"/>
    <w:rsid w:val="00D76723"/>
    <w:rsid w:val="00D77612"/>
    <w:rsid w:val="00D77C46"/>
    <w:rsid w:val="00D81F8E"/>
    <w:rsid w:val="00D82508"/>
    <w:rsid w:val="00D83900"/>
    <w:rsid w:val="00D8440E"/>
    <w:rsid w:val="00D85830"/>
    <w:rsid w:val="00D91897"/>
    <w:rsid w:val="00D92208"/>
    <w:rsid w:val="00D93970"/>
    <w:rsid w:val="00D93D64"/>
    <w:rsid w:val="00D944CB"/>
    <w:rsid w:val="00DA022C"/>
    <w:rsid w:val="00DA2667"/>
    <w:rsid w:val="00DA30F0"/>
    <w:rsid w:val="00DA546B"/>
    <w:rsid w:val="00DA6098"/>
    <w:rsid w:val="00DB0863"/>
    <w:rsid w:val="00DB1E92"/>
    <w:rsid w:val="00DB40D2"/>
    <w:rsid w:val="00DB558D"/>
    <w:rsid w:val="00DB56B1"/>
    <w:rsid w:val="00DB5C4F"/>
    <w:rsid w:val="00DC5EDB"/>
    <w:rsid w:val="00DC65A1"/>
    <w:rsid w:val="00DC68B4"/>
    <w:rsid w:val="00DC6905"/>
    <w:rsid w:val="00DC72B8"/>
    <w:rsid w:val="00DD13D8"/>
    <w:rsid w:val="00DD3597"/>
    <w:rsid w:val="00DD3630"/>
    <w:rsid w:val="00DD577E"/>
    <w:rsid w:val="00DD5BE8"/>
    <w:rsid w:val="00DD7C07"/>
    <w:rsid w:val="00DE1650"/>
    <w:rsid w:val="00DE17A2"/>
    <w:rsid w:val="00DE55E4"/>
    <w:rsid w:val="00DE5927"/>
    <w:rsid w:val="00DE5C08"/>
    <w:rsid w:val="00DF0F39"/>
    <w:rsid w:val="00DF47EF"/>
    <w:rsid w:val="00DF51BB"/>
    <w:rsid w:val="00E0024A"/>
    <w:rsid w:val="00E00375"/>
    <w:rsid w:val="00E01274"/>
    <w:rsid w:val="00E019A5"/>
    <w:rsid w:val="00E05F33"/>
    <w:rsid w:val="00E072B7"/>
    <w:rsid w:val="00E10A5C"/>
    <w:rsid w:val="00E10D65"/>
    <w:rsid w:val="00E11D63"/>
    <w:rsid w:val="00E13717"/>
    <w:rsid w:val="00E14A7E"/>
    <w:rsid w:val="00E15B98"/>
    <w:rsid w:val="00E20310"/>
    <w:rsid w:val="00E25B3A"/>
    <w:rsid w:val="00E35212"/>
    <w:rsid w:val="00E359CD"/>
    <w:rsid w:val="00E37143"/>
    <w:rsid w:val="00E37916"/>
    <w:rsid w:val="00E50CCE"/>
    <w:rsid w:val="00E5397F"/>
    <w:rsid w:val="00E5638A"/>
    <w:rsid w:val="00E57858"/>
    <w:rsid w:val="00E632C7"/>
    <w:rsid w:val="00E67F2B"/>
    <w:rsid w:val="00E740D8"/>
    <w:rsid w:val="00E75A0B"/>
    <w:rsid w:val="00E76E6A"/>
    <w:rsid w:val="00E7701B"/>
    <w:rsid w:val="00E771E8"/>
    <w:rsid w:val="00E8047F"/>
    <w:rsid w:val="00E8100C"/>
    <w:rsid w:val="00E81D2A"/>
    <w:rsid w:val="00E86722"/>
    <w:rsid w:val="00E90E63"/>
    <w:rsid w:val="00E93570"/>
    <w:rsid w:val="00E967A4"/>
    <w:rsid w:val="00E97F4B"/>
    <w:rsid w:val="00EA093A"/>
    <w:rsid w:val="00EA0EBE"/>
    <w:rsid w:val="00EA3E2F"/>
    <w:rsid w:val="00EA6FA6"/>
    <w:rsid w:val="00EB0EE8"/>
    <w:rsid w:val="00EB14F0"/>
    <w:rsid w:val="00EB357B"/>
    <w:rsid w:val="00EB5544"/>
    <w:rsid w:val="00EB6028"/>
    <w:rsid w:val="00EB672A"/>
    <w:rsid w:val="00EB79F0"/>
    <w:rsid w:val="00EC27A6"/>
    <w:rsid w:val="00EC435F"/>
    <w:rsid w:val="00EC56F9"/>
    <w:rsid w:val="00EC62F5"/>
    <w:rsid w:val="00ED0E3D"/>
    <w:rsid w:val="00ED1841"/>
    <w:rsid w:val="00ED4410"/>
    <w:rsid w:val="00ED7EE9"/>
    <w:rsid w:val="00EE0775"/>
    <w:rsid w:val="00EE50AE"/>
    <w:rsid w:val="00EF37B1"/>
    <w:rsid w:val="00EF4CC1"/>
    <w:rsid w:val="00F00006"/>
    <w:rsid w:val="00F00698"/>
    <w:rsid w:val="00F00B2F"/>
    <w:rsid w:val="00F01B65"/>
    <w:rsid w:val="00F03254"/>
    <w:rsid w:val="00F0627C"/>
    <w:rsid w:val="00F10D4F"/>
    <w:rsid w:val="00F1674A"/>
    <w:rsid w:val="00F16D32"/>
    <w:rsid w:val="00F210A8"/>
    <w:rsid w:val="00F23440"/>
    <w:rsid w:val="00F25CE4"/>
    <w:rsid w:val="00F328FC"/>
    <w:rsid w:val="00F33590"/>
    <w:rsid w:val="00F33AE2"/>
    <w:rsid w:val="00F401DE"/>
    <w:rsid w:val="00F41AAA"/>
    <w:rsid w:val="00F4235B"/>
    <w:rsid w:val="00F45033"/>
    <w:rsid w:val="00F477B6"/>
    <w:rsid w:val="00F51D75"/>
    <w:rsid w:val="00F5327E"/>
    <w:rsid w:val="00F61503"/>
    <w:rsid w:val="00F61818"/>
    <w:rsid w:val="00F70FCA"/>
    <w:rsid w:val="00F715CC"/>
    <w:rsid w:val="00F77DA6"/>
    <w:rsid w:val="00F85185"/>
    <w:rsid w:val="00F91430"/>
    <w:rsid w:val="00F923E5"/>
    <w:rsid w:val="00F962F7"/>
    <w:rsid w:val="00F96AEE"/>
    <w:rsid w:val="00FA0793"/>
    <w:rsid w:val="00FA71E5"/>
    <w:rsid w:val="00FB1C5F"/>
    <w:rsid w:val="00FB4322"/>
    <w:rsid w:val="00FB53D6"/>
    <w:rsid w:val="00FC2988"/>
    <w:rsid w:val="00FD299A"/>
    <w:rsid w:val="00FD464E"/>
    <w:rsid w:val="00FD5282"/>
    <w:rsid w:val="00FD7051"/>
    <w:rsid w:val="00FD78A0"/>
    <w:rsid w:val="00FE13E2"/>
    <w:rsid w:val="00FE590F"/>
    <w:rsid w:val="00FE5A6F"/>
    <w:rsid w:val="00FE6338"/>
    <w:rsid w:val="00FE6672"/>
    <w:rsid w:val="00FF39B2"/>
    <w:rsid w:val="00FF4C5F"/>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18BA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 w:type="paragraph" w:styleId="TOCHeading">
    <w:name w:val="TOC Heading"/>
    <w:basedOn w:val="Heading1"/>
    <w:next w:val="Normal"/>
    <w:uiPriority w:val="39"/>
    <w:semiHidden/>
    <w:unhideWhenUsed/>
    <w:qFormat/>
    <w:rsid w:val="00E359CD"/>
    <w:pPr>
      <w:keepNext/>
      <w:keepLines/>
      <w:numPr>
        <w:numId w:val="0"/>
      </w:numPr>
      <w:spacing w:before="480" w:after="0"/>
      <w:outlineLvl w:val="9"/>
    </w:pPr>
    <w:rPr>
      <w:rFonts w:eastAsiaTheme="majorEastAsia" w:cstheme="majorBidi"/>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A1F"/>
    <w:pPr>
      <w:suppressAutoHyphens/>
      <w:spacing w:before="40" w:after="40" w:line="276" w:lineRule="auto"/>
      <w:jc w:val="both"/>
    </w:pPr>
    <w:rPr>
      <w:rFonts w:asciiTheme="majorHAnsi" w:hAnsiTheme="majorHAnsi"/>
      <w:sz w:val="22"/>
      <w:lang w:val="en-GB" w:eastAsia="de-DE"/>
    </w:rPr>
  </w:style>
  <w:style w:type="paragraph" w:styleId="Heading1">
    <w:name w:val="heading 1"/>
    <w:basedOn w:val="ListParagraph"/>
    <w:next w:val="BodyText"/>
    <w:qFormat/>
    <w:rsid w:val="00317381"/>
    <w:pPr>
      <w:numPr>
        <w:numId w:val="1"/>
      </w:numPr>
      <w:spacing w:before="240" w:after="60"/>
      <w:outlineLvl w:val="0"/>
    </w:pPr>
    <w:rPr>
      <w:b/>
      <w:color w:val="365F91" w:themeColor="accent1" w:themeShade="BF"/>
      <w:sz w:val="28"/>
      <w:szCs w:val="28"/>
    </w:rPr>
  </w:style>
  <w:style w:type="paragraph" w:styleId="Heading2">
    <w:name w:val="heading 2"/>
    <w:basedOn w:val="Normal"/>
    <w:next w:val="Normal"/>
    <w:link w:val="Heading2Char"/>
    <w:uiPriority w:val="9"/>
    <w:unhideWhenUsed/>
    <w:qFormat/>
    <w:rsid w:val="00C22E97"/>
    <w:pPr>
      <w:keepNext/>
      <w:keepLines/>
      <w:numPr>
        <w:ilvl w:val="1"/>
        <w:numId w:val="1"/>
      </w:numPr>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22E97"/>
    <w:pPr>
      <w:keepNext/>
      <w:keepLines/>
      <w:numPr>
        <w:ilvl w:val="2"/>
        <w:numId w:val="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04B75"/>
    <w:pPr>
      <w:keepNext/>
      <w:keepLines/>
      <w:numPr>
        <w:ilvl w:val="3"/>
        <w:numId w:val="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704B75"/>
    <w:pPr>
      <w:keepNext/>
      <w:keepLines/>
      <w:numPr>
        <w:ilvl w:val="4"/>
        <w:numId w:val="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04B75"/>
    <w:pPr>
      <w:keepNext/>
      <w:keepLines/>
      <w:numPr>
        <w:ilvl w:val="5"/>
        <w:numId w:val="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04B75"/>
    <w:pPr>
      <w:keepNext/>
      <w:keepLines/>
      <w:numPr>
        <w:ilvl w:val="6"/>
        <w:numId w:val="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04B75"/>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04B75"/>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hAnsi="Times New Roman"/>
      <w:sz w:val="20"/>
      <w:szCs w:val="20"/>
      <w:lang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unhideWhenUsed/>
    <w:rsid w:val="00AD0EBF"/>
    <w:rPr>
      <w:sz w:val="20"/>
      <w:szCs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AD0EBF"/>
    <w:rPr>
      <w:rFonts w:ascii="Calibri" w:eastAsia="Calibri" w:hAnsi="Calibri"/>
      <w:kern w:val="1"/>
      <w:lang w:val="en-US" w:eastAsia="ar-SA"/>
    </w:rPr>
  </w:style>
  <w:style w:type="character" w:styleId="FootnoteReference">
    <w:name w:val="footnote reference"/>
    <w:aliases w:val="Footnote symbol"/>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character" w:styleId="FollowedHyperlink">
    <w:name w:val="FollowedHyperlink"/>
    <w:uiPriority w:val="99"/>
    <w:semiHidden/>
    <w:unhideWhenUsed/>
    <w:rsid w:val="00686506"/>
    <w:rPr>
      <w:color w:val="800080"/>
      <w:u w:val="single"/>
    </w:rPr>
  </w:style>
  <w:style w:type="table" w:styleId="LightShading-Accent1">
    <w:name w:val="Light Shading Accent 1"/>
    <w:basedOn w:val="TableNormal"/>
    <w:uiPriority w:val="60"/>
    <w:rsid w:val="002B6457"/>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C22E97"/>
    <w:rPr>
      <w:rFonts w:asciiTheme="majorHAnsi" w:eastAsiaTheme="majorEastAsia" w:hAnsiTheme="majorHAnsi" w:cstheme="majorBidi"/>
      <w:b/>
      <w:bCs/>
      <w:color w:val="4F81BD" w:themeColor="accent1"/>
      <w:sz w:val="26"/>
      <w:szCs w:val="26"/>
      <w:lang w:val="en-GB" w:eastAsia="de-DE"/>
    </w:rPr>
  </w:style>
  <w:style w:type="character" w:customStyle="1" w:styleId="Heading3Char">
    <w:name w:val="Heading 3 Char"/>
    <w:basedOn w:val="DefaultParagraphFont"/>
    <w:link w:val="Heading3"/>
    <w:uiPriority w:val="9"/>
    <w:semiHidden/>
    <w:rsid w:val="00C22E97"/>
    <w:rPr>
      <w:rFonts w:asciiTheme="majorHAnsi" w:eastAsiaTheme="majorEastAsia" w:hAnsiTheme="majorHAnsi" w:cstheme="majorBidi"/>
      <w:b/>
      <w:bCs/>
      <w:color w:val="4F81BD" w:themeColor="accent1"/>
      <w:sz w:val="22"/>
      <w:lang w:val="en-GB" w:eastAsia="de-DE"/>
    </w:rPr>
  </w:style>
  <w:style w:type="paragraph" w:customStyle="1" w:styleId="ColorfulList-Accent11">
    <w:name w:val="Colorful List - Accent 11"/>
    <w:basedOn w:val="Normal"/>
    <w:uiPriority w:val="34"/>
    <w:qFormat/>
    <w:rsid w:val="00E25B3A"/>
    <w:pPr>
      <w:ind w:left="720"/>
      <w:contextualSpacing/>
    </w:pPr>
    <w:rPr>
      <w:rFonts w:ascii="Times New Roman" w:hAnsi="Times New Roman"/>
      <w:lang w:eastAsia="fr-FR"/>
    </w:rPr>
  </w:style>
  <w:style w:type="table" w:styleId="LightList">
    <w:name w:val="Light List"/>
    <w:basedOn w:val="TableNormal"/>
    <w:rsid w:val="00E25B3A"/>
    <w:rPr>
      <w:rFonts w:asciiTheme="minorHAnsi" w:eastAsiaTheme="minorEastAsia" w:hAnsiTheme="minorHAnsi"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E25B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334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B73D1"/>
  </w:style>
  <w:style w:type="paragraph" w:styleId="TOC1">
    <w:name w:val="toc 1"/>
    <w:basedOn w:val="Normal"/>
    <w:next w:val="Normal"/>
    <w:autoRedefine/>
    <w:uiPriority w:val="39"/>
    <w:unhideWhenUsed/>
    <w:rsid w:val="00DC65A1"/>
    <w:pPr>
      <w:spacing w:before="120"/>
    </w:pPr>
    <w:rPr>
      <w:rFonts w:asciiTheme="minorHAnsi" w:hAnsiTheme="minorHAnsi"/>
      <w:b/>
    </w:rPr>
  </w:style>
  <w:style w:type="paragraph" w:styleId="TOC2">
    <w:name w:val="toc 2"/>
    <w:basedOn w:val="Normal"/>
    <w:next w:val="Normal"/>
    <w:autoRedefine/>
    <w:uiPriority w:val="39"/>
    <w:unhideWhenUsed/>
    <w:rsid w:val="00DC65A1"/>
    <w:pPr>
      <w:ind w:left="220"/>
    </w:pPr>
    <w:rPr>
      <w:rFonts w:asciiTheme="minorHAnsi" w:hAnsiTheme="minorHAnsi"/>
      <w:i/>
    </w:rPr>
  </w:style>
  <w:style w:type="paragraph" w:styleId="TOC3">
    <w:name w:val="toc 3"/>
    <w:basedOn w:val="Normal"/>
    <w:next w:val="Normal"/>
    <w:autoRedefine/>
    <w:uiPriority w:val="39"/>
    <w:unhideWhenUsed/>
    <w:rsid w:val="00DC65A1"/>
    <w:pPr>
      <w:ind w:left="440"/>
    </w:pPr>
    <w:rPr>
      <w:rFonts w:asciiTheme="minorHAnsi" w:hAnsiTheme="minorHAnsi"/>
    </w:rPr>
  </w:style>
  <w:style w:type="paragraph" w:styleId="TOC4">
    <w:name w:val="toc 4"/>
    <w:basedOn w:val="Normal"/>
    <w:next w:val="Normal"/>
    <w:autoRedefine/>
    <w:uiPriority w:val="39"/>
    <w:unhideWhenUsed/>
    <w:rsid w:val="00DC65A1"/>
    <w:pPr>
      <w:ind w:left="660"/>
    </w:pPr>
    <w:rPr>
      <w:rFonts w:asciiTheme="minorHAnsi" w:hAnsiTheme="minorHAnsi"/>
      <w:sz w:val="20"/>
      <w:szCs w:val="20"/>
    </w:rPr>
  </w:style>
  <w:style w:type="paragraph" w:styleId="TOC5">
    <w:name w:val="toc 5"/>
    <w:basedOn w:val="Normal"/>
    <w:next w:val="Normal"/>
    <w:autoRedefine/>
    <w:uiPriority w:val="39"/>
    <w:unhideWhenUsed/>
    <w:rsid w:val="00DC65A1"/>
    <w:pPr>
      <w:ind w:left="880"/>
    </w:pPr>
    <w:rPr>
      <w:rFonts w:asciiTheme="minorHAnsi" w:hAnsiTheme="minorHAnsi"/>
      <w:sz w:val="20"/>
      <w:szCs w:val="20"/>
    </w:rPr>
  </w:style>
  <w:style w:type="paragraph" w:styleId="TOC6">
    <w:name w:val="toc 6"/>
    <w:basedOn w:val="Normal"/>
    <w:next w:val="Normal"/>
    <w:autoRedefine/>
    <w:uiPriority w:val="39"/>
    <w:unhideWhenUsed/>
    <w:rsid w:val="00DC65A1"/>
    <w:pPr>
      <w:ind w:left="1100"/>
    </w:pPr>
    <w:rPr>
      <w:rFonts w:asciiTheme="minorHAnsi" w:hAnsiTheme="minorHAnsi"/>
      <w:sz w:val="20"/>
      <w:szCs w:val="20"/>
    </w:rPr>
  </w:style>
  <w:style w:type="paragraph" w:styleId="TOC7">
    <w:name w:val="toc 7"/>
    <w:basedOn w:val="Normal"/>
    <w:next w:val="Normal"/>
    <w:autoRedefine/>
    <w:uiPriority w:val="39"/>
    <w:unhideWhenUsed/>
    <w:rsid w:val="00DC65A1"/>
    <w:pPr>
      <w:ind w:left="1320"/>
    </w:pPr>
    <w:rPr>
      <w:rFonts w:asciiTheme="minorHAnsi" w:hAnsiTheme="minorHAnsi"/>
      <w:sz w:val="20"/>
      <w:szCs w:val="20"/>
    </w:rPr>
  </w:style>
  <w:style w:type="paragraph" w:styleId="TOC8">
    <w:name w:val="toc 8"/>
    <w:basedOn w:val="Normal"/>
    <w:next w:val="Normal"/>
    <w:autoRedefine/>
    <w:uiPriority w:val="39"/>
    <w:unhideWhenUsed/>
    <w:rsid w:val="00DC65A1"/>
    <w:pPr>
      <w:ind w:left="1540"/>
    </w:pPr>
    <w:rPr>
      <w:rFonts w:asciiTheme="minorHAnsi" w:hAnsiTheme="minorHAnsi"/>
      <w:sz w:val="20"/>
      <w:szCs w:val="20"/>
    </w:rPr>
  </w:style>
  <w:style w:type="paragraph" w:styleId="TOC9">
    <w:name w:val="toc 9"/>
    <w:basedOn w:val="Normal"/>
    <w:next w:val="Normal"/>
    <w:autoRedefine/>
    <w:uiPriority w:val="39"/>
    <w:unhideWhenUsed/>
    <w:rsid w:val="00DC65A1"/>
    <w:pPr>
      <w:ind w:left="1760"/>
    </w:pPr>
    <w:rPr>
      <w:rFonts w:asciiTheme="minorHAnsi" w:hAnsiTheme="minorHAnsi"/>
      <w:sz w:val="20"/>
      <w:szCs w:val="20"/>
    </w:rPr>
  </w:style>
  <w:style w:type="character" w:customStyle="1" w:styleId="Heading4Char">
    <w:name w:val="Heading 4 Char"/>
    <w:basedOn w:val="DefaultParagraphFont"/>
    <w:link w:val="Heading4"/>
    <w:uiPriority w:val="9"/>
    <w:semiHidden/>
    <w:rsid w:val="00704B75"/>
    <w:rPr>
      <w:rFonts w:asciiTheme="majorHAnsi" w:eastAsiaTheme="majorEastAsia" w:hAnsiTheme="majorHAnsi" w:cstheme="majorBidi"/>
      <w:b/>
      <w:bCs/>
      <w:i/>
      <w:iCs/>
      <w:color w:val="4F81BD" w:themeColor="accent1"/>
      <w:sz w:val="22"/>
      <w:lang w:val="en-GB" w:eastAsia="de-DE"/>
    </w:rPr>
  </w:style>
  <w:style w:type="character" w:customStyle="1" w:styleId="Heading5Char">
    <w:name w:val="Heading 5 Char"/>
    <w:basedOn w:val="DefaultParagraphFont"/>
    <w:link w:val="Heading5"/>
    <w:uiPriority w:val="9"/>
    <w:semiHidden/>
    <w:rsid w:val="00704B75"/>
    <w:rPr>
      <w:rFonts w:asciiTheme="majorHAnsi" w:eastAsiaTheme="majorEastAsia" w:hAnsiTheme="majorHAnsi" w:cstheme="majorBidi"/>
      <w:color w:val="243F60" w:themeColor="accent1" w:themeShade="7F"/>
      <w:sz w:val="22"/>
      <w:lang w:val="en-GB" w:eastAsia="de-DE"/>
    </w:rPr>
  </w:style>
  <w:style w:type="character" w:customStyle="1" w:styleId="Heading6Char">
    <w:name w:val="Heading 6 Char"/>
    <w:basedOn w:val="DefaultParagraphFont"/>
    <w:link w:val="Heading6"/>
    <w:uiPriority w:val="9"/>
    <w:semiHidden/>
    <w:rsid w:val="00704B75"/>
    <w:rPr>
      <w:rFonts w:asciiTheme="majorHAnsi" w:eastAsiaTheme="majorEastAsia" w:hAnsiTheme="majorHAnsi" w:cstheme="majorBidi"/>
      <w:i/>
      <w:iCs/>
      <w:color w:val="243F60" w:themeColor="accent1" w:themeShade="7F"/>
      <w:sz w:val="22"/>
      <w:lang w:val="en-GB" w:eastAsia="de-DE"/>
    </w:rPr>
  </w:style>
  <w:style w:type="character" w:customStyle="1" w:styleId="Heading7Char">
    <w:name w:val="Heading 7 Char"/>
    <w:basedOn w:val="DefaultParagraphFont"/>
    <w:link w:val="Heading7"/>
    <w:uiPriority w:val="9"/>
    <w:semiHidden/>
    <w:rsid w:val="00704B75"/>
    <w:rPr>
      <w:rFonts w:asciiTheme="majorHAnsi" w:eastAsiaTheme="majorEastAsia" w:hAnsiTheme="majorHAnsi" w:cstheme="majorBidi"/>
      <w:i/>
      <w:iCs/>
      <w:color w:val="404040" w:themeColor="text1" w:themeTint="BF"/>
      <w:sz w:val="22"/>
      <w:lang w:val="en-GB" w:eastAsia="de-DE"/>
    </w:rPr>
  </w:style>
  <w:style w:type="character" w:customStyle="1" w:styleId="Heading8Char">
    <w:name w:val="Heading 8 Char"/>
    <w:basedOn w:val="DefaultParagraphFont"/>
    <w:link w:val="Heading8"/>
    <w:uiPriority w:val="9"/>
    <w:semiHidden/>
    <w:rsid w:val="00704B75"/>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uiPriority w:val="9"/>
    <w:semiHidden/>
    <w:rsid w:val="00704B75"/>
    <w:rPr>
      <w:rFonts w:asciiTheme="majorHAnsi" w:eastAsiaTheme="majorEastAsia" w:hAnsiTheme="majorHAnsi" w:cstheme="majorBidi"/>
      <w:i/>
      <w:iCs/>
      <w:color w:val="404040" w:themeColor="text1" w:themeTint="BF"/>
      <w:sz w:val="20"/>
      <w:szCs w:val="20"/>
      <w:lang w:val="en-GB" w:eastAsia="de-DE"/>
    </w:rPr>
  </w:style>
  <w:style w:type="character" w:customStyle="1" w:styleId="mw-headline">
    <w:name w:val="mw-headline"/>
    <w:basedOn w:val="DefaultParagraphFont"/>
    <w:rsid w:val="007B22DE"/>
  </w:style>
  <w:style w:type="paragraph" w:styleId="NormalWeb">
    <w:name w:val="Normal (Web)"/>
    <w:basedOn w:val="Normal"/>
    <w:uiPriority w:val="99"/>
    <w:semiHidden/>
    <w:unhideWhenUsed/>
    <w:rsid w:val="007B22DE"/>
    <w:pPr>
      <w:suppressAutoHyphens w:val="0"/>
      <w:spacing w:before="100" w:beforeAutospacing="1" w:after="100" w:afterAutospacing="1" w:line="240" w:lineRule="auto"/>
      <w:jc w:val="left"/>
    </w:pPr>
    <w:rPr>
      <w:rFonts w:ascii="Times" w:hAnsi="Times"/>
      <w:sz w:val="20"/>
      <w:szCs w:val="20"/>
      <w:lang w:val="en-US" w:eastAsia="en-US"/>
    </w:rPr>
  </w:style>
  <w:style w:type="paragraph" w:styleId="TOCHeading">
    <w:name w:val="TOC Heading"/>
    <w:basedOn w:val="Heading1"/>
    <w:next w:val="Normal"/>
    <w:uiPriority w:val="39"/>
    <w:semiHidden/>
    <w:unhideWhenUsed/>
    <w:qFormat/>
    <w:rsid w:val="00E359CD"/>
    <w:pPr>
      <w:keepNext/>
      <w:keepLines/>
      <w:numPr>
        <w:numId w:val="0"/>
      </w:numPr>
      <w:spacing w:before="480" w:after="0"/>
      <w:outlineLvl w:val="9"/>
    </w:pPr>
    <w:rPr>
      <w:rFonts w:eastAsiaTheme="majorEastAsia" w:cstheme="majorBid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800">
      <w:bodyDiv w:val="1"/>
      <w:marLeft w:val="0"/>
      <w:marRight w:val="0"/>
      <w:marTop w:val="0"/>
      <w:marBottom w:val="0"/>
      <w:divBdr>
        <w:top w:val="none" w:sz="0" w:space="0" w:color="auto"/>
        <w:left w:val="none" w:sz="0" w:space="0" w:color="auto"/>
        <w:bottom w:val="none" w:sz="0" w:space="0" w:color="auto"/>
        <w:right w:val="none" w:sz="0" w:space="0" w:color="auto"/>
      </w:divBdr>
      <w:divsChild>
        <w:div w:id="1325743916">
          <w:marLeft w:val="547"/>
          <w:marRight w:val="0"/>
          <w:marTop w:val="125"/>
          <w:marBottom w:val="0"/>
          <w:divBdr>
            <w:top w:val="none" w:sz="0" w:space="0" w:color="auto"/>
            <w:left w:val="none" w:sz="0" w:space="0" w:color="auto"/>
            <w:bottom w:val="none" w:sz="0" w:space="0" w:color="auto"/>
            <w:right w:val="none" w:sz="0" w:space="0" w:color="auto"/>
          </w:divBdr>
        </w:div>
      </w:divsChild>
    </w:div>
    <w:div w:id="208037929">
      <w:bodyDiv w:val="1"/>
      <w:marLeft w:val="0"/>
      <w:marRight w:val="0"/>
      <w:marTop w:val="0"/>
      <w:marBottom w:val="0"/>
      <w:divBdr>
        <w:top w:val="none" w:sz="0" w:space="0" w:color="auto"/>
        <w:left w:val="none" w:sz="0" w:space="0" w:color="auto"/>
        <w:bottom w:val="none" w:sz="0" w:space="0" w:color="auto"/>
        <w:right w:val="none" w:sz="0" w:space="0" w:color="auto"/>
      </w:divBdr>
    </w:div>
    <w:div w:id="215286631">
      <w:bodyDiv w:val="1"/>
      <w:marLeft w:val="0"/>
      <w:marRight w:val="0"/>
      <w:marTop w:val="0"/>
      <w:marBottom w:val="0"/>
      <w:divBdr>
        <w:top w:val="none" w:sz="0" w:space="0" w:color="auto"/>
        <w:left w:val="none" w:sz="0" w:space="0" w:color="auto"/>
        <w:bottom w:val="none" w:sz="0" w:space="0" w:color="auto"/>
        <w:right w:val="none" w:sz="0" w:space="0" w:color="auto"/>
      </w:divBdr>
    </w:div>
    <w:div w:id="794176593">
      <w:bodyDiv w:val="1"/>
      <w:marLeft w:val="0"/>
      <w:marRight w:val="0"/>
      <w:marTop w:val="0"/>
      <w:marBottom w:val="0"/>
      <w:divBdr>
        <w:top w:val="none" w:sz="0" w:space="0" w:color="auto"/>
        <w:left w:val="none" w:sz="0" w:space="0" w:color="auto"/>
        <w:bottom w:val="none" w:sz="0" w:space="0" w:color="auto"/>
        <w:right w:val="none" w:sz="0" w:space="0" w:color="auto"/>
      </w:divBdr>
    </w:div>
    <w:div w:id="797453859">
      <w:bodyDiv w:val="1"/>
      <w:marLeft w:val="0"/>
      <w:marRight w:val="0"/>
      <w:marTop w:val="0"/>
      <w:marBottom w:val="0"/>
      <w:divBdr>
        <w:top w:val="none" w:sz="0" w:space="0" w:color="auto"/>
        <w:left w:val="none" w:sz="0" w:space="0" w:color="auto"/>
        <w:bottom w:val="none" w:sz="0" w:space="0" w:color="auto"/>
        <w:right w:val="none" w:sz="0" w:space="0" w:color="auto"/>
      </w:divBdr>
    </w:div>
    <w:div w:id="1162311483">
      <w:bodyDiv w:val="1"/>
      <w:marLeft w:val="0"/>
      <w:marRight w:val="0"/>
      <w:marTop w:val="0"/>
      <w:marBottom w:val="0"/>
      <w:divBdr>
        <w:top w:val="none" w:sz="0" w:space="0" w:color="auto"/>
        <w:left w:val="none" w:sz="0" w:space="0" w:color="auto"/>
        <w:bottom w:val="none" w:sz="0" w:space="0" w:color="auto"/>
        <w:right w:val="none" w:sz="0" w:space="0" w:color="auto"/>
      </w:divBdr>
    </w:div>
    <w:div w:id="1204709133">
      <w:bodyDiv w:val="1"/>
      <w:marLeft w:val="0"/>
      <w:marRight w:val="0"/>
      <w:marTop w:val="0"/>
      <w:marBottom w:val="0"/>
      <w:divBdr>
        <w:top w:val="none" w:sz="0" w:space="0" w:color="auto"/>
        <w:left w:val="none" w:sz="0" w:space="0" w:color="auto"/>
        <w:bottom w:val="none" w:sz="0" w:space="0" w:color="auto"/>
        <w:right w:val="none" w:sz="0" w:space="0" w:color="auto"/>
      </w:divBdr>
      <w:divsChild>
        <w:div w:id="568930675">
          <w:marLeft w:val="547"/>
          <w:marRight w:val="0"/>
          <w:marTop w:val="86"/>
          <w:marBottom w:val="0"/>
          <w:divBdr>
            <w:top w:val="none" w:sz="0" w:space="0" w:color="auto"/>
            <w:left w:val="none" w:sz="0" w:space="0" w:color="auto"/>
            <w:bottom w:val="none" w:sz="0" w:space="0" w:color="auto"/>
            <w:right w:val="none" w:sz="0" w:space="0" w:color="auto"/>
          </w:divBdr>
        </w:div>
        <w:div w:id="1062169737">
          <w:marLeft w:val="1166"/>
          <w:marRight w:val="0"/>
          <w:marTop w:val="72"/>
          <w:marBottom w:val="0"/>
          <w:divBdr>
            <w:top w:val="none" w:sz="0" w:space="0" w:color="auto"/>
            <w:left w:val="none" w:sz="0" w:space="0" w:color="auto"/>
            <w:bottom w:val="none" w:sz="0" w:space="0" w:color="auto"/>
            <w:right w:val="none" w:sz="0" w:space="0" w:color="auto"/>
          </w:divBdr>
        </w:div>
        <w:div w:id="1655139286">
          <w:marLeft w:val="1166"/>
          <w:marRight w:val="0"/>
          <w:marTop w:val="72"/>
          <w:marBottom w:val="0"/>
          <w:divBdr>
            <w:top w:val="none" w:sz="0" w:space="0" w:color="auto"/>
            <w:left w:val="none" w:sz="0" w:space="0" w:color="auto"/>
            <w:bottom w:val="none" w:sz="0" w:space="0" w:color="auto"/>
            <w:right w:val="none" w:sz="0" w:space="0" w:color="auto"/>
          </w:divBdr>
        </w:div>
        <w:div w:id="749038828">
          <w:marLeft w:val="1166"/>
          <w:marRight w:val="0"/>
          <w:marTop w:val="72"/>
          <w:marBottom w:val="0"/>
          <w:divBdr>
            <w:top w:val="none" w:sz="0" w:space="0" w:color="auto"/>
            <w:left w:val="none" w:sz="0" w:space="0" w:color="auto"/>
            <w:bottom w:val="none" w:sz="0" w:space="0" w:color="auto"/>
            <w:right w:val="none" w:sz="0" w:space="0" w:color="auto"/>
          </w:divBdr>
        </w:div>
      </w:divsChild>
    </w:div>
    <w:div w:id="1259868483">
      <w:bodyDiv w:val="1"/>
      <w:marLeft w:val="0"/>
      <w:marRight w:val="0"/>
      <w:marTop w:val="0"/>
      <w:marBottom w:val="0"/>
      <w:divBdr>
        <w:top w:val="none" w:sz="0" w:space="0" w:color="auto"/>
        <w:left w:val="none" w:sz="0" w:space="0" w:color="auto"/>
        <w:bottom w:val="none" w:sz="0" w:space="0" w:color="auto"/>
        <w:right w:val="none" w:sz="0" w:space="0" w:color="auto"/>
      </w:divBdr>
      <w:divsChild>
        <w:div w:id="1179076519">
          <w:marLeft w:val="0"/>
          <w:marRight w:val="0"/>
          <w:marTop w:val="750"/>
          <w:marBottom w:val="1500"/>
          <w:divBdr>
            <w:top w:val="none" w:sz="0" w:space="0" w:color="auto"/>
            <w:left w:val="none" w:sz="0" w:space="0" w:color="auto"/>
            <w:bottom w:val="none" w:sz="0" w:space="0" w:color="auto"/>
            <w:right w:val="none" w:sz="0" w:space="0" w:color="auto"/>
          </w:divBdr>
          <w:divsChild>
            <w:div w:id="1821145558">
              <w:marLeft w:val="0"/>
              <w:marRight w:val="0"/>
              <w:marTop w:val="0"/>
              <w:marBottom w:val="0"/>
              <w:divBdr>
                <w:top w:val="none" w:sz="0" w:space="0" w:color="auto"/>
                <w:left w:val="none" w:sz="0" w:space="0" w:color="auto"/>
                <w:bottom w:val="none" w:sz="0" w:space="0" w:color="auto"/>
                <w:right w:val="none" w:sz="0" w:space="0" w:color="auto"/>
              </w:divBdr>
            </w:div>
          </w:divsChild>
        </w:div>
        <w:div w:id="1573467168">
          <w:marLeft w:val="0"/>
          <w:marRight w:val="0"/>
          <w:marTop w:val="0"/>
          <w:marBottom w:val="0"/>
          <w:divBdr>
            <w:top w:val="none" w:sz="0" w:space="0" w:color="auto"/>
            <w:left w:val="none" w:sz="0" w:space="0" w:color="auto"/>
            <w:bottom w:val="none" w:sz="0" w:space="0" w:color="auto"/>
            <w:right w:val="none" w:sz="0" w:space="0" w:color="auto"/>
          </w:divBdr>
        </w:div>
        <w:div w:id="1819220610">
          <w:marLeft w:val="0"/>
          <w:marRight w:val="0"/>
          <w:marTop w:val="0"/>
          <w:marBottom w:val="0"/>
          <w:divBdr>
            <w:top w:val="none" w:sz="0" w:space="0" w:color="auto"/>
            <w:left w:val="none" w:sz="0" w:space="0" w:color="auto"/>
            <w:bottom w:val="none" w:sz="0" w:space="0" w:color="auto"/>
            <w:right w:val="none" w:sz="0" w:space="0" w:color="auto"/>
          </w:divBdr>
          <w:divsChild>
            <w:div w:id="365719695">
              <w:marLeft w:val="0"/>
              <w:marRight w:val="0"/>
              <w:marTop w:val="0"/>
              <w:marBottom w:val="0"/>
              <w:divBdr>
                <w:top w:val="none" w:sz="0" w:space="0" w:color="auto"/>
                <w:left w:val="none" w:sz="0" w:space="0" w:color="auto"/>
                <w:bottom w:val="none" w:sz="0" w:space="0" w:color="auto"/>
                <w:right w:val="none" w:sz="0" w:space="0" w:color="auto"/>
              </w:divBdr>
            </w:div>
            <w:div w:id="1411152520">
              <w:marLeft w:val="300"/>
              <w:marRight w:val="225"/>
              <w:marTop w:val="225"/>
              <w:marBottom w:val="0"/>
              <w:divBdr>
                <w:top w:val="none" w:sz="0" w:space="0" w:color="auto"/>
                <w:left w:val="none" w:sz="0" w:space="0" w:color="auto"/>
                <w:bottom w:val="none" w:sz="0" w:space="0" w:color="auto"/>
                <w:right w:val="none" w:sz="0" w:space="0" w:color="auto"/>
              </w:divBdr>
              <w:divsChild>
                <w:div w:id="10885192">
                  <w:marLeft w:val="0"/>
                  <w:marRight w:val="0"/>
                  <w:marTop w:val="0"/>
                  <w:marBottom w:val="0"/>
                  <w:divBdr>
                    <w:top w:val="none" w:sz="0" w:space="0" w:color="auto"/>
                    <w:left w:val="none" w:sz="0" w:space="0" w:color="auto"/>
                    <w:bottom w:val="none" w:sz="0" w:space="0" w:color="auto"/>
                    <w:right w:val="none" w:sz="0" w:space="0" w:color="auto"/>
                  </w:divBdr>
                  <w:divsChild>
                    <w:div w:id="247539851">
                      <w:marLeft w:val="0"/>
                      <w:marRight w:val="0"/>
                      <w:marTop w:val="0"/>
                      <w:marBottom w:val="450"/>
                      <w:divBdr>
                        <w:top w:val="none" w:sz="0" w:space="0" w:color="auto"/>
                        <w:left w:val="none" w:sz="0" w:space="0" w:color="auto"/>
                        <w:bottom w:val="none" w:sz="0" w:space="0" w:color="auto"/>
                        <w:right w:val="none" w:sz="0" w:space="0" w:color="auto"/>
                      </w:divBdr>
                      <w:divsChild>
                        <w:div w:id="605576916">
                          <w:marLeft w:val="0"/>
                          <w:marRight w:val="0"/>
                          <w:marTop w:val="0"/>
                          <w:marBottom w:val="0"/>
                          <w:divBdr>
                            <w:top w:val="none" w:sz="0" w:space="0" w:color="auto"/>
                            <w:left w:val="none" w:sz="0" w:space="0" w:color="auto"/>
                            <w:bottom w:val="none" w:sz="0" w:space="0" w:color="auto"/>
                            <w:right w:val="none" w:sz="0" w:space="0" w:color="auto"/>
                          </w:divBdr>
                          <w:divsChild>
                            <w:div w:id="1074357448">
                              <w:marLeft w:val="0"/>
                              <w:marRight w:val="60"/>
                              <w:marTop w:val="0"/>
                              <w:marBottom w:val="0"/>
                              <w:divBdr>
                                <w:top w:val="none" w:sz="0" w:space="0" w:color="auto"/>
                                <w:left w:val="none" w:sz="0" w:space="0" w:color="auto"/>
                                <w:bottom w:val="none" w:sz="0" w:space="0" w:color="auto"/>
                                <w:right w:val="none" w:sz="0" w:space="0" w:color="auto"/>
                              </w:divBdr>
                            </w:div>
                            <w:div w:id="1746415214">
                              <w:marLeft w:val="0"/>
                              <w:marRight w:val="60"/>
                              <w:marTop w:val="0"/>
                              <w:marBottom w:val="0"/>
                              <w:divBdr>
                                <w:top w:val="none" w:sz="0" w:space="0" w:color="auto"/>
                                <w:left w:val="none" w:sz="0" w:space="0" w:color="auto"/>
                                <w:bottom w:val="none" w:sz="0" w:space="0" w:color="auto"/>
                                <w:right w:val="none" w:sz="0" w:space="0" w:color="auto"/>
                              </w:divBdr>
                            </w:div>
                            <w:div w:id="1941913524">
                              <w:marLeft w:val="0"/>
                              <w:marRight w:val="60"/>
                              <w:marTop w:val="0"/>
                              <w:marBottom w:val="0"/>
                              <w:divBdr>
                                <w:top w:val="none" w:sz="0" w:space="0" w:color="auto"/>
                                <w:left w:val="none" w:sz="0" w:space="0" w:color="auto"/>
                                <w:bottom w:val="none" w:sz="0" w:space="0" w:color="auto"/>
                                <w:right w:val="none" w:sz="0" w:space="0" w:color="auto"/>
                              </w:divBdr>
                            </w:div>
                          </w:divsChild>
                        </w:div>
                        <w:div w:id="13440942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0861675">
                  <w:marLeft w:val="0"/>
                  <w:marRight w:val="0"/>
                  <w:marTop w:val="0"/>
                  <w:marBottom w:val="0"/>
                  <w:divBdr>
                    <w:top w:val="none" w:sz="0" w:space="0" w:color="auto"/>
                    <w:left w:val="none" w:sz="0" w:space="0" w:color="auto"/>
                    <w:bottom w:val="none" w:sz="0" w:space="0" w:color="auto"/>
                    <w:right w:val="none" w:sz="0" w:space="0" w:color="auto"/>
                  </w:divBdr>
                  <w:divsChild>
                    <w:div w:id="1040085537">
                      <w:marLeft w:val="0"/>
                      <w:marRight w:val="0"/>
                      <w:marTop w:val="0"/>
                      <w:marBottom w:val="450"/>
                      <w:divBdr>
                        <w:top w:val="none" w:sz="0" w:space="0" w:color="auto"/>
                        <w:left w:val="none" w:sz="0" w:space="0" w:color="auto"/>
                        <w:bottom w:val="none" w:sz="0" w:space="0" w:color="auto"/>
                        <w:right w:val="none" w:sz="0" w:space="0" w:color="auto"/>
                      </w:divBdr>
                      <w:divsChild>
                        <w:div w:id="1123688796">
                          <w:marLeft w:val="0"/>
                          <w:marRight w:val="0"/>
                          <w:marTop w:val="0"/>
                          <w:marBottom w:val="75"/>
                          <w:divBdr>
                            <w:top w:val="none" w:sz="0" w:space="0" w:color="auto"/>
                            <w:left w:val="none" w:sz="0" w:space="0" w:color="auto"/>
                            <w:bottom w:val="none" w:sz="0" w:space="0" w:color="auto"/>
                            <w:right w:val="none" w:sz="0" w:space="0" w:color="auto"/>
                          </w:divBdr>
                        </w:div>
                        <w:div w:id="1759406322">
                          <w:marLeft w:val="0"/>
                          <w:marRight w:val="0"/>
                          <w:marTop w:val="0"/>
                          <w:marBottom w:val="0"/>
                          <w:divBdr>
                            <w:top w:val="none" w:sz="0" w:space="0" w:color="auto"/>
                            <w:left w:val="none" w:sz="0" w:space="0" w:color="auto"/>
                            <w:bottom w:val="none" w:sz="0" w:space="0" w:color="auto"/>
                            <w:right w:val="none" w:sz="0" w:space="0" w:color="auto"/>
                          </w:divBdr>
                          <w:divsChild>
                            <w:div w:id="435367444">
                              <w:marLeft w:val="0"/>
                              <w:marRight w:val="60"/>
                              <w:marTop w:val="0"/>
                              <w:marBottom w:val="0"/>
                              <w:divBdr>
                                <w:top w:val="none" w:sz="0" w:space="0" w:color="auto"/>
                                <w:left w:val="none" w:sz="0" w:space="0" w:color="auto"/>
                                <w:bottom w:val="none" w:sz="0" w:space="0" w:color="auto"/>
                                <w:right w:val="none" w:sz="0" w:space="0" w:color="auto"/>
                              </w:divBdr>
                            </w:div>
                            <w:div w:id="534971076">
                              <w:marLeft w:val="0"/>
                              <w:marRight w:val="60"/>
                              <w:marTop w:val="0"/>
                              <w:marBottom w:val="0"/>
                              <w:divBdr>
                                <w:top w:val="none" w:sz="0" w:space="0" w:color="auto"/>
                                <w:left w:val="none" w:sz="0" w:space="0" w:color="auto"/>
                                <w:bottom w:val="none" w:sz="0" w:space="0" w:color="auto"/>
                                <w:right w:val="none" w:sz="0" w:space="0" w:color="auto"/>
                              </w:divBdr>
                            </w:div>
                            <w:div w:id="1064177955">
                              <w:marLeft w:val="0"/>
                              <w:marRight w:val="60"/>
                              <w:marTop w:val="0"/>
                              <w:marBottom w:val="0"/>
                              <w:divBdr>
                                <w:top w:val="none" w:sz="0" w:space="0" w:color="auto"/>
                                <w:left w:val="none" w:sz="0" w:space="0" w:color="auto"/>
                                <w:bottom w:val="none" w:sz="0" w:space="0" w:color="auto"/>
                                <w:right w:val="none" w:sz="0" w:space="0" w:color="auto"/>
                              </w:divBdr>
                            </w:div>
                            <w:div w:id="1406803952">
                              <w:marLeft w:val="0"/>
                              <w:marRight w:val="60"/>
                              <w:marTop w:val="0"/>
                              <w:marBottom w:val="0"/>
                              <w:divBdr>
                                <w:top w:val="none" w:sz="0" w:space="0" w:color="auto"/>
                                <w:left w:val="none" w:sz="0" w:space="0" w:color="auto"/>
                                <w:bottom w:val="none" w:sz="0" w:space="0" w:color="auto"/>
                                <w:right w:val="none" w:sz="0" w:space="0" w:color="auto"/>
                              </w:divBdr>
                            </w:div>
                            <w:div w:id="1440105697">
                              <w:marLeft w:val="0"/>
                              <w:marRight w:val="60"/>
                              <w:marTop w:val="0"/>
                              <w:marBottom w:val="0"/>
                              <w:divBdr>
                                <w:top w:val="none" w:sz="0" w:space="0" w:color="auto"/>
                                <w:left w:val="none" w:sz="0" w:space="0" w:color="auto"/>
                                <w:bottom w:val="none" w:sz="0" w:space="0" w:color="auto"/>
                                <w:right w:val="none" w:sz="0" w:space="0" w:color="auto"/>
                              </w:divBdr>
                            </w:div>
                            <w:div w:id="205457325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2039146">
                  <w:marLeft w:val="0"/>
                  <w:marRight w:val="0"/>
                  <w:marTop w:val="0"/>
                  <w:marBottom w:val="0"/>
                  <w:divBdr>
                    <w:top w:val="none" w:sz="0" w:space="0" w:color="auto"/>
                    <w:left w:val="none" w:sz="0" w:space="0" w:color="auto"/>
                    <w:bottom w:val="none" w:sz="0" w:space="0" w:color="auto"/>
                    <w:right w:val="none" w:sz="0" w:space="0" w:color="auto"/>
                  </w:divBdr>
                  <w:divsChild>
                    <w:div w:id="1479035683">
                      <w:marLeft w:val="0"/>
                      <w:marRight w:val="0"/>
                      <w:marTop w:val="0"/>
                      <w:marBottom w:val="450"/>
                      <w:divBdr>
                        <w:top w:val="none" w:sz="0" w:space="0" w:color="auto"/>
                        <w:left w:val="none" w:sz="0" w:space="0" w:color="auto"/>
                        <w:bottom w:val="none" w:sz="0" w:space="0" w:color="auto"/>
                        <w:right w:val="none" w:sz="0" w:space="0" w:color="auto"/>
                      </w:divBdr>
                      <w:divsChild>
                        <w:div w:id="261500690">
                          <w:marLeft w:val="0"/>
                          <w:marRight w:val="0"/>
                          <w:marTop w:val="0"/>
                          <w:marBottom w:val="0"/>
                          <w:divBdr>
                            <w:top w:val="none" w:sz="0" w:space="0" w:color="auto"/>
                            <w:left w:val="none" w:sz="0" w:space="0" w:color="auto"/>
                            <w:bottom w:val="none" w:sz="0" w:space="0" w:color="auto"/>
                            <w:right w:val="none" w:sz="0" w:space="0" w:color="auto"/>
                          </w:divBdr>
                          <w:divsChild>
                            <w:div w:id="61955866">
                              <w:marLeft w:val="0"/>
                              <w:marRight w:val="0"/>
                              <w:marTop w:val="100"/>
                              <w:marBottom w:val="100"/>
                              <w:divBdr>
                                <w:top w:val="none" w:sz="0" w:space="0" w:color="auto"/>
                                <w:left w:val="none" w:sz="0" w:space="0" w:color="auto"/>
                                <w:bottom w:val="none" w:sz="0" w:space="0" w:color="auto"/>
                                <w:right w:val="none" w:sz="0" w:space="0" w:color="auto"/>
                              </w:divBdr>
                            </w:div>
                            <w:div w:id="176239368">
                              <w:marLeft w:val="0"/>
                              <w:marRight w:val="0"/>
                              <w:marTop w:val="100"/>
                              <w:marBottom w:val="100"/>
                              <w:divBdr>
                                <w:top w:val="none" w:sz="0" w:space="0" w:color="auto"/>
                                <w:left w:val="none" w:sz="0" w:space="0" w:color="auto"/>
                                <w:bottom w:val="none" w:sz="0" w:space="0" w:color="auto"/>
                                <w:right w:val="none" w:sz="0" w:space="0" w:color="auto"/>
                              </w:divBdr>
                            </w:div>
                            <w:div w:id="185489801">
                              <w:marLeft w:val="0"/>
                              <w:marRight w:val="0"/>
                              <w:marTop w:val="100"/>
                              <w:marBottom w:val="100"/>
                              <w:divBdr>
                                <w:top w:val="none" w:sz="0" w:space="0" w:color="auto"/>
                                <w:left w:val="none" w:sz="0" w:space="0" w:color="auto"/>
                                <w:bottom w:val="none" w:sz="0" w:space="0" w:color="auto"/>
                                <w:right w:val="none" w:sz="0" w:space="0" w:color="auto"/>
                              </w:divBdr>
                            </w:div>
                            <w:div w:id="199393075">
                              <w:marLeft w:val="0"/>
                              <w:marRight w:val="0"/>
                              <w:marTop w:val="100"/>
                              <w:marBottom w:val="100"/>
                              <w:divBdr>
                                <w:top w:val="none" w:sz="0" w:space="0" w:color="auto"/>
                                <w:left w:val="none" w:sz="0" w:space="0" w:color="auto"/>
                                <w:bottom w:val="none" w:sz="0" w:space="0" w:color="auto"/>
                                <w:right w:val="none" w:sz="0" w:space="0" w:color="auto"/>
                              </w:divBdr>
                            </w:div>
                            <w:div w:id="270237065">
                              <w:marLeft w:val="0"/>
                              <w:marRight w:val="0"/>
                              <w:marTop w:val="100"/>
                              <w:marBottom w:val="100"/>
                              <w:divBdr>
                                <w:top w:val="none" w:sz="0" w:space="0" w:color="auto"/>
                                <w:left w:val="none" w:sz="0" w:space="0" w:color="auto"/>
                                <w:bottom w:val="none" w:sz="0" w:space="0" w:color="auto"/>
                                <w:right w:val="none" w:sz="0" w:space="0" w:color="auto"/>
                              </w:divBdr>
                            </w:div>
                            <w:div w:id="315646188">
                              <w:marLeft w:val="0"/>
                              <w:marRight w:val="0"/>
                              <w:marTop w:val="100"/>
                              <w:marBottom w:val="100"/>
                              <w:divBdr>
                                <w:top w:val="none" w:sz="0" w:space="0" w:color="auto"/>
                                <w:left w:val="none" w:sz="0" w:space="0" w:color="auto"/>
                                <w:bottom w:val="none" w:sz="0" w:space="0" w:color="auto"/>
                                <w:right w:val="none" w:sz="0" w:space="0" w:color="auto"/>
                              </w:divBdr>
                            </w:div>
                            <w:div w:id="355351166">
                              <w:marLeft w:val="0"/>
                              <w:marRight w:val="0"/>
                              <w:marTop w:val="100"/>
                              <w:marBottom w:val="100"/>
                              <w:divBdr>
                                <w:top w:val="none" w:sz="0" w:space="0" w:color="auto"/>
                                <w:left w:val="none" w:sz="0" w:space="0" w:color="auto"/>
                                <w:bottom w:val="none" w:sz="0" w:space="0" w:color="auto"/>
                                <w:right w:val="none" w:sz="0" w:space="0" w:color="auto"/>
                              </w:divBdr>
                            </w:div>
                            <w:div w:id="441992513">
                              <w:marLeft w:val="0"/>
                              <w:marRight w:val="0"/>
                              <w:marTop w:val="100"/>
                              <w:marBottom w:val="100"/>
                              <w:divBdr>
                                <w:top w:val="none" w:sz="0" w:space="0" w:color="auto"/>
                                <w:left w:val="none" w:sz="0" w:space="0" w:color="auto"/>
                                <w:bottom w:val="none" w:sz="0" w:space="0" w:color="auto"/>
                                <w:right w:val="none" w:sz="0" w:space="0" w:color="auto"/>
                              </w:divBdr>
                            </w:div>
                            <w:div w:id="559362488">
                              <w:marLeft w:val="0"/>
                              <w:marRight w:val="0"/>
                              <w:marTop w:val="100"/>
                              <w:marBottom w:val="100"/>
                              <w:divBdr>
                                <w:top w:val="none" w:sz="0" w:space="0" w:color="auto"/>
                                <w:left w:val="none" w:sz="0" w:space="0" w:color="auto"/>
                                <w:bottom w:val="none" w:sz="0" w:space="0" w:color="auto"/>
                                <w:right w:val="none" w:sz="0" w:space="0" w:color="auto"/>
                              </w:divBdr>
                            </w:div>
                            <w:div w:id="704718497">
                              <w:marLeft w:val="0"/>
                              <w:marRight w:val="0"/>
                              <w:marTop w:val="100"/>
                              <w:marBottom w:val="100"/>
                              <w:divBdr>
                                <w:top w:val="none" w:sz="0" w:space="0" w:color="auto"/>
                                <w:left w:val="none" w:sz="0" w:space="0" w:color="auto"/>
                                <w:bottom w:val="none" w:sz="0" w:space="0" w:color="auto"/>
                                <w:right w:val="none" w:sz="0" w:space="0" w:color="auto"/>
                              </w:divBdr>
                            </w:div>
                            <w:div w:id="786464172">
                              <w:marLeft w:val="0"/>
                              <w:marRight w:val="0"/>
                              <w:marTop w:val="100"/>
                              <w:marBottom w:val="100"/>
                              <w:divBdr>
                                <w:top w:val="none" w:sz="0" w:space="0" w:color="auto"/>
                                <w:left w:val="none" w:sz="0" w:space="0" w:color="auto"/>
                                <w:bottom w:val="none" w:sz="0" w:space="0" w:color="auto"/>
                                <w:right w:val="none" w:sz="0" w:space="0" w:color="auto"/>
                              </w:divBdr>
                            </w:div>
                            <w:div w:id="993144997">
                              <w:marLeft w:val="0"/>
                              <w:marRight w:val="0"/>
                              <w:marTop w:val="100"/>
                              <w:marBottom w:val="100"/>
                              <w:divBdr>
                                <w:top w:val="none" w:sz="0" w:space="0" w:color="auto"/>
                                <w:left w:val="none" w:sz="0" w:space="0" w:color="auto"/>
                                <w:bottom w:val="none" w:sz="0" w:space="0" w:color="auto"/>
                                <w:right w:val="none" w:sz="0" w:space="0" w:color="auto"/>
                              </w:divBdr>
                            </w:div>
                            <w:div w:id="1010566030">
                              <w:marLeft w:val="0"/>
                              <w:marRight w:val="0"/>
                              <w:marTop w:val="100"/>
                              <w:marBottom w:val="100"/>
                              <w:divBdr>
                                <w:top w:val="none" w:sz="0" w:space="0" w:color="auto"/>
                                <w:left w:val="none" w:sz="0" w:space="0" w:color="auto"/>
                                <w:bottom w:val="none" w:sz="0" w:space="0" w:color="auto"/>
                                <w:right w:val="none" w:sz="0" w:space="0" w:color="auto"/>
                              </w:divBdr>
                            </w:div>
                            <w:div w:id="1063215052">
                              <w:marLeft w:val="0"/>
                              <w:marRight w:val="0"/>
                              <w:marTop w:val="100"/>
                              <w:marBottom w:val="100"/>
                              <w:divBdr>
                                <w:top w:val="none" w:sz="0" w:space="0" w:color="auto"/>
                                <w:left w:val="none" w:sz="0" w:space="0" w:color="auto"/>
                                <w:bottom w:val="none" w:sz="0" w:space="0" w:color="auto"/>
                                <w:right w:val="none" w:sz="0" w:space="0" w:color="auto"/>
                              </w:divBdr>
                            </w:div>
                            <w:div w:id="1100025614">
                              <w:marLeft w:val="0"/>
                              <w:marRight w:val="60"/>
                              <w:marTop w:val="0"/>
                              <w:marBottom w:val="0"/>
                              <w:divBdr>
                                <w:top w:val="none" w:sz="0" w:space="0" w:color="auto"/>
                                <w:left w:val="none" w:sz="0" w:space="0" w:color="auto"/>
                                <w:bottom w:val="none" w:sz="0" w:space="0" w:color="auto"/>
                                <w:right w:val="none" w:sz="0" w:space="0" w:color="auto"/>
                              </w:divBdr>
                            </w:div>
                            <w:div w:id="1221476119">
                              <w:marLeft w:val="0"/>
                              <w:marRight w:val="0"/>
                              <w:marTop w:val="100"/>
                              <w:marBottom w:val="100"/>
                              <w:divBdr>
                                <w:top w:val="none" w:sz="0" w:space="0" w:color="auto"/>
                                <w:left w:val="none" w:sz="0" w:space="0" w:color="auto"/>
                                <w:bottom w:val="none" w:sz="0" w:space="0" w:color="auto"/>
                                <w:right w:val="none" w:sz="0" w:space="0" w:color="auto"/>
                              </w:divBdr>
                            </w:div>
                            <w:div w:id="1226379045">
                              <w:marLeft w:val="0"/>
                              <w:marRight w:val="0"/>
                              <w:marTop w:val="100"/>
                              <w:marBottom w:val="100"/>
                              <w:divBdr>
                                <w:top w:val="none" w:sz="0" w:space="0" w:color="auto"/>
                                <w:left w:val="none" w:sz="0" w:space="0" w:color="auto"/>
                                <w:bottom w:val="none" w:sz="0" w:space="0" w:color="auto"/>
                                <w:right w:val="none" w:sz="0" w:space="0" w:color="auto"/>
                              </w:divBdr>
                            </w:div>
                            <w:div w:id="1383023774">
                              <w:marLeft w:val="0"/>
                              <w:marRight w:val="0"/>
                              <w:marTop w:val="100"/>
                              <w:marBottom w:val="100"/>
                              <w:divBdr>
                                <w:top w:val="none" w:sz="0" w:space="0" w:color="auto"/>
                                <w:left w:val="none" w:sz="0" w:space="0" w:color="auto"/>
                                <w:bottom w:val="none" w:sz="0" w:space="0" w:color="auto"/>
                                <w:right w:val="none" w:sz="0" w:space="0" w:color="auto"/>
                              </w:divBdr>
                            </w:div>
                            <w:div w:id="1690109060">
                              <w:marLeft w:val="0"/>
                              <w:marRight w:val="0"/>
                              <w:marTop w:val="100"/>
                              <w:marBottom w:val="100"/>
                              <w:divBdr>
                                <w:top w:val="none" w:sz="0" w:space="0" w:color="auto"/>
                                <w:left w:val="none" w:sz="0" w:space="0" w:color="auto"/>
                                <w:bottom w:val="none" w:sz="0" w:space="0" w:color="auto"/>
                                <w:right w:val="none" w:sz="0" w:space="0" w:color="auto"/>
                              </w:divBdr>
                            </w:div>
                            <w:div w:id="1741824444">
                              <w:marLeft w:val="0"/>
                              <w:marRight w:val="0"/>
                              <w:marTop w:val="100"/>
                              <w:marBottom w:val="100"/>
                              <w:divBdr>
                                <w:top w:val="none" w:sz="0" w:space="0" w:color="auto"/>
                                <w:left w:val="none" w:sz="0" w:space="0" w:color="auto"/>
                                <w:bottom w:val="none" w:sz="0" w:space="0" w:color="auto"/>
                                <w:right w:val="none" w:sz="0" w:space="0" w:color="auto"/>
                              </w:divBdr>
                            </w:div>
                            <w:div w:id="1744909899">
                              <w:marLeft w:val="0"/>
                              <w:marRight w:val="0"/>
                              <w:marTop w:val="100"/>
                              <w:marBottom w:val="100"/>
                              <w:divBdr>
                                <w:top w:val="none" w:sz="0" w:space="0" w:color="auto"/>
                                <w:left w:val="none" w:sz="0" w:space="0" w:color="auto"/>
                                <w:bottom w:val="none" w:sz="0" w:space="0" w:color="auto"/>
                                <w:right w:val="none" w:sz="0" w:space="0" w:color="auto"/>
                              </w:divBdr>
                            </w:div>
                            <w:div w:id="1799953857">
                              <w:marLeft w:val="0"/>
                              <w:marRight w:val="0"/>
                              <w:marTop w:val="100"/>
                              <w:marBottom w:val="100"/>
                              <w:divBdr>
                                <w:top w:val="none" w:sz="0" w:space="0" w:color="auto"/>
                                <w:left w:val="none" w:sz="0" w:space="0" w:color="auto"/>
                                <w:bottom w:val="none" w:sz="0" w:space="0" w:color="auto"/>
                                <w:right w:val="none" w:sz="0" w:space="0" w:color="auto"/>
                              </w:divBdr>
                            </w:div>
                            <w:div w:id="1860702582">
                              <w:marLeft w:val="0"/>
                              <w:marRight w:val="0"/>
                              <w:marTop w:val="100"/>
                              <w:marBottom w:val="100"/>
                              <w:divBdr>
                                <w:top w:val="none" w:sz="0" w:space="0" w:color="auto"/>
                                <w:left w:val="none" w:sz="0" w:space="0" w:color="auto"/>
                                <w:bottom w:val="none" w:sz="0" w:space="0" w:color="auto"/>
                                <w:right w:val="none" w:sz="0" w:space="0" w:color="auto"/>
                              </w:divBdr>
                            </w:div>
                            <w:div w:id="1973095545">
                              <w:marLeft w:val="0"/>
                              <w:marRight w:val="0"/>
                              <w:marTop w:val="100"/>
                              <w:marBottom w:val="100"/>
                              <w:divBdr>
                                <w:top w:val="none" w:sz="0" w:space="0" w:color="auto"/>
                                <w:left w:val="none" w:sz="0" w:space="0" w:color="auto"/>
                                <w:bottom w:val="none" w:sz="0" w:space="0" w:color="auto"/>
                                <w:right w:val="none" w:sz="0" w:space="0" w:color="auto"/>
                              </w:divBdr>
                            </w:div>
                            <w:div w:id="1985968328">
                              <w:marLeft w:val="0"/>
                              <w:marRight w:val="0"/>
                              <w:marTop w:val="100"/>
                              <w:marBottom w:val="100"/>
                              <w:divBdr>
                                <w:top w:val="none" w:sz="0" w:space="0" w:color="auto"/>
                                <w:left w:val="none" w:sz="0" w:space="0" w:color="auto"/>
                                <w:bottom w:val="none" w:sz="0" w:space="0" w:color="auto"/>
                                <w:right w:val="none" w:sz="0" w:space="0" w:color="auto"/>
                              </w:divBdr>
                            </w:div>
                            <w:div w:id="2032607846">
                              <w:marLeft w:val="0"/>
                              <w:marRight w:val="0"/>
                              <w:marTop w:val="100"/>
                              <w:marBottom w:val="100"/>
                              <w:divBdr>
                                <w:top w:val="none" w:sz="0" w:space="0" w:color="auto"/>
                                <w:left w:val="none" w:sz="0" w:space="0" w:color="auto"/>
                                <w:bottom w:val="none" w:sz="0" w:space="0" w:color="auto"/>
                                <w:right w:val="none" w:sz="0" w:space="0" w:color="auto"/>
                              </w:divBdr>
                            </w:div>
                            <w:div w:id="2061203002">
                              <w:marLeft w:val="0"/>
                              <w:marRight w:val="0"/>
                              <w:marTop w:val="100"/>
                              <w:marBottom w:val="100"/>
                              <w:divBdr>
                                <w:top w:val="none" w:sz="0" w:space="0" w:color="auto"/>
                                <w:left w:val="none" w:sz="0" w:space="0" w:color="auto"/>
                                <w:bottom w:val="none" w:sz="0" w:space="0" w:color="auto"/>
                                <w:right w:val="none" w:sz="0" w:space="0" w:color="auto"/>
                              </w:divBdr>
                            </w:div>
                            <w:div w:id="2069643402">
                              <w:marLeft w:val="0"/>
                              <w:marRight w:val="0"/>
                              <w:marTop w:val="100"/>
                              <w:marBottom w:val="100"/>
                              <w:divBdr>
                                <w:top w:val="none" w:sz="0" w:space="0" w:color="auto"/>
                                <w:left w:val="none" w:sz="0" w:space="0" w:color="auto"/>
                                <w:bottom w:val="none" w:sz="0" w:space="0" w:color="auto"/>
                                <w:right w:val="none" w:sz="0" w:space="0" w:color="auto"/>
                              </w:divBdr>
                            </w:div>
                            <w:div w:id="2114937344">
                              <w:marLeft w:val="0"/>
                              <w:marRight w:val="0"/>
                              <w:marTop w:val="100"/>
                              <w:marBottom w:val="100"/>
                              <w:divBdr>
                                <w:top w:val="none" w:sz="0" w:space="0" w:color="auto"/>
                                <w:left w:val="none" w:sz="0" w:space="0" w:color="auto"/>
                                <w:bottom w:val="none" w:sz="0" w:space="0" w:color="auto"/>
                                <w:right w:val="none" w:sz="0" w:space="0" w:color="auto"/>
                              </w:divBdr>
                            </w:div>
                          </w:divsChild>
                        </w:div>
                        <w:div w:id="4648525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9027175">
                  <w:marLeft w:val="0"/>
                  <w:marRight w:val="0"/>
                  <w:marTop w:val="0"/>
                  <w:marBottom w:val="0"/>
                  <w:divBdr>
                    <w:top w:val="none" w:sz="0" w:space="0" w:color="auto"/>
                    <w:left w:val="none" w:sz="0" w:space="0" w:color="auto"/>
                    <w:bottom w:val="none" w:sz="0" w:space="0" w:color="auto"/>
                    <w:right w:val="none" w:sz="0" w:space="0" w:color="auto"/>
                  </w:divBdr>
                  <w:divsChild>
                    <w:div w:id="597368769">
                      <w:marLeft w:val="0"/>
                      <w:marRight w:val="0"/>
                      <w:marTop w:val="0"/>
                      <w:marBottom w:val="450"/>
                      <w:divBdr>
                        <w:top w:val="none" w:sz="0" w:space="0" w:color="auto"/>
                        <w:left w:val="none" w:sz="0" w:space="0" w:color="auto"/>
                        <w:bottom w:val="none" w:sz="0" w:space="0" w:color="auto"/>
                        <w:right w:val="none" w:sz="0" w:space="0" w:color="auto"/>
                      </w:divBdr>
                      <w:divsChild>
                        <w:div w:id="2510533">
                          <w:marLeft w:val="0"/>
                          <w:marRight w:val="0"/>
                          <w:marTop w:val="0"/>
                          <w:marBottom w:val="75"/>
                          <w:divBdr>
                            <w:top w:val="none" w:sz="0" w:space="0" w:color="auto"/>
                            <w:left w:val="none" w:sz="0" w:space="0" w:color="auto"/>
                            <w:bottom w:val="none" w:sz="0" w:space="0" w:color="auto"/>
                            <w:right w:val="none" w:sz="0" w:space="0" w:color="auto"/>
                          </w:divBdr>
                        </w:div>
                        <w:div w:id="998926921">
                          <w:marLeft w:val="0"/>
                          <w:marRight w:val="0"/>
                          <w:marTop w:val="0"/>
                          <w:marBottom w:val="0"/>
                          <w:divBdr>
                            <w:top w:val="none" w:sz="0" w:space="0" w:color="auto"/>
                            <w:left w:val="none" w:sz="0" w:space="0" w:color="auto"/>
                            <w:bottom w:val="none" w:sz="0" w:space="0" w:color="auto"/>
                            <w:right w:val="none" w:sz="0" w:space="0" w:color="auto"/>
                          </w:divBdr>
                          <w:divsChild>
                            <w:div w:id="29455926">
                              <w:marLeft w:val="0"/>
                              <w:marRight w:val="60"/>
                              <w:marTop w:val="0"/>
                              <w:marBottom w:val="0"/>
                              <w:divBdr>
                                <w:top w:val="none" w:sz="0" w:space="0" w:color="auto"/>
                                <w:left w:val="none" w:sz="0" w:space="0" w:color="auto"/>
                                <w:bottom w:val="none" w:sz="0" w:space="0" w:color="auto"/>
                                <w:right w:val="none" w:sz="0" w:space="0" w:color="auto"/>
                              </w:divBdr>
                            </w:div>
                            <w:div w:id="164900013">
                              <w:marLeft w:val="0"/>
                              <w:marRight w:val="60"/>
                              <w:marTop w:val="0"/>
                              <w:marBottom w:val="0"/>
                              <w:divBdr>
                                <w:top w:val="none" w:sz="0" w:space="0" w:color="auto"/>
                                <w:left w:val="none" w:sz="0" w:space="0" w:color="auto"/>
                                <w:bottom w:val="none" w:sz="0" w:space="0" w:color="auto"/>
                                <w:right w:val="none" w:sz="0" w:space="0" w:color="auto"/>
                              </w:divBdr>
                            </w:div>
                            <w:div w:id="2779504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50617285">
                  <w:marLeft w:val="0"/>
                  <w:marRight w:val="0"/>
                  <w:marTop w:val="0"/>
                  <w:marBottom w:val="0"/>
                  <w:divBdr>
                    <w:top w:val="none" w:sz="0" w:space="0" w:color="auto"/>
                    <w:left w:val="none" w:sz="0" w:space="0" w:color="auto"/>
                    <w:bottom w:val="none" w:sz="0" w:space="0" w:color="auto"/>
                    <w:right w:val="none" w:sz="0" w:space="0" w:color="auto"/>
                  </w:divBdr>
                  <w:divsChild>
                    <w:div w:id="1166701191">
                      <w:marLeft w:val="0"/>
                      <w:marRight w:val="0"/>
                      <w:marTop w:val="0"/>
                      <w:marBottom w:val="450"/>
                      <w:divBdr>
                        <w:top w:val="none" w:sz="0" w:space="0" w:color="auto"/>
                        <w:left w:val="none" w:sz="0" w:space="0" w:color="auto"/>
                        <w:bottom w:val="none" w:sz="0" w:space="0" w:color="auto"/>
                        <w:right w:val="none" w:sz="0" w:space="0" w:color="auto"/>
                      </w:divBdr>
                      <w:divsChild>
                        <w:div w:id="1163932914">
                          <w:marLeft w:val="0"/>
                          <w:marRight w:val="0"/>
                          <w:marTop w:val="0"/>
                          <w:marBottom w:val="0"/>
                          <w:divBdr>
                            <w:top w:val="none" w:sz="0" w:space="0" w:color="auto"/>
                            <w:left w:val="none" w:sz="0" w:space="0" w:color="auto"/>
                            <w:bottom w:val="none" w:sz="0" w:space="0" w:color="auto"/>
                            <w:right w:val="none" w:sz="0" w:space="0" w:color="auto"/>
                          </w:divBdr>
                          <w:divsChild>
                            <w:div w:id="124591951">
                              <w:marLeft w:val="0"/>
                              <w:marRight w:val="60"/>
                              <w:marTop w:val="0"/>
                              <w:marBottom w:val="0"/>
                              <w:divBdr>
                                <w:top w:val="none" w:sz="0" w:space="0" w:color="auto"/>
                                <w:left w:val="none" w:sz="0" w:space="0" w:color="auto"/>
                                <w:bottom w:val="none" w:sz="0" w:space="0" w:color="auto"/>
                                <w:right w:val="none" w:sz="0" w:space="0" w:color="auto"/>
                              </w:divBdr>
                            </w:div>
                            <w:div w:id="445151796">
                              <w:marLeft w:val="0"/>
                              <w:marRight w:val="60"/>
                              <w:marTop w:val="0"/>
                              <w:marBottom w:val="0"/>
                              <w:divBdr>
                                <w:top w:val="none" w:sz="0" w:space="0" w:color="auto"/>
                                <w:left w:val="none" w:sz="0" w:space="0" w:color="auto"/>
                                <w:bottom w:val="none" w:sz="0" w:space="0" w:color="auto"/>
                                <w:right w:val="none" w:sz="0" w:space="0" w:color="auto"/>
                              </w:divBdr>
                            </w:div>
                            <w:div w:id="1704207196">
                              <w:marLeft w:val="0"/>
                              <w:marRight w:val="60"/>
                              <w:marTop w:val="0"/>
                              <w:marBottom w:val="0"/>
                              <w:divBdr>
                                <w:top w:val="none" w:sz="0" w:space="0" w:color="auto"/>
                                <w:left w:val="none" w:sz="0" w:space="0" w:color="auto"/>
                                <w:bottom w:val="none" w:sz="0" w:space="0" w:color="auto"/>
                                <w:right w:val="none" w:sz="0" w:space="0" w:color="auto"/>
                              </w:divBdr>
                            </w:div>
                          </w:divsChild>
                        </w:div>
                        <w:div w:id="21125545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5636135">
                  <w:marLeft w:val="0"/>
                  <w:marRight w:val="0"/>
                  <w:marTop w:val="0"/>
                  <w:marBottom w:val="0"/>
                  <w:divBdr>
                    <w:top w:val="none" w:sz="0" w:space="0" w:color="auto"/>
                    <w:left w:val="none" w:sz="0" w:space="0" w:color="auto"/>
                    <w:bottom w:val="none" w:sz="0" w:space="0" w:color="auto"/>
                    <w:right w:val="none" w:sz="0" w:space="0" w:color="auto"/>
                  </w:divBdr>
                  <w:divsChild>
                    <w:div w:id="474227463">
                      <w:marLeft w:val="0"/>
                      <w:marRight w:val="0"/>
                      <w:marTop w:val="0"/>
                      <w:marBottom w:val="450"/>
                      <w:divBdr>
                        <w:top w:val="none" w:sz="0" w:space="0" w:color="auto"/>
                        <w:left w:val="none" w:sz="0" w:space="0" w:color="auto"/>
                        <w:bottom w:val="none" w:sz="0" w:space="0" w:color="auto"/>
                        <w:right w:val="none" w:sz="0" w:space="0" w:color="auto"/>
                      </w:divBdr>
                      <w:divsChild>
                        <w:div w:id="447044543">
                          <w:marLeft w:val="0"/>
                          <w:marRight w:val="0"/>
                          <w:marTop w:val="0"/>
                          <w:marBottom w:val="75"/>
                          <w:divBdr>
                            <w:top w:val="none" w:sz="0" w:space="0" w:color="auto"/>
                            <w:left w:val="none" w:sz="0" w:space="0" w:color="auto"/>
                            <w:bottom w:val="none" w:sz="0" w:space="0" w:color="auto"/>
                            <w:right w:val="none" w:sz="0" w:space="0" w:color="auto"/>
                          </w:divBdr>
                        </w:div>
                        <w:div w:id="1601255142">
                          <w:marLeft w:val="0"/>
                          <w:marRight w:val="0"/>
                          <w:marTop w:val="0"/>
                          <w:marBottom w:val="0"/>
                          <w:divBdr>
                            <w:top w:val="none" w:sz="0" w:space="0" w:color="auto"/>
                            <w:left w:val="none" w:sz="0" w:space="0" w:color="auto"/>
                            <w:bottom w:val="none" w:sz="0" w:space="0" w:color="auto"/>
                            <w:right w:val="none" w:sz="0" w:space="0" w:color="auto"/>
                          </w:divBdr>
                          <w:divsChild>
                            <w:div w:id="785345732">
                              <w:marLeft w:val="0"/>
                              <w:marRight w:val="60"/>
                              <w:marTop w:val="0"/>
                              <w:marBottom w:val="0"/>
                              <w:divBdr>
                                <w:top w:val="none" w:sz="0" w:space="0" w:color="auto"/>
                                <w:left w:val="none" w:sz="0" w:space="0" w:color="auto"/>
                                <w:bottom w:val="none" w:sz="0" w:space="0" w:color="auto"/>
                                <w:right w:val="none" w:sz="0" w:space="0" w:color="auto"/>
                              </w:divBdr>
                            </w:div>
                            <w:div w:id="1395160034">
                              <w:marLeft w:val="0"/>
                              <w:marRight w:val="60"/>
                              <w:marTop w:val="0"/>
                              <w:marBottom w:val="0"/>
                              <w:divBdr>
                                <w:top w:val="none" w:sz="0" w:space="0" w:color="auto"/>
                                <w:left w:val="none" w:sz="0" w:space="0" w:color="auto"/>
                                <w:bottom w:val="none" w:sz="0" w:space="0" w:color="auto"/>
                                <w:right w:val="none" w:sz="0" w:space="0" w:color="auto"/>
                              </w:divBdr>
                            </w:div>
                            <w:div w:id="141632177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143623256">
                  <w:marLeft w:val="0"/>
                  <w:marRight w:val="0"/>
                  <w:marTop w:val="0"/>
                  <w:marBottom w:val="0"/>
                  <w:divBdr>
                    <w:top w:val="none" w:sz="0" w:space="0" w:color="auto"/>
                    <w:left w:val="none" w:sz="0" w:space="0" w:color="auto"/>
                    <w:bottom w:val="none" w:sz="0" w:space="0" w:color="auto"/>
                    <w:right w:val="none" w:sz="0" w:space="0" w:color="auto"/>
                  </w:divBdr>
                  <w:divsChild>
                    <w:div w:id="1990864130">
                      <w:marLeft w:val="0"/>
                      <w:marRight w:val="0"/>
                      <w:marTop w:val="0"/>
                      <w:marBottom w:val="450"/>
                      <w:divBdr>
                        <w:top w:val="none" w:sz="0" w:space="0" w:color="auto"/>
                        <w:left w:val="none" w:sz="0" w:space="0" w:color="auto"/>
                        <w:bottom w:val="none" w:sz="0" w:space="0" w:color="auto"/>
                        <w:right w:val="none" w:sz="0" w:space="0" w:color="auto"/>
                      </w:divBdr>
                      <w:divsChild>
                        <w:div w:id="1498644008">
                          <w:marLeft w:val="0"/>
                          <w:marRight w:val="0"/>
                          <w:marTop w:val="0"/>
                          <w:marBottom w:val="0"/>
                          <w:divBdr>
                            <w:top w:val="none" w:sz="0" w:space="0" w:color="auto"/>
                            <w:left w:val="none" w:sz="0" w:space="0" w:color="auto"/>
                            <w:bottom w:val="none" w:sz="0" w:space="0" w:color="auto"/>
                            <w:right w:val="none" w:sz="0" w:space="0" w:color="auto"/>
                          </w:divBdr>
                          <w:divsChild>
                            <w:div w:id="572928927">
                              <w:marLeft w:val="0"/>
                              <w:marRight w:val="60"/>
                              <w:marTop w:val="0"/>
                              <w:marBottom w:val="0"/>
                              <w:divBdr>
                                <w:top w:val="none" w:sz="0" w:space="0" w:color="auto"/>
                                <w:left w:val="none" w:sz="0" w:space="0" w:color="auto"/>
                                <w:bottom w:val="none" w:sz="0" w:space="0" w:color="auto"/>
                                <w:right w:val="none" w:sz="0" w:space="0" w:color="auto"/>
                              </w:divBdr>
                            </w:div>
                            <w:div w:id="1201015484">
                              <w:marLeft w:val="0"/>
                              <w:marRight w:val="60"/>
                              <w:marTop w:val="0"/>
                              <w:marBottom w:val="0"/>
                              <w:divBdr>
                                <w:top w:val="none" w:sz="0" w:space="0" w:color="auto"/>
                                <w:left w:val="none" w:sz="0" w:space="0" w:color="auto"/>
                                <w:bottom w:val="none" w:sz="0" w:space="0" w:color="auto"/>
                                <w:right w:val="none" w:sz="0" w:space="0" w:color="auto"/>
                              </w:divBdr>
                            </w:div>
                            <w:div w:id="1444762434">
                              <w:marLeft w:val="0"/>
                              <w:marRight w:val="60"/>
                              <w:marTop w:val="0"/>
                              <w:marBottom w:val="0"/>
                              <w:divBdr>
                                <w:top w:val="none" w:sz="0" w:space="0" w:color="auto"/>
                                <w:left w:val="none" w:sz="0" w:space="0" w:color="auto"/>
                                <w:bottom w:val="none" w:sz="0" w:space="0" w:color="auto"/>
                                <w:right w:val="none" w:sz="0" w:space="0" w:color="auto"/>
                              </w:divBdr>
                            </w:div>
                          </w:divsChild>
                        </w:div>
                        <w:div w:id="1861436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7547700">
                  <w:marLeft w:val="0"/>
                  <w:marRight w:val="0"/>
                  <w:marTop w:val="0"/>
                  <w:marBottom w:val="0"/>
                  <w:divBdr>
                    <w:top w:val="none" w:sz="0" w:space="0" w:color="auto"/>
                    <w:left w:val="none" w:sz="0" w:space="0" w:color="auto"/>
                    <w:bottom w:val="none" w:sz="0" w:space="0" w:color="auto"/>
                    <w:right w:val="none" w:sz="0" w:space="0" w:color="auto"/>
                  </w:divBdr>
                  <w:divsChild>
                    <w:div w:id="1067459318">
                      <w:marLeft w:val="0"/>
                      <w:marRight w:val="0"/>
                      <w:marTop w:val="0"/>
                      <w:marBottom w:val="450"/>
                      <w:divBdr>
                        <w:top w:val="none" w:sz="0" w:space="0" w:color="auto"/>
                        <w:left w:val="none" w:sz="0" w:space="0" w:color="auto"/>
                        <w:bottom w:val="none" w:sz="0" w:space="0" w:color="auto"/>
                        <w:right w:val="none" w:sz="0" w:space="0" w:color="auto"/>
                      </w:divBdr>
                      <w:divsChild>
                        <w:div w:id="92749553">
                          <w:marLeft w:val="0"/>
                          <w:marRight w:val="0"/>
                          <w:marTop w:val="0"/>
                          <w:marBottom w:val="0"/>
                          <w:divBdr>
                            <w:top w:val="none" w:sz="0" w:space="0" w:color="auto"/>
                            <w:left w:val="none" w:sz="0" w:space="0" w:color="auto"/>
                            <w:bottom w:val="none" w:sz="0" w:space="0" w:color="auto"/>
                            <w:right w:val="none" w:sz="0" w:space="0" w:color="auto"/>
                          </w:divBdr>
                          <w:divsChild>
                            <w:div w:id="15666703">
                              <w:marLeft w:val="0"/>
                              <w:marRight w:val="60"/>
                              <w:marTop w:val="0"/>
                              <w:marBottom w:val="0"/>
                              <w:divBdr>
                                <w:top w:val="none" w:sz="0" w:space="0" w:color="auto"/>
                                <w:left w:val="none" w:sz="0" w:space="0" w:color="auto"/>
                                <w:bottom w:val="none" w:sz="0" w:space="0" w:color="auto"/>
                                <w:right w:val="none" w:sz="0" w:space="0" w:color="auto"/>
                              </w:divBdr>
                            </w:div>
                            <w:div w:id="181944585">
                              <w:marLeft w:val="0"/>
                              <w:marRight w:val="60"/>
                              <w:marTop w:val="0"/>
                              <w:marBottom w:val="0"/>
                              <w:divBdr>
                                <w:top w:val="none" w:sz="0" w:space="0" w:color="auto"/>
                                <w:left w:val="none" w:sz="0" w:space="0" w:color="auto"/>
                                <w:bottom w:val="none" w:sz="0" w:space="0" w:color="auto"/>
                                <w:right w:val="none" w:sz="0" w:space="0" w:color="auto"/>
                              </w:divBdr>
                            </w:div>
                            <w:div w:id="1391264705">
                              <w:marLeft w:val="0"/>
                              <w:marRight w:val="60"/>
                              <w:marTop w:val="0"/>
                              <w:marBottom w:val="0"/>
                              <w:divBdr>
                                <w:top w:val="none" w:sz="0" w:space="0" w:color="auto"/>
                                <w:left w:val="none" w:sz="0" w:space="0" w:color="auto"/>
                                <w:bottom w:val="none" w:sz="0" w:space="0" w:color="auto"/>
                                <w:right w:val="none" w:sz="0" w:space="0" w:color="auto"/>
                              </w:divBdr>
                            </w:div>
                          </w:divsChild>
                        </w:div>
                        <w:div w:id="1150370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03356434">
                  <w:marLeft w:val="0"/>
                  <w:marRight w:val="0"/>
                  <w:marTop w:val="0"/>
                  <w:marBottom w:val="0"/>
                  <w:divBdr>
                    <w:top w:val="none" w:sz="0" w:space="0" w:color="auto"/>
                    <w:left w:val="none" w:sz="0" w:space="0" w:color="auto"/>
                    <w:bottom w:val="none" w:sz="0" w:space="0" w:color="auto"/>
                    <w:right w:val="none" w:sz="0" w:space="0" w:color="auto"/>
                  </w:divBdr>
                  <w:divsChild>
                    <w:div w:id="1379814815">
                      <w:marLeft w:val="0"/>
                      <w:marRight w:val="0"/>
                      <w:marTop w:val="0"/>
                      <w:marBottom w:val="450"/>
                      <w:divBdr>
                        <w:top w:val="none" w:sz="0" w:space="0" w:color="auto"/>
                        <w:left w:val="none" w:sz="0" w:space="0" w:color="auto"/>
                        <w:bottom w:val="none" w:sz="0" w:space="0" w:color="auto"/>
                        <w:right w:val="none" w:sz="0" w:space="0" w:color="auto"/>
                      </w:divBdr>
                      <w:divsChild>
                        <w:div w:id="125706622">
                          <w:marLeft w:val="0"/>
                          <w:marRight w:val="0"/>
                          <w:marTop w:val="0"/>
                          <w:marBottom w:val="75"/>
                          <w:divBdr>
                            <w:top w:val="none" w:sz="0" w:space="0" w:color="auto"/>
                            <w:left w:val="none" w:sz="0" w:space="0" w:color="auto"/>
                            <w:bottom w:val="none" w:sz="0" w:space="0" w:color="auto"/>
                            <w:right w:val="none" w:sz="0" w:space="0" w:color="auto"/>
                          </w:divBdr>
                        </w:div>
                        <w:div w:id="1579291932">
                          <w:marLeft w:val="0"/>
                          <w:marRight w:val="0"/>
                          <w:marTop w:val="0"/>
                          <w:marBottom w:val="0"/>
                          <w:divBdr>
                            <w:top w:val="none" w:sz="0" w:space="0" w:color="auto"/>
                            <w:left w:val="none" w:sz="0" w:space="0" w:color="auto"/>
                            <w:bottom w:val="none" w:sz="0" w:space="0" w:color="auto"/>
                            <w:right w:val="none" w:sz="0" w:space="0" w:color="auto"/>
                          </w:divBdr>
                          <w:divsChild>
                            <w:div w:id="16338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98361">
              <w:marLeft w:val="0"/>
              <w:marRight w:val="0"/>
              <w:marTop w:val="0"/>
              <w:marBottom w:val="0"/>
              <w:divBdr>
                <w:top w:val="none" w:sz="0" w:space="0" w:color="auto"/>
                <w:left w:val="none" w:sz="0" w:space="0" w:color="auto"/>
                <w:bottom w:val="none" w:sz="0" w:space="0" w:color="auto"/>
                <w:right w:val="none" w:sz="0" w:space="0" w:color="auto"/>
              </w:divBdr>
            </w:div>
          </w:divsChild>
        </w:div>
        <w:div w:id="1938632580">
          <w:marLeft w:val="0"/>
          <w:marRight w:val="0"/>
          <w:marTop w:val="0"/>
          <w:marBottom w:val="0"/>
          <w:divBdr>
            <w:top w:val="none" w:sz="0" w:space="0" w:color="auto"/>
            <w:left w:val="none" w:sz="0" w:space="0" w:color="auto"/>
            <w:bottom w:val="none" w:sz="0" w:space="0" w:color="auto"/>
            <w:right w:val="none" w:sz="0" w:space="0" w:color="auto"/>
          </w:divBdr>
        </w:div>
      </w:divsChild>
    </w:div>
    <w:div w:id="1495299538">
      <w:bodyDiv w:val="1"/>
      <w:marLeft w:val="0"/>
      <w:marRight w:val="0"/>
      <w:marTop w:val="0"/>
      <w:marBottom w:val="0"/>
      <w:divBdr>
        <w:top w:val="none" w:sz="0" w:space="0" w:color="auto"/>
        <w:left w:val="none" w:sz="0" w:space="0" w:color="auto"/>
        <w:bottom w:val="none" w:sz="0" w:space="0" w:color="auto"/>
        <w:right w:val="none" w:sz="0" w:space="0" w:color="auto"/>
      </w:divBdr>
    </w:div>
    <w:div w:id="1892233595">
      <w:bodyDiv w:val="1"/>
      <w:marLeft w:val="0"/>
      <w:marRight w:val="0"/>
      <w:marTop w:val="0"/>
      <w:marBottom w:val="0"/>
      <w:divBdr>
        <w:top w:val="none" w:sz="0" w:space="0" w:color="auto"/>
        <w:left w:val="none" w:sz="0" w:space="0" w:color="auto"/>
        <w:bottom w:val="none" w:sz="0" w:space="0" w:color="auto"/>
        <w:right w:val="none" w:sz="0" w:space="0" w:color="auto"/>
      </w:divBdr>
    </w:div>
    <w:div w:id="2064594889">
      <w:bodyDiv w:val="1"/>
      <w:marLeft w:val="0"/>
      <w:marRight w:val="0"/>
      <w:marTop w:val="0"/>
      <w:marBottom w:val="0"/>
      <w:divBdr>
        <w:top w:val="none" w:sz="0" w:space="0" w:color="auto"/>
        <w:left w:val="none" w:sz="0" w:space="0" w:color="auto"/>
        <w:bottom w:val="none" w:sz="0" w:space="0" w:color="auto"/>
        <w:right w:val="none" w:sz="0" w:space="0" w:color="auto"/>
      </w:divBdr>
    </w:div>
    <w:div w:id="2068916070">
      <w:bodyDiv w:val="1"/>
      <w:marLeft w:val="0"/>
      <w:marRight w:val="0"/>
      <w:marTop w:val="0"/>
      <w:marBottom w:val="0"/>
      <w:divBdr>
        <w:top w:val="none" w:sz="0" w:space="0" w:color="auto"/>
        <w:left w:val="none" w:sz="0" w:space="0" w:color="auto"/>
        <w:bottom w:val="none" w:sz="0" w:space="0" w:color="auto"/>
        <w:right w:val="none" w:sz="0" w:space="0" w:color="auto"/>
      </w:divBdr>
      <w:divsChild>
        <w:div w:id="20127222">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GGUS:Release_Schedule" TargetMode="External"/><Relationship Id="rId2" Type="http://schemas.openxmlformats.org/officeDocument/2006/relationships/hyperlink" Target="https://documents.egi.eu/document/2517" TargetMode="External"/><Relationship Id="rId1" Type="http://schemas.openxmlformats.org/officeDocument/2006/relationships/hyperlink" Target="https://documents.egi.eu/document/21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A61F-F1CA-4EDD-8A4C-CB7C75C9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19409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Malgorzata Krakowian</cp:lastModifiedBy>
  <cp:revision>35</cp:revision>
  <cp:lastPrinted>2015-05-02T21:01:00Z</cp:lastPrinted>
  <dcterms:created xsi:type="dcterms:W3CDTF">2013-09-03T12:32:00Z</dcterms:created>
  <dcterms:modified xsi:type="dcterms:W3CDTF">2015-06-26T14:18:00Z</dcterms:modified>
</cp:coreProperties>
</file>