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CC95F" w14:textId="77777777" w:rsidR="008E0C88" w:rsidRDefault="00B331CC">
      <w:pPr>
        <w:jc w:val="center"/>
      </w:pPr>
      <w:r>
        <w:rPr>
          <w:noProof/>
        </w:rPr>
        <w:drawing>
          <wp:inline distT="0" distB="0" distL="114300" distR="114300" wp14:anchorId="76755DF8" wp14:editId="343062A4">
            <wp:extent cx="3204594" cy="2416030"/>
            <wp:effectExtent l="0" t="0" r="0" b="381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084" cy="2418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36D06B" w14:textId="77777777" w:rsidR="008E0C88" w:rsidRDefault="00B331CC">
      <w:pPr>
        <w:tabs>
          <w:tab w:val="center" w:pos="7500"/>
          <w:tab w:val="left" w:pos="9345"/>
        </w:tabs>
        <w:ind w:right="-570"/>
        <w:jc w:val="center"/>
      </w:pPr>
      <w:r>
        <w:rPr>
          <w:b/>
          <w:smallCaps/>
          <w:sz w:val="44"/>
        </w:rPr>
        <w:t>EGI.eu</w:t>
      </w:r>
    </w:p>
    <w:p w14:paraId="4366A417" w14:textId="3AFFD444" w:rsidR="008E0C88" w:rsidRDefault="00B331CC" w:rsidP="00D75497">
      <w:pPr>
        <w:tabs>
          <w:tab w:val="center" w:pos="4536"/>
          <w:tab w:val="left" w:pos="7845"/>
        </w:tabs>
        <w:jc w:val="center"/>
      </w:pPr>
      <w:r>
        <w:rPr>
          <w:b/>
          <w:smallCaps/>
          <w:sz w:val="44"/>
        </w:rPr>
        <w:t>OLA Performance Report</w:t>
      </w:r>
    </w:p>
    <w:tbl>
      <w:tblPr>
        <w:tblStyle w:val="a"/>
        <w:tblW w:w="9075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2640"/>
        <w:gridCol w:w="6435"/>
      </w:tblGrid>
      <w:tr w:rsidR="008E0C88" w:rsidRPr="00D75497" w14:paraId="46CAA2AF" w14:textId="77777777">
        <w:trPr>
          <w:trHeight w:val="540"/>
          <w:jc w:val="center"/>
        </w:trPr>
        <w:tc>
          <w:tcPr>
            <w:tcW w:w="2640" w:type="dxa"/>
            <w:tcBorders>
              <w:top w:val="single" w:sz="20" w:space="0" w:color="000080"/>
            </w:tcBorders>
            <w:vAlign w:val="center"/>
          </w:tcPr>
          <w:p w14:paraId="4644BBE3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proofErr w:type="spellStart"/>
            <w:r w:rsidRPr="00D75497">
              <w:rPr>
                <w:b/>
                <w:szCs w:val="22"/>
              </w:rPr>
              <w:t>Title</w:t>
            </w:r>
            <w:proofErr w:type="spellEnd"/>
          </w:p>
        </w:tc>
        <w:tc>
          <w:tcPr>
            <w:tcW w:w="6435" w:type="dxa"/>
            <w:tcBorders>
              <w:top w:val="single" w:sz="20" w:space="0" w:color="000080"/>
            </w:tcBorders>
            <w:vAlign w:val="center"/>
          </w:tcPr>
          <w:p w14:paraId="22650576" w14:textId="77777777" w:rsidR="008E0C88" w:rsidRPr="00D75497" w:rsidRDefault="00B331CC">
            <w:pPr>
              <w:spacing w:before="120" w:after="120"/>
              <w:ind w:right="-2025"/>
              <w:jc w:val="left"/>
              <w:rPr>
                <w:szCs w:val="22"/>
                <w:lang w:val="en-US"/>
              </w:rPr>
            </w:pPr>
            <w:r w:rsidRPr="00D75497">
              <w:rPr>
                <w:szCs w:val="22"/>
                <w:lang w:val="en-US"/>
              </w:rPr>
              <w:t>EGI.eu OLA – Operations Portal performance report</w:t>
            </w:r>
          </w:p>
        </w:tc>
      </w:tr>
      <w:tr w:rsidR="008E0C88" w14:paraId="40EE64DE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33D51F1A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r w:rsidRPr="00D75497">
              <w:rPr>
                <w:b/>
                <w:szCs w:val="22"/>
              </w:rPr>
              <w:t>Provider</w:t>
            </w:r>
          </w:p>
        </w:tc>
        <w:tc>
          <w:tcPr>
            <w:tcW w:w="6435" w:type="dxa"/>
            <w:vAlign w:val="center"/>
          </w:tcPr>
          <w:p w14:paraId="3107183D" w14:textId="77777777" w:rsidR="008E0C88" w:rsidRPr="00D75497" w:rsidRDefault="00B331CC">
            <w:pPr>
              <w:tabs>
                <w:tab w:val="center" w:pos="5430"/>
              </w:tabs>
              <w:spacing w:before="120" w:after="120"/>
              <w:jc w:val="left"/>
              <w:rPr>
                <w:szCs w:val="22"/>
              </w:rPr>
            </w:pPr>
            <w:r w:rsidRPr="00D75497">
              <w:rPr>
                <w:szCs w:val="22"/>
              </w:rPr>
              <w:t>CNRS</w:t>
            </w:r>
          </w:p>
        </w:tc>
      </w:tr>
      <w:tr w:rsidR="008E0C88" w14:paraId="5010C798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74BB6BD4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r w:rsidRPr="00D75497">
              <w:rPr>
                <w:b/>
                <w:szCs w:val="22"/>
              </w:rPr>
              <w:t>Service</w:t>
            </w:r>
          </w:p>
        </w:tc>
        <w:tc>
          <w:tcPr>
            <w:tcW w:w="6435" w:type="dxa"/>
            <w:vAlign w:val="center"/>
          </w:tcPr>
          <w:p w14:paraId="25182231" w14:textId="77777777" w:rsidR="008E0C88" w:rsidRPr="00D75497" w:rsidRDefault="00B331CC">
            <w:pPr>
              <w:spacing w:before="120" w:after="120"/>
              <w:jc w:val="left"/>
              <w:rPr>
                <w:szCs w:val="22"/>
              </w:rPr>
            </w:pPr>
            <w:r w:rsidRPr="00D75497">
              <w:rPr>
                <w:szCs w:val="22"/>
              </w:rPr>
              <w:t>Operations Portal</w:t>
            </w:r>
          </w:p>
        </w:tc>
      </w:tr>
      <w:tr w:rsidR="008E0C88" w14:paraId="68467CD9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02DBD150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proofErr w:type="spellStart"/>
            <w:r w:rsidRPr="00D75497">
              <w:rPr>
                <w:b/>
                <w:szCs w:val="22"/>
              </w:rPr>
              <w:t>Produced</w:t>
            </w:r>
            <w:proofErr w:type="spellEnd"/>
            <w:r w:rsidRPr="00D75497">
              <w:rPr>
                <w:b/>
                <w:szCs w:val="22"/>
              </w:rPr>
              <w:t xml:space="preserve"> by</w:t>
            </w:r>
          </w:p>
        </w:tc>
        <w:tc>
          <w:tcPr>
            <w:tcW w:w="6435" w:type="dxa"/>
            <w:vAlign w:val="center"/>
          </w:tcPr>
          <w:p w14:paraId="6E8A9AA6" w14:textId="77777777" w:rsidR="008E0C88" w:rsidRPr="00D75497" w:rsidRDefault="00B331CC">
            <w:pPr>
              <w:rPr>
                <w:szCs w:val="22"/>
              </w:rPr>
            </w:pPr>
            <w:r w:rsidRPr="00D75497">
              <w:rPr>
                <w:szCs w:val="22"/>
              </w:rPr>
              <w:t xml:space="preserve">Cyril L’Orphelin </w:t>
            </w:r>
          </w:p>
          <w:p w14:paraId="1D2D104E" w14:textId="77777777" w:rsidR="008E0C88" w:rsidRPr="00D75497" w:rsidRDefault="00B331CC">
            <w:pPr>
              <w:rPr>
                <w:szCs w:val="22"/>
              </w:rPr>
            </w:pPr>
            <w:hyperlink r:id="rId10">
              <w:r w:rsidRPr="00D75497">
                <w:rPr>
                  <w:color w:val="0000FF"/>
                  <w:szCs w:val="22"/>
                  <w:u w:val="single"/>
                </w:rPr>
                <w:t>cyril.lorphelin@cc.in2p3.fr</w:t>
              </w:r>
            </w:hyperlink>
            <w:hyperlink r:id="rId11"/>
          </w:p>
          <w:p w14:paraId="7A940A8A" w14:textId="77777777" w:rsidR="008E0C88" w:rsidRPr="00D75497" w:rsidRDefault="00B331CC">
            <w:pPr>
              <w:rPr>
                <w:szCs w:val="22"/>
              </w:rPr>
            </w:pPr>
            <w:r w:rsidRPr="00D75497">
              <w:rPr>
                <w:szCs w:val="22"/>
              </w:rPr>
              <w:t>Site Operations Manager</w:t>
            </w:r>
          </w:p>
        </w:tc>
      </w:tr>
      <w:tr w:rsidR="008E0C88" w:rsidRPr="00D75497" w14:paraId="640B8556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48040729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r w:rsidRPr="00D75497">
              <w:rPr>
                <w:b/>
                <w:szCs w:val="22"/>
              </w:rPr>
              <w:t>Audience</w:t>
            </w:r>
          </w:p>
        </w:tc>
        <w:tc>
          <w:tcPr>
            <w:tcW w:w="6435" w:type="dxa"/>
            <w:vAlign w:val="center"/>
          </w:tcPr>
          <w:p w14:paraId="0C6D3710" w14:textId="77777777" w:rsidR="008E0C88" w:rsidRPr="00D75497" w:rsidRDefault="00B331CC">
            <w:pPr>
              <w:spacing w:before="120" w:after="120"/>
              <w:jc w:val="left"/>
              <w:rPr>
                <w:szCs w:val="22"/>
                <w:lang w:val="en-US"/>
              </w:rPr>
            </w:pPr>
            <w:r w:rsidRPr="00D75497">
              <w:rPr>
                <w:szCs w:val="22"/>
                <w:lang w:val="en-US"/>
              </w:rPr>
              <w:t>EGI.eu Operations</w:t>
            </w:r>
          </w:p>
          <w:p w14:paraId="0391432C" w14:textId="77777777" w:rsidR="008E0C88" w:rsidRPr="00D75497" w:rsidRDefault="00B331CC">
            <w:pPr>
              <w:spacing w:before="120" w:after="120"/>
              <w:jc w:val="left"/>
              <w:rPr>
                <w:szCs w:val="22"/>
                <w:lang w:val="en-US"/>
              </w:rPr>
            </w:pPr>
            <w:r w:rsidRPr="00D75497">
              <w:rPr>
                <w:szCs w:val="22"/>
                <w:lang w:val="en-US"/>
              </w:rPr>
              <w:t>operations@egi.eu</w:t>
            </w:r>
          </w:p>
        </w:tc>
      </w:tr>
      <w:tr w:rsidR="008E0C88" w:rsidRPr="00D75497" w14:paraId="762114DA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4F289030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proofErr w:type="spellStart"/>
            <w:r w:rsidRPr="00D75497">
              <w:rPr>
                <w:b/>
                <w:szCs w:val="22"/>
              </w:rPr>
              <w:t>Purpose</w:t>
            </w:r>
            <w:proofErr w:type="spellEnd"/>
          </w:p>
        </w:tc>
        <w:tc>
          <w:tcPr>
            <w:tcW w:w="6435" w:type="dxa"/>
            <w:vAlign w:val="center"/>
          </w:tcPr>
          <w:p w14:paraId="01CA2B06" w14:textId="77777777" w:rsidR="008E0C88" w:rsidRPr="00D75497" w:rsidRDefault="00B331CC">
            <w:pPr>
              <w:spacing w:before="120" w:after="120"/>
              <w:jc w:val="left"/>
              <w:rPr>
                <w:szCs w:val="22"/>
                <w:lang w:val="en-US"/>
              </w:rPr>
            </w:pPr>
            <w:r w:rsidRPr="00D75497">
              <w:rPr>
                <w:szCs w:val="22"/>
                <w:lang w:val="en-US"/>
              </w:rPr>
              <w:t>Report on performance of the service</w:t>
            </w:r>
          </w:p>
        </w:tc>
      </w:tr>
      <w:tr w:rsidR="008E0C88" w14:paraId="167D1EEC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21430805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proofErr w:type="spellStart"/>
            <w:r w:rsidRPr="00D75497">
              <w:rPr>
                <w:b/>
                <w:szCs w:val="22"/>
              </w:rPr>
              <w:t>Period</w:t>
            </w:r>
            <w:proofErr w:type="spellEnd"/>
          </w:p>
        </w:tc>
        <w:tc>
          <w:tcPr>
            <w:tcW w:w="6435" w:type="dxa"/>
            <w:vAlign w:val="center"/>
          </w:tcPr>
          <w:p w14:paraId="0756C29F" w14:textId="77777777" w:rsidR="008E0C88" w:rsidRPr="00D75497" w:rsidRDefault="00B331CC">
            <w:pPr>
              <w:spacing w:before="120" w:after="120"/>
              <w:jc w:val="left"/>
              <w:rPr>
                <w:szCs w:val="22"/>
              </w:rPr>
            </w:pPr>
            <w:r w:rsidRPr="00D75497">
              <w:rPr>
                <w:szCs w:val="22"/>
              </w:rPr>
              <w:t>01</w:t>
            </w:r>
            <w:r w:rsidRPr="00D75497">
              <w:rPr>
                <w:szCs w:val="22"/>
              </w:rPr>
              <w:t>/</w:t>
            </w:r>
            <w:r w:rsidRPr="00D75497">
              <w:rPr>
                <w:szCs w:val="22"/>
              </w:rPr>
              <w:t>11</w:t>
            </w:r>
            <w:r w:rsidRPr="00D75497">
              <w:rPr>
                <w:szCs w:val="22"/>
              </w:rPr>
              <w:t>/</w:t>
            </w:r>
            <w:r w:rsidRPr="00D75497">
              <w:rPr>
                <w:szCs w:val="22"/>
              </w:rPr>
              <w:t>2014</w:t>
            </w:r>
            <w:r w:rsidRPr="00D75497">
              <w:rPr>
                <w:szCs w:val="22"/>
              </w:rPr>
              <w:t xml:space="preserve"> – </w:t>
            </w:r>
            <w:r w:rsidRPr="00D75497">
              <w:rPr>
                <w:szCs w:val="22"/>
              </w:rPr>
              <w:t>30</w:t>
            </w:r>
            <w:r w:rsidRPr="00D75497">
              <w:rPr>
                <w:szCs w:val="22"/>
              </w:rPr>
              <w:t>/</w:t>
            </w:r>
            <w:r w:rsidRPr="00D75497">
              <w:rPr>
                <w:szCs w:val="22"/>
              </w:rPr>
              <w:t>04</w:t>
            </w:r>
            <w:r w:rsidRPr="00D75497">
              <w:rPr>
                <w:szCs w:val="22"/>
              </w:rPr>
              <w:t>/</w:t>
            </w:r>
            <w:r w:rsidRPr="00D75497">
              <w:rPr>
                <w:szCs w:val="22"/>
              </w:rPr>
              <w:t>2015</w:t>
            </w:r>
          </w:p>
        </w:tc>
      </w:tr>
      <w:tr w:rsidR="008E0C88" w:rsidRPr="00D75497" w14:paraId="79FF1F04" w14:textId="77777777">
        <w:trPr>
          <w:trHeight w:val="500"/>
          <w:jc w:val="center"/>
        </w:trPr>
        <w:tc>
          <w:tcPr>
            <w:tcW w:w="2640" w:type="dxa"/>
            <w:vAlign w:val="center"/>
          </w:tcPr>
          <w:p w14:paraId="76890788" w14:textId="77777777" w:rsidR="008E0C88" w:rsidRPr="00D75497" w:rsidRDefault="00B331CC">
            <w:pPr>
              <w:spacing w:before="120" w:after="120"/>
              <w:rPr>
                <w:szCs w:val="22"/>
              </w:rPr>
            </w:pPr>
            <w:proofErr w:type="spellStart"/>
            <w:r w:rsidRPr="00D75497">
              <w:rPr>
                <w:b/>
                <w:szCs w:val="22"/>
              </w:rPr>
              <w:t>Related</w:t>
            </w:r>
            <w:proofErr w:type="spellEnd"/>
            <w:r w:rsidRPr="00D75497">
              <w:rPr>
                <w:b/>
                <w:szCs w:val="22"/>
              </w:rPr>
              <w:t xml:space="preserve"> </w:t>
            </w:r>
            <w:proofErr w:type="spellStart"/>
            <w:r w:rsidRPr="00D75497">
              <w:rPr>
                <w:b/>
                <w:szCs w:val="22"/>
              </w:rPr>
              <w:t>agreements</w:t>
            </w:r>
            <w:proofErr w:type="spellEnd"/>
          </w:p>
        </w:tc>
        <w:tc>
          <w:tcPr>
            <w:tcW w:w="6435" w:type="dxa"/>
            <w:vAlign w:val="center"/>
          </w:tcPr>
          <w:p w14:paraId="4D1A973D" w14:textId="77777777" w:rsidR="008E0C88" w:rsidRPr="00D75497" w:rsidRDefault="00B331CC">
            <w:pPr>
              <w:spacing w:before="120" w:after="120"/>
              <w:jc w:val="left"/>
              <w:rPr>
                <w:szCs w:val="22"/>
                <w:lang w:val="en-US"/>
              </w:rPr>
            </w:pPr>
            <w:r w:rsidRPr="00D75497">
              <w:rPr>
                <w:szCs w:val="22"/>
                <w:lang w:val="en-US"/>
              </w:rPr>
              <w:t>EGI.eu-OLA-</w:t>
            </w:r>
            <w:r w:rsidRPr="00D75497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 </w:t>
            </w:r>
            <w:r w:rsidRPr="00D75497">
              <w:rPr>
                <w:szCs w:val="22"/>
                <w:lang w:val="en-US"/>
              </w:rPr>
              <w:t>Operations Portal -v1.doc</w:t>
            </w:r>
          </w:p>
        </w:tc>
      </w:tr>
      <w:tr w:rsidR="008E0C88" w14:paraId="512BC748" w14:textId="77777777">
        <w:trPr>
          <w:trHeight w:val="520"/>
          <w:jc w:val="center"/>
        </w:trPr>
        <w:tc>
          <w:tcPr>
            <w:tcW w:w="2640" w:type="dxa"/>
            <w:tcBorders>
              <w:bottom w:val="single" w:sz="20" w:space="0" w:color="000080"/>
            </w:tcBorders>
            <w:vAlign w:val="center"/>
          </w:tcPr>
          <w:p w14:paraId="4129CC73" w14:textId="77777777" w:rsidR="008E0C88" w:rsidRPr="00D75497" w:rsidRDefault="00B331CC">
            <w:pPr>
              <w:tabs>
                <w:tab w:val="center" w:pos="4320"/>
                <w:tab w:val="right" w:pos="8640"/>
              </w:tabs>
              <w:spacing w:before="120" w:after="120"/>
              <w:rPr>
                <w:szCs w:val="22"/>
              </w:rPr>
            </w:pPr>
            <w:r w:rsidRPr="00D75497">
              <w:rPr>
                <w:b/>
                <w:szCs w:val="22"/>
              </w:rPr>
              <w:t>Document Link:</w:t>
            </w:r>
          </w:p>
        </w:tc>
        <w:tc>
          <w:tcPr>
            <w:tcW w:w="6435" w:type="dxa"/>
            <w:tcBorders>
              <w:bottom w:val="single" w:sz="20" w:space="0" w:color="000080"/>
            </w:tcBorders>
            <w:vAlign w:val="center"/>
          </w:tcPr>
          <w:p w14:paraId="62B64F88" w14:textId="77777777" w:rsidR="008E0C88" w:rsidRPr="00D75497" w:rsidRDefault="00B331CC">
            <w:pPr>
              <w:spacing w:before="120" w:after="120"/>
              <w:jc w:val="left"/>
              <w:rPr>
                <w:szCs w:val="22"/>
              </w:rPr>
            </w:pPr>
            <w:hyperlink r:id="rId12">
              <w:r w:rsidRPr="00D75497">
                <w:rPr>
                  <w:color w:val="0000FF"/>
                  <w:szCs w:val="22"/>
                  <w:u w:val="single"/>
                </w:rPr>
                <w:t>https://documents.egi.eu/document/2170</w:t>
              </w:r>
            </w:hyperlink>
            <w:hyperlink r:id="rId13"/>
          </w:p>
        </w:tc>
      </w:tr>
    </w:tbl>
    <w:p w14:paraId="40112453" w14:textId="77777777" w:rsidR="008E0C88" w:rsidRDefault="00B331CC">
      <w:pPr>
        <w:numPr>
          <w:ilvl w:val="0"/>
          <w:numId w:val="1"/>
        </w:numPr>
        <w:spacing w:before="120"/>
        <w:ind w:left="431" w:hanging="431"/>
      </w:pPr>
      <w:bookmarkStart w:id="0" w:name="h.gjdgxs" w:colFirst="0" w:colLast="0"/>
      <w:bookmarkEnd w:id="0"/>
      <w:r>
        <w:rPr>
          <w:b/>
          <w:smallCaps/>
          <w:sz w:val="24"/>
        </w:rPr>
        <w:lastRenderedPageBreak/>
        <w:t>COPYRIGHT NOTICE</w:t>
      </w:r>
    </w:p>
    <w:p w14:paraId="7B61D38F" w14:textId="77777777" w:rsidR="008E0C88" w:rsidRPr="00D75497" w:rsidRDefault="00B331CC">
      <w:pPr>
        <w:rPr>
          <w:lang w:val="en-US"/>
        </w:rPr>
      </w:pPr>
      <w:r w:rsidRPr="00D75497">
        <w:rPr>
          <w:lang w:val="en-US"/>
        </w:rPr>
        <w:t>Copyright © EGI.eu. This work is licensed</w:t>
      </w:r>
      <w:r w:rsidRPr="00D75497">
        <w:rPr>
          <w:lang w:val="en-US"/>
        </w:rPr>
        <w:t xml:space="preserve"> under the Creative Commons Attribution-</w:t>
      </w:r>
      <w:proofErr w:type="spellStart"/>
      <w:r w:rsidRPr="00D75497">
        <w:rPr>
          <w:lang w:val="en-US"/>
        </w:rPr>
        <w:t>NonCommercial</w:t>
      </w:r>
      <w:proofErr w:type="spellEnd"/>
      <w:r w:rsidRPr="00D75497">
        <w:rPr>
          <w:lang w:val="en-US"/>
        </w:rPr>
        <w:t>-</w:t>
      </w:r>
      <w:proofErr w:type="spellStart"/>
      <w:r w:rsidRPr="00D75497">
        <w:rPr>
          <w:lang w:val="en-US"/>
        </w:rPr>
        <w:t>NoDerivs</w:t>
      </w:r>
      <w:proofErr w:type="spellEnd"/>
      <w:r w:rsidRPr="00D75497">
        <w:rPr>
          <w:lang w:val="en-US"/>
        </w:rPr>
        <w:t xml:space="preserve"> 3.0 </w:t>
      </w:r>
      <w:proofErr w:type="spellStart"/>
      <w:r w:rsidRPr="00D75497">
        <w:rPr>
          <w:lang w:val="en-US"/>
        </w:rPr>
        <w:t>Unported</w:t>
      </w:r>
      <w:proofErr w:type="spellEnd"/>
      <w:r w:rsidRPr="00D75497">
        <w:rPr>
          <w:lang w:val="en-US"/>
        </w:rPr>
        <w:t xml:space="preserve"> License. To view a copy of this license, visit http://creativecommons.org/licenses/by-nc/3.0/ or send a letter to Creative Commons, 171 Second Street, Suite 300, </w:t>
      </w:r>
      <w:proofErr w:type="gramStart"/>
      <w:r w:rsidRPr="00D75497">
        <w:rPr>
          <w:lang w:val="en-US"/>
        </w:rPr>
        <w:t>San</w:t>
      </w:r>
      <w:proofErr w:type="gramEnd"/>
      <w:r w:rsidRPr="00D75497">
        <w:rPr>
          <w:lang w:val="en-US"/>
        </w:rPr>
        <w:t xml:space="preserve"> Francisco, Cal</w:t>
      </w:r>
      <w:r w:rsidRPr="00D75497">
        <w:rPr>
          <w:lang w:val="en-US"/>
        </w:rPr>
        <w:t>ifornia, 94105, USA.</w:t>
      </w:r>
    </w:p>
    <w:p w14:paraId="45E499BD" w14:textId="77777777" w:rsidR="008E0C88" w:rsidRPr="00D75497" w:rsidRDefault="00B331CC">
      <w:pPr>
        <w:rPr>
          <w:lang w:val="en-US"/>
        </w:rPr>
      </w:pPr>
      <w:bookmarkStart w:id="1" w:name="h.30j0zll" w:colFirst="0" w:colLast="0"/>
      <w:bookmarkEnd w:id="1"/>
      <w:r w:rsidRPr="00D75497">
        <w:rPr>
          <w:lang w:val="en-US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D75497">
        <w:rPr>
          <w:lang w:val="en-US"/>
        </w:rPr>
        <w:t>license,</w:t>
      </w:r>
      <w:proofErr w:type="gramEnd"/>
      <w:r w:rsidRPr="00D75497">
        <w:rPr>
          <w:lang w:val="en-US"/>
        </w:rPr>
        <w:t xml:space="preserve"> requires the prior written permiss</w:t>
      </w:r>
      <w:r w:rsidRPr="00D75497">
        <w:rPr>
          <w:lang w:val="en-US"/>
        </w:rPr>
        <w:t>ion of the copyright holders. The information contained in this document represents the views of the copyright holders as of the date such views are published.</w:t>
      </w:r>
    </w:p>
    <w:p w14:paraId="1194F935" w14:textId="77777777" w:rsidR="008E0C88" w:rsidRPr="00D75497" w:rsidRDefault="008E0C88">
      <w:pPr>
        <w:spacing w:after="60"/>
        <w:rPr>
          <w:lang w:val="en-US"/>
        </w:rPr>
      </w:pPr>
    </w:p>
    <w:p w14:paraId="214A4554" w14:textId="77777777" w:rsidR="008E0C88" w:rsidRPr="00D75497" w:rsidRDefault="00B331CC">
      <w:pPr>
        <w:spacing w:after="60"/>
        <w:rPr>
          <w:lang w:val="en-US"/>
        </w:rPr>
      </w:pPr>
      <w:r w:rsidRPr="00D75497">
        <w:rPr>
          <w:color w:val="333333"/>
          <w:lang w:val="en-US"/>
        </w:rPr>
        <w:t xml:space="preserve">This report is based on a template that forms part of the </w:t>
      </w:r>
      <w:proofErr w:type="spellStart"/>
      <w:r w:rsidRPr="00D75497">
        <w:rPr>
          <w:color w:val="333333"/>
          <w:lang w:val="en-US"/>
        </w:rPr>
        <w:t>FitSM</w:t>
      </w:r>
      <w:proofErr w:type="spellEnd"/>
      <w:r w:rsidRPr="00D75497">
        <w:rPr>
          <w:color w:val="333333"/>
          <w:lang w:val="en-US"/>
        </w:rPr>
        <w:t xml:space="preserve"> family – a lightweight standard</w:t>
      </w:r>
      <w:r w:rsidRPr="00D75497">
        <w:rPr>
          <w:color w:val="333333"/>
          <w:lang w:val="en-US"/>
        </w:rPr>
        <w:t xml:space="preserve"> for IT Service Management that supports federated infrastructures. For more information on </w:t>
      </w:r>
      <w:proofErr w:type="spellStart"/>
      <w:r w:rsidRPr="00D75497">
        <w:rPr>
          <w:color w:val="333333"/>
          <w:lang w:val="en-US"/>
        </w:rPr>
        <w:t>FitSM</w:t>
      </w:r>
      <w:proofErr w:type="spellEnd"/>
      <w:r w:rsidRPr="00D75497">
        <w:rPr>
          <w:color w:val="333333"/>
          <w:lang w:val="en-US"/>
        </w:rPr>
        <w:t xml:space="preserve"> visit </w:t>
      </w:r>
      <w:hyperlink r:id="rId14">
        <w:r w:rsidRPr="00D75497">
          <w:rPr>
            <w:color w:val="0000FF"/>
            <w:u w:val="single"/>
            <w:lang w:val="en-US"/>
          </w:rPr>
          <w:t>www.fitsm.eu</w:t>
        </w:r>
      </w:hyperlink>
      <w:r w:rsidRPr="00D75497">
        <w:rPr>
          <w:color w:val="333333"/>
          <w:lang w:val="en-US"/>
        </w:rPr>
        <w:t xml:space="preserve"> or contact </w:t>
      </w:r>
      <w:hyperlink r:id="rId15">
        <w:r w:rsidRPr="00D75497">
          <w:rPr>
            <w:color w:val="0000FF"/>
            <w:u w:val="single"/>
            <w:lang w:val="en-US"/>
          </w:rPr>
          <w:t>info@fitsm.eu</w:t>
        </w:r>
      </w:hyperlink>
      <w:r w:rsidRPr="00D75497">
        <w:rPr>
          <w:color w:val="333333"/>
          <w:lang w:val="en-US"/>
        </w:rPr>
        <w:t>. The template this document is base</w:t>
      </w:r>
      <w:r w:rsidRPr="00D75497">
        <w:rPr>
          <w:color w:val="333333"/>
          <w:lang w:val="en-US"/>
        </w:rPr>
        <w:t xml:space="preserve">d on was licensed with a </w:t>
      </w:r>
      <w:hyperlink r:id="rId16">
        <w:r w:rsidRPr="00D75497">
          <w:rPr>
            <w:color w:val="0000FF"/>
            <w:u w:val="single"/>
            <w:lang w:val="en-US"/>
          </w:rPr>
          <w:t>Creative Commons Attribution 4.0 International License</w:t>
        </w:r>
      </w:hyperlink>
      <w:r w:rsidRPr="00D75497">
        <w:rPr>
          <w:lang w:val="en-US"/>
        </w:rPr>
        <w:t>.</w:t>
      </w:r>
    </w:p>
    <w:p w14:paraId="292E946B" w14:textId="77777777" w:rsidR="008E0C88" w:rsidRPr="00D75497" w:rsidRDefault="008E0C88">
      <w:pPr>
        <w:spacing w:after="60"/>
        <w:rPr>
          <w:lang w:val="en-US"/>
        </w:rPr>
      </w:pPr>
    </w:p>
    <w:p w14:paraId="2519ECDD" w14:textId="77777777" w:rsidR="008E0C88" w:rsidRPr="00D75497" w:rsidRDefault="00B331CC">
      <w:pPr>
        <w:spacing w:after="60"/>
        <w:rPr>
          <w:lang w:val="en-US"/>
        </w:rPr>
      </w:pPr>
      <w:r w:rsidRPr="00D75497">
        <w:rPr>
          <w:lang w:val="en-US"/>
        </w:rPr>
        <w:t xml:space="preserve">This report is based on </w:t>
      </w:r>
      <w:proofErr w:type="spellStart"/>
      <w:r w:rsidRPr="00D75497">
        <w:rPr>
          <w:lang w:val="en-US"/>
        </w:rPr>
        <w:t>FitSM</w:t>
      </w:r>
      <w:proofErr w:type="spellEnd"/>
      <w:r w:rsidRPr="00D75497">
        <w:rPr>
          <w:lang w:val="en-US"/>
        </w:rPr>
        <w:t xml:space="preserve"> Template: Report v0.2 </w:t>
      </w:r>
    </w:p>
    <w:p w14:paraId="6C00F306" w14:textId="77777777" w:rsidR="008E0C88" w:rsidRPr="00D75497" w:rsidRDefault="008E0C88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</w:p>
    <w:p w14:paraId="1F1EA7B7" w14:textId="77777777" w:rsidR="008E0C88" w:rsidRPr="00D75497" w:rsidRDefault="008E0C88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</w:p>
    <w:p w14:paraId="1C2C7FDA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b/>
          <w:smallCaps/>
          <w:sz w:val="28"/>
          <w:lang w:val="en-US"/>
        </w:rPr>
        <w:t>TABLE OF CONTENTS</w:t>
      </w:r>
    </w:p>
    <w:p w14:paraId="396F4EDD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1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EFFORT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5DAEBAE7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2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GENERAL OVERVIEW OF ACTIVITY IN THE PERIOD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23D3608D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3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PERFORMANCE AGAINST SERVICE TARGETS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2CA475C9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4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ISSUES ARISING IN THE PERIOD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1903ED0B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5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MEASURES PLANNED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74E217CA" w14:textId="77777777" w:rsidR="008E0C88" w:rsidRPr="00D75497" w:rsidRDefault="00B331CC">
      <w:pPr>
        <w:tabs>
          <w:tab w:val="left" w:pos="382"/>
          <w:tab w:val="right" w:pos="9054"/>
        </w:tabs>
        <w:spacing w:before="120" w:after="0"/>
        <w:jc w:val="center"/>
        <w:rPr>
          <w:lang w:val="en-US"/>
        </w:rPr>
      </w:pP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6</w:t>
      </w:r>
      <w:r w:rsidRPr="00D75497">
        <w:rPr>
          <w:rFonts w:ascii="Calibri" w:eastAsia="Calibri" w:hAnsi="Calibri" w:cs="Calibri"/>
          <w:lang w:val="en-US"/>
        </w:rPr>
        <w:tab/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>FORESEEN ACTIVITIES AND CHANGES</w:t>
      </w:r>
      <w:r w:rsidRPr="00D75497">
        <w:rPr>
          <w:rFonts w:ascii="Cambria" w:eastAsia="Cambria" w:hAnsi="Cambria" w:cs="Cambria"/>
          <w:b/>
          <w:smallCaps/>
          <w:sz w:val="28"/>
          <w:lang w:val="en-US"/>
        </w:rPr>
        <w:tab/>
      </w:r>
    </w:p>
    <w:p w14:paraId="6A4FA133" w14:textId="77777777" w:rsidR="008E0C88" w:rsidRPr="00D75497" w:rsidRDefault="008E0C88">
      <w:pPr>
        <w:tabs>
          <w:tab w:val="left" w:pos="382"/>
          <w:tab w:val="right" w:pos="9054"/>
          <w:tab w:val="right" w:pos="9070"/>
        </w:tabs>
        <w:rPr>
          <w:lang w:val="en-US"/>
        </w:rPr>
      </w:pPr>
    </w:p>
    <w:p w14:paraId="1A1F924F" w14:textId="6DC351B8" w:rsidR="008E0C88" w:rsidRPr="00D75497" w:rsidRDefault="00B331CC" w:rsidP="00D75497">
      <w:pPr>
        <w:rPr>
          <w:lang w:val="en-US"/>
        </w:rPr>
      </w:pPr>
      <w:r w:rsidRPr="00D75497">
        <w:rPr>
          <w:lang w:val="en-US"/>
        </w:rPr>
        <w:br w:type="page"/>
      </w:r>
      <w:bookmarkStart w:id="2" w:name="h.1fob9te" w:colFirst="0" w:colLast="0"/>
      <w:bookmarkEnd w:id="2"/>
    </w:p>
    <w:p w14:paraId="72E41ACC" w14:textId="77777777" w:rsidR="008E0C88" w:rsidRDefault="00B331CC">
      <w:pPr>
        <w:pStyle w:val="Titre1"/>
        <w:numPr>
          <w:ilvl w:val="0"/>
          <w:numId w:val="2"/>
        </w:numPr>
      </w:pPr>
      <w:r>
        <w:lastRenderedPageBreak/>
        <w:t>EFFORT</w:t>
      </w:r>
    </w:p>
    <w:p w14:paraId="3D92A82D" w14:textId="6F300F1E" w:rsidR="008E0C88" w:rsidRPr="00D75497" w:rsidRDefault="6F300F1E">
      <w:pPr>
        <w:keepLines w:val="0"/>
        <w:widowControl/>
        <w:spacing w:before="0" w:after="120"/>
        <w:jc w:val="left"/>
        <w:rPr>
          <w:lang w:val="en-US"/>
        </w:rPr>
      </w:pPr>
      <w:r w:rsidRPr="00D75497">
        <w:rPr>
          <w:lang w:val="en-US"/>
        </w:rPr>
        <w:t xml:space="preserve">The global effort for CNRS is 12 Pm for </w:t>
      </w:r>
      <w:proofErr w:type="gramStart"/>
      <w:r w:rsidRPr="00D75497">
        <w:rPr>
          <w:lang w:val="en-US"/>
        </w:rPr>
        <w:t>the  last</w:t>
      </w:r>
      <w:proofErr w:type="gramEnd"/>
      <w:r w:rsidRPr="00D75497">
        <w:rPr>
          <w:lang w:val="en-US"/>
        </w:rPr>
        <w:t xml:space="preserve"> 6 months and is distributed over 3 persons :</w:t>
      </w:r>
    </w:p>
    <w:p w14:paraId="419C7911" w14:textId="77777777" w:rsidR="008E0C88" w:rsidRDefault="00B331CC">
      <w:pPr>
        <w:keepLines w:val="0"/>
        <w:widowControl/>
        <w:spacing w:before="0" w:after="120"/>
        <w:jc w:val="left"/>
      </w:pPr>
      <w:r>
        <w:t xml:space="preserve">Cyril </w:t>
      </w:r>
      <w:proofErr w:type="spellStart"/>
      <w:r>
        <w:t>Flieller</w:t>
      </w:r>
      <w:proofErr w:type="spellEnd"/>
      <w:r>
        <w:t xml:space="preserve"> : 4 PM</w:t>
      </w:r>
    </w:p>
    <w:p w14:paraId="304D83C3" w14:textId="77777777" w:rsidR="008E0C88" w:rsidRDefault="00B331CC">
      <w:pPr>
        <w:keepLines w:val="0"/>
        <w:widowControl/>
        <w:spacing w:before="0" w:after="120"/>
        <w:jc w:val="left"/>
      </w:pPr>
      <w:r>
        <w:t>Cyril L’Orphelin : 2 PM</w:t>
      </w:r>
    </w:p>
    <w:p w14:paraId="1B0E42D7" w14:textId="3E2B0584" w:rsidR="008E0C88" w:rsidRDefault="00B331CC" w:rsidP="00D75497">
      <w:pPr>
        <w:keepLines w:val="0"/>
        <w:widowControl/>
        <w:spacing w:before="0" w:after="120"/>
        <w:jc w:val="left"/>
      </w:pPr>
      <w:r>
        <w:t xml:space="preserve">Pierre </w:t>
      </w:r>
      <w:proofErr w:type="spellStart"/>
      <w:r>
        <w:t>Frebault</w:t>
      </w:r>
      <w:proofErr w:type="spellEnd"/>
      <w:r>
        <w:t xml:space="preserve"> : 6 PM</w:t>
      </w:r>
      <w:bookmarkStart w:id="3" w:name="h.3znysh7" w:colFirst="0" w:colLast="0"/>
      <w:bookmarkEnd w:id="3"/>
    </w:p>
    <w:p w14:paraId="55D79027" w14:textId="77777777" w:rsidR="00D75497" w:rsidRDefault="00D75497" w:rsidP="00D75497">
      <w:pPr>
        <w:keepLines w:val="0"/>
        <w:widowControl/>
        <w:spacing w:before="0" w:after="120"/>
        <w:jc w:val="left"/>
      </w:pPr>
    </w:p>
    <w:p w14:paraId="46EF45D9" w14:textId="77777777" w:rsidR="008E0C88" w:rsidRPr="00D75497" w:rsidRDefault="00B331CC">
      <w:pPr>
        <w:pStyle w:val="Titre1"/>
        <w:numPr>
          <w:ilvl w:val="0"/>
          <w:numId w:val="2"/>
        </w:numPr>
        <w:rPr>
          <w:lang w:val="en-US"/>
        </w:rPr>
      </w:pPr>
      <w:r w:rsidRPr="00D75497">
        <w:rPr>
          <w:lang w:val="en-US"/>
        </w:rPr>
        <w:t>GENERAL OVERVIEW OF ACTIVITY IN THE PERIOD</w:t>
      </w:r>
    </w:p>
    <w:p w14:paraId="3742055D" w14:textId="2A5C0A71" w:rsidR="008E0C88" w:rsidRPr="00D75497" w:rsidRDefault="368C8601" w:rsidP="368C8601">
      <w:pPr>
        <w:spacing w:after="120"/>
        <w:rPr>
          <w:lang w:val="en-US"/>
        </w:rPr>
      </w:pPr>
      <w:r w:rsidRPr="00D75497">
        <w:rPr>
          <w:lang w:val="en-US"/>
        </w:rPr>
        <w:t>No problems encountered during the period. Only minor disruptions and planned intervention either for the portal release either for upgrades on the CCIN2P3 infrastructure.</w:t>
      </w:r>
    </w:p>
    <w:p w14:paraId="5F682CAE" w14:textId="0B8787D1" w:rsidR="008E0C88" w:rsidRPr="00D75497" w:rsidRDefault="00D75497" w:rsidP="6F300F1E">
      <w:pPr>
        <w:spacing w:after="120"/>
        <w:jc w:val="left"/>
        <w:rPr>
          <w:lang w:val="en-US"/>
        </w:rPr>
      </w:pPr>
      <w:r w:rsidRPr="00D75497">
        <w:rPr>
          <w:szCs w:val="22"/>
          <w:lang w:val="en-US"/>
        </w:rPr>
        <w:t>Moreover to</w:t>
      </w:r>
      <w:r w:rsidR="368C8601" w:rsidRPr="00D75497">
        <w:rPr>
          <w:szCs w:val="22"/>
          <w:lang w:val="en-US"/>
        </w:rPr>
        <w:t xml:space="preserve"> improve </w:t>
      </w:r>
      <w:r w:rsidRPr="00D75497">
        <w:rPr>
          <w:szCs w:val="22"/>
          <w:lang w:val="en-US"/>
        </w:rPr>
        <w:t>the quality</w:t>
      </w:r>
      <w:r>
        <w:rPr>
          <w:szCs w:val="22"/>
          <w:lang w:val="en-US"/>
        </w:rPr>
        <w:t xml:space="preserve"> of the softwa</w:t>
      </w:r>
      <w:r w:rsidR="368C8601" w:rsidRPr="00D75497">
        <w:rPr>
          <w:szCs w:val="22"/>
          <w:lang w:val="en-US"/>
        </w:rPr>
        <w:t>re we have worked closely with EGI to satisfy the needs of the user and to test the release in advance.</w:t>
      </w:r>
      <w:r w:rsidR="00B331CC" w:rsidRPr="00D75497">
        <w:rPr>
          <w:lang w:val="en-US"/>
        </w:rPr>
        <w:br/>
      </w:r>
      <w:r w:rsidR="368C8601" w:rsidRPr="00D75497">
        <w:rPr>
          <w:szCs w:val="22"/>
          <w:lang w:val="en-US"/>
        </w:rPr>
        <w:t xml:space="preserve"> We have put in place several measures to follow the instructions for the operational tools (</w:t>
      </w:r>
      <w:hyperlink r:id="rId17">
        <w:r w:rsidR="368C8601" w:rsidRPr="00D75497">
          <w:rPr>
            <w:rStyle w:val="Lienhypertexte"/>
            <w:szCs w:val="22"/>
            <w:lang w:val="en-US"/>
          </w:rPr>
          <w:t>https://wiki.egi.eu/wiki/Instructions_for_Production_Tools_teams</w:t>
        </w:r>
      </w:hyperlink>
      <w:r w:rsidRPr="00D75497">
        <w:rPr>
          <w:szCs w:val="22"/>
          <w:lang w:val="en-US"/>
        </w:rPr>
        <w:t>).</w:t>
      </w:r>
    </w:p>
    <w:p w14:paraId="3A24EF6A" w14:textId="5653E374" w:rsidR="008E0C88" w:rsidRPr="00D75497" w:rsidRDefault="368C8601" w:rsidP="6F300F1E">
      <w:pPr>
        <w:spacing w:after="120"/>
        <w:jc w:val="left"/>
        <w:rPr>
          <w:lang w:val="en-US"/>
        </w:rPr>
      </w:pPr>
      <w:r w:rsidRPr="00D75497">
        <w:rPr>
          <w:szCs w:val="22"/>
          <w:lang w:val="en-US"/>
        </w:rPr>
        <w:t>We have especially put effort on the release process (</w:t>
      </w:r>
      <w:hyperlink r:id="rId18" w:anchor="Change.2C_Release_and_Deployment">
        <w:r w:rsidRPr="00D75497">
          <w:rPr>
            <w:rStyle w:val="Lienhypertexte"/>
            <w:szCs w:val="22"/>
            <w:lang w:val="en-US"/>
          </w:rPr>
          <w:t>https://wiki.egi.eu/wiki/Operations_Portal#Change.2C_Release_and_Deployment</w:t>
        </w:r>
      </w:hyperlink>
      <w:r w:rsidR="00D75497" w:rsidRPr="00D75497">
        <w:rPr>
          <w:szCs w:val="22"/>
          <w:lang w:val="en-US"/>
        </w:rPr>
        <w:t>).</w:t>
      </w:r>
    </w:p>
    <w:p w14:paraId="4261D2A8" w14:textId="77777777" w:rsidR="008E0C88" w:rsidRPr="00D75497" w:rsidRDefault="008E0C88">
      <w:pPr>
        <w:spacing w:after="120"/>
        <w:rPr>
          <w:lang w:val="en-US"/>
        </w:rPr>
      </w:pPr>
    </w:p>
    <w:p w14:paraId="28355886" w14:textId="77777777" w:rsidR="008E0C88" w:rsidRDefault="00B331CC">
      <w:pPr>
        <w:pStyle w:val="Titre1"/>
        <w:numPr>
          <w:ilvl w:val="0"/>
          <w:numId w:val="2"/>
        </w:numPr>
      </w:pPr>
      <w:r>
        <w:t>PERFORMANCE AGAINST SERVICE TARGETS</w:t>
      </w:r>
    </w:p>
    <w:p w14:paraId="0779FDC0" w14:textId="77777777" w:rsidR="008E0C88" w:rsidRDefault="008E0C88"/>
    <w:p w14:paraId="28A600E9" w14:textId="77777777" w:rsidR="008E0C88" w:rsidRPr="00D75497" w:rsidRDefault="00B331CC">
      <w:pPr>
        <w:rPr>
          <w:lang w:val="en-US"/>
        </w:rPr>
      </w:pPr>
      <w:r w:rsidRPr="00D75497">
        <w:rPr>
          <w:lang w:val="en-US"/>
        </w:rPr>
        <w:t>The following table shows performance against targets:</w:t>
      </w:r>
    </w:p>
    <w:p w14:paraId="0B981719" w14:textId="77777777" w:rsidR="008E0C88" w:rsidRPr="00D75497" w:rsidRDefault="008E0C88">
      <w:pPr>
        <w:rPr>
          <w:lang w:val="en-US"/>
        </w:rPr>
      </w:pPr>
    </w:p>
    <w:tbl>
      <w:tblPr>
        <w:tblStyle w:val="a0"/>
        <w:tblW w:w="951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75"/>
        <w:gridCol w:w="1320"/>
        <w:gridCol w:w="1230"/>
        <w:gridCol w:w="1230"/>
        <w:gridCol w:w="945"/>
        <w:gridCol w:w="945"/>
        <w:gridCol w:w="945"/>
      </w:tblGrid>
      <w:tr w:rsidR="008E0C88" w14:paraId="5949C536" w14:textId="77777777">
        <w:tc>
          <w:tcPr>
            <w:tcW w:w="1620" w:type="dxa"/>
          </w:tcPr>
          <w:p w14:paraId="3ADCF0EB" w14:textId="77777777" w:rsidR="008E0C88" w:rsidRDefault="00B331CC">
            <w:pPr>
              <w:jc w:val="left"/>
            </w:pPr>
            <w:r>
              <w:rPr>
                <w:b/>
              </w:rPr>
              <w:t xml:space="preserve">Service </w:t>
            </w: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parameter</w:t>
            </w:r>
            <w:proofErr w:type="spellEnd"/>
          </w:p>
        </w:tc>
        <w:tc>
          <w:tcPr>
            <w:tcW w:w="1275" w:type="dxa"/>
          </w:tcPr>
          <w:p w14:paraId="22EA1A4C" w14:textId="77777777" w:rsidR="008E0C88" w:rsidRDefault="00B331CC">
            <w:r>
              <w:rPr>
                <w:b/>
              </w:rPr>
              <w:t>Target</w:t>
            </w:r>
          </w:p>
          <w:p w14:paraId="206C4409" w14:textId="77777777" w:rsidR="008E0C88" w:rsidRDefault="008E0C88"/>
        </w:tc>
        <w:tc>
          <w:tcPr>
            <w:tcW w:w="1320" w:type="dxa"/>
          </w:tcPr>
          <w:p w14:paraId="64729B74" w14:textId="77777777" w:rsidR="008E0C88" w:rsidRDefault="00B331CC">
            <w:pPr>
              <w:jc w:val="left"/>
            </w:pPr>
            <w:r>
              <w:rPr>
                <w:b/>
              </w:rPr>
              <w:t xml:space="preserve">M1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  <w:tc>
          <w:tcPr>
            <w:tcW w:w="1230" w:type="dxa"/>
          </w:tcPr>
          <w:p w14:paraId="59F49500" w14:textId="77777777" w:rsidR="008E0C88" w:rsidRDefault="00B331CC">
            <w:pPr>
              <w:jc w:val="left"/>
            </w:pPr>
            <w:r>
              <w:rPr>
                <w:b/>
              </w:rPr>
              <w:t xml:space="preserve">M2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  <w:tc>
          <w:tcPr>
            <w:tcW w:w="1230" w:type="dxa"/>
          </w:tcPr>
          <w:p w14:paraId="15B94153" w14:textId="77777777" w:rsidR="008E0C88" w:rsidRDefault="00B331CC">
            <w:pPr>
              <w:jc w:val="left"/>
            </w:pPr>
            <w:r>
              <w:rPr>
                <w:b/>
              </w:rPr>
              <w:t xml:space="preserve">M3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  <w:tc>
          <w:tcPr>
            <w:tcW w:w="945" w:type="dxa"/>
          </w:tcPr>
          <w:p w14:paraId="241B701E" w14:textId="77777777" w:rsidR="008E0C88" w:rsidRDefault="00B331CC">
            <w:pPr>
              <w:jc w:val="left"/>
            </w:pPr>
            <w:r>
              <w:rPr>
                <w:b/>
              </w:rPr>
              <w:t xml:space="preserve">M4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  <w:tc>
          <w:tcPr>
            <w:tcW w:w="945" w:type="dxa"/>
          </w:tcPr>
          <w:p w14:paraId="72A9BE5E" w14:textId="77777777" w:rsidR="008E0C88" w:rsidRDefault="00B331CC">
            <w:pPr>
              <w:jc w:val="left"/>
            </w:pPr>
            <w:r>
              <w:rPr>
                <w:b/>
              </w:rPr>
              <w:t xml:space="preserve">M5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  <w:tc>
          <w:tcPr>
            <w:tcW w:w="945" w:type="dxa"/>
          </w:tcPr>
          <w:p w14:paraId="749E923B" w14:textId="77777777" w:rsidR="008E0C88" w:rsidRDefault="00B331CC">
            <w:pPr>
              <w:jc w:val="left"/>
            </w:pPr>
            <w:r>
              <w:rPr>
                <w:b/>
              </w:rPr>
              <w:t xml:space="preserve">M6 </w:t>
            </w:r>
            <w:proofErr w:type="spellStart"/>
            <w:r>
              <w:rPr>
                <w:b/>
              </w:rPr>
              <w:t>average</w:t>
            </w:r>
            <w:proofErr w:type="spellEnd"/>
          </w:p>
        </w:tc>
      </w:tr>
      <w:tr w:rsidR="008E0C88" w14:paraId="6E52D593" w14:textId="77777777">
        <w:tc>
          <w:tcPr>
            <w:tcW w:w="1620" w:type="dxa"/>
          </w:tcPr>
          <w:p w14:paraId="051D073A" w14:textId="77777777" w:rsidR="008E0C88" w:rsidRDefault="00B331CC">
            <w:pPr>
              <w:jc w:val="left"/>
            </w:pPr>
            <w:proofErr w:type="spellStart"/>
            <w:r>
              <w:t>Availability</w:t>
            </w:r>
            <w:proofErr w:type="spellEnd"/>
          </w:p>
        </w:tc>
        <w:tc>
          <w:tcPr>
            <w:tcW w:w="1275" w:type="dxa"/>
          </w:tcPr>
          <w:p w14:paraId="0C396655" w14:textId="77777777" w:rsidR="008E0C88" w:rsidRDefault="00B331CC">
            <w:r>
              <w:t>99</w:t>
            </w:r>
          </w:p>
        </w:tc>
        <w:tc>
          <w:tcPr>
            <w:tcW w:w="1320" w:type="dxa"/>
          </w:tcPr>
          <w:p w14:paraId="37558B63" w14:textId="77777777" w:rsidR="008E0C88" w:rsidRDefault="00B331CC">
            <w:r>
              <w:t>99.94</w:t>
            </w:r>
          </w:p>
        </w:tc>
        <w:tc>
          <w:tcPr>
            <w:tcW w:w="1230" w:type="dxa"/>
          </w:tcPr>
          <w:p w14:paraId="393BE30D" w14:textId="77777777" w:rsidR="008E0C88" w:rsidRDefault="00B331CC">
            <w:r>
              <w:t>99.37</w:t>
            </w:r>
          </w:p>
        </w:tc>
        <w:tc>
          <w:tcPr>
            <w:tcW w:w="1230" w:type="dxa"/>
          </w:tcPr>
          <w:p w14:paraId="741B37C1" w14:textId="77777777" w:rsidR="008E0C88" w:rsidRDefault="00B331CC">
            <w:r>
              <w:t>99.92</w:t>
            </w:r>
          </w:p>
        </w:tc>
        <w:tc>
          <w:tcPr>
            <w:tcW w:w="945" w:type="dxa"/>
          </w:tcPr>
          <w:p w14:paraId="4896BD39" w14:textId="77777777" w:rsidR="008E0C88" w:rsidRDefault="00B331CC">
            <w:r>
              <w:t>99.98</w:t>
            </w:r>
          </w:p>
        </w:tc>
        <w:tc>
          <w:tcPr>
            <w:tcW w:w="945" w:type="dxa"/>
          </w:tcPr>
          <w:p w14:paraId="4D2D0986" w14:textId="77777777" w:rsidR="008E0C88" w:rsidRDefault="00B331CC">
            <w:r>
              <w:t>99.41</w:t>
            </w:r>
          </w:p>
        </w:tc>
        <w:tc>
          <w:tcPr>
            <w:tcW w:w="945" w:type="dxa"/>
          </w:tcPr>
          <w:p w14:paraId="734C17FE" w14:textId="77777777" w:rsidR="008E0C88" w:rsidRDefault="00B331CC">
            <w:r>
              <w:t>99.93</w:t>
            </w:r>
          </w:p>
        </w:tc>
      </w:tr>
      <w:tr w:rsidR="008E0C88" w14:paraId="0851F190" w14:textId="77777777">
        <w:tc>
          <w:tcPr>
            <w:tcW w:w="1620" w:type="dxa"/>
          </w:tcPr>
          <w:p w14:paraId="4FF88023" w14:textId="77777777" w:rsidR="008E0C88" w:rsidRDefault="00B331CC">
            <w:pPr>
              <w:jc w:val="left"/>
            </w:pPr>
            <w:proofErr w:type="spellStart"/>
            <w:r>
              <w:t>Reliability</w:t>
            </w:r>
            <w:proofErr w:type="spellEnd"/>
          </w:p>
        </w:tc>
        <w:tc>
          <w:tcPr>
            <w:tcW w:w="1275" w:type="dxa"/>
          </w:tcPr>
          <w:p w14:paraId="70FCC190" w14:textId="77777777" w:rsidR="008E0C88" w:rsidRDefault="00B331CC">
            <w:r>
              <w:t>99</w:t>
            </w:r>
          </w:p>
        </w:tc>
        <w:tc>
          <w:tcPr>
            <w:tcW w:w="1320" w:type="dxa"/>
          </w:tcPr>
          <w:p w14:paraId="042CE08D" w14:textId="77777777" w:rsidR="008E0C88" w:rsidRDefault="00B331CC">
            <w:r>
              <w:t>99.94</w:t>
            </w:r>
          </w:p>
        </w:tc>
        <w:tc>
          <w:tcPr>
            <w:tcW w:w="1230" w:type="dxa"/>
          </w:tcPr>
          <w:p w14:paraId="0A0BAA06" w14:textId="77777777" w:rsidR="008E0C88" w:rsidRDefault="00B331CC">
            <w:r>
              <w:t>99.84</w:t>
            </w:r>
          </w:p>
        </w:tc>
        <w:tc>
          <w:tcPr>
            <w:tcW w:w="1230" w:type="dxa"/>
          </w:tcPr>
          <w:p w14:paraId="2511AD2D" w14:textId="77777777" w:rsidR="008E0C88" w:rsidRDefault="00B331CC">
            <w:r>
              <w:t>99.92</w:t>
            </w:r>
          </w:p>
        </w:tc>
        <w:tc>
          <w:tcPr>
            <w:tcW w:w="945" w:type="dxa"/>
          </w:tcPr>
          <w:p w14:paraId="61D29025" w14:textId="77777777" w:rsidR="008E0C88" w:rsidRDefault="00B331CC">
            <w:r>
              <w:t>99.98</w:t>
            </w:r>
          </w:p>
        </w:tc>
        <w:tc>
          <w:tcPr>
            <w:tcW w:w="945" w:type="dxa"/>
          </w:tcPr>
          <w:p w14:paraId="383FFEDA" w14:textId="77777777" w:rsidR="008E0C88" w:rsidRDefault="00B331CC">
            <w:r>
              <w:t>99.95</w:t>
            </w:r>
          </w:p>
        </w:tc>
        <w:tc>
          <w:tcPr>
            <w:tcW w:w="945" w:type="dxa"/>
          </w:tcPr>
          <w:p w14:paraId="3A8A4E8D" w14:textId="77777777" w:rsidR="008E0C88" w:rsidRDefault="00B331CC">
            <w:r>
              <w:t>99.93</w:t>
            </w:r>
          </w:p>
        </w:tc>
      </w:tr>
      <w:tr w:rsidR="008E0C88" w14:paraId="2A1D1B86" w14:textId="77777777">
        <w:tc>
          <w:tcPr>
            <w:tcW w:w="1620" w:type="dxa"/>
          </w:tcPr>
          <w:p w14:paraId="61718DE4" w14:textId="77777777" w:rsidR="008E0C88" w:rsidRDefault="00B331CC">
            <w:pPr>
              <w:jc w:val="left"/>
            </w:pPr>
            <w:r>
              <w:t xml:space="preserve">Support </w:t>
            </w:r>
            <w:proofErr w:type="spellStart"/>
            <w:r>
              <w:t>priority</w:t>
            </w:r>
            <w:proofErr w:type="spellEnd"/>
          </w:p>
        </w:tc>
        <w:tc>
          <w:tcPr>
            <w:tcW w:w="1275" w:type="dxa"/>
          </w:tcPr>
          <w:p w14:paraId="046F1D43" w14:textId="77777777" w:rsidR="008E0C88" w:rsidRDefault="00B331CC">
            <w:r>
              <w:t>lu:3.32</w:t>
            </w:r>
          </w:p>
        </w:tc>
        <w:tc>
          <w:tcPr>
            <w:tcW w:w="1320" w:type="dxa"/>
          </w:tcPr>
          <w:p w14:paraId="1189EF4B" w14:textId="77777777" w:rsidR="008E0C88" w:rsidRDefault="00B331CC">
            <w:r>
              <w:t>lu:4.42</w:t>
            </w:r>
          </w:p>
          <w:p w14:paraId="4C3C16E1" w14:textId="77777777" w:rsidR="008E0C88" w:rsidRDefault="00B331CC">
            <w:r>
              <w:t>vu:0.09</w:t>
            </w:r>
          </w:p>
        </w:tc>
        <w:tc>
          <w:tcPr>
            <w:tcW w:w="1230" w:type="dxa"/>
          </w:tcPr>
          <w:p w14:paraId="5EB78A1A" w14:textId="77777777" w:rsidR="008E0C88" w:rsidRDefault="00B331CC">
            <w:r>
              <w:t>lu:0.34</w:t>
            </w:r>
          </w:p>
          <w:p w14:paraId="3C7B46A3" w14:textId="77777777" w:rsidR="008E0C88" w:rsidRDefault="00B331CC">
            <w:r>
              <w:t>vu:2.8</w:t>
            </w:r>
          </w:p>
        </w:tc>
        <w:tc>
          <w:tcPr>
            <w:tcW w:w="1230" w:type="dxa"/>
          </w:tcPr>
          <w:p w14:paraId="5D12F34F" w14:textId="77777777" w:rsidR="008E0C88" w:rsidRDefault="00B331CC">
            <w:r>
              <w:t>lu:0.36</w:t>
            </w:r>
          </w:p>
          <w:p w14:paraId="2A247A65" w14:textId="77777777" w:rsidR="008E0C88" w:rsidRDefault="00B331CC">
            <w:r>
              <w:t>vu:0.4</w:t>
            </w:r>
          </w:p>
        </w:tc>
        <w:tc>
          <w:tcPr>
            <w:tcW w:w="945" w:type="dxa"/>
          </w:tcPr>
          <w:p w14:paraId="79B34E45" w14:textId="77777777" w:rsidR="008E0C88" w:rsidRDefault="00B331CC">
            <w:r>
              <w:t>lu:0.52</w:t>
            </w:r>
          </w:p>
          <w:p w14:paraId="0E717F58" w14:textId="77777777" w:rsidR="008E0C88" w:rsidRDefault="00B331CC">
            <w:r>
              <w:t>vu:0.2</w:t>
            </w:r>
          </w:p>
        </w:tc>
        <w:tc>
          <w:tcPr>
            <w:tcW w:w="945" w:type="dxa"/>
          </w:tcPr>
          <w:p w14:paraId="2E212690" w14:textId="77777777" w:rsidR="008E0C88" w:rsidRDefault="00B331CC">
            <w:r>
              <w:t>lu:2.45</w:t>
            </w:r>
          </w:p>
        </w:tc>
        <w:tc>
          <w:tcPr>
            <w:tcW w:w="945" w:type="dxa"/>
          </w:tcPr>
          <w:p w14:paraId="27D966DA" w14:textId="77777777" w:rsidR="008E0C88" w:rsidRDefault="00B331CC">
            <w:r>
              <w:t>lu:1.91</w:t>
            </w:r>
          </w:p>
        </w:tc>
      </w:tr>
    </w:tbl>
    <w:p w14:paraId="3DA3C564" w14:textId="77777777" w:rsidR="008E0C88" w:rsidRPr="00D75497" w:rsidRDefault="00B331CC">
      <w:pPr>
        <w:pStyle w:val="Titre1"/>
        <w:numPr>
          <w:ilvl w:val="0"/>
          <w:numId w:val="2"/>
        </w:numPr>
        <w:rPr>
          <w:lang w:val="en-US"/>
        </w:rPr>
      </w:pPr>
      <w:bookmarkStart w:id="4" w:name="h.4rssnr9awujq" w:colFirst="0" w:colLast="0"/>
      <w:bookmarkStart w:id="5" w:name="h.3dy6vkm" w:colFirst="0" w:colLast="0"/>
      <w:bookmarkEnd w:id="4"/>
      <w:bookmarkEnd w:id="5"/>
      <w:r w:rsidRPr="00D75497">
        <w:rPr>
          <w:lang w:val="en-US"/>
        </w:rPr>
        <w:lastRenderedPageBreak/>
        <w:t>ISSUES ARISING IN THE PERIOD</w:t>
      </w:r>
    </w:p>
    <w:p w14:paraId="306321A2" w14:textId="77777777" w:rsidR="008E0C88" w:rsidRPr="00D75497" w:rsidRDefault="008E0C88">
      <w:pPr>
        <w:spacing w:after="120"/>
        <w:rPr>
          <w:lang w:val="en-US"/>
        </w:rPr>
      </w:pPr>
    </w:p>
    <w:p w14:paraId="2CBB6D43" w14:textId="77777777" w:rsidR="008E0C88" w:rsidRDefault="00B331CC">
      <w:pPr>
        <w:spacing w:after="120"/>
      </w:pPr>
      <w:r>
        <w:rPr>
          <w:i/>
        </w:rPr>
        <w:t>N.A</w:t>
      </w:r>
    </w:p>
    <w:p w14:paraId="41D23E9F" w14:textId="77777777" w:rsidR="008E0C88" w:rsidRDefault="008E0C88">
      <w:bookmarkStart w:id="6" w:name="h.1t3h5sf" w:colFirst="0" w:colLast="0"/>
      <w:bookmarkEnd w:id="6"/>
    </w:p>
    <w:p w14:paraId="3112B13C" w14:textId="77777777" w:rsidR="008E0C88" w:rsidRDefault="00B331CC">
      <w:pPr>
        <w:pStyle w:val="Titre1"/>
        <w:numPr>
          <w:ilvl w:val="0"/>
          <w:numId w:val="2"/>
        </w:numPr>
      </w:pPr>
      <w:r>
        <w:t xml:space="preserve">MEASURES PLANNED </w:t>
      </w:r>
    </w:p>
    <w:p w14:paraId="2C96F59C" w14:textId="77777777" w:rsidR="008E0C88" w:rsidRDefault="008E0C88"/>
    <w:p w14:paraId="79CB156E" w14:textId="65C9E42B" w:rsidR="008E0C88" w:rsidRDefault="368C8601" w:rsidP="368C8601">
      <w:pPr>
        <w:spacing w:after="120"/>
      </w:pPr>
      <w:r w:rsidRPr="368C8601">
        <w:rPr>
          <w:i/>
          <w:iCs/>
        </w:rPr>
        <w:t>N.A</w:t>
      </w:r>
    </w:p>
    <w:p w14:paraId="142DE5C1" w14:textId="3825EF5E" w:rsidR="008E0C88" w:rsidRDefault="00B331CC">
      <w:bookmarkStart w:id="7" w:name="_GoBack"/>
      <w:bookmarkEnd w:id="7"/>
      <w:r>
        <w:rPr>
          <w:i/>
        </w:rPr>
        <w:t xml:space="preserve">  </w:t>
      </w:r>
    </w:p>
    <w:p w14:paraId="20540F59" w14:textId="77777777" w:rsidR="008E0C88" w:rsidRDefault="00B331CC">
      <w:pPr>
        <w:pStyle w:val="Titre1"/>
        <w:numPr>
          <w:ilvl w:val="0"/>
          <w:numId w:val="2"/>
        </w:numPr>
      </w:pPr>
      <w:bookmarkStart w:id="8" w:name="h.4d34og8" w:colFirst="0" w:colLast="0"/>
      <w:bookmarkEnd w:id="8"/>
      <w:r>
        <w:t xml:space="preserve"> FORESEEN ACTIVITIES AND CHANGES </w:t>
      </w:r>
    </w:p>
    <w:p w14:paraId="3B9F96F5" w14:textId="77777777" w:rsidR="008E0C88" w:rsidRDefault="00B331CC">
      <w:pPr>
        <w:spacing w:after="120"/>
      </w:pPr>
      <w:r>
        <w:tab/>
        <w:t xml:space="preserve"> </w:t>
      </w:r>
      <w:r>
        <w:tab/>
        <w:t xml:space="preserve"> </w:t>
      </w:r>
      <w:r>
        <w:tab/>
      </w:r>
    </w:p>
    <w:p w14:paraId="684D03A5" w14:textId="77777777" w:rsidR="008E0C88" w:rsidRPr="00D75497" w:rsidRDefault="00B331CC">
      <w:pPr>
        <w:spacing w:after="120"/>
        <w:rPr>
          <w:lang w:val="en-US"/>
        </w:rPr>
      </w:pPr>
      <w:r w:rsidRPr="00D75497">
        <w:rPr>
          <w:lang w:val="en-US"/>
        </w:rPr>
        <w:t>Except the regular releases and the scheduled maintenance of the infrastructure we don’t see major issues to follow the OLA.</w:t>
      </w:r>
    </w:p>
    <w:p w14:paraId="36B0105E" w14:textId="77777777" w:rsidR="008E0C88" w:rsidRPr="00D75497" w:rsidRDefault="00B331CC">
      <w:pPr>
        <w:rPr>
          <w:lang w:val="en-US"/>
        </w:rPr>
      </w:pPr>
      <w:r w:rsidRPr="00D75497">
        <w:rPr>
          <w:lang w:val="en-US"/>
        </w:rPr>
        <w:t>We will continue to ensure and enforce the daily operations and support in order to minimize the duration and the impact of eventua</w:t>
      </w:r>
      <w:r w:rsidRPr="00D75497">
        <w:rPr>
          <w:lang w:val="en-US"/>
        </w:rPr>
        <w:t>l disruptions and downtimes.</w:t>
      </w:r>
    </w:p>
    <w:p w14:paraId="18DE7046" w14:textId="644F6B63" w:rsidR="008E0C88" w:rsidRPr="00D75497" w:rsidRDefault="00B331CC">
      <w:pPr>
        <w:rPr>
          <w:lang w:val="en-US"/>
        </w:rPr>
      </w:pPr>
      <w:r w:rsidRPr="00D75497">
        <w:rPr>
          <w:lang w:val="en-US"/>
        </w:rPr>
        <w:br/>
        <w:t xml:space="preserve">Moreover we will continue to work closely with EGI.eu to ensure that the portal is </w:t>
      </w:r>
      <w:r w:rsidR="00D75497" w:rsidRPr="00D75497">
        <w:rPr>
          <w:lang w:val="en-US"/>
        </w:rPr>
        <w:t>satisfying the</w:t>
      </w:r>
      <w:r w:rsidRPr="00D75497">
        <w:rPr>
          <w:lang w:val="en-US"/>
        </w:rPr>
        <w:t xml:space="preserve"> user's </w:t>
      </w:r>
      <w:r w:rsidR="00D75497" w:rsidRPr="00D75497">
        <w:rPr>
          <w:lang w:val="en-US"/>
        </w:rPr>
        <w:t>need.</w:t>
      </w:r>
    </w:p>
    <w:p w14:paraId="7B5A96DB" w14:textId="77777777" w:rsidR="008E0C88" w:rsidRPr="00D75497" w:rsidRDefault="008E0C88">
      <w:pPr>
        <w:rPr>
          <w:lang w:val="en-US"/>
        </w:rPr>
      </w:pPr>
    </w:p>
    <w:sectPr w:rsidR="008E0C88" w:rsidRPr="00D75497" w:rsidSect="00D7549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61" w:right="1418" w:bottom="1418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DD091" w14:textId="77777777" w:rsidR="00B331CC" w:rsidRDefault="00B331CC">
      <w:pPr>
        <w:spacing w:before="0" w:after="0"/>
      </w:pPr>
      <w:r>
        <w:separator/>
      </w:r>
    </w:p>
  </w:endnote>
  <w:endnote w:type="continuationSeparator" w:id="0">
    <w:p w14:paraId="46147173" w14:textId="77777777" w:rsidR="00B331CC" w:rsidRDefault="00B33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49626" w14:textId="77777777" w:rsidR="008E0C88" w:rsidRDefault="008E0C88">
    <w:pPr>
      <w:tabs>
        <w:tab w:val="center" w:pos="4320"/>
        <w:tab w:val="right" w:pos="8640"/>
      </w:tabs>
    </w:pPr>
  </w:p>
  <w:tbl>
    <w:tblPr>
      <w:tblStyle w:val="a2"/>
      <w:tblW w:w="9142" w:type="dxa"/>
      <w:tblInd w:w="-70" w:type="dxa"/>
      <w:tblLayout w:type="fixed"/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8E0C88" w14:paraId="5B2EF2C5" w14:textId="77777777">
      <w:trPr>
        <w:trHeight w:val="1020"/>
      </w:trPr>
      <w:tc>
        <w:tcPr>
          <w:tcW w:w="2764" w:type="dxa"/>
          <w:tcBorders>
            <w:top w:val="single" w:sz="8" w:space="0" w:color="000080"/>
          </w:tcBorders>
        </w:tcPr>
        <w:p w14:paraId="79FE5497" w14:textId="77777777" w:rsidR="008E0C88" w:rsidRDefault="00B331CC">
          <w:pPr>
            <w:tabs>
              <w:tab w:val="center" w:pos="4320"/>
              <w:tab w:val="right" w:pos="8640"/>
            </w:tabs>
            <w:spacing w:after="708"/>
          </w:pPr>
          <w:r>
            <w:rPr>
              <w:noProof/>
            </w:rPr>
            <w:drawing>
              <wp:inline distT="0" distB="0" distL="114300" distR="114300" wp14:anchorId="7E36D06B" wp14:editId="07777777">
                <wp:extent cx="672465" cy="530225"/>
                <wp:effectExtent l="0" t="0" r="0" b="0"/>
                <wp:docPr id="5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" cy="530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1138307A" w14:textId="77777777" w:rsidR="008E0C88" w:rsidRDefault="00B331CC">
          <w:pPr>
            <w:tabs>
              <w:tab w:val="left" w:pos="1454"/>
              <w:tab w:val="center" w:pos="1843"/>
            </w:tabs>
            <w:jc w:val="left"/>
          </w:pPr>
          <w:r>
            <w:rPr>
              <w:sz w:val="18"/>
            </w:rPr>
            <w:tab/>
          </w:r>
        </w:p>
        <w:p w14:paraId="702F74F8" w14:textId="77777777" w:rsidR="008E0C88" w:rsidRDefault="00B331CC">
          <w:pPr>
            <w:tabs>
              <w:tab w:val="left" w:pos="1454"/>
              <w:tab w:val="center" w:pos="1843"/>
            </w:tabs>
            <w:spacing w:after="708"/>
            <w:jc w:val="center"/>
          </w:pPr>
          <w:r>
            <w:rPr>
              <w:sz w:val="18"/>
            </w:rPr>
            <w:t>© EGI.eu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5CC8E648" w14:textId="77777777" w:rsidR="008E0C88" w:rsidRDefault="008E0C88">
          <w:pPr>
            <w:tabs>
              <w:tab w:val="center" w:pos="4320"/>
              <w:tab w:val="right" w:pos="8640"/>
            </w:tabs>
            <w:jc w:val="center"/>
          </w:pPr>
        </w:p>
        <w:p w14:paraId="38E0F058" w14:textId="77777777" w:rsidR="008E0C88" w:rsidRDefault="00B331CC">
          <w:pPr>
            <w:tabs>
              <w:tab w:val="center" w:pos="4320"/>
              <w:tab w:val="right" w:pos="8640"/>
            </w:tabs>
            <w:spacing w:after="708"/>
          </w:pPr>
          <w: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2D81DC3A" w14:textId="77777777" w:rsidR="008E0C88" w:rsidRDefault="008E0C88">
          <w:pPr>
            <w:tabs>
              <w:tab w:val="center" w:pos="4320"/>
              <w:tab w:val="right" w:pos="8640"/>
            </w:tabs>
            <w:jc w:val="right"/>
          </w:pPr>
        </w:p>
        <w:p w14:paraId="7ADA44BF" w14:textId="77777777" w:rsidR="008E0C88" w:rsidRDefault="00B331CC">
          <w:pPr>
            <w:tabs>
              <w:tab w:val="center" w:pos="4320"/>
              <w:tab w:val="right" w:pos="8640"/>
            </w:tabs>
            <w:spacing w:after="708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A14C1">
            <w:rPr>
              <w:noProof/>
            </w:rPr>
            <w:t>4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A14C1">
            <w:rPr>
              <w:noProof/>
            </w:rPr>
            <w:t>4</w:t>
          </w:r>
          <w:r>
            <w:fldChar w:fldCharType="end"/>
          </w:r>
        </w:p>
      </w:tc>
    </w:tr>
  </w:tbl>
  <w:p w14:paraId="5C28EFBD" w14:textId="77777777" w:rsidR="008E0C88" w:rsidRDefault="008E0C88">
    <w:pPr>
      <w:tabs>
        <w:tab w:val="center" w:pos="4320"/>
        <w:tab w:val="right" w:pos="8640"/>
      </w:tabs>
      <w:spacing w:after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0B4F" w14:textId="77777777" w:rsidR="008E0C88" w:rsidRDefault="008E0C88">
    <w:pPr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66005" w14:textId="77777777" w:rsidR="00B331CC" w:rsidRDefault="00B331CC">
      <w:pPr>
        <w:spacing w:before="0" w:after="0"/>
      </w:pPr>
      <w:r>
        <w:separator/>
      </w:r>
    </w:p>
  </w:footnote>
  <w:footnote w:type="continuationSeparator" w:id="0">
    <w:p w14:paraId="6CF6CF60" w14:textId="77777777" w:rsidR="00B331CC" w:rsidRDefault="00B33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36EF3" w14:textId="77777777" w:rsidR="008E0C88" w:rsidRDefault="008E0C88">
    <w:pPr>
      <w:keepLines w:val="0"/>
      <w:spacing w:before="0" w:after="0" w:line="276" w:lineRule="auto"/>
      <w:jc w:val="left"/>
    </w:pPr>
  </w:p>
  <w:tbl>
    <w:tblPr>
      <w:tblStyle w:val="a1"/>
      <w:tblW w:w="9410" w:type="dxa"/>
      <w:tblInd w:w="-108" w:type="dxa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8E0C88" w14:paraId="3EBB8A2E" w14:textId="77777777">
      <w:trPr>
        <w:trHeight w:val="1120"/>
      </w:trPr>
      <w:tc>
        <w:tcPr>
          <w:tcW w:w="2404" w:type="dxa"/>
        </w:tcPr>
        <w:p w14:paraId="452AF16E" w14:textId="77777777" w:rsidR="008E0C88" w:rsidRDefault="008E0C88">
          <w:pPr>
            <w:tabs>
              <w:tab w:val="right" w:pos="9072"/>
            </w:tabs>
            <w:spacing w:before="708"/>
            <w:jc w:val="left"/>
          </w:pPr>
        </w:p>
      </w:tc>
      <w:tc>
        <w:tcPr>
          <w:tcW w:w="3673" w:type="dxa"/>
        </w:tcPr>
        <w:p w14:paraId="60788AB5" w14:textId="77777777" w:rsidR="008E0C88" w:rsidRDefault="008E0C88">
          <w:pPr>
            <w:tabs>
              <w:tab w:val="right" w:pos="9072"/>
            </w:tabs>
            <w:spacing w:before="708"/>
            <w:jc w:val="center"/>
          </w:pPr>
        </w:p>
      </w:tc>
      <w:tc>
        <w:tcPr>
          <w:tcW w:w="3333" w:type="dxa"/>
        </w:tcPr>
        <w:p w14:paraId="32777730" w14:textId="77777777" w:rsidR="008E0C88" w:rsidRDefault="008E0C88">
          <w:pPr>
            <w:tabs>
              <w:tab w:val="right" w:pos="9072"/>
            </w:tabs>
            <w:spacing w:before="708"/>
            <w:jc w:val="right"/>
          </w:pPr>
        </w:p>
      </w:tc>
    </w:tr>
  </w:tbl>
  <w:p w14:paraId="3358FC2C" w14:textId="77777777" w:rsidR="008E0C88" w:rsidRDefault="008E0C88">
    <w:pPr>
      <w:tabs>
        <w:tab w:val="center" w:pos="4320"/>
        <w:tab w:val="right" w:pos="8640"/>
      </w:tabs>
      <w:spacing w:befor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BD5C" w14:textId="77777777" w:rsidR="008E0C88" w:rsidRDefault="008E0C88">
    <w:pPr>
      <w:spacing w:befor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7F75"/>
    <w:multiLevelType w:val="multilevel"/>
    <w:tmpl w:val="EA8CA8FA"/>
    <w:lvl w:ilvl="0">
      <w:start w:val="1"/>
      <w:numFmt w:val="upperRoman"/>
      <w:lvlText w:val="%1."/>
      <w:lvlJc w:val="left"/>
      <w:pPr>
        <w:ind w:left="432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6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296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84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u w:val="none"/>
        <w:vertAlign w:val="baseline"/>
      </w:rPr>
    </w:lvl>
  </w:abstractNum>
  <w:abstractNum w:abstractNumId="1">
    <w:nsid w:val="7E1824E9"/>
    <w:multiLevelType w:val="multilevel"/>
    <w:tmpl w:val="64B02298"/>
    <w:lvl w:ilvl="0">
      <w:start w:val="1"/>
      <w:numFmt w:val="decimal"/>
      <w:lvlText w:val="%1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837" w:firstLine="32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6F300F1E"/>
    <w:rsid w:val="004A14C1"/>
    <w:rsid w:val="008E0C88"/>
    <w:rsid w:val="00B331CC"/>
    <w:rsid w:val="00D75497"/>
    <w:rsid w:val="368C8601"/>
    <w:rsid w:val="6F3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E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000000"/>
        <w:sz w:val="22"/>
        <w:lang w:val="fr-FR" w:eastAsia="fr-FR" w:bidi="ar-SA"/>
      </w:rPr>
    </w:rPrDefault>
    <w:pPrDefault>
      <w:pPr>
        <w:keepLines/>
        <w:widowControl w:val="0"/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ind w:left="431" w:hanging="431"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pPr>
      <w:keepNext/>
      <w:spacing w:before="240" w:after="60"/>
      <w:ind w:left="3837" w:hanging="576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b/>
      <w:sz w:val="26"/>
    </w:rPr>
  </w:style>
  <w:style w:type="paragraph" w:styleId="Titre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Cambria" w:eastAsia="Cambria" w:hAnsi="Cambria" w:cs="Cambria"/>
      <w:b/>
      <w:sz w:val="28"/>
    </w:rPr>
  </w:style>
  <w:style w:type="paragraph" w:styleId="Titre5">
    <w:name w:val="heading 5"/>
    <w:basedOn w:val="Normal"/>
    <w:next w:val="Normal"/>
    <w:pPr>
      <w:keepNext/>
      <w:spacing w:before="240" w:after="60"/>
      <w:ind w:left="1008" w:hanging="1008"/>
      <w:outlineLvl w:val="4"/>
    </w:pPr>
    <w:rPr>
      <w:rFonts w:ascii="Cambria" w:eastAsia="Cambria" w:hAnsi="Cambria" w:cs="Cambria"/>
      <w:b/>
      <w:i/>
      <w:sz w:val="26"/>
    </w:rPr>
  </w:style>
  <w:style w:type="paragraph" w:styleId="Titre6">
    <w:name w:val="heading 6"/>
    <w:basedOn w:val="Normal"/>
    <w:next w:val="Normal"/>
    <w:pPr>
      <w:keepNext/>
      <w:spacing w:before="240" w:after="60"/>
      <w:ind w:left="1152" w:hanging="1152"/>
      <w:outlineLvl w:val="5"/>
    </w:pPr>
    <w:rPr>
      <w:rFonts w:ascii="Cambria" w:eastAsia="Cambria" w:hAnsi="Cambria" w:cs="Cambri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4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549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5497"/>
  </w:style>
  <w:style w:type="paragraph" w:styleId="Pieddepage">
    <w:name w:val="footer"/>
    <w:basedOn w:val="Normal"/>
    <w:link w:val="PieddepageCar"/>
    <w:uiPriority w:val="99"/>
    <w:unhideWhenUsed/>
    <w:rsid w:val="00D7549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5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000000"/>
        <w:sz w:val="22"/>
        <w:lang w:val="fr-FR" w:eastAsia="fr-FR" w:bidi="ar-SA"/>
      </w:rPr>
    </w:rPrDefault>
    <w:pPrDefault>
      <w:pPr>
        <w:keepLines/>
        <w:widowControl w:val="0"/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ind w:left="431" w:hanging="431"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pPr>
      <w:keepNext/>
      <w:spacing w:before="240" w:after="60"/>
      <w:ind w:left="3837" w:hanging="576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b/>
      <w:sz w:val="26"/>
    </w:rPr>
  </w:style>
  <w:style w:type="paragraph" w:styleId="Titre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rFonts w:ascii="Cambria" w:eastAsia="Cambria" w:hAnsi="Cambria" w:cs="Cambria"/>
      <w:b/>
      <w:sz w:val="28"/>
    </w:rPr>
  </w:style>
  <w:style w:type="paragraph" w:styleId="Titre5">
    <w:name w:val="heading 5"/>
    <w:basedOn w:val="Normal"/>
    <w:next w:val="Normal"/>
    <w:pPr>
      <w:keepNext/>
      <w:spacing w:before="240" w:after="60"/>
      <w:ind w:left="1008" w:hanging="1008"/>
      <w:outlineLvl w:val="4"/>
    </w:pPr>
    <w:rPr>
      <w:rFonts w:ascii="Cambria" w:eastAsia="Cambria" w:hAnsi="Cambria" w:cs="Cambria"/>
      <w:b/>
      <w:i/>
      <w:sz w:val="26"/>
    </w:rPr>
  </w:style>
  <w:style w:type="paragraph" w:styleId="Titre6">
    <w:name w:val="heading 6"/>
    <w:basedOn w:val="Normal"/>
    <w:next w:val="Normal"/>
    <w:pPr>
      <w:keepNext/>
      <w:spacing w:before="240" w:after="60"/>
      <w:ind w:left="1152" w:hanging="1152"/>
      <w:outlineLvl w:val="5"/>
    </w:pPr>
    <w:rPr>
      <w:rFonts w:ascii="Cambria" w:eastAsia="Cambria" w:hAnsi="Cambria" w:cs="Cambri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4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549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5497"/>
  </w:style>
  <w:style w:type="paragraph" w:styleId="Pieddepage">
    <w:name w:val="footer"/>
    <w:basedOn w:val="Normal"/>
    <w:link w:val="PieddepageCar"/>
    <w:uiPriority w:val="99"/>
    <w:unhideWhenUsed/>
    <w:rsid w:val="00D7549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uments.egi.eu/document/2170" TargetMode="External"/><Relationship Id="rId18" Type="http://schemas.openxmlformats.org/officeDocument/2006/relationships/hyperlink" Target="https://wiki.egi.eu/wiki/Operations_Porta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documents.egi.eu/document/2170" TargetMode="External"/><Relationship Id="rId17" Type="http://schemas.openxmlformats.org/officeDocument/2006/relationships/hyperlink" Target="https://wiki.egi.eu/wiki/Instructions_for_Production_Tools_tea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/4.0/deed.en_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ril.lorphelin@cc.in2p3.f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@fitsm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yril.lorphelin@cc.in2p3.f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itsm.eu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265F-C2E2-4469-881D-1DFB4298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3454</Characters>
  <Application>Microsoft Office Word</Application>
  <DocSecurity>0</DocSecurity>
  <Lines>28</Lines>
  <Paragraphs>8</Paragraphs>
  <ScaleCrop>false</ScaleCrop>
  <Company>CCIN2P3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Sylvain Reynaud</cp:lastModifiedBy>
  <cp:revision>3</cp:revision>
  <dcterms:created xsi:type="dcterms:W3CDTF">2015-05-05T07:55:00Z</dcterms:created>
  <dcterms:modified xsi:type="dcterms:W3CDTF">2015-05-05T08:01:00Z</dcterms:modified>
</cp:coreProperties>
</file>