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bookmarkStart w:id="0" w:name="_GoBack"/>
      <w:bookmarkEnd w:id="0"/>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proofErr w:type="spellStart"/>
            <w:r>
              <w:rPr>
                <w:rFonts w:ascii="Calibri" w:eastAsia="Calibri" w:hAnsi="Calibri" w:cs="Open Sans"/>
                <w:color w:val="000000"/>
              </w:rPr>
              <w:t>Sy</w:t>
            </w:r>
            <w:proofErr w:type="spellEnd"/>
            <w:r>
              <w:rPr>
                <w:rFonts w:ascii="Calibri" w:eastAsia="Calibri" w:hAnsi="Calibri" w:cs="Open Sans"/>
                <w:color w:val="000000"/>
              </w:rPr>
              <w:t xml:space="preserve"> </w:t>
            </w:r>
            <w:proofErr w:type="spellStart"/>
            <w:r>
              <w:rPr>
                <w:rFonts w:ascii="Calibri" w:eastAsia="Calibri" w:hAnsi="Calibri" w:cs="Open Sans"/>
                <w:color w:val="000000"/>
              </w:rPr>
              <w:t>Holsinger</w:t>
            </w:r>
            <w:proofErr w:type="spellEnd"/>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097A34B0"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A00058">
              <w:rPr>
                <w:rFonts w:ascii="Calibri" w:eastAsia="Calibri" w:hAnsi="Calibri" w:cs="Open Sans"/>
                <w:color w:val="000000"/>
              </w:rPr>
              <w:t>4</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48C7E209" w:rsidR="00220329" w:rsidRPr="00BA7494" w:rsidRDefault="00A00058" w:rsidP="006C3C2D">
            <w:pPr>
              <w:pStyle w:val="DocDate"/>
              <w:snapToGrid w:val="0"/>
              <w:jc w:val="left"/>
              <w:rPr>
                <w:rFonts w:ascii="Calibri" w:hAnsi="Calibri" w:cs="Open Sans"/>
                <w:b w:val="0"/>
                <w:highlight w:val="yellow"/>
              </w:rPr>
            </w:pPr>
            <w:r>
              <w:rPr>
                <w:rFonts w:ascii="Calibri" w:eastAsia="Calibri" w:hAnsi="Calibri" w:cs="Open Sans"/>
                <w:color w:val="000000"/>
              </w:rPr>
              <w:t>29 March 2016</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1" w:name="_Toc320894663"/>
      <w:r w:rsidRPr="00FC7825">
        <w:lastRenderedPageBreak/>
        <w:t>Purpose and Use</w:t>
      </w:r>
      <w:bookmarkEnd w:id="1"/>
    </w:p>
    <w:p w14:paraId="5A2B2C56" w14:textId="26A2041E" w:rsidR="00880DA8" w:rsidRPr="00FC7825" w:rsidRDefault="00FC7825" w:rsidP="00FC7825">
      <w:pPr>
        <w:pStyle w:val="Heading2"/>
        <w:numPr>
          <w:ilvl w:val="0"/>
          <w:numId w:val="0"/>
        </w:numPr>
      </w:pPr>
      <w:bookmarkStart w:id="2" w:name="_Toc320894664"/>
      <w:r>
        <w:t>Guide</w:t>
      </w:r>
      <w:bookmarkEnd w:id="2"/>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3" w:name="_Toc320894665"/>
      <w:r>
        <w:t>Template</w:t>
      </w:r>
      <w:bookmarkEnd w:id="3"/>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37CA98CE" w14:textId="77777777" w:rsidR="00A05D29"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A05D29">
        <w:rPr>
          <w:noProof/>
        </w:rPr>
        <w:t>Purpose and Use</w:t>
      </w:r>
      <w:r w:rsidR="00A05D29">
        <w:rPr>
          <w:noProof/>
        </w:rPr>
        <w:tab/>
      </w:r>
      <w:r w:rsidR="00A05D29">
        <w:rPr>
          <w:noProof/>
        </w:rPr>
        <w:fldChar w:fldCharType="begin"/>
      </w:r>
      <w:r w:rsidR="00A05D29">
        <w:rPr>
          <w:noProof/>
        </w:rPr>
        <w:instrText xml:space="preserve"> PAGEREF _Toc320894663 \h </w:instrText>
      </w:r>
      <w:r w:rsidR="00A05D29">
        <w:rPr>
          <w:noProof/>
        </w:rPr>
      </w:r>
      <w:r w:rsidR="00A05D29">
        <w:rPr>
          <w:noProof/>
        </w:rPr>
        <w:fldChar w:fldCharType="separate"/>
      </w:r>
      <w:r w:rsidR="00A05D29">
        <w:rPr>
          <w:noProof/>
        </w:rPr>
        <w:t>2</w:t>
      </w:r>
      <w:r w:rsidR="00A05D29">
        <w:rPr>
          <w:noProof/>
        </w:rPr>
        <w:fldChar w:fldCharType="end"/>
      </w:r>
    </w:p>
    <w:p w14:paraId="7254F039" w14:textId="77777777" w:rsidR="00A05D29" w:rsidRDefault="00A05D29">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_Toc320894664 \h </w:instrText>
      </w:r>
      <w:r>
        <w:rPr>
          <w:noProof/>
        </w:rPr>
      </w:r>
      <w:r>
        <w:rPr>
          <w:noProof/>
        </w:rPr>
        <w:fldChar w:fldCharType="separate"/>
      </w:r>
      <w:r>
        <w:rPr>
          <w:noProof/>
        </w:rPr>
        <w:t>2</w:t>
      </w:r>
      <w:r>
        <w:rPr>
          <w:noProof/>
        </w:rPr>
        <w:fldChar w:fldCharType="end"/>
      </w:r>
    </w:p>
    <w:p w14:paraId="3F90AF4C" w14:textId="77777777" w:rsidR="00A05D29" w:rsidRDefault="00A05D29">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_Toc320894665 \h </w:instrText>
      </w:r>
      <w:r>
        <w:rPr>
          <w:noProof/>
        </w:rPr>
      </w:r>
      <w:r>
        <w:rPr>
          <w:noProof/>
        </w:rPr>
        <w:fldChar w:fldCharType="separate"/>
      </w:r>
      <w:r>
        <w:rPr>
          <w:noProof/>
        </w:rPr>
        <w:t>2</w:t>
      </w:r>
      <w:r>
        <w:rPr>
          <w:noProof/>
        </w:rPr>
        <w:fldChar w:fldCharType="end"/>
      </w:r>
    </w:p>
    <w:p w14:paraId="2CA1C25D"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_Toc320894666 \h </w:instrText>
      </w:r>
      <w:r>
        <w:rPr>
          <w:noProof/>
        </w:rPr>
      </w:r>
      <w:r>
        <w:rPr>
          <w:noProof/>
        </w:rPr>
        <w:fldChar w:fldCharType="separate"/>
      </w:r>
      <w:r>
        <w:rPr>
          <w:noProof/>
        </w:rPr>
        <w:t>4</w:t>
      </w:r>
      <w:r>
        <w:rPr>
          <w:noProof/>
        </w:rPr>
        <w:fldChar w:fldCharType="end"/>
      </w:r>
    </w:p>
    <w:p w14:paraId="54AA35C3"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_Toc320894667 \h </w:instrText>
      </w:r>
      <w:r>
        <w:rPr>
          <w:noProof/>
        </w:rPr>
      </w:r>
      <w:r>
        <w:rPr>
          <w:noProof/>
        </w:rPr>
        <w:fldChar w:fldCharType="separate"/>
      </w:r>
      <w:r>
        <w:rPr>
          <w:noProof/>
        </w:rPr>
        <w:t>4</w:t>
      </w:r>
      <w:r>
        <w:rPr>
          <w:noProof/>
        </w:rPr>
        <w:fldChar w:fldCharType="end"/>
      </w:r>
    </w:p>
    <w:p w14:paraId="20DD5AB9"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_Toc320894668 \h </w:instrText>
      </w:r>
      <w:r>
        <w:rPr>
          <w:noProof/>
        </w:rPr>
      </w:r>
      <w:r>
        <w:rPr>
          <w:noProof/>
        </w:rPr>
        <w:fldChar w:fldCharType="separate"/>
      </w:r>
      <w:r>
        <w:rPr>
          <w:noProof/>
        </w:rPr>
        <w:t>4</w:t>
      </w:r>
      <w:r>
        <w:rPr>
          <w:noProof/>
        </w:rPr>
        <w:fldChar w:fldCharType="end"/>
      </w:r>
    </w:p>
    <w:p w14:paraId="66EE3FB9"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_Toc320894669 \h </w:instrText>
      </w:r>
      <w:r>
        <w:rPr>
          <w:noProof/>
        </w:rPr>
      </w:r>
      <w:r>
        <w:rPr>
          <w:noProof/>
        </w:rPr>
        <w:fldChar w:fldCharType="separate"/>
      </w:r>
      <w:r>
        <w:rPr>
          <w:noProof/>
        </w:rPr>
        <w:t>5</w:t>
      </w:r>
      <w:r>
        <w:rPr>
          <w:noProof/>
        </w:rPr>
        <w:fldChar w:fldCharType="end"/>
      </w:r>
    </w:p>
    <w:p w14:paraId="5D0F9836"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_Toc320894670 \h </w:instrText>
      </w:r>
      <w:r>
        <w:rPr>
          <w:noProof/>
        </w:rPr>
      </w:r>
      <w:r>
        <w:rPr>
          <w:noProof/>
        </w:rPr>
        <w:fldChar w:fldCharType="separate"/>
      </w:r>
      <w:r>
        <w:rPr>
          <w:noProof/>
        </w:rPr>
        <w:t>7</w:t>
      </w:r>
      <w:r>
        <w:rPr>
          <w:noProof/>
        </w:rPr>
        <w:fldChar w:fldCharType="end"/>
      </w:r>
    </w:p>
    <w:p w14:paraId="3A4F410F"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_Toc320894671 \h </w:instrText>
      </w:r>
      <w:r>
        <w:rPr>
          <w:noProof/>
        </w:rPr>
      </w:r>
      <w:r>
        <w:rPr>
          <w:noProof/>
        </w:rPr>
        <w:fldChar w:fldCharType="separate"/>
      </w:r>
      <w:r>
        <w:rPr>
          <w:noProof/>
        </w:rPr>
        <w:t>7</w:t>
      </w:r>
      <w:r>
        <w:rPr>
          <w:noProof/>
        </w:rPr>
        <w:fldChar w:fldCharType="end"/>
      </w:r>
    </w:p>
    <w:p w14:paraId="0D7FB671"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_Toc320894672 \h </w:instrText>
      </w:r>
      <w:r>
        <w:rPr>
          <w:noProof/>
        </w:rPr>
      </w:r>
      <w:r>
        <w:rPr>
          <w:noProof/>
        </w:rPr>
        <w:fldChar w:fldCharType="separate"/>
      </w:r>
      <w:r>
        <w:rPr>
          <w:noProof/>
        </w:rPr>
        <w:t>8</w:t>
      </w:r>
      <w:r>
        <w:rPr>
          <w:noProof/>
        </w:rPr>
        <w:fldChar w:fldCharType="end"/>
      </w:r>
    </w:p>
    <w:p w14:paraId="7786C64B" w14:textId="77777777" w:rsidR="00A05D29" w:rsidRDefault="00A05D29">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_Toc320894673 \h </w:instrText>
      </w:r>
      <w:r>
        <w:rPr>
          <w:noProof/>
        </w:rPr>
      </w:r>
      <w:r>
        <w:rPr>
          <w:noProof/>
        </w:rPr>
        <w:fldChar w:fldCharType="separate"/>
      </w:r>
      <w:r>
        <w:rPr>
          <w:noProof/>
        </w:rPr>
        <w:t>8</w:t>
      </w:r>
      <w:r>
        <w:rPr>
          <w:noProof/>
        </w:rPr>
        <w:fldChar w:fldCharType="end"/>
      </w:r>
    </w:p>
    <w:p w14:paraId="087222C3" w14:textId="77777777" w:rsidR="00A05D29" w:rsidRDefault="00A05D29">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_Toc320894674 \h </w:instrText>
      </w:r>
      <w:r>
        <w:rPr>
          <w:noProof/>
        </w:rPr>
      </w:r>
      <w:r>
        <w:rPr>
          <w:noProof/>
        </w:rPr>
        <w:fldChar w:fldCharType="separate"/>
      </w:r>
      <w:r>
        <w:rPr>
          <w:noProof/>
        </w:rPr>
        <w:t>8</w:t>
      </w:r>
      <w:r>
        <w:rPr>
          <w:noProof/>
        </w:rPr>
        <w:fldChar w:fldCharType="end"/>
      </w:r>
    </w:p>
    <w:p w14:paraId="1DAC3B87" w14:textId="77777777" w:rsidR="00A05D29" w:rsidRDefault="00A05D29">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_Toc320894675 \h </w:instrText>
      </w:r>
      <w:r>
        <w:rPr>
          <w:noProof/>
        </w:rPr>
      </w:r>
      <w:r>
        <w:rPr>
          <w:noProof/>
        </w:rPr>
        <w:fldChar w:fldCharType="separate"/>
      </w:r>
      <w:r>
        <w:rPr>
          <w:noProof/>
        </w:rPr>
        <w:t>9</w:t>
      </w:r>
      <w:r>
        <w:rPr>
          <w:noProof/>
        </w:rPr>
        <w:fldChar w:fldCharType="end"/>
      </w:r>
    </w:p>
    <w:p w14:paraId="737475B8" w14:textId="77777777" w:rsidR="00A05D29" w:rsidRDefault="00A05D29">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_Toc320894676 \h </w:instrText>
      </w:r>
      <w:r>
        <w:rPr>
          <w:noProof/>
        </w:rPr>
      </w:r>
      <w:r>
        <w:rPr>
          <w:noProof/>
        </w:rPr>
        <w:fldChar w:fldCharType="separate"/>
      </w:r>
      <w:r>
        <w:rPr>
          <w:noProof/>
        </w:rPr>
        <w:t>9</w:t>
      </w:r>
      <w:r>
        <w:rPr>
          <w:noProof/>
        </w:rPr>
        <w:fldChar w:fldCharType="end"/>
      </w:r>
    </w:p>
    <w:p w14:paraId="55D4FF37"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_Toc320894677 \h </w:instrText>
      </w:r>
      <w:r>
        <w:rPr>
          <w:noProof/>
        </w:rPr>
      </w:r>
      <w:r>
        <w:rPr>
          <w:noProof/>
        </w:rPr>
        <w:fldChar w:fldCharType="separate"/>
      </w:r>
      <w:r>
        <w:rPr>
          <w:noProof/>
        </w:rPr>
        <w:t>9</w:t>
      </w:r>
      <w:r>
        <w:rPr>
          <w:noProof/>
        </w:rPr>
        <w:fldChar w:fldCharType="end"/>
      </w:r>
    </w:p>
    <w:p w14:paraId="674FC60F"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_Toc320894678 \h </w:instrText>
      </w:r>
      <w:r>
        <w:rPr>
          <w:noProof/>
        </w:rPr>
      </w:r>
      <w:r>
        <w:rPr>
          <w:noProof/>
        </w:rPr>
        <w:fldChar w:fldCharType="separate"/>
      </w:r>
      <w:r>
        <w:rPr>
          <w:noProof/>
        </w:rPr>
        <w:t>11</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4" w:name="id.bd2622a07241"/>
      <w:bookmarkStart w:id="5" w:name="id.105932e7f75c"/>
    </w:p>
    <w:p w14:paraId="50FCAE97" w14:textId="483E51B0" w:rsidR="005F6675" w:rsidRDefault="00323E3A" w:rsidP="00952BD5">
      <w:pPr>
        <w:pStyle w:val="Heading1"/>
        <w:numPr>
          <w:ilvl w:val="0"/>
          <w:numId w:val="15"/>
        </w:numPr>
        <w:ind w:left="0" w:firstLine="0"/>
      </w:pPr>
      <w:bookmarkStart w:id="6" w:name="_Toc320894666"/>
      <w:r>
        <w:lastRenderedPageBreak/>
        <w:t>Value Proposition Design</w:t>
      </w:r>
      <w:bookmarkEnd w:id="6"/>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7" w:name="_Toc320894667"/>
      <w:r w:rsidRPr="00952BD5">
        <w:t>Customer</w:t>
      </w:r>
      <w:r w:rsidR="00524D9C" w:rsidRPr="00952BD5">
        <w:t>/User</w:t>
      </w:r>
      <w:r w:rsidRPr="00952BD5">
        <w:t xml:space="preserve"> Profile</w:t>
      </w:r>
      <w:bookmarkEnd w:id="7"/>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8" w:name="_Toc320894668"/>
      <w:r w:rsidRPr="00BA7494">
        <w:t>Service Overvie</w:t>
      </w:r>
      <w:r w:rsidR="00952BD5">
        <w:t>w</w:t>
      </w:r>
      <w:bookmarkEnd w:id="8"/>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120B1BE5" w14:textId="293DE47B" w:rsidR="00490345" w:rsidRPr="00171A64" w:rsidRDefault="00ED04D9" w:rsidP="00490345">
      <w:pPr>
        <w:rPr>
          <w:rFonts w:ascii="Calibri" w:hAnsi="Calibri"/>
          <w:b/>
          <w:sz w:val="24"/>
          <w:szCs w:val="24"/>
        </w:rPr>
      </w:pPr>
      <w:r>
        <w:rPr>
          <w:rFonts w:ascii="Calibri" w:hAnsi="Calibri"/>
          <w:b/>
          <w:sz w:val="24"/>
          <w:szCs w:val="24"/>
        </w:rPr>
        <w:lastRenderedPageBreak/>
        <w:t>Success criteria</w:t>
      </w:r>
    </w:p>
    <w:tbl>
      <w:tblPr>
        <w:tblStyle w:val="LightGrid-Accent1"/>
        <w:tblW w:w="0" w:type="auto"/>
        <w:tblLook w:val="04A0" w:firstRow="1" w:lastRow="0" w:firstColumn="1" w:lastColumn="0" w:noHBand="0" w:noVBand="1"/>
      </w:tblPr>
      <w:tblGrid>
        <w:gridCol w:w="2111"/>
        <w:gridCol w:w="2311"/>
        <w:gridCol w:w="2468"/>
        <w:gridCol w:w="2396"/>
      </w:tblGrid>
      <w:tr w:rsidR="00490345" w14:paraId="4EE97E2A" w14:textId="77777777" w:rsidTr="00490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4F81BD" w:themeFill="accent1"/>
          </w:tcPr>
          <w:p w14:paraId="4F39E354" w14:textId="77777777" w:rsidR="00490345" w:rsidRPr="005E3D32" w:rsidRDefault="00490345" w:rsidP="00490345">
            <w:pPr>
              <w:keepLines w:val="0"/>
              <w:widowControl/>
              <w:suppressAutoHyphens w:val="0"/>
              <w:spacing w:before="0" w:after="0"/>
              <w:jc w:val="center"/>
              <w:rPr>
                <w:rFonts w:asciiTheme="minorHAnsi" w:hAnsiTheme="minorHAnsi"/>
                <w:color w:val="FFFFFF" w:themeColor="background1"/>
              </w:rPr>
            </w:pPr>
            <w:r>
              <w:rPr>
                <w:rFonts w:asciiTheme="minorHAnsi" w:hAnsiTheme="minorHAnsi"/>
                <w:color w:val="FFFFFF" w:themeColor="background1"/>
              </w:rPr>
              <w:t>Objective</w:t>
            </w:r>
          </w:p>
        </w:tc>
        <w:tc>
          <w:tcPr>
            <w:tcW w:w="2311" w:type="dxa"/>
            <w:shd w:val="clear" w:color="auto" w:fill="4F81BD" w:themeFill="accent1"/>
          </w:tcPr>
          <w:p w14:paraId="7AD2DDC3"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Indicator</w:t>
            </w:r>
          </w:p>
        </w:tc>
        <w:tc>
          <w:tcPr>
            <w:tcW w:w="2468" w:type="dxa"/>
            <w:shd w:val="clear" w:color="auto" w:fill="4F81BD" w:themeFill="accent1"/>
          </w:tcPr>
          <w:p w14:paraId="0692704A"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2396" w:type="dxa"/>
            <w:shd w:val="clear" w:color="auto" w:fill="4F81BD" w:themeFill="accent1"/>
          </w:tcPr>
          <w:p w14:paraId="3AEA7078"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Target</w:t>
            </w:r>
          </w:p>
        </w:tc>
      </w:tr>
      <w:tr w:rsidR="00490345" w14:paraId="5B3CA6D7"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6E99F18A" w14:textId="7F37F5AE" w:rsidR="00490345" w:rsidRPr="00F0116C" w:rsidRDefault="00910D5E" w:rsidP="00490345">
            <w:pPr>
              <w:keepLines w:val="0"/>
              <w:widowControl/>
              <w:suppressAutoHyphens w:val="0"/>
              <w:spacing w:before="0" w:after="0"/>
              <w:jc w:val="left"/>
              <w:rPr>
                <w:rFonts w:asciiTheme="minorHAnsi" w:hAnsiTheme="minorHAnsi"/>
                <w:b w:val="0"/>
              </w:rPr>
            </w:pPr>
            <w:r>
              <w:rPr>
                <w:rFonts w:asciiTheme="minorHAnsi" w:hAnsiTheme="minorHAnsi"/>
                <w:b w:val="0"/>
              </w:rPr>
              <w:t>Define one or more strategic objectives</w:t>
            </w:r>
            <w:r w:rsidR="00EF2A19">
              <w:rPr>
                <w:rFonts w:asciiTheme="minorHAnsi" w:hAnsiTheme="minorHAnsi"/>
                <w:b w:val="0"/>
              </w:rPr>
              <w:t xml:space="preserve"> for this se</w:t>
            </w:r>
            <w:r w:rsidR="00696496">
              <w:rPr>
                <w:rFonts w:asciiTheme="minorHAnsi" w:hAnsiTheme="minorHAnsi"/>
                <w:b w:val="0"/>
              </w:rPr>
              <w:t>rvice</w:t>
            </w:r>
          </w:p>
        </w:tc>
        <w:tc>
          <w:tcPr>
            <w:tcW w:w="2311" w:type="dxa"/>
          </w:tcPr>
          <w:p w14:paraId="22D424A2" w14:textId="03038B5F"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 xml:space="preserve">Name of </w:t>
            </w:r>
            <w:r w:rsidR="00ED04D9">
              <w:rPr>
                <w:rFonts w:asciiTheme="minorHAnsi" w:hAnsiTheme="minorHAnsi"/>
              </w:rPr>
              <w:t xml:space="preserve">the </w:t>
            </w:r>
            <w:r w:rsidRPr="00F0116C">
              <w:rPr>
                <w:rFonts w:asciiTheme="minorHAnsi" w:hAnsiTheme="minorHAnsi"/>
              </w:rPr>
              <w:t>performance indicator</w:t>
            </w:r>
            <w:r w:rsidR="00ED04D9">
              <w:rPr>
                <w:rFonts w:asciiTheme="minorHAnsi" w:hAnsiTheme="minorHAnsi"/>
              </w:rPr>
              <w:t>(s) used to measure the progress towards the objective</w:t>
            </w:r>
          </w:p>
        </w:tc>
        <w:tc>
          <w:tcPr>
            <w:tcW w:w="2468" w:type="dxa"/>
          </w:tcPr>
          <w:p w14:paraId="3F8E2B1A" w14:textId="69FB9AAF" w:rsidR="00490345" w:rsidRPr="00F0116C" w:rsidRDefault="00F0116C"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Short description of the indicator</w:t>
            </w:r>
            <w:r w:rsidR="00ED04D9">
              <w:rPr>
                <w:rFonts w:asciiTheme="minorHAnsi" w:hAnsiTheme="minorHAnsi"/>
              </w:rPr>
              <w:t xml:space="preserve"> and of how it will be measured</w:t>
            </w:r>
          </w:p>
        </w:tc>
        <w:tc>
          <w:tcPr>
            <w:tcW w:w="2396" w:type="dxa"/>
          </w:tcPr>
          <w:p w14:paraId="4C184C87" w14:textId="594ECF0D" w:rsidR="00490345"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Target</w:t>
            </w:r>
            <w:r w:rsidR="00490345" w:rsidRPr="00F0116C">
              <w:rPr>
                <w:rFonts w:asciiTheme="minorHAnsi" w:hAnsiTheme="minorHAnsi"/>
              </w:rPr>
              <w:t xml:space="preserve"> value for the chosen indicator</w:t>
            </w:r>
            <w:r>
              <w:rPr>
                <w:rFonts w:asciiTheme="minorHAnsi" w:hAnsiTheme="minorHAnsi"/>
              </w:rPr>
              <w:t>(s)</w:t>
            </w:r>
          </w:p>
        </w:tc>
      </w:tr>
      <w:tr w:rsidR="00ED04D9" w14:paraId="19A3C9AE" w14:textId="77777777" w:rsidTr="00490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96BFBF7" w14:textId="77777777" w:rsidR="00ED04D9" w:rsidRDefault="00ED04D9" w:rsidP="00490345">
            <w:pPr>
              <w:keepLines w:val="0"/>
              <w:widowControl/>
              <w:suppressAutoHyphens w:val="0"/>
              <w:spacing w:before="0" w:after="0"/>
              <w:jc w:val="left"/>
              <w:rPr>
                <w:rFonts w:asciiTheme="minorHAnsi" w:hAnsiTheme="minorHAnsi"/>
                <w:b w:val="0"/>
              </w:rPr>
            </w:pPr>
          </w:p>
        </w:tc>
        <w:tc>
          <w:tcPr>
            <w:tcW w:w="2311" w:type="dxa"/>
          </w:tcPr>
          <w:p w14:paraId="1EAE181C"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2468" w:type="dxa"/>
          </w:tcPr>
          <w:p w14:paraId="17DFBACC"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2396" w:type="dxa"/>
          </w:tcPr>
          <w:p w14:paraId="7D0DE8AA"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ED04D9" w14:paraId="23C57A90"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601C7D9" w14:textId="77777777" w:rsidR="00ED04D9" w:rsidRDefault="00ED04D9" w:rsidP="00490345">
            <w:pPr>
              <w:keepLines w:val="0"/>
              <w:widowControl/>
              <w:suppressAutoHyphens w:val="0"/>
              <w:spacing w:before="0" w:after="0"/>
              <w:jc w:val="left"/>
              <w:rPr>
                <w:rFonts w:asciiTheme="minorHAnsi" w:hAnsiTheme="minorHAnsi"/>
                <w:b w:val="0"/>
              </w:rPr>
            </w:pPr>
          </w:p>
        </w:tc>
        <w:tc>
          <w:tcPr>
            <w:tcW w:w="2311" w:type="dxa"/>
          </w:tcPr>
          <w:p w14:paraId="1D5CAF11"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68" w:type="dxa"/>
          </w:tcPr>
          <w:p w14:paraId="07B4F3D9"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96" w:type="dxa"/>
          </w:tcPr>
          <w:p w14:paraId="43FB890C"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507CE017" w14:textId="77777777" w:rsidR="00ED04D9" w:rsidRDefault="00ED04D9" w:rsidP="00490345">
      <w:pPr>
        <w:rPr>
          <w:rFonts w:asciiTheme="minorHAnsi" w:hAnsiTheme="minorHAnsi"/>
          <w:sz w:val="24"/>
          <w:szCs w:val="24"/>
        </w:rPr>
      </w:pPr>
    </w:p>
    <w:p w14:paraId="36C57742" w14:textId="47254D86" w:rsidR="00ED04D9" w:rsidRDefault="00ED04D9" w:rsidP="00490345">
      <w:pPr>
        <w:rPr>
          <w:rFonts w:asciiTheme="minorHAnsi" w:hAnsiTheme="minorHAnsi"/>
          <w:sz w:val="24"/>
          <w:szCs w:val="24"/>
        </w:rPr>
      </w:pPr>
      <w:r w:rsidRPr="00ED04D9">
        <w:rPr>
          <w:rFonts w:asciiTheme="minorHAnsi" w:hAnsiTheme="minorHAnsi"/>
          <w:sz w:val="24"/>
          <w:szCs w:val="24"/>
        </w:rPr>
        <w:t xml:space="preserve">Success criteria are defined with the objectives and may be quantified by </w:t>
      </w:r>
      <w:r>
        <w:rPr>
          <w:rFonts w:asciiTheme="minorHAnsi" w:hAnsiTheme="minorHAnsi"/>
          <w:sz w:val="24"/>
          <w:szCs w:val="24"/>
        </w:rPr>
        <w:t>performance indicators</w:t>
      </w:r>
      <w:r w:rsidRPr="00ED04D9">
        <w:rPr>
          <w:rFonts w:asciiTheme="minorHAnsi" w:hAnsiTheme="minorHAnsi"/>
          <w:sz w:val="24"/>
          <w:szCs w:val="24"/>
        </w:rPr>
        <w:t>.</w:t>
      </w:r>
      <w:r w:rsidR="00696496">
        <w:rPr>
          <w:rFonts w:asciiTheme="minorHAnsi" w:hAnsiTheme="minorHAnsi"/>
          <w:sz w:val="24"/>
          <w:szCs w:val="24"/>
        </w:rPr>
        <w:t xml:space="preserve"> </w:t>
      </w:r>
    </w:p>
    <w:p w14:paraId="39B21F0D" w14:textId="0B6ACC34" w:rsidR="005F6675" w:rsidRDefault="00283143" w:rsidP="00952BD5">
      <w:pPr>
        <w:pStyle w:val="Heading1"/>
        <w:numPr>
          <w:ilvl w:val="0"/>
          <w:numId w:val="15"/>
        </w:numPr>
        <w:ind w:left="0" w:firstLine="0"/>
      </w:pPr>
      <w:bookmarkStart w:id="9" w:name="_Toc320894669"/>
      <w:r>
        <w:t>Business Case Design</w:t>
      </w:r>
      <w:bookmarkEnd w:id="9"/>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376"/>
        <w:gridCol w:w="2298"/>
        <w:gridCol w:w="2306"/>
        <w:gridCol w:w="2306"/>
      </w:tblGrid>
      <w:tr w:rsidR="00BB6AC8" w:rsidRPr="00BA7494" w14:paraId="3DBD575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0C31D7D4" w14:textId="77777777" w:rsidR="00BB6AC8" w:rsidRPr="00BA7494" w:rsidRDefault="00BB6AC8" w:rsidP="00E16B56">
            <w:pPr>
              <w:rPr>
                <w:rFonts w:ascii="Calibri" w:hAnsi="Calibri"/>
                <w:b w:val="0"/>
                <w:sz w:val="24"/>
              </w:rPr>
            </w:pPr>
          </w:p>
        </w:tc>
        <w:tc>
          <w:tcPr>
            <w:tcW w:w="2298"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298" w:type="dxa"/>
          </w:tcPr>
          <w:p w14:paraId="1A5195BF" w14:textId="2206806E" w:rsidR="00BB6AC8" w:rsidRPr="00CF464C" w:rsidRDefault="004B34B1" w:rsidP="001F0464">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what is the full market potential (all</w:t>
            </w:r>
            <w:r w:rsidR="00BB6AC8" w:rsidRPr="00CF464C">
              <w:rPr>
                <w:rFonts w:ascii="Calibri" w:hAnsi="Calibri" w:cs="Arial"/>
                <w:b w:val="0"/>
                <w:sz w:val="24"/>
                <w:szCs w:val="24"/>
              </w:rPr>
              <w:t xml:space="preserve"> user types / categories and size)</w:t>
            </w:r>
            <w:r w:rsidR="00BB6AC8" w:rsidRPr="00CF464C">
              <w:rPr>
                <w:rFonts w:ascii="Calibri" w:hAnsi="Calibri"/>
                <w:b w:val="0"/>
                <w:sz w:val="24"/>
              </w:rPr>
              <w:t xml:space="preserve"> </w:t>
            </w:r>
            <w:r w:rsidRPr="00CF464C">
              <w:rPr>
                <w:rFonts w:ascii="Calibri" w:hAnsi="Calibri"/>
                <w:b w:val="0"/>
                <w:sz w:val="24"/>
              </w:rPr>
              <w:t>and most likely uptake possible</w:t>
            </w:r>
          </w:p>
        </w:tc>
        <w:tc>
          <w:tcPr>
            <w:tcW w:w="2306" w:type="dxa"/>
          </w:tcPr>
          <w:p w14:paraId="46EA858C" w14:textId="6F85C931" w:rsidR="00BB6AC8" w:rsidRPr="00CF464C" w:rsidRDefault="004B34B1" w:rsidP="002B5501">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somewhere between t</w:t>
            </w:r>
            <w:r w:rsidRPr="00CF464C">
              <w:rPr>
                <w:rFonts w:ascii="Calibri" w:hAnsi="Calibri"/>
                <w:b w:val="0"/>
                <w:sz w:val="24"/>
              </w:rPr>
              <w:t>he best and worst case scenario</w:t>
            </w:r>
          </w:p>
        </w:tc>
        <w:tc>
          <w:tcPr>
            <w:tcW w:w="2306" w:type="dxa"/>
          </w:tcPr>
          <w:p w14:paraId="2E121870" w14:textId="2377C534" w:rsidR="00BB6AC8" w:rsidRPr="00CF464C" w:rsidRDefault="004B34B1" w:rsidP="001704D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 xml:space="preserve">escribe the minimal uptake of the service e.g. only </w:t>
            </w:r>
            <w:r w:rsidRPr="00CF464C">
              <w:rPr>
                <w:rFonts w:ascii="Calibri" w:hAnsi="Calibri"/>
                <w:b w:val="0"/>
                <w:sz w:val="24"/>
              </w:rPr>
              <w:t>by EGI federation; 1 user group</w:t>
            </w:r>
          </w:p>
        </w:tc>
      </w:tr>
      <w:tr w:rsidR="00BB6AC8" w:rsidRPr="00BA7494" w14:paraId="27439FC9"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298" w:type="dxa"/>
          </w:tcPr>
          <w:p w14:paraId="5BCE0D47" w14:textId="0DEA6425" w:rsidR="00BB6AC8" w:rsidRPr="00CF464C" w:rsidRDefault="004B34B1" w:rsidP="00E16B5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best case scenario e.g. EC policy supports it; no commercial alternative; high user frie</w:t>
            </w:r>
            <w:r w:rsidRPr="00CF464C">
              <w:rPr>
                <w:rFonts w:ascii="Calibri" w:hAnsi="Calibri"/>
                <w:b w:val="0"/>
                <w:sz w:val="24"/>
              </w:rPr>
              <w:t>ndliness will equal mass uptake</w:t>
            </w:r>
          </w:p>
        </w:tc>
        <w:tc>
          <w:tcPr>
            <w:tcW w:w="2306" w:type="dxa"/>
          </w:tcPr>
          <w:p w14:paraId="0AE04B64" w14:textId="4862B2D1"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average case scenario e.g. requested by multiple u</w:t>
            </w:r>
            <w:r w:rsidRPr="00CF464C">
              <w:rPr>
                <w:rFonts w:ascii="Calibri" w:hAnsi="Calibri"/>
                <w:b w:val="0"/>
                <w:sz w:val="24"/>
              </w:rPr>
              <w:t>ser groups ensuring some uptake</w:t>
            </w:r>
          </w:p>
        </w:tc>
        <w:tc>
          <w:tcPr>
            <w:tcW w:w="2306" w:type="dxa"/>
          </w:tcPr>
          <w:p w14:paraId="59B8F2B3" w14:textId="79876CE3"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worst case scenario e.g. service design is high quality and will b</w:t>
            </w:r>
            <w:r w:rsidRPr="00CF464C">
              <w:rPr>
                <w:rFonts w:ascii="Calibri" w:hAnsi="Calibri"/>
                <w:b w:val="0"/>
                <w:sz w:val="24"/>
              </w:rPr>
              <w:t>e supported at least internally</w:t>
            </w:r>
          </w:p>
        </w:tc>
      </w:tr>
      <w:tr w:rsidR="00BB6AC8" w:rsidRPr="00BA7494" w14:paraId="0C85AF84"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6BFC764E" w14:textId="47DAD1C5" w:rsidR="00BB6AC8" w:rsidRPr="00BA7494" w:rsidRDefault="00BB6AC8" w:rsidP="00E16B56">
            <w:pPr>
              <w:rPr>
                <w:rFonts w:ascii="Calibri" w:hAnsi="Calibri"/>
                <w:sz w:val="24"/>
              </w:rPr>
            </w:pPr>
            <w:r>
              <w:rPr>
                <w:rFonts w:ascii="Calibri" w:hAnsi="Calibri"/>
                <w:sz w:val="24"/>
              </w:rPr>
              <w:lastRenderedPageBreak/>
              <w:t xml:space="preserve">Expected </w:t>
            </w:r>
            <w:r w:rsidRPr="00BA7494">
              <w:rPr>
                <w:rFonts w:ascii="Calibri" w:hAnsi="Calibri"/>
                <w:sz w:val="24"/>
              </w:rPr>
              <w:t>organisational impact on the service provider</w:t>
            </w:r>
          </w:p>
        </w:tc>
        <w:tc>
          <w:tcPr>
            <w:tcW w:w="2298" w:type="dxa"/>
          </w:tcPr>
          <w:p w14:paraId="4F537177" w14:textId="128B193E"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best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4F34C80F" w14:textId="20AF5A58"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average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36EBBB85" w14:textId="2B17F9A1"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n the worst case scenario, what organisation changes would need to be made to support the demand e.g. addition</w:t>
            </w:r>
            <w:r w:rsidRPr="00CF464C">
              <w:rPr>
                <w:rFonts w:ascii="Calibri" w:hAnsi="Calibri"/>
                <w:b w:val="0"/>
                <w:sz w:val="24"/>
              </w:rPr>
              <w:t>al training of staff, no impact</w:t>
            </w:r>
          </w:p>
        </w:tc>
      </w:tr>
      <w:tr w:rsidR="00BB6AC8" w:rsidRPr="00BA7494" w14:paraId="0A17E1F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298" w:type="dxa"/>
          </w:tcPr>
          <w:p w14:paraId="1E24CC06" w14:textId="3ECDB995"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 xml:space="preserve">rovide an estimate of the resources required to develop (CAPEX) and maintain / operate (OPEX) the service in the best case e.g. human </w:t>
            </w:r>
            <w:r w:rsidRPr="00CF464C">
              <w:rPr>
                <w:rFonts w:ascii="Calibri" w:hAnsi="Calibri"/>
                <w:b w:val="0"/>
                <w:sz w:val="24"/>
              </w:rPr>
              <w:t>effort; financial investment</w:t>
            </w:r>
          </w:p>
        </w:tc>
        <w:tc>
          <w:tcPr>
            <w:tcW w:w="2306" w:type="dxa"/>
          </w:tcPr>
          <w:p w14:paraId="04B3BDC0" w14:textId="281E6ACB"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average case e.g. human effort; financial</w:t>
            </w:r>
            <w:r w:rsidRPr="00CF464C">
              <w:rPr>
                <w:rFonts w:ascii="Calibri" w:hAnsi="Calibri"/>
                <w:b w:val="0"/>
                <w:sz w:val="24"/>
              </w:rPr>
              <w:t xml:space="preserve"> investment</w:t>
            </w:r>
          </w:p>
        </w:tc>
        <w:tc>
          <w:tcPr>
            <w:tcW w:w="2306" w:type="dxa"/>
          </w:tcPr>
          <w:p w14:paraId="7E8331BB" w14:textId="3A158F5E" w:rsidR="00BB6AC8" w:rsidRPr="00CF464C" w:rsidRDefault="004B34B1" w:rsidP="00C70BD7">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worst case e.g. hum</w:t>
            </w:r>
            <w:r w:rsidRPr="00CF464C">
              <w:rPr>
                <w:rFonts w:ascii="Calibri" w:hAnsi="Calibri"/>
                <w:b w:val="0"/>
                <w:sz w:val="24"/>
              </w:rPr>
              <w:t>an effort; financial investment</w:t>
            </w:r>
          </w:p>
        </w:tc>
      </w:tr>
      <w:tr w:rsidR="00BB6AC8" w:rsidRPr="00BA7494" w14:paraId="6B67A5C5"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2C34EFB1" w14:textId="024F71AD" w:rsidR="00BB6AC8" w:rsidRDefault="00BB6AC8" w:rsidP="00E16B56">
            <w:pPr>
              <w:rPr>
                <w:rFonts w:ascii="Calibri" w:hAnsi="Calibri"/>
                <w:sz w:val="24"/>
              </w:rPr>
            </w:pPr>
            <w:r>
              <w:rPr>
                <w:rFonts w:ascii="Calibri" w:hAnsi="Calibri"/>
                <w:sz w:val="24"/>
              </w:rPr>
              <w:t>Expected Revenue</w:t>
            </w:r>
          </w:p>
        </w:tc>
        <w:tc>
          <w:tcPr>
            <w:tcW w:w="2298" w:type="dxa"/>
          </w:tcPr>
          <w:p w14:paraId="05DC1F5D" w14:textId="6DF7F149"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Wh</w:t>
            </w:r>
            <w:r w:rsidR="00BB6AC8" w:rsidRPr="00CF464C">
              <w:rPr>
                <w:rFonts w:ascii="Calibri" w:hAnsi="Calibri"/>
                <w:b w:val="0"/>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r>
      <w:tr w:rsidR="00BB6AC8" w:rsidRPr="00BA7494" w14:paraId="1061E9D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298" w:type="dxa"/>
          </w:tcPr>
          <w:p w14:paraId="03F625E1" w14:textId="2500C982" w:rsidR="00BB6AC8" w:rsidRPr="00CF464C" w:rsidRDefault="004B34B1" w:rsidP="00131C9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inability to scale to demand</w:t>
            </w:r>
          </w:p>
        </w:tc>
        <w:tc>
          <w:tcPr>
            <w:tcW w:w="2306" w:type="dxa"/>
          </w:tcPr>
          <w:p w14:paraId="1517DFD0" w14:textId="57AEFB0B"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910" w:type="dxa"/>
            <w:gridSpan w:val="3"/>
          </w:tcPr>
          <w:p w14:paraId="7AF19A4F" w14:textId="3792D3E4" w:rsidR="00BB6AC8" w:rsidRPr="00CF464C" w:rsidRDefault="004B34B1" w:rsidP="00D36BB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De</w:t>
            </w:r>
            <w:r w:rsidR="00BB6AC8" w:rsidRPr="00CF464C">
              <w:rPr>
                <w:rFonts w:ascii="Calibri" w:hAnsi="Calibri"/>
                <w:b w:val="0"/>
                <w:sz w:val="24"/>
              </w:rPr>
              <w:t xml:space="preserve">scribe the factors that may limit or hold back the success of the service e.g. size of the market; demand in the market; availability of supply; competition; availability of finances; </w:t>
            </w:r>
            <w:r w:rsidRPr="00CF464C">
              <w:rPr>
                <w:rFonts w:ascii="Calibri" w:hAnsi="Calibri"/>
                <w:b w:val="0"/>
                <w:sz w:val="24"/>
              </w:rPr>
              <w:t>quality and skills of employees</w:t>
            </w:r>
          </w:p>
        </w:tc>
      </w:tr>
      <w:tr w:rsidR="00170775" w:rsidRPr="00BA7494" w14:paraId="050022BB"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2C644F8" w14:textId="615B8D6E" w:rsidR="00170775" w:rsidRPr="00BA7494" w:rsidRDefault="00170775" w:rsidP="00E16B56">
            <w:pPr>
              <w:rPr>
                <w:rFonts w:ascii="Calibri" w:hAnsi="Calibri"/>
                <w:sz w:val="24"/>
              </w:rPr>
            </w:pPr>
            <w:r>
              <w:rPr>
                <w:rFonts w:ascii="Calibri" w:hAnsi="Calibri"/>
                <w:sz w:val="24"/>
              </w:rPr>
              <w:lastRenderedPageBreak/>
              <w:t>Access Policy</w:t>
            </w:r>
            <w:r w:rsidR="00CF464C">
              <w:rPr>
                <w:rStyle w:val="FootnoteReference"/>
                <w:rFonts w:ascii="Calibri" w:hAnsi="Calibri"/>
                <w:sz w:val="24"/>
              </w:rPr>
              <w:footnoteReference w:id="2"/>
            </w:r>
          </w:p>
        </w:tc>
        <w:tc>
          <w:tcPr>
            <w:tcW w:w="6910" w:type="dxa"/>
            <w:gridSpan w:val="3"/>
          </w:tcPr>
          <w:p w14:paraId="26BA844B" w14:textId="6EA122F6"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Select at least 1 of the following 3 access policies the service can be accessed through; if more than one apply, specify the scenario:</w:t>
            </w:r>
          </w:p>
          <w:p w14:paraId="37FD90CB" w14:textId="7D711494"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Policy-based: users are granted access to the service based on policies defined by the EGI service provider(s) or by EGI.eu</w:t>
            </w:r>
          </w:p>
          <w:p w14:paraId="1C29EE86" w14:textId="762F6E4B"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Wide access: users can freely access the service provided</w:t>
            </w:r>
          </w:p>
          <w:p w14:paraId="25035887" w14:textId="4E05C762"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xml:space="preserve">Market-driven: users can negotiate a fee to access </w:t>
            </w:r>
            <w:r w:rsidR="00862974" w:rsidRPr="00CF464C">
              <w:rPr>
                <w:rFonts w:ascii="Calibri" w:hAnsi="Calibri"/>
                <w:b w:val="0"/>
                <w:sz w:val="24"/>
              </w:rPr>
              <w:t>the service</w:t>
            </w:r>
            <w:r w:rsidRPr="00CF464C">
              <w:rPr>
                <w:rFonts w:ascii="Calibri" w:hAnsi="Calibri"/>
                <w:b w:val="0"/>
                <w:sz w:val="24"/>
              </w:rPr>
              <w:t xml:space="preserve"> either directly with </w:t>
            </w:r>
            <w:r w:rsidR="00862974" w:rsidRPr="00CF464C">
              <w:rPr>
                <w:rFonts w:ascii="Calibri" w:hAnsi="Calibri"/>
                <w:b w:val="0"/>
                <w:sz w:val="24"/>
              </w:rPr>
              <w:t xml:space="preserve">the </w:t>
            </w:r>
            <w:r w:rsidRPr="00CF464C">
              <w:rPr>
                <w:rFonts w:ascii="Calibri" w:hAnsi="Calibri"/>
                <w:b w:val="0"/>
                <w:sz w:val="24"/>
              </w:rPr>
              <w:t xml:space="preserve">EGI </w:t>
            </w:r>
            <w:r w:rsidR="00862974" w:rsidRPr="00CF464C">
              <w:rPr>
                <w:rFonts w:ascii="Calibri" w:hAnsi="Calibri"/>
                <w:b w:val="0"/>
                <w:sz w:val="24"/>
              </w:rPr>
              <w:t>service provider</w:t>
            </w:r>
            <w:r w:rsidRPr="00CF464C">
              <w:rPr>
                <w:rFonts w:ascii="Calibri" w:hAnsi="Calibri"/>
                <w:b w:val="0"/>
                <w:sz w:val="24"/>
              </w:rPr>
              <w:t xml:space="preserve"> or indirectly with EGI.eu</w:t>
            </w:r>
          </w:p>
          <w:p w14:paraId="0E52F0D2" w14:textId="24F00DFE"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w:t>
            </w:r>
            <w:r w:rsidR="00862974" w:rsidRPr="00CF464C">
              <w:rPr>
                <w:rFonts w:ascii="Calibri" w:hAnsi="Calibri"/>
                <w:b w:val="0"/>
                <w:sz w:val="24"/>
              </w:rPr>
              <w:t>lowing access to rival services</w:t>
            </w:r>
            <w:r w:rsidRPr="00CF464C">
              <w:rPr>
                <w:rFonts w:ascii="Calibri" w:hAnsi="Calibri"/>
                <w:b w:val="0"/>
                <w:sz w:val="24"/>
              </w:rPr>
              <w:t xml:space="preserve"> (e.g. com</w:t>
            </w:r>
            <w:r w:rsidR="00862974" w:rsidRPr="00CF464C">
              <w:rPr>
                <w:rFonts w:ascii="Calibri" w:hAnsi="Calibri"/>
                <w:b w:val="0"/>
                <w:sz w:val="24"/>
              </w:rPr>
              <w:t>puting capacity or storage</w:t>
            </w:r>
            <w:r w:rsidRPr="00CF464C">
              <w:rPr>
                <w:rFonts w:ascii="Calibri" w:hAnsi="Calibri"/>
                <w:b w:val="0"/>
                <w:sz w:val="24"/>
              </w:rPr>
              <w:t>) are usually provided under a</w:t>
            </w:r>
            <w:r w:rsidR="00862974" w:rsidRPr="00CF464C">
              <w:rPr>
                <w:rFonts w:ascii="Calibri" w:hAnsi="Calibri"/>
                <w:b w:val="0"/>
                <w:sz w:val="24"/>
              </w:rPr>
              <w:t>s</w:t>
            </w:r>
            <w:r w:rsidRPr="00CF464C">
              <w:rPr>
                <w:rFonts w:ascii="Calibri" w:hAnsi="Calibri"/>
                <w:b w:val="0"/>
                <w:sz w:val="24"/>
              </w:rPr>
              <w:t xml:space="preserve"> policy-</w:t>
            </w:r>
            <w:r w:rsidR="00862974" w:rsidRPr="00CF464C">
              <w:rPr>
                <w:rFonts w:ascii="Calibri" w:hAnsi="Calibri"/>
                <w:b w:val="0"/>
                <w:sz w:val="24"/>
              </w:rPr>
              <w:t xml:space="preserve"> or market-driven</w:t>
            </w:r>
            <w:r w:rsidRPr="00CF464C">
              <w:rPr>
                <w:rFonts w:ascii="Calibri" w:hAnsi="Calibri"/>
                <w:b w:val="0"/>
                <w:sz w:val="24"/>
              </w:rPr>
              <w:t>.</w:t>
            </w:r>
          </w:p>
          <w:p w14:paraId="1B50C772" w14:textId="735A7B03"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allowing access to</w:t>
            </w:r>
            <w:r w:rsidR="00862974" w:rsidRPr="00CF464C">
              <w:rPr>
                <w:rFonts w:ascii="Calibri" w:hAnsi="Calibri"/>
                <w:b w:val="0"/>
                <w:sz w:val="24"/>
              </w:rPr>
              <w:t xml:space="preserve"> non-rival services</w:t>
            </w:r>
            <w:r w:rsidRPr="00CF464C">
              <w:rPr>
                <w:rFonts w:ascii="Calibri" w:hAnsi="Calibri"/>
                <w:b w:val="0"/>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10" w:name="_Toc421278105"/>
      <w:bookmarkStart w:id="11" w:name="_Toc320894670"/>
      <w:r w:rsidRPr="00952BD5">
        <w:t>Service Design</w:t>
      </w:r>
      <w:bookmarkEnd w:id="11"/>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20894671"/>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20894672"/>
      <w:r>
        <w:lastRenderedPageBreak/>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20894673"/>
      <w:r w:rsidRPr="00547C0A">
        <w:t xml:space="preserve">High-Level </w:t>
      </w:r>
      <w:r w:rsidR="00E16B56" w:rsidRPr="00547C0A">
        <w:t>Service architecture</w:t>
      </w:r>
      <w:bookmarkEnd w:id="10"/>
      <w:bookmarkEnd w:id="14"/>
    </w:p>
    <w:p w14:paraId="69F57BEF" w14:textId="4A5B3683" w:rsidR="00CD6680" w:rsidRP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r w:rsidRPr="009D616E">
        <w:rPr>
          <w:rFonts w:ascii="Calibri" w:hAnsi="Calibri"/>
          <w:sz w:val="24"/>
        </w:rPr>
        <w:t>A service component is a logical part of a service that provides a function enabling or enhancing a service</w:t>
      </w:r>
      <w:r>
        <w:rPr>
          <w:rFonts w:ascii="Calibri" w:hAnsi="Calibri"/>
          <w:sz w:val="24"/>
        </w:rPr>
        <w:t>.</w:t>
      </w:r>
      <w:r w:rsidR="00696496">
        <w:rPr>
          <w:rFonts w:ascii="Calibri" w:hAnsi="Calibri"/>
          <w:sz w:val="24"/>
        </w:rPr>
        <w:t xml:space="preserve"> </w:t>
      </w:r>
      <w:r w:rsidR="00CD6680" w:rsidRPr="009D616E">
        <w:rPr>
          <w:rFonts w:ascii="Calibri" w:hAnsi="Calibri"/>
          <w:sz w:val="24"/>
        </w:rPr>
        <w:t>A service is usually composed of several service components.</w:t>
      </w:r>
      <w:r w:rsidR="00696496">
        <w:rPr>
          <w:rFonts w:ascii="Calibri" w:hAnsi="Calibri"/>
          <w:sz w:val="24"/>
        </w:rPr>
        <w:t xml:space="preserve"> </w:t>
      </w:r>
      <w:r w:rsidR="00CD6680" w:rsidRPr="009D616E">
        <w:rPr>
          <w:rFonts w:ascii="Calibri" w:hAnsi="Calibri"/>
          <w:sz w:val="24"/>
        </w:rPr>
        <w:t>A service component is usually built from one or more configuration items (CIs)</w:t>
      </w:r>
      <w:proofErr w:type="gramStart"/>
      <w:r w:rsidR="00CD6680" w:rsidRPr="009D616E">
        <w:rPr>
          <w:rFonts w:ascii="Calibri" w:hAnsi="Calibri"/>
          <w:sz w:val="24"/>
        </w:rPr>
        <w:t>.Although</w:t>
      </w:r>
      <w:proofErr w:type="gramEnd"/>
      <w:r w:rsidR="00CD6680" w:rsidRPr="009D616E">
        <w:rPr>
          <w:rFonts w:ascii="Calibri" w:hAnsi="Calibri"/>
          <w:sz w:val="24"/>
        </w:rPr>
        <w:t xml:space="preserve"> a service component underlies one or more services, it usually does not create value for a customer alone and is ther</w:t>
      </w:r>
      <w:r w:rsidR="00CD6680">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20894674"/>
      <w:r w:rsidRPr="009D616E">
        <w:t>Enabling service components</w:t>
      </w:r>
      <w:bookmarkEnd w:id="15"/>
      <w:bookmarkEnd w:id="16"/>
    </w:p>
    <w:p w14:paraId="3060ACAB" w14:textId="6510672C" w:rsidR="006B3501"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tbl>
      <w:tblPr>
        <w:tblStyle w:val="LightGrid-Accent1"/>
        <w:tblW w:w="0" w:type="auto"/>
        <w:tblLook w:val="04A0" w:firstRow="1" w:lastRow="0" w:firstColumn="1" w:lastColumn="0" w:noHBand="0" w:noVBand="1"/>
      </w:tblPr>
      <w:tblGrid>
        <w:gridCol w:w="2093"/>
        <w:gridCol w:w="5812"/>
        <w:gridCol w:w="1381"/>
      </w:tblGrid>
      <w:tr w:rsidR="00F0116C" w14:paraId="767FBFEB" w14:textId="77777777" w:rsidTr="00B3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7378623E" w14:textId="77777777" w:rsidR="00F0116C" w:rsidRPr="005E3D32" w:rsidRDefault="00F0116C" w:rsidP="00B34BD5">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6C5DE2A0"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68CC08F0" w14:textId="437C5DF4"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r w:rsidR="00696496">
              <w:rPr>
                <w:rStyle w:val="FootnoteReference"/>
                <w:rFonts w:asciiTheme="minorHAnsi" w:hAnsiTheme="minorHAnsi"/>
                <w:color w:val="FFFFFF" w:themeColor="background1"/>
              </w:rPr>
              <w:footnoteReference w:id="3"/>
            </w:r>
          </w:p>
        </w:tc>
      </w:tr>
      <w:tr w:rsidR="00F0116C" w14:paraId="4CC6684A" w14:textId="77777777" w:rsidTr="00B34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DF28752" w14:textId="77777777" w:rsidR="00F0116C" w:rsidRDefault="00F0116C" w:rsidP="00B34BD5"/>
        </w:tc>
        <w:tc>
          <w:tcPr>
            <w:tcW w:w="5812" w:type="dxa"/>
          </w:tcPr>
          <w:p w14:paraId="7C3E0C75"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c>
          <w:tcPr>
            <w:tcW w:w="1381" w:type="dxa"/>
          </w:tcPr>
          <w:p w14:paraId="7370E321"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r>
      <w:tr w:rsidR="00F0116C" w14:paraId="2D0ADE38" w14:textId="77777777" w:rsidTr="00B34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9BD019" w14:textId="77777777" w:rsidR="00F0116C" w:rsidRDefault="00F0116C" w:rsidP="00B34BD5"/>
        </w:tc>
        <w:tc>
          <w:tcPr>
            <w:tcW w:w="5812" w:type="dxa"/>
          </w:tcPr>
          <w:p w14:paraId="5E8B3A87"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c>
          <w:tcPr>
            <w:tcW w:w="1381" w:type="dxa"/>
          </w:tcPr>
          <w:p w14:paraId="1E51392B"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r>
    </w:tbl>
    <w:p w14:paraId="07CCD72B" w14:textId="68613134" w:rsidR="00E16B56" w:rsidRPr="009D616E" w:rsidRDefault="00F0116C" w:rsidP="00350AE7">
      <w:pPr>
        <w:spacing w:line="276" w:lineRule="auto"/>
      </w:pPr>
      <w:r>
        <w:rPr>
          <w:rFonts w:ascii="Calibri" w:hAnsi="Calibri"/>
          <w:sz w:val="24"/>
        </w:rPr>
        <w:lastRenderedPageBreak/>
        <w:t xml:space="preserve"> </w:t>
      </w:r>
      <w:bookmarkStart w:id="17" w:name="_Toc421278109"/>
      <w:r w:rsidR="00E16B56" w:rsidRPr="009D616E">
        <w:t>Enhancing service components</w:t>
      </w:r>
      <w:bookmarkEnd w:id="17"/>
    </w:p>
    <w:p w14:paraId="58674531" w14:textId="73AC834F" w:rsidR="006B3501"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r w:rsidR="00696496">
        <w:rPr>
          <w:rFonts w:ascii="Calibri" w:hAnsi="Calibri"/>
          <w:sz w:val="24"/>
        </w:rPr>
        <w:t xml:space="preserve"> For the TRL, refers to the instructions provided in the previous section. </w:t>
      </w:r>
    </w:p>
    <w:p w14:paraId="15D2C1DD" w14:textId="77777777" w:rsidR="00F0116C" w:rsidRDefault="00F0116C" w:rsidP="00CD6680">
      <w:pPr>
        <w:spacing w:line="276" w:lineRule="auto"/>
        <w:rPr>
          <w:rFonts w:ascii="Calibri" w:hAnsi="Calibri"/>
          <w:sz w:val="24"/>
        </w:rPr>
      </w:pPr>
    </w:p>
    <w:tbl>
      <w:tblPr>
        <w:tblStyle w:val="LightGrid-Accent1"/>
        <w:tblW w:w="0" w:type="auto"/>
        <w:tblLook w:val="04A0" w:firstRow="1" w:lastRow="0" w:firstColumn="1" w:lastColumn="0" w:noHBand="0" w:noVBand="1"/>
      </w:tblPr>
      <w:tblGrid>
        <w:gridCol w:w="2093"/>
        <w:gridCol w:w="5812"/>
        <w:gridCol w:w="1381"/>
      </w:tblGrid>
      <w:tr w:rsidR="00F0116C" w14:paraId="18E40B9F" w14:textId="77777777" w:rsidTr="00B3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3AE1CF3E" w14:textId="77777777" w:rsidR="00F0116C" w:rsidRPr="005E3D32" w:rsidRDefault="00F0116C" w:rsidP="00B34BD5">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03D8471B"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1B2C9886"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7DAEFE8D" w14:textId="77777777" w:rsidTr="00B34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9E9C6A" w14:textId="77777777" w:rsidR="00F0116C" w:rsidRDefault="00F0116C" w:rsidP="00B34BD5"/>
        </w:tc>
        <w:tc>
          <w:tcPr>
            <w:tcW w:w="5812" w:type="dxa"/>
          </w:tcPr>
          <w:p w14:paraId="02E37D8E"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c>
          <w:tcPr>
            <w:tcW w:w="1381" w:type="dxa"/>
          </w:tcPr>
          <w:p w14:paraId="6C546B8D"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r>
      <w:tr w:rsidR="00F0116C" w14:paraId="61E162CD" w14:textId="77777777" w:rsidTr="00B34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686195" w14:textId="77777777" w:rsidR="00F0116C" w:rsidRDefault="00F0116C" w:rsidP="00B34BD5"/>
        </w:tc>
        <w:tc>
          <w:tcPr>
            <w:tcW w:w="5812" w:type="dxa"/>
          </w:tcPr>
          <w:p w14:paraId="68745C6E"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c>
          <w:tcPr>
            <w:tcW w:w="1381" w:type="dxa"/>
          </w:tcPr>
          <w:p w14:paraId="530AD6DB"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r>
    </w:tbl>
    <w:p w14:paraId="0D7E21C2" w14:textId="77777777" w:rsidR="00F0116C" w:rsidRPr="009D616E" w:rsidRDefault="00F0116C" w:rsidP="00CD6680">
      <w:pPr>
        <w:spacing w:line="276" w:lineRule="auto"/>
        <w:rPr>
          <w:rFonts w:ascii="Calibri" w:hAnsi="Calibri"/>
          <w:sz w:val="24"/>
        </w:rPr>
      </w:pPr>
    </w:p>
    <w:p w14:paraId="0CD647F7" w14:textId="77777777" w:rsidR="00E16B56" w:rsidRPr="009D616E" w:rsidRDefault="00E16B56" w:rsidP="00547C0A">
      <w:pPr>
        <w:pStyle w:val="Heading4"/>
      </w:pPr>
      <w:bookmarkStart w:id="18" w:name="_Toc421278110"/>
      <w:bookmarkStart w:id="19" w:name="_Toc320894675"/>
      <w:r w:rsidRPr="009D616E">
        <w:t>Integration and dependencies</w:t>
      </w:r>
      <w:bookmarkEnd w:id="18"/>
      <w:bookmarkEnd w:id="19"/>
    </w:p>
    <w:p w14:paraId="0917178D" w14:textId="48BD30DC" w:rsidR="00C2793F" w:rsidRPr="009D616E" w:rsidRDefault="00C2793F" w:rsidP="00CD6680">
      <w:pPr>
        <w:spacing w:line="276" w:lineRule="auto"/>
        <w:rPr>
          <w:rFonts w:ascii="Calibri" w:hAnsi="Calibri"/>
          <w:sz w:val="24"/>
        </w:rPr>
      </w:pPr>
      <w:bookmarkStart w:id="20"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1" w:name="_Toc421278111"/>
      <w:bookmarkStart w:id="22" w:name="_Toc320894676"/>
      <w:r w:rsidRPr="00BA7494">
        <w:t>Technical service architecture</w:t>
      </w:r>
      <w:bookmarkEnd w:id="21"/>
      <w:bookmarkEnd w:id="22"/>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3" w:name="_Toc421278112"/>
      <w:bookmarkStart w:id="24" w:name="_Toc320894677"/>
      <w:r w:rsidRPr="00BA7494">
        <w:t>Service acceptance criteria</w:t>
      </w:r>
      <w:bookmarkEnd w:id="23"/>
      <w:bookmarkEnd w:id="24"/>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lastRenderedPageBreak/>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5" w:name="_Toc320894678"/>
      <w:r w:rsidRPr="00547C0A">
        <w:lastRenderedPageBreak/>
        <w:t xml:space="preserve">Service </w:t>
      </w:r>
      <w:r w:rsidR="00165719" w:rsidRPr="00547C0A">
        <w:t>Transition</w:t>
      </w:r>
      <w:bookmarkEnd w:id="20"/>
      <w:r w:rsidR="00C85E00" w:rsidRPr="00547C0A">
        <w:t xml:space="preserve"> PLan</w:t>
      </w:r>
      <w:bookmarkEnd w:id="25"/>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4"/>
      <w:bookmarkEnd w:id="5"/>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696496" w:rsidRDefault="00696496">
      <w:pPr>
        <w:spacing w:before="0" w:after="0"/>
      </w:pPr>
      <w:r>
        <w:separator/>
      </w:r>
    </w:p>
  </w:endnote>
  <w:endnote w:type="continuationSeparator" w:id="0">
    <w:p w14:paraId="1CD2C8DB" w14:textId="77777777" w:rsidR="00696496" w:rsidRDefault="006964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696496" w:rsidRPr="002D3537" w:rsidRDefault="00696496"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96496" w14:paraId="1760B377" w14:textId="77777777" w:rsidTr="004B6465">
      <w:tc>
        <w:tcPr>
          <w:tcW w:w="2764" w:type="dxa"/>
          <w:tcBorders>
            <w:top w:val="single" w:sz="8" w:space="0" w:color="000080"/>
          </w:tcBorders>
          <w:shd w:val="clear" w:color="auto" w:fill="auto"/>
        </w:tcPr>
        <w:p w14:paraId="6B305C56" w14:textId="77777777" w:rsidR="00696496" w:rsidRDefault="00696496"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696496" w:rsidRDefault="00696496"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696496" w:rsidRDefault="00696496"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696496" w:rsidRDefault="00696496" w:rsidP="004B6465">
          <w:pPr>
            <w:pStyle w:val="Footer"/>
            <w:snapToGrid w:val="0"/>
            <w:jc w:val="center"/>
            <w:rPr>
              <w:caps/>
              <w:shd w:val="clear" w:color="auto" w:fill="FFFF00"/>
            </w:rPr>
          </w:pPr>
        </w:p>
        <w:p w14:paraId="5007CAD4" w14:textId="77777777" w:rsidR="00696496" w:rsidRDefault="00696496"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696496" w:rsidRDefault="00696496" w:rsidP="004B6465">
          <w:pPr>
            <w:pStyle w:val="Footer"/>
            <w:snapToGrid w:val="0"/>
            <w:jc w:val="right"/>
          </w:pPr>
        </w:p>
        <w:p w14:paraId="65EB852B" w14:textId="77777777" w:rsidR="00696496" w:rsidRDefault="00696496"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A05D29">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A05D29">
            <w:rPr>
              <w:noProof/>
              <w:sz w:val="18"/>
            </w:rPr>
            <w:t>11</w:t>
          </w:r>
          <w:r w:rsidRPr="00F82664">
            <w:rPr>
              <w:sz w:val="18"/>
            </w:rPr>
            <w:fldChar w:fldCharType="end"/>
          </w:r>
        </w:p>
      </w:tc>
    </w:tr>
  </w:tbl>
  <w:p w14:paraId="55F14CAF" w14:textId="77777777" w:rsidR="00696496" w:rsidRPr="00A91255" w:rsidRDefault="00696496"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696496" w:rsidRPr="002D3537" w14:paraId="37F53B4E" w14:textId="77777777" w:rsidTr="00E17695">
      <w:tc>
        <w:tcPr>
          <w:tcW w:w="1204" w:type="dxa"/>
          <w:tcBorders>
            <w:top w:val="single" w:sz="4" w:space="0" w:color="auto"/>
          </w:tcBorders>
          <w:shd w:val="clear" w:color="auto" w:fill="auto"/>
        </w:tcPr>
        <w:p w14:paraId="3F8F6C57" w14:textId="77777777" w:rsidR="00696496" w:rsidRPr="002D3537" w:rsidRDefault="00696496"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696496" w:rsidRPr="002D3537" w:rsidRDefault="00696496" w:rsidP="004B6465">
          <w:pPr>
            <w:pStyle w:val="Footer"/>
            <w:tabs>
              <w:tab w:val="left" w:pos="1454"/>
              <w:tab w:val="center" w:pos="1843"/>
            </w:tabs>
            <w:snapToGrid w:val="0"/>
            <w:jc w:val="center"/>
            <w:rPr>
              <w:color w:val="000000"/>
              <w:sz w:val="18"/>
              <w:szCs w:val="18"/>
            </w:rPr>
          </w:pPr>
        </w:p>
        <w:p w14:paraId="29A06950" w14:textId="77777777" w:rsidR="00696496" w:rsidRPr="00757E35" w:rsidRDefault="00696496"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696496" w:rsidRPr="0026545C" w:rsidRDefault="00696496" w:rsidP="004B6465">
          <w:pPr>
            <w:pStyle w:val="Footer"/>
            <w:snapToGrid w:val="0"/>
            <w:jc w:val="center"/>
            <w:rPr>
              <w:rFonts w:eastAsia="Verdana" w:cs="Times New Roman"/>
              <w:sz w:val="18"/>
              <w:szCs w:val="18"/>
            </w:rPr>
          </w:pPr>
          <w:hyperlink r:id="rId2" w:history="1">
            <w:r w:rsidRPr="00757E35">
              <w:rPr>
                <w:rStyle w:val="Hyperlink"/>
                <w:rFonts w:asciiTheme="minorHAnsi" w:eastAsia="Verdana" w:hAnsiTheme="minorHAnsi"/>
                <w:sz w:val="18"/>
                <w:szCs w:val="18"/>
              </w:rPr>
              <w:t>Creative Commons Attribution 4.0 International License</w:t>
            </w:r>
          </w:hyperlink>
          <w:r>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696496" w:rsidRPr="002D3537" w:rsidRDefault="00696496" w:rsidP="004B6465">
          <w:pPr>
            <w:pStyle w:val="Footer"/>
            <w:snapToGrid w:val="0"/>
            <w:jc w:val="right"/>
            <w:rPr>
              <w:sz w:val="18"/>
              <w:szCs w:val="18"/>
            </w:rPr>
          </w:pPr>
        </w:p>
        <w:p w14:paraId="3D15E4FC" w14:textId="77777777" w:rsidR="00696496" w:rsidRDefault="00696496" w:rsidP="004B6465">
          <w:pPr>
            <w:pStyle w:val="Footer"/>
            <w:snapToGrid w:val="0"/>
            <w:jc w:val="right"/>
            <w:rPr>
              <w:sz w:val="18"/>
              <w:szCs w:val="18"/>
            </w:rPr>
          </w:pPr>
        </w:p>
        <w:p w14:paraId="0BFE5AFC" w14:textId="77777777" w:rsidR="00696496" w:rsidRPr="002D3537" w:rsidRDefault="00696496"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A05D29">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A05D29">
            <w:rPr>
              <w:noProof/>
              <w:sz w:val="18"/>
              <w:szCs w:val="18"/>
            </w:rPr>
            <w:t>11</w:t>
          </w:r>
          <w:r w:rsidRPr="002D3537">
            <w:rPr>
              <w:sz w:val="18"/>
              <w:szCs w:val="18"/>
            </w:rPr>
            <w:fldChar w:fldCharType="end"/>
          </w:r>
        </w:p>
      </w:tc>
    </w:tr>
    <w:tr w:rsidR="00696496" w:rsidRPr="002D3537" w14:paraId="1EFF1CBC" w14:textId="77777777" w:rsidTr="004B6465">
      <w:tc>
        <w:tcPr>
          <w:tcW w:w="1204" w:type="dxa"/>
          <w:shd w:val="clear" w:color="auto" w:fill="auto"/>
        </w:tcPr>
        <w:p w14:paraId="55F0FD4C" w14:textId="77777777" w:rsidR="00696496" w:rsidRDefault="00696496"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696496" w:rsidRPr="00220329" w:rsidRDefault="00696496"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696496" w:rsidRPr="002D3537" w:rsidRDefault="00696496"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696496" w:rsidRPr="002D3537" w:rsidRDefault="00696496" w:rsidP="004B6465">
          <w:pPr>
            <w:pStyle w:val="Footer"/>
            <w:snapToGrid w:val="0"/>
            <w:jc w:val="right"/>
            <w:rPr>
              <w:sz w:val="18"/>
              <w:szCs w:val="18"/>
            </w:rPr>
          </w:pPr>
        </w:p>
      </w:tc>
    </w:tr>
  </w:tbl>
  <w:p w14:paraId="0911628D" w14:textId="77777777" w:rsidR="00696496" w:rsidRDefault="006964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696496" w:rsidRDefault="00696496"/>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696496" w:rsidRDefault="0069649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96496" w:rsidRPr="00CD6680" w14:paraId="7A765B3D" w14:textId="77777777">
      <w:tc>
        <w:tcPr>
          <w:tcW w:w="2764" w:type="dxa"/>
          <w:tcBorders>
            <w:top w:val="single" w:sz="8" w:space="0" w:color="000080"/>
          </w:tcBorders>
          <w:shd w:val="clear" w:color="auto" w:fill="auto"/>
        </w:tcPr>
        <w:p w14:paraId="575E8A84" w14:textId="77777777" w:rsidR="00696496" w:rsidRDefault="00696496">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696496" w:rsidRDefault="00696496">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696496" w:rsidRDefault="00696496"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696496" w:rsidRDefault="00696496">
          <w:pPr>
            <w:pStyle w:val="Footer"/>
            <w:snapToGrid w:val="0"/>
            <w:jc w:val="center"/>
            <w:rPr>
              <w:caps/>
              <w:shd w:val="clear" w:color="auto" w:fill="FFFF00"/>
            </w:rPr>
          </w:pPr>
        </w:p>
        <w:p w14:paraId="31491C0A" w14:textId="77777777" w:rsidR="00696496" w:rsidRDefault="00696496"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696496" w:rsidRPr="00CD6680" w:rsidRDefault="00696496">
          <w:pPr>
            <w:pStyle w:val="Footer"/>
            <w:snapToGrid w:val="0"/>
            <w:jc w:val="right"/>
            <w:rPr>
              <w:rFonts w:ascii="Calibri" w:hAnsi="Calibri"/>
            </w:rPr>
          </w:pPr>
        </w:p>
        <w:p w14:paraId="21815A6A" w14:textId="77777777" w:rsidR="00696496" w:rsidRPr="00CD6680" w:rsidRDefault="00696496">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A05D29">
            <w:rPr>
              <w:rFonts w:ascii="Calibri" w:hAnsi="Calibri"/>
              <w:noProof/>
            </w:rPr>
            <w:t>3</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A05D29">
            <w:rPr>
              <w:rFonts w:ascii="Calibri" w:hAnsi="Calibri"/>
              <w:noProof/>
            </w:rPr>
            <w:t>11</w:t>
          </w:r>
          <w:r w:rsidRPr="00CD6680">
            <w:rPr>
              <w:rFonts w:ascii="Calibri" w:hAnsi="Calibri"/>
            </w:rPr>
            <w:fldChar w:fldCharType="end"/>
          </w:r>
        </w:p>
      </w:tc>
    </w:tr>
  </w:tbl>
  <w:p w14:paraId="29971EFC" w14:textId="77777777" w:rsidR="00696496" w:rsidRDefault="0069649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696496" w:rsidRDefault="0069649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696496" w:rsidRDefault="00696496">
      <w:pPr>
        <w:spacing w:before="0" w:after="0"/>
      </w:pPr>
      <w:r>
        <w:separator/>
      </w:r>
    </w:p>
  </w:footnote>
  <w:footnote w:type="continuationSeparator" w:id="0">
    <w:p w14:paraId="268C576B" w14:textId="77777777" w:rsidR="00696496" w:rsidRDefault="00696496">
      <w:pPr>
        <w:spacing w:before="0" w:after="0"/>
      </w:pPr>
      <w:r>
        <w:continuationSeparator/>
      </w:r>
    </w:p>
  </w:footnote>
  <w:footnote w:id="1">
    <w:p w14:paraId="2E4C53E6" w14:textId="77777777" w:rsidR="00696496" w:rsidRPr="00383E84" w:rsidRDefault="00696496"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 w:id="2">
    <w:p w14:paraId="104D8D4E" w14:textId="5E607AA9" w:rsidR="00696496" w:rsidRPr="00CF464C" w:rsidRDefault="00696496">
      <w:pPr>
        <w:pStyle w:val="FootnoteText"/>
        <w:rPr>
          <w:lang w:val="en-US"/>
        </w:rPr>
      </w:pPr>
      <w:r>
        <w:rPr>
          <w:rStyle w:val="FootnoteReference"/>
        </w:rPr>
        <w:footnoteRef/>
      </w:r>
      <w:r>
        <w:t xml:space="preserve"> </w:t>
      </w:r>
      <w:r w:rsidRPr="00CF464C">
        <w:t>http://www.egi.eu/services/access_policy/</w:t>
      </w:r>
    </w:p>
  </w:footnote>
  <w:footnote w:id="3">
    <w:p w14:paraId="5BCA66CF" w14:textId="048B6BA0" w:rsidR="00696496" w:rsidRDefault="00696496" w:rsidP="00696496">
      <w:pPr>
        <w:spacing w:line="276" w:lineRule="auto"/>
        <w:rPr>
          <w:rFonts w:ascii="Calibri" w:hAnsi="Calibri"/>
          <w:sz w:val="24"/>
        </w:rPr>
      </w:pPr>
      <w:r>
        <w:rPr>
          <w:rStyle w:val="FootnoteReference"/>
        </w:rPr>
        <w:footnoteRef/>
      </w:r>
      <w:r>
        <w:t xml:space="preserve"> </w:t>
      </w: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components during the acquisition process.</w:t>
      </w:r>
      <w:r>
        <w:rPr>
          <w:rFonts w:ascii="Calibri" w:hAnsi="Calibri"/>
          <w:sz w:val="24"/>
        </w:rPr>
        <w:t xml:space="preserve"> For non-technical components, you can specify “</w:t>
      </w:r>
      <w:r w:rsidRPr="00696496">
        <w:rPr>
          <w:rFonts w:ascii="Calibri" w:hAnsi="Calibri"/>
          <w:b/>
          <w:sz w:val="24"/>
        </w:rPr>
        <w:t>n/a</w:t>
      </w:r>
      <w:r>
        <w:rPr>
          <w:rFonts w:ascii="Calibri" w:hAnsi="Calibri"/>
          <w:b/>
          <w:sz w:val="24"/>
        </w:rPr>
        <w:t>”</w:t>
      </w:r>
      <w:r>
        <w:rPr>
          <w:rFonts w:ascii="Calibri" w:hAnsi="Calibri"/>
          <w:sz w:val="24"/>
        </w:rPr>
        <w:t>. For technical components, you can select them based on the following definition from the EC:</w:t>
      </w:r>
    </w:p>
    <w:p w14:paraId="7ED6FAD2"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1</w:t>
      </w:r>
      <w:r w:rsidRPr="00F0116C">
        <w:rPr>
          <w:rFonts w:ascii="Calibri" w:hAnsi="Calibri"/>
          <w:sz w:val="24"/>
        </w:rPr>
        <w:t xml:space="preserve"> – basic principles observed</w:t>
      </w:r>
    </w:p>
    <w:p w14:paraId="18615283"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2</w:t>
      </w:r>
      <w:r w:rsidRPr="00F0116C">
        <w:rPr>
          <w:rFonts w:ascii="Calibri" w:hAnsi="Calibri"/>
          <w:sz w:val="24"/>
        </w:rPr>
        <w:t xml:space="preserve"> – technology concept formulated</w:t>
      </w:r>
    </w:p>
    <w:p w14:paraId="68A727C1"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3</w:t>
      </w:r>
      <w:r w:rsidRPr="00F0116C">
        <w:rPr>
          <w:rFonts w:ascii="Calibri" w:hAnsi="Calibri"/>
          <w:sz w:val="24"/>
        </w:rPr>
        <w:t xml:space="preserve"> – experimental proof of concept</w:t>
      </w:r>
    </w:p>
    <w:p w14:paraId="6FAD11D8"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4</w:t>
      </w:r>
      <w:r w:rsidRPr="00F0116C">
        <w:rPr>
          <w:rFonts w:ascii="Calibri" w:hAnsi="Calibri"/>
          <w:sz w:val="24"/>
        </w:rPr>
        <w:t xml:space="preserve"> – technology validated in lab</w:t>
      </w:r>
    </w:p>
    <w:p w14:paraId="5D927989"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5</w:t>
      </w:r>
      <w:r w:rsidRPr="00F0116C">
        <w:rPr>
          <w:rFonts w:ascii="Calibri" w:hAnsi="Calibri"/>
          <w:sz w:val="24"/>
        </w:rPr>
        <w:t xml:space="preserve"> – technology validated in relevant environment (industrially relevant</w:t>
      </w:r>
    </w:p>
    <w:p w14:paraId="574D7687" w14:textId="77777777" w:rsidR="00696496" w:rsidRPr="00F0116C" w:rsidRDefault="00696496" w:rsidP="00696496">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51C8F940"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sz w:val="24"/>
        </w:rPr>
        <w:t>TRL 6 – technology demonstrated in relevant environment (industrially relevant</w:t>
      </w:r>
    </w:p>
    <w:p w14:paraId="260EEEC8" w14:textId="77777777" w:rsidR="00696496" w:rsidRPr="00F0116C" w:rsidRDefault="00696496" w:rsidP="00696496">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25EB4307"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7</w:t>
      </w:r>
      <w:r w:rsidRPr="00F0116C">
        <w:rPr>
          <w:rFonts w:ascii="Calibri" w:hAnsi="Calibri"/>
          <w:sz w:val="24"/>
        </w:rPr>
        <w:t xml:space="preserve"> – system prototype demonstration in operational environment</w:t>
      </w:r>
    </w:p>
    <w:p w14:paraId="4D772B40"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8</w:t>
      </w:r>
      <w:r w:rsidRPr="00F0116C">
        <w:rPr>
          <w:rFonts w:ascii="Calibri" w:hAnsi="Calibri"/>
          <w:sz w:val="24"/>
        </w:rPr>
        <w:t xml:space="preserve"> – system complete and qualified</w:t>
      </w:r>
    </w:p>
    <w:p w14:paraId="6FC30991"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9</w:t>
      </w:r>
      <w:r w:rsidRPr="00F0116C">
        <w:rPr>
          <w:rFonts w:ascii="Calibri" w:hAnsi="Calibri"/>
          <w:sz w:val="24"/>
        </w:rPr>
        <w:t xml:space="preserve"> – actual system proven in operational environment (competitive</w:t>
      </w:r>
      <w:r>
        <w:rPr>
          <w:rFonts w:ascii="Calibri" w:hAnsi="Calibri"/>
          <w:sz w:val="24"/>
        </w:rPr>
        <w:t xml:space="preserve"> </w:t>
      </w:r>
      <w:r w:rsidRPr="00F0116C">
        <w:rPr>
          <w:rFonts w:ascii="Calibri" w:hAnsi="Calibri"/>
          <w:sz w:val="24"/>
        </w:rPr>
        <w:t>manufacturing in the case of key enabling technologies)</w:t>
      </w:r>
    </w:p>
    <w:p w14:paraId="152D2E3D" w14:textId="714CA516" w:rsidR="00696496" w:rsidRPr="00696496" w:rsidRDefault="00696496" w:rsidP="00696496">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696496" w:rsidRDefault="0069649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696496" w14:paraId="7D21E6F1" w14:textId="77777777">
      <w:trPr>
        <w:trHeight w:val="1131"/>
      </w:trPr>
      <w:tc>
        <w:tcPr>
          <w:tcW w:w="2404" w:type="dxa"/>
          <w:shd w:val="clear" w:color="auto" w:fill="auto"/>
        </w:tcPr>
        <w:p w14:paraId="0FAFFF33" w14:textId="77777777" w:rsidR="00696496" w:rsidRDefault="00696496">
          <w:pPr>
            <w:pStyle w:val="Header"/>
            <w:tabs>
              <w:tab w:val="right" w:pos="9072"/>
            </w:tabs>
            <w:snapToGrid w:val="0"/>
            <w:jc w:val="left"/>
          </w:pPr>
        </w:p>
      </w:tc>
      <w:tc>
        <w:tcPr>
          <w:tcW w:w="3673" w:type="dxa"/>
          <w:shd w:val="clear" w:color="auto" w:fill="auto"/>
        </w:tcPr>
        <w:p w14:paraId="6DDE0258" w14:textId="77777777" w:rsidR="00696496" w:rsidRDefault="00696496">
          <w:pPr>
            <w:pStyle w:val="Header"/>
            <w:tabs>
              <w:tab w:val="right" w:pos="9072"/>
            </w:tabs>
            <w:snapToGrid w:val="0"/>
            <w:jc w:val="center"/>
          </w:pPr>
        </w:p>
      </w:tc>
      <w:tc>
        <w:tcPr>
          <w:tcW w:w="3333" w:type="dxa"/>
          <w:shd w:val="clear" w:color="auto" w:fill="auto"/>
        </w:tcPr>
        <w:p w14:paraId="790CDA5C" w14:textId="77777777" w:rsidR="00696496" w:rsidRDefault="00696496">
          <w:pPr>
            <w:pStyle w:val="Header"/>
            <w:tabs>
              <w:tab w:val="right" w:pos="9072"/>
            </w:tabs>
            <w:snapToGrid w:val="0"/>
            <w:jc w:val="right"/>
          </w:pPr>
        </w:p>
      </w:tc>
    </w:tr>
  </w:tbl>
  <w:p w14:paraId="18A59E92" w14:textId="77777777" w:rsidR="00696496" w:rsidRDefault="00696496"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696496" w:rsidRDefault="0069649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325AE"/>
    <w:multiLevelType w:val="hybridMultilevel"/>
    <w:tmpl w:val="744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E3FB1"/>
    <w:multiLevelType w:val="hybridMultilevel"/>
    <w:tmpl w:val="722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24"/>
  </w:num>
  <w:num w:numId="5">
    <w:abstractNumId w:val="23"/>
  </w:num>
  <w:num w:numId="6">
    <w:abstractNumId w:val="17"/>
  </w:num>
  <w:num w:numId="7">
    <w:abstractNumId w:val="18"/>
  </w:num>
  <w:num w:numId="8">
    <w:abstractNumId w:val="27"/>
  </w:num>
  <w:num w:numId="9">
    <w:abstractNumId w:val="16"/>
  </w:num>
  <w:num w:numId="10">
    <w:abstractNumId w:val="2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8"/>
  </w:num>
  <w:num w:numId="29">
    <w:abstractNumId w:val="19"/>
  </w:num>
  <w:num w:numId="30">
    <w:abstractNumId w:val="20"/>
  </w:num>
  <w:num w:numId="3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0AE7"/>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0345"/>
    <w:rsid w:val="00495BCE"/>
    <w:rsid w:val="004A0061"/>
    <w:rsid w:val="004A1432"/>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9649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0D5E"/>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058"/>
    <w:rsid w:val="00A00875"/>
    <w:rsid w:val="00A05D29"/>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381C"/>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BD5"/>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71"/>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CF464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04D9"/>
    <w:rsid w:val="00ED6A24"/>
    <w:rsid w:val="00EE28DE"/>
    <w:rsid w:val="00EE2B44"/>
    <w:rsid w:val="00EE4025"/>
    <w:rsid w:val="00EE75C9"/>
    <w:rsid w:val="00EE7B70"/>
    <w:rsid w:val="00EE7FEF"/>
    <w:rsid w:val="00EF18F5"/>
    <w:rsid w:val="00EF2A19"/>
    <w:rsid w:val="00EF38EA"/>
    <w:rsid w:val="00EF4F25"/>
    <w:rsid w:val="00EF4F39"/>
    <w:rsid w:val="00EF4F62"/>
    <w:rsid w:val="00EF64F3"/>
    <w:rsid w:val="00EF741A"/>
    <w:rsid w:val="00EF7719"/>
    <w:rsid w:val="00F00D78"/>
    <w:rsid w:val="00F0116C"/>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34500226">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09498707">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695A4A0A-71CE-9E4A-AB71-560B7470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1872</Words>
  <Characters>10673</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12520</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5</cp:revision>
  <cp:lastPrinted>2016-03-29T15:20:00Z</cp:lastPrinted>
  <dcterms:created xsi:type="dcterms:W3CDTF">2016-03-29T15:20:00Z</dcterms:created>
  <dcterms:modified xsi:type="dcterms:W3CDTF">2016-03-29T16:15:00Z</dcterms:modified>
</cp:coreProperties>
</file>