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E030B2" w:rsidRDefault="0052784D" w:rsidP="00804A7B">
      <w:pPr>
        <w:jc w:val="center"/>
        <w:rPr>
          <w:rFonts w:ascii="Calibri" w:hAnsi="Calibri" w:cs="Open Sans"/>
        </w:rPr>
      </w:pPr>
      <w:r w:rsidRPr="00E030B2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E030B2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E030B2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E030B2">
        <w:rPr>
          <w:rFonts w:ascii="Calibri" w:eastAsia="Calibri" w:hAnsi="Calibri" w:cs="Open Sans"/>
          <w:color w:val="000000"/>
        </w:rPr>
        <w:t xml:space="preserve">: </w:t>
      </w:r>
      <w:r w:rsidR="009C7A78" w:rsidRPr="00E030B2">
        <w:rPr>
          <w:rFonts w:ascii="Calibri" w:eastAsia="Calibri" w:hAnsi="Calibri" w:cs="Open Sans"/>
          <w:color w:val="000000"/>
        </w:rPr>
        <w:fldChar w:fldCharType="begin"/>
      </w:r>
      <w:r w:rsidR="009C7A78" w:rsidRPr="00E030B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 w:rsidRPr="00E030B2">
        <w:rPr>
          <w:rFonts w:ascii="Calibri" w:eastAsia="Calibri" w:hAnsi="Calibri" w:cs="Open Sans"/>
          <w:color w:val="000000"/>
        </w:rPr>
        <w:instrText>[</w:instrText>
      </w:r>
      <w:r w:rsidR="009C7A78" w:rsidRPr="00E030B2">
        <w:rPr>
          <w:rFonts w:ascii="Calibri" w:eastAsia="Calibri" w:hAnsi="Calibri" w:cs="Open Sans"/>
          <w:color w:val="000000"/>
        </w:rPr>
        <w:instrText>ServiceName</w:instrText>
      </w:r>
      <w:r w:rsidR="00553A42" w:rsidRPr="00E030B2">
        <w:rPr>
          <w:rFonts w:ascii="Calibri" w:eastAsia="Calibri" w:hAnsi="Calibri" w:cs="Open Sans"/>
          <w:color w:val="000000"/>
        </w:rPr>
        <w:instrText>]</w:instrText>
      </w:r>
      <w:r w:rsidR="009C7A78" w:rsidRPr="00E030B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E030B2" w:rsidRDefault="0040570A">
      <w:pPr>
        <w:rPr>
          <w:rFonts w:ascii="Calibri" w:hAnsi="Calibri" w:cs="Open Sans"/>
        </w:rPr>
      </w:pPr>
    </w:p>
    <w:p w14:paraId="27ED179B" w14:textId="77777777" w:rsidR="0040570A" w:rsidRPr="00E030B2" w:rsidRDefault="0040570A">
      <w:pPr>
        <w:rPr>
          <w:rFonts w:ascii="Calibri" w:hAnsi="Calibri" w:cs="Open Sans"/>
          <w:i/>
        </w:rPr>
      </w:pPr>
    </w:p>
    <w:p w14:paraId="4DAF6628" w14:textId="77777777" w:rsidR="0040570A" w:rsidRPr="00E030B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E030B2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E030B2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E030B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[servicename]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E030B2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[documentauthor]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E030B2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[documentversion]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[lastmodificationdate]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E030B2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Document</w:t>
            </w:r>
            <w:r w:rsidRPr="00E030B2">
              <w:rPr>
                <w:rFonts w:ascii="Calibri" w:eastAsia="Calibri" w:hAnsi="Calibri" w:cs="Open Sans"/>
                <w:b/>
              </w:rPr>
              <w:t xml:space="preserve"> </w:t>
            </w:r>
            <w:r w:rsidRPr="00E030B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E030B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Pr="00E030B2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Pr="00E030B2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E030B2" w:rsidRDefault="00426887" w:rsidP="00FD4577">
      <w:pPr>
        <w:rPr>
          <w:rFonts w:ascii="Calibri" w:hAnsi="Calibri" w:cs="Open Sans"/>
        </w:rPr>
        <w:sectPr w:rsidR="00426887" w:rsidRPr="00E030B2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E030B2" w:rsidRDefault="0040570A">
      <w:pPr>
        <w:pStyle w:val="TOC1"/>
        <w:rPr>
          <w:rFonts w:ascii="Calibri" w:hAnsi="Calibri" w:cs="Open Sans"/>
        </w:rPr>
        <w:sectPr w:rsidR="0040570A" w:rsidRPr="00E030B2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lastRenderedPageBreak/>
        <w:t>TABLE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OF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CONTENTS</w:t>
      </w:r>
    </w:p>
    <w:p w14:paraId="1187BFC9" w14:textId="77777777" w:rsidR="00BF7456" w:rsidRPr="00E030B2" w:rsidRDefault="0040570A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 w:cs="Open Sans"/>
        </w:rPr>
        <w:lastRenderedPageBreak/>
        <w:fldChar w:fldCharType="begin"/>
      </w:r>
      <w:r w:rsidRPr="00E030B2">
        <w:rPr>
          <w:rFonts w:ascii="Calibri" w:hAnsi="Calibri" w:cs="Open Sans"/>
        </w:rPr>
        <w:instrText xml:space="preserve"> TOC </w:instrText>
      </w:r>
      <w:r w:rsidRPr="00E030B2">
        <w:rPr>
          <w:rFonts w:ascii="Calibri" w:hAnsi="Calibri" w:cs="Open Sans"/>
        </w:rPr>
        <w:fldChar w:fldCharType="separate"/>
      </w:r>
      <w:r w:rsidR="00BF7456" w:rsidRPr="00E030B2">
        <w:rPr>
          <w:rFonts w:ascii="Calibri" w:hAnsi="Calibri"/>
          <w:noProof/>
        </w:rPr>
        <w:t>1</w:t>
      </w:r>
      <w:r w:rsidR="00BF7456"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="00BF7456" w:rsidRPr="00E030B2">
        <w:rPr>
          <w:rFonts w:ascii="Calibri" w:hAnsi="Calibri"/>
          <w:noProof/>
        </w:rPr>
        <w:t>Value Proposition Design</w:t>
      </w:r>
      <w:r w:rsidR="00BF7456" w:rsidRPr="00E030B2">
        <w:rPr>
          <w:rFonts w:ascii="Calibri" w:hAnsi="Calibri"/>
          <w:noProof/>
        </w:rPr>
        <w:tab/>
      </w:r>
      <w:r w:rsidR="00BF7456" w:rsidRPr="00E030B2">
        <w:rPr>
          <w:rFonts w:ascii="Calibri" w:hAnsi="Calibri"/>
          <w:noProof/>
        </w:rPr>
        <w:fldChar w:fldCharType="begin"/>
      </w:r>
      <w:r w:rsidR="00BF7456" w:rsidRPr="00E030B2">
        <w:rPr>
          <w:rFonts w:ascii="Calibri" w:hAnsi="Calibri"/>
          <w:noProof/>
        </w:rPr>
        <w:instrText xml:space="preserve"> PAGEREF _Toc300491893 \h </w:instrText>
      </w:r>
      <w:r w:rsidR="00BF7456" w:rsidRPr="00E030B2">
        <w:rPr>
          <w:rFonts w:ascii="Calibri" w:hAnsi="Calibri"/>
          <w:noProof/>
        </w:rPr>
      </w:r>
      <w:r w:rsidR="00BF7456" w:rsidRPr="00E030B2">
        <w:rPr>
          <w:rFonts w:ascii="Calibri" w:hAnsi="Calibri"/>
          <w:noProof/>
        </w:rPr>
        <w:fldChar w:fldCharType="separate"/>
      </w:r>
      <w:r w:rsidR="00BF7456" w:rsidRPr="00E030B2">
        <w:rPr>
          <w:rFonts w:ascii="Calibri" w:hAnsi="Calibri"/>
          <w:noProof/>
        </w:rPr>
        <w:t>3</w:t>
      </w:r>
      <w:r w:rsidR="00BF7456" w:rsidRPr="00E030B2">
        <w:rPr>
          <w:rFonts w:ascii="Calibri" w:hAnsi="Calibri"/>
          <w:noProof/>
        </w:rPr>
        <w:fldChar w:fldCharType="end"/>
      </w:r>
    </w:p>
    <w:p w14:paraId="1FD5386B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Customer/User Profile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51E235C4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Overview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6E357252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2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Business Case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4</w:t>
      </w:r>
      <w:r w:rsidRPr="00E030B2">
        <w:rPr>
          <w:rFonts w:ascii="Calibri" w:hAnsi="Calibri"/>
          <w:noProof/>
        </w:rPr>
        <w:fldChar w:fldCharType="end"/>
      </w:r>
    </w:p>
    <w:p w14:paraId="136FB6FE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3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_Toc300491897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FCBE3D9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requirements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_Toc300491898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BF0D0CE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_Toc300491899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0872190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High-Level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_Toc300491900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B1F6A07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Enabling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_Toc300491901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F336AC8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Enhancing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_Toc300491902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2944523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3.2.1.3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Integration and dependencies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_Toc300491903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D2D1852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Technical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560ADC00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3.3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acceptance criteria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79A6E083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4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Transition PLan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7</w:t>
      </w:r>
      <w:r w:rsidRPr="00E030B2">
        <w:rPr>
          <w:rFonts w:ascii="Calibri" w:hAnsi="Calibri"/>
          <w:noProof/>
        </w:rPr>
        <w:fldChar w:fldCharType="end"/>
      </w:r>
    </w:p>
    <w:p w14:paraId="3FD5C8C4" w14:textId="77777777" w:rsidR="0040570A" w:rsidRPr="00E030B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E030B2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fldChar w:fldCharType="end"/>
      </w:r>
    </w:p>
    <w:p w14:paraId="0783E3BE" w14:textId="77777777" w:rsidR="0040570A" w:rsidRPr="00E030B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E030B2" w:rsidRDefault="00545FF1" w:rsidP="005C6510">
      <w:pPr>
        <w:pStyle w:val="Heading1"/>
        <w:rPr>
          <w:i/>
        </w:rPr>
      </w:pPr>
      <w:r w:rsidRPr="00E030B2">
        <w:br w:type="page"/>
      </w:r>
      <w:bookmarkStart w:id="0" w:name="id.bd2622a07241"/>
      <w:bookmarkStart w:id="1" w:name="id.105932e7f75c"/>
    </w:p>
    <w:p w14:paraId="50FCAE97" w14:textId="483E51B0" w:rsidR="005F6675" w:rsidRPr="00E030B2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2" w:name="_Toc300491893"/>
      <w:r w:rsidRPr="00E030B2">
        <w:lastRenderedPageBreak/>
        <w:t>Value Proposition Design</w:t>
      </w:r>
      <w:bookmarkEnd w:id="2"/>
    </w:p>
    <w:p w14:paraId="2C1952F4" w14:textId="31426745" w:rsidR="005F6675" w:rsidRPr="00E030B2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3" w:name="_Toc300491894"/>
      <w:r w:rsidRPr="00E030B2">
        <w:t>Customer</w:t>
      </w:r>
      <w:r w:rsidR="00524D9C" w:rsidRPr="00E030B2">
        <w:t>/User</w:t>
      </w:r>
      <w:r w:rsidRPr="00E030B2">
        <w:t xml:space="preserve"> Profile</w:t>
      </w:r>
      <w:bookmarkEnd w:id="3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E030B2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E030B2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E030B2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E030B2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E030B2" w14:paraId="189F4158" w14:textId="77777777" w:rsidTr="005F6675">
        <w:tc>
          <w:tcPr>
            <w:tcW w:w="2579" w:type="dxa"/>
          </w:tcPr>
          <w:p w14:paraId="76C494FA" w14:textId="77777777" w:rsidR="00524D9C" w:rsidRPr="00E030B2" w:rsidRDefault="00524D9C" w:rsidP="00EC0D1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E030B2" w:rsidRDefault="00524D9C" w:rsidP="005F667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(pains/gains)</w:t>
            </w:r>
          </w:p>
        </w:tc>
        <w:tc>
          <w:tcPr>
            <w:tcW w:w="6707" w:type="dxa"/>
          </w:tcPr>
          <w:p w14:paraId="5387B7B3" w14:textId="506F5D47" w:rsidR="00524D9C" w:rsidRPr="00E030B2" w:rsidRDefault="00524D9C" w:rsidP="005F6675">
            <w:pPr>
              <w:jc w:val="left"/>
              <w:rPr>
                <w:rFonts w:ascii="Calibri" w:hAnsi="Calibri" w:cs="Arial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14:paraId="6290244B" w14:textId="77777777" w:rsidR="005F6675" w:rsidRPr="00E030B2" w:rsidRDefault="005F6675" w:rsidP="005F6675">
      <w:pPr>
        <w:rPr>
          <w:rFonts w:ascii="Calibri" w:hAnsi="Calibri"/>
        </w:rPr>
      </w:pPr>
    </w:p>
    <w:p w14:paraId="57FB3920" w14:textId="7385E59F" w:rsidR="005F6675" w:rsidRPr="00E030B2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5" w:name="_Toc300491895"/>
      <w:r w:rsidRPr="00E030B2">
        <w:t>Service Overvie</w:t>
      </w:r>
      <w:r w:rsidR="00952BD5" w:rsidRPr="00E030B2">
        <w:t>w</w:t>
      </w:r>
      <w:bookmarkEnd w:id="5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E030B2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E030B2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762" w:rsidRPr="00E030B2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E030B2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E030B2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E030B2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E030B2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(pain relievers / gain creators)</w:t>
            </w:r>
          </w:p>
        </w:tc>
        <w:tc>
          <w:tcPr>
            <w:tcW w:w="6379" w:type="dxa"/>
          </w:tcPr>
          <w:p w14:paraId="505A4AB8" w14:textId="54BDCD5D" w:rsidR="00524D9C" w:rsidRPr="00E030B2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E030B2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E030B2" w:rsidRDefault="00183D7F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EGI2020 Strategy</w:t>
            </w:r>
            <w:r w:rsidRPr="00E030B2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E030B2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Pr="00E030B2" w:rsidRDefault="00524D9C" w:rsidP="00524D9C">
      <w:pPr>
        <w:pStyle w:val="Heading1"/>
        <w:numPr>
          <w:ilvl w:val="0"/>
          <w:numId w:val="0"/>
        </w:numPr>
      </w:pPr>
    </w:p>
    <w:p w14:paraId="0AD3321B" w14:textId="77777777" w:rsidR="00524D9C" w:rsidRPr="00E030B2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39B21F0D" w14:textId="0B6ACC34" w:rsidR="005F6675" w:rsidRPr="00E030B2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6" w:name="_Toc300491896"/>
      <w:r w:rsidRPr="00E030B2">
        <w:lastRenderedPageBreak/>
        <w:t>Business Case Design</w:t>
      </w:r>
      <w:bookmarkEnd w:id="6"/>
    </w:p>
    <w:p w14:paraId="1A92C8E6" w14:textId="26138CB4" w:rsidR="00E16B56" w:rsidRPr="00E030B2" w:rsidRDefault="00E16B56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 w:rsidRPr="00E030B2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E030B2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E030B2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030B2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E030B2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E030B2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E030B2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E030B2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E030B2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(about market uptake)</w:t>
            </w:r>
          </w:p>
        </w:tc>
        <w:tc>
          <w:tcPr>
            <w:tcW w:w="2095" w:type="dxa"/>
          </w:tcPr>
          <w:p w14:paraId="5BCE0D47" w14:textId="5266A0FE" w:rsidR="00BB6AC8" w:rsidRPr="00E030B2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E030B2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E030B2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E030B2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E030B2" w:rsidRDefault="00E16B56" w:rsidP="00E16B56">
      <w:pPr>
        <w:rPr>
          <w:rFonts w:ascii="Calibri" w:hAnsi="Calibri"/>
        </w:rPr>
      </w:pPr>
    </w:p>
    <w:p w14:paraId="4D17F344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7" w:name="_Toc421278105"/>
      <w:r w:rsidRPr="00E030B2">
        <w:rPr>
          <w:rFonts w:ascii="Calibri" w:hAnsi="Calibri"/>
        </w:rPr>
        <w:br w:type="page"/>
      </w:r>
    </w:p>
    <w:p w14:paraId="701597B1" w14:textId="28BC0BEA" w:rsidR="009B2DFD" w:rsidRPr="00E030B2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8" w:name="_Toc300491897"/>
      <w:r w:rsidRPr="00E030B2">
        <w:lastRenderedPageBreak/>
        <w:t>Service Design</w:t>
      </w:r>
      <w:bookmarkEnd w:id="8"/>
    </w:p>
    <w:p w14:paraId="379EFE88" w14:textId="4F79A462" w:rsidR="00D35916" w:rsidRPr="00E030B2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9" w:name="_Toc300491898"/>
      <w:r w:rsidRPr="00E030B2">
        <w:t>Service requirements</w:t>
      </w:r>
      <w:bookmarkEnd w:id="9"/>
    </w:p>
    <w:p w14:paraId="699781D8" w14:textId="3F06ED6C" w:rsidR="00D35916" w:rsidRPr="00E030B2" w:rsidRDefault="001E7993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table provides</w:t>
      </w:r>
      <w:r w:rsidR="00D35916" w:rsidRPr="00E030B2">
        <w:rPr>
          <w:rFonts w:ascii="Calibri" w:hAnsi="Calibri"/>
          <w:sz w:val="24"/>
        </w:rPr>
        <w:t xml:space="preserve"> the results of th</w:t>
      </w:r>
      <w:r w:rsidRPr="00E030B2"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E030B2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E030B2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E030B2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E030B2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E030B2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Pr="00E030B2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10" w:name="_Toc300491899"/>
      <w:r w:rsidRPr="00E030B2">
        <w:t>Service architecture</w:t>
      </w:r>
      <w:bookmarkEnd w:id="10"/>
    </w:p>
    <w:p w14:paraId="13E775B9" w14:textId="7DD89431" w:rsidR="00E16B56" w:rsidRPr="00E030B2" w:rsidRDefault="00C01136" w:rsidP="00547C0A">
      <w:pPr>
        <w:pStyle w:val="Heading3"/>
      </w:pPr>
      <w:bookmarkStart w:id="11" w:name="_Toc300491900"/>
      <w:r w:rsidRPr="00E030B2">
        <w:t xml:space="preserve">High-Level </w:t>
      </w:r>
      <w:r w:rsidR="00E16B56" w:rsidRPr="00E030B2">
        <w:t>Service architecture</w:t>
      </w:r>
      <w:bookmarkEnd w:id="7"/>
      <w:bookmarkEnd w:id="11"/>
    </w:p>
    <w:p w14:paraId="53138EF8" w14:textId="77777777" w:rsidR="00E16B56" w:rsidRPr="00E030B2" w:rsidRDefault="00E16B56" w:rsidP="00547C0A">
      <w:pPr>
        <w:pStyle w:val="Heading4"/>
      </w:pPr>
      <w:bookmarkStart w:id="12" w:name="_Toc421278108"/>
      <w:bookmarkStart w:id="13" w:name="_Toc300491901"/>
      <w:r w:rsidRPr="00E030B2">
        <w:t>Enabling service components</w:t>
      </w:r>
      <w:bookmarkEnd w:id="12"/>
      <w:bookmarkEnd w:id="13"/>
    </w:p>
    <w:p w14:paraId="07CCD72B" w14:textId="77777777" w:rsidR="00E16B56" w:rsidRPr="00E030B2" w:rsidRDefault="00E16B56" w:rsidP="00547C0A">
      <w:pPr>
        <w:pStyle w:val="Heading4"/>
      </w:pPr>
      <w:bookmarkStart w:id="14" w:name="_Toc421278109"/>
      <w:bookmarkStart w:id="15" w:name="_Toc300491902"/>
      <w:r w:rsidRPr="00E030B2">
        <w:t>Enhancing service components</w:t>
      </w:r>
      <w:bookmarkEnd w:id="14"/>
      <w:bookmarkEnd w:id="15"/>
    </w:p>
    <w:p w14:paraId="0CD647F7" w14:textId="77777777" w:rsidR="00E16B56" w:rsidRPr="00E030B2" w:rsidRDefault="00E16B56" w:rsidP="00547C0A">
      <w:pPr>
        <w:pStyle w:val="Heading4"/>
      </w:pPr>
      <w:bookmarkStart w:id="16" w:name="_Toc421278110"/>
      <w:bookmarkStart w:id="17" w:name="_Toc300491903"/>
      <w:r w:rsidRPr="00E030B2">
        <w:t>Integration and dependencies</w:t>
      </w:r>
      <w:bookmarkEnd w:id="16"/>
      <w:bookmarkEnd w:id="17"/>
    </w:p>
    <w:p w14:paraId="48312ED1" w14:textId="5C70B444" w:rsidR="00165719" w:rsidRPr="00E030B2" w:rsidRDefault="00165719" w:rsidP="00547C0A">
      <w:pPr>
        <w:pStyle w:val="Heading3"/>
        <w:numPr>
          <w:ilvl w:val="2"/>
          <w:numId w:val="15"/>
        </w:numPr>
      </w:pPr>
      <w:bookmarkStart w:id="18" w:name="_Toc421278111"/>
      <w:bookmarkStart w:id="19" w:name="_Toc300491904"/>
      <w:bookmarkStart w:id="20" w:name="_Toc421278104"/>
      <w:r w:rsidRPr="00E030B2">
        <w:t>Technical service architectur</w:t>
      </w:r>
      <w:bookmarkEnd w:id="18"/>
      <w:r w:rsidR="001E7993" w:rsidRPr="00E030B2">
        <w:t>e</w:t>
      </w:r>
      <w:bookmarkEnd w:id="19"/>
    </w:p>
    <w:p w14:paraId="05099A4A" w14:textId="77777777" w:rsidR="001E7993" w:rsidRPr="00E030B2" w:rsidRDefault="001E7993" w:rsidP="001E7993">
      <w:pPr>
        <w:rPr>
          <w:rFonts w:ascii="Calibri" w:hAnsi="Calibri"/>
        </w:rPr>
      </w:pPr>
    </w:p>
    <w:p w14:paraId="1403D4F0" w14:textId="77777777" w:rsidR="00162A62" w:rsidRPr="00E030B2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1" w:name="_Toc421278112"/>
      <w:bookmarkStart w:id="22" w:name="_Toc300491905"/>
      <w:r w:rsidRPr="00E030B2">
        <w:t>Service acceptance criteria</w:t>
      </w:r>
      <w:bookmarkEnd w:id="21"/>
      <w:bookmarkEnd w:id="22"/>
    </w:p>
    <w:p w14:paraId="37ABA6D6" w14:textId="4F2C41E6" w:rsidR="00BF7456" w:rsidRPr="00E030B2" w:rsidRDefault="00162A62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E030B2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E030B2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E030B2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(Yes/No)</w:t>
            </w:r>
          </w:p>
        </w:tc>
      </w:tr>
      <w:tr w:rsidR="00162A62" w:rsidRPr="00E030B2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lastRenderedPageBreak/>
              <w:t>Functionality to be effectively provided by the service</w:t>
            </w:r>
          </w:p>
          <w:p w14:paraId="2CC509D1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E030B2" w:rsidRDefault="00162A62" w:rsidP="00162A62">
      <w:pPr>
        <w:rPr>
          <w:rFonts w:ascii="Calibri" w:hAnsi="Calibri"/>
        </w:rPr>
      </w:pPr>
    </w:p>
    <w:p w14:paraId="7ACBA587" w14:textId="77777777" w:rsidR="00162A62" w:rsidRPr="00E030B2" w:rsidRDefault="00162A62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Critical acceptance criteria according to the above table are regarded as show-stoppers.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E030B2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E030B2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E030B2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7F09FB9C" w14:textId="77777777" w:rsidR="00162A62" w:rsidRPr="00E030B2" w:rsidRDefault="00162A62" w:rsidP="00162A62">
      <w:pPr>
        <w:rPr>
          <w:rFonts w:ascii="Calibri" w:hAnsi="Calibri"/>
        </w:rPr>
      </w:pPr>
    </w:p>
    <w:p w14:paraId="53228FC4" w14:textId="7A47152A" w:rsidR="00D35916" w:rsidRPr="00E030B2" w:rsidRDefault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633C3BA1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01C2E734" w14:textId="00F9FF61" w:rsidR="00797AB8" w:rsidRPr="00E030B2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00491906"/>
      <w:r w:rsidRPr="00E030B2">
        <w:lastRenderedPageBreak/>
        <w:t xml:space="preserve">Service </w:t>
      </w:r>
      <w:r w:rsidR="00165719" w:rsidRPr="00E030B2">
        <w:t>Transition</w:t>
      </w:r>
      <w:bookmarkEnd w:id="20"/>
      <w:r w:rsidR="00C85E00" w:rsidRPr="00E030B2">
        <w:t xml:space="preserve"> PLan</w:t>
      </w:r>
      <w:bookmarkEnd w:id="23"/>
    </w:p>
    <w:p w14:paraId="62786F39" w14:textId="488FB754" w:rsidR="007149A7" w:rsidRPr="00E030B2" w:rsidRDefault="00C872FF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The following table provides </w:t>
      </w:r>
      <w:r w:rsidR="00E16B56" w:rsidRPr="00E030B2">
        <w:rPr>
          <w:rFonts w:ascii="Calibri" w:hAnsi="Calibri"/>
          <w:sz w:val="24"/>
        </w:rPr>
        <w:t>the service transition plan for the new or changed service</w:t>
      </w:r>
      <w:r w:rsidRPr="00E030B2"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E030B2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E030B2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E030B2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E030B2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Operation with early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E030B2" w:rsidRDefault="00AF0C0A" w:rsidP="00AF0C0A">
      <w:pPr>
        <w:rPr>
          <w:rFonts w:ascii="Calibri" w:hAnsi="Calibri" w:cs="Open Sans"/>
        </w:rPr>
      </w:pPr>
    </w:p>
    <w:sectPr w:rsidR="00AF0C0A" w:rsidRPr="00E030B2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1E7993" w:rsidRDefault="001E7993">
      <w:pPr>
        <w:spacing w:before="0" w:after="0"/>
      </w:pPr>
      <w:r>
        <w:separator/>
      </w:r>
    </w:p>
  </w:endnote>
  <w:endnote w:type="continuationSeparator" w:id="0">
    <w:p w14:paraId="1CD2C8DB" w14:textId="77777777" w:rsidR="001E7993" w:rsidRDefault="001E79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1E7993" w:rsidRPr="002D3537" w:rsidRDefault="001E7993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E7993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1E7993" w:rsidRDefault="001E7993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1E7993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1E7993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1E7993" w:rsidRDefault="001E7993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1E7993" w:rsidRDefault="001E7993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1E7993" w:rsidRDefault="001E7993" w:rsidP="004B6465">
          <w:pPr>
            <w:pStyle w:val="Footer"/>
            <w:snapToGrid w:val="0"/>
            <w:jc w:val="right"/>
          </w:pPr>
        </w:p>
        <w:p w14:paraId="65EB852B" w14:textId="77777777" w:rsidR="001E7993" w:rsidRDefault="001E7993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1E7993" w:rsidRPr="00A91255" w:rsidRDefault="001E7993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1E7993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1E7993" w:rsidRPr="002D3537" w:rsidRDefault="001E7993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1E7993" w:rsidRPr="002D3537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1E7993" w:rsidRPr="00757E35" w:rsidRDefault="001E7993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1E7993" w:rsidRPr="0026545C" w:rsidRDefault="00E030B2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="001E7993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 w:rsidR="001E7993"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1E7993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E030B2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E030B2">
            <w:rPr>
              <w:noProof/>
              <w:sz w:val="18"/>
              <w:szCs w:val="18"/>
            </w:rPr>
            <w:t>7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1E7993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1E7993" w:rsidRDefault="001E7993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1E7993" w:rsidRPr="00220329" w:rsidRDefault="001E7993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1E7993" w:rsidRPr="002D3537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1E7993" w:rsidRDefault="001E79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1E7993" w:rsidRDefault="001E799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1E7993" w:rsidRDefault="001E7993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E7993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1E7993" w:rsidRDefault="001E7993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1E7993" w:rsidRDefault="001E7993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1E7993" w:rsidRDefault="001E7993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1E7993" w:rsidRDefault="001E7993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1E7993" w:rsidRDefault="001E7993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1E7993" w:rsidRDefault="001E7993">
          <w:pPr>
            <w:pStyle w:val="Footer"/>
            <w:snapToGrid w:val="0"/>
            <w:jc w:val="right"/>
          </w:pPr>
        </w:p>
        <w:p w14:paraId="21815A6A" w14:textId="77777777" w:rsidR="001E7993" w:rsidRPr="001E7993" w:rsidRDefault="001E7993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E030B2">
            <w:rPr>
              <w:rFonts w:ascii="Calibri" w:hAnsi="Calibri"/>
              <w:noProof/>
            </w:rPr>
            <w:t>3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E030B2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1E7993" w:rsidRDefault="001E7993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1E7993" w:rsidRDefault="001E799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1E7993" w:rsidRDefault="001E7993">
      <w:pPr>
        <w:spacing w:before="0" w:after="0"/>
      </w:pPr>
      <w:r>
        <w:separator/>
      </w:r>
    </w:p>
  </w:footnote>
  <w:footnote w:type="continuationSeparator" w:id="0">
    <w:p w14:paraId="268C576B" w14:textId="77777777" w:rsidR="001E7993" w:rsidRDefault="001E7993">
      <w:pPr>
        <w:spacing w:before="0" w:after="0"/>
      </w:pPr>
      <w:r>
        <w:continuationSeparator/>
      </w:r>
    </w:p>
  </w:footnote>
  <w:footnote w:id="1">
    <w:p w14:paraId="2E4C53E6" w14:textId="77777777" w:rsidR="001E7993" w:rsidRPr="00383E84" w:rsidRDefault="001E7993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1E7993" w:rsidRDefault="001E799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1E7993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1E7993" w:rsidRDefault="001E7993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1E7993" w:rsidRDefault="001E799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030B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C5680AA1-67D1-5844-B7E4-9B79CEAA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599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4006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5</cp:revision>
  <cp:lastPrinted>2012-01-19T12:53:00Z</cp:lastPrinted>
  <dcterms:created xsi:type="dcterms:W3CDTF">2015-08-06T12:13:00Z</dcterms:created>
  <dcterms:modified xsi:type="dcterms:W3CDTF">2015-08-11T08:09:00Z</dcterms:modified>
</cp:coreProperties>
</file>