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r>
              <w:rPr>
                <w:rFonts w:ascii="Calibri" w:eastAsia="Calibri" w:hAnsi="Calibri" w:cs="Open Sans"/>
                <w:color w:val="000000"/>
              </w:rPr>
              <w:t>Sy Holsinger</w:t>
            </w:r>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79FF10D4"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w:t>
            </w:r>
            <w:r w:rsidR="006C3C2D">
              <w:rPr>
                <w:rFonts w:ascii="Calibri" w:eastAsia="Calibri" w:hAnsi="Calibri" w:cs="Open Sans"/>
                <w:color w:val="000000"/>
              </w:rPr>
              <w:t>2</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63DC0E81" w:rsidR="00220329" w:rsidRPr="00BA7494" w:rsidRDefault="006C3C2D" w:rsidP="006C3C2D">
            <w:pPr>
              <w:pStyle w:val="DocDate"/>
              <w:snapToGrid w:val="0"/>
              <w:jc w:val="left"/>
              <w:rPr>
                <w:rFonts w:ascii="Calibri" w:hAnsi="Calibri" w:cs="Open Sans"/>
                <w:b w:val="0"/>
                <w:highlight w:val="yellow"/>
              </w:rPr>
            </w:pPr>
            <w:r>
              <w:rPr>
                <w:rFonts w:ascii="Calibri" w:eastAsia="Calibri" w:hAnsi="Calibri" w:cs="Open Sans"/>
                <w:color w:val="000000"/>
              </w:rPr>
              <w:t>8</w:t>
            </w:r>
            <w:r w:rsidR="00F46F3D">
              <w:rPr>
                <w:rFonts w:ascii="Calibri" w:eastAsia="Calibri" w:hAnsi="Calibri" w:cs="Open Sans"/>
                <w:color w:val="000000"/>
              </w:rPr>
              <w:t xml:space="preserve"> </w:t>
            </w:r>
            <w:r>
              <w:rPr>
                <w:rFonts w:ascii="Calibri" w:eastAsia="Calibri" w:hAnsi="Calibri" w:cs="Open Sans"/>
                <w:color w:val="000000"/>
              </w:rPr>
              <w:t>Sept</w:t>
            </w:r>
            <w:r w:rsidR="00F46F3D">
              <w:rPr>
                <w:rFonts w:ascii="Calibri" w:eastAsia="Calibri" w:hAnsi="Calibri" w:cs="Open Sans"/>
                <w:color w:val="000000"/>
              </w:rPr>
              <w:t xml:space="preserve"> 2015</w:t>
            </w:r>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0" w:name="_Toc300491555"/>
      <w:r w:rsidRPr="00FC7825">
        <w:lastRenderedPageBreak/>
        <w:t>Purpose and Use</w:t>
      </w:r>
      <w:bookmarkEnd w:id="0"/>
    </w:p>
    <w:p w14:paraId="5A2B2C56" w14:textId="26A2041E" w:rsidR="00880DA8" w:rsidRPr="00FC7825" w:rsidRDefault="00FC7825" w:rsidP="00FC7825">
      <w:pPr>
        <w:pStyle w:val="Heading2"/>
        <w:numPr>
          <w:ilvl w:val="0"/>
          <w:numId w:val="0"/>
        </w:numPr>
      </w:pPr>
      <w:bookmarkStart w:id="1" w:name="_Toc300491556"/>
      <w:r>
        <w:t>Guide</w:t>
      </w:r>
      <w:bookmarkEnd w:id="1"/>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2" w:name="_Toc300491557"/>
      <w:r>
        <w:t>Template</w:t>
      </w:r>
      <w:bookmarkEnd w:id="2"/>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51CAD245" w14:textId="77777777" w:rsidR="007A21DF"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7A21DF">
        <w:rPr>
          <w:noProof/>
        </w:rPr>
        <w:t>Purpose and Use</w:t>
      </w:r>
      <w:r w:rsidR="007A21DF">
        <w:rPr>
          <w:noProof/>
        </w:rPr>
        <w:tab/>
      </w:r>
      <w:r w:rsidR="007A21DF">
        <w:rPr>
          <w:noProof/>
        </w:rPr>
        <w:fldChar w:fldCharType="begin"/>
      </w:r>
      <w:r w:rsidR="007A21DF">
        <w:rPr>
          <w:noProof/>
        </w:rPr>
        <w:instrText xml:space="preserve"> PAGEREF _Toc300491555 \h </w:instrText>
      </w:r>
      <w:r w:rsidR="007A21DF">
        <w:rPr>
          <w:noProof/>
        </w:rPr>
      </w:r>
      <w:r w:rsidR="007A21DF">
        <w:rPr>
          <w:noProof/>
        </w:rPr>
        <w:fldChar w:fldCharType="separate"/>
      </w:r>
      <w:r w:rsidR="008C645A">
        <w:rPr>
          <w:noProof/>
        </w:rPr>
        <w:t>2</w:t>
      </w:r>
      <w:r w:rsidR="007A21DF">
        <w:rPr>
          <w:noProof/>
        </w:rPr>
        <w:fldChar w:fldCharType="end"/>
      </w:r>
    </w:p>
    <w:p w14:paraId="6CF185B1"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_Toc300491556 \h </w:instrText>
      </w:r>
      <w:r>
        <w:rPr>
          <w:noProof/>
        </w:rPr>
      </w:r>
      <w:r>
        <w:rPr>
          <w:noProof/>
        </w:rPr>
        <w:fldChar w:fldCharType="separate"/>
      </w:r>
      <w:r w:rsidR="008C645A">
        <w:rPr>
          <w:noProof/>
        </w:rPr>
        <w:t>2</w:t>
      </w:r>
      <w:r>
        <w:rPr>
          <w:noProof/>
        </w:rPr>
        <w:fldChar w:fldCharType="end"/>
      </w:r>
    </w:p>
    <w:p w14:paraId="08A2D555"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_Toc300491557 \h </w:instrText>
      </w:r>
      <w:r>
        <w:rPr>
          <w:noProof/>
        </w:rPr>
      </w:r>
      <w:r>
        <w:rPr>
          <w:noProof/>
        </w:rPr>
        <w:fldChar w:fldCharType="separate"/>
      </w:r>
      <w:r w:rsidR="008C645A">
        <w:rPr>
          <w:noProof/>
        </w:rPr>
        <w:t>2</w:t>
      </w:r>
      <w:r>
        <w:rPr>
          <w:noProof/>
        </w:rPr>
        <w:fldChar w:fldCharType="end"/>
      </w:r>
    </w:p>
    <w:p w14:paraId="69DEE56F"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_Toc300491558 \h </w:instrText>
      </w:r>
      <w:r>
        <w:rPr>
          <w:noProof/>
        </w:rPr>
      </w:r>
      <w:r>
        <w:rPr>
          <w:noProof/>
        </w:rPr>
        <w:fldChar w:fldCharType="separate"/>
      </w:r>
      <w:r w:rsidR="008C645A">
        <w:rPr>
          <w:noProof/>
        </w:rPr>
        <w:t>4</w:t>
      </w:r>
      <w:r>
        <w:rPr>
          <w:noProof/>
        </w:rPr>
        <w:fldChar w:fldCharType="end"/>
      </w:r>
    </w:p>
    <w:p w14:paraId="2714BF13"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_Toc300491559 \h </w:instrText>
      </w:r>
      <w:r>
        <w:rPr>
          <w:noProof/>
        </w:rPr>
      </w:r>
      <w:r>
        <w:rPr>
          <w:noProof/>
        </w:rPr>
        <w:fldChar w:fldCharType="separate"/>
      </w:r>
      <w:r w:rsidR="008C645A">
        <w:rPr>
          <w:noProof/>
        </w:rPr>
        <w:t>4</w:t>
      </w:r>
      <w:r>
        <w:rPr>
          <w:noProof/>
        </w:rPr>
        <w:fldChar w:fldCharType="end"/>
      </w:r>
    </w:p>
    <w:p w14:paraId="61F2F705"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_Toc300491560 \h </w:instrText>
      </w:r>
      <w:r>
        <w:rPr>
          <w:noProof/>
        </w:rPr>
      </w:r>
      <w:r>
        <w:rPr>
          <w:noProof/>
        </w:rPr>
        <w:fldChar w:fldCharType="separate"/>
      </w:r>
      <w:r w:rsidR="008C645A">
        <w:rPr>
          <w:noProof/>
        </w:rPr>
        <w:t>4</w:t>
      </w:r>
      <w:r>
        <w:rPr>
          <w:noProof/>
        </w:rPr>
        <w:fldChar w:fldCharType="end"/>
      </w:r>
    </w:p>
    <w:p w14:paraId="40FB60B8"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_Toc300491561 \h </w:instrText>
      </w:r>
      <w:r>
        <w:rPr>
          <w:noProof/>
        </w:rPr>
      </w:r>
      <w:r>
        <w:rPr>
          <w:noProof/>
        </w:rPr>
        <w:fldChar w:fldCharType="separate"/>
      </w:r>
      <w:r w:rsidR="008C645A">
        <w:rPr>
          <w:noProof/>
        </w:rPr>
        <w:t>5</w:t>
      </w:r>
      <w:r>
        <w:rPr>
          <w:noProof/>
        </w:rPr>
        <w:fldChar w:fldCharType="end"/>
      </w:r>
    </w:p>
    <w:p w14:paraId="06BA4DE3"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_Toc300491562 \h </w:instrText>
      </w:r>
      <w:r>
        <w:rPr>
          <w:noProof/>
        </w:rPr>
      </w:r>
      <w:r>
        <w:rPr>
          <w:noProof/>
        </w:rPr>
        <w:fldChar w:fldCharType="separate"/>
      </w:r>
      <w:r w:rsidR="008C645A">
        <w:rPr>
          <w:noProof/>
        </w:rPr>
        <w:t>7</w:t>
      </w:r>
      <w:r>
        <w:rPr>
          <w:noProof/>
        </w:rPr>
        <w:fldChar w:fldCharType="end"/>
      </w:r>
    </w:p>
    <w:p w14:paraId="344AA52E"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_Toc300491563 \h </w:instrText>
      </w:r>
      <w:r>
        <w:rPr>
          <w:noProof/>
        </w:rPr>
      </w:r>
      <w:r>
        <w:rPr>
          <w:noProof/>
        </w:rPr>
        <w:fldChar w:fldCharType="separate"/>
      </w:r>
      <w:r w:rsidR="008C645A">
        <w:rPr>
          <w:noProof/>
        </w:rPr>
        <w:t>7</w:t>
      </w:r>
      <w:r>
        <w:rPr>
          <w:noProof/>
        </w:rPr>
        <w:fldChar w:fldCharType="end"/>
      </w:r>
    </w:p>
    <w:p w14:paraId="2EAF9387"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_Toc300491564 \h </w:instrText>
      </w:r>
      <w:r>
        <w:rPr>
          <w:noProof/>
        </w:rPr>
      </w:r>
      <w:r>
        <w:rPr>
          <w:noProof/>
        </w:rPr>
        <w:fldChar w:fldCharType="separate"/>
      </w:r>
      <w:r w:rsidR="008C645A">
        <w:rPr>
          <w:noProof/>
        </w:rPr>
        <w:t>7</w:t>
      </w:r>
      <w:r>
        <w:rPr>
          <w:noProof/>
        </w:rPr>
        <w:fldChar w:fldCharType="end"/>
      </w:r>
    </w:p>
    <w:p w14:paraId="20BB7644"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_Toc300491565 \h </w:instrText>
      </w:r>
      <w:r>
        <w:rPr>
          <w:noProof/>
        </w:rPr>
      </w:r>
      <w:r>
        <w:rPr>
          <w:noProof/>
        </w:rPr>
        <w:fldChar w:fldCharType="separate"/>
      </w:r>
      <w:r w:rsidR="008C645A">
        <w:rPr>
          <w:noProof/>
        </w:rPr>
        <w:t>7</w:t>
      </w:r>
      <w:r>
        <w:rPr>
          <w:noProof/>
        </w:rPr>
        <w:fldChar w:fldCharType="end"/>
      </w:r>
    </w:p>
    <w:p w14:paraId="52B4C879"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_Toc300491566 \h </w:instrText>
      </w:r>
      <w:r>
        <w:rPr>
          <w:noProof/>
        </w:rPr>
      </w:r>
      <w:r>
        <w:rPr>
          <w:noProof/>
        </w:rPr>
        <w:fldChar w:fldCharType="separate"/>
      </w:r>
      <w:r w:rsidR="008C645A">
        <w:rPr>
          <w:noProof/>
        </w:rPr>
        <w:t>8</w:t>
      </w:r>
      <w:r>
        <w:rPr>
          <w:noProof/>
        </w:rPr>
        <w:fldChar w:fldCharType="end"/>
      </w:r>
    </w:p>
    <w:p w14:paraId="7C7BA584"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Enhancing service components</w:t>
      </w:r>
      <w:r>
        <w:rPr>
          <w:noProof/>
        </w:rPr>
        <w:tab/>
      </w:r>
      <w:r>
        <w:rPr>
          <w:noProof/>
        </w:rPr>
        <w:fldChar w:fldCharType="begin"/>
      </w:r>
      <w:r>
        <w:rPr>
          <w:noProof/>
        </w:rPr>
        <w:instrText xml:space="preserve"> PAGEREF _Toc300491567 \h </w:instrText>
      </w:r>
      <w:r>
        <w:rPr>
          <w:noProof/>
        </w:rPr>
      </w:r>
      <w:r>
        <w:rPr>
          <w:noProof/>
        </w:rPr>
        <w:fldChar w:fldCharType="separate"/>
      </w:r>
      <w:r w:rsidR="008C645A">
        <w:rPr>
          <w:noProof/>
        </w:rPr>
        <w:t>8</w:t>
      </w:r>
      <w:r>
        <w:rPr>
          <w:noProof/>
        </w:rPr>
        <w:fldChar w:fldCharType="end"/>
      </w:r>
    </w:p>
    <w:p w14:paraId="2E89B7CF"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3.2.1.3</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_Toc300491568 \h </w:instrText>
      </w:r>
      <w:r>
        <w:rPr>
          <w:noProof/>
        </w:rPr>
      </w:r>
      <w:r>
        <w:rPr>
          <w:noProof/>
        </w:rPr>
        <w:fldChar w:fldCharType="separate"/>
      </w:r>
      <w:r w:rsidR="008C645A">
        <w:rPr>
          <w:noProof/>
        </w:rPr>
        <w:t>8</w:t>
      </w:r>
      <w:r>
        <w:rPr>
          <w:noProof/>
        </w:rPr>
        <w:fldChar w:fldCharType="end"/>
      </w:r>
    </w:p>
    <w:p w14:paraId="745D479A"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_Toc300491569 \h </w:instrText>
      </w:r>
      <w:r>
        <w:rPr>
          <w:noProof/>
        </w:rPr>
      </w:r>
      <w:r>
        <w:rPr>
          <w:noProof/>
        </w:rPr>
        <w:fldChar w:fldCharType="separate"/>
      </w:r>
      <w:r w:rsidR="008C645A">
        <w:rPr>
          <w:noProof/>
        </w:rPr>
        <w:t>8</w:t>
      </w:r>
      <w:r>
        <w:rPr>
          <w:noProof/>
        </w:rPr>
        <w:fldChar w:fldCharType="end"/>
      </w:r>
    </w:p>
    <w:p w14:paraId="3990E31F"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_Toc300491570 \h </w:instrText>
      </w:r>
      <w:r>
        <w:rPr>
          <w:noProof/>
        </w:rPr>
      </w:r>
      <w:r>
        <w:rPr>
          <w:noProof/>
        </w:rPr>
        <w:fldChar w:fldCharType="separate"/>
      </w:r>
      <w:r w:rsidR="008C645A">
        <w:rPr>
          <w:noProof/>
        </w:rPr>
        <w:t>8</w:t>
      </w:r>
      <w:r>
        <w:rPr>
          <w:noProof/>
        </w:rPr>
        <w:fldChar w:fldCharType="end"/>
      </w:r>
    </w:p>
    <w:p w14:paraId="0665DFA0"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_Toc300491571 \h </w:instrText>
      </w:r>
      <w:r>
        <w:rPr>
          <w:noProof/>
        </w:rPr>
      </w:r>
      <w:r>
        <w:rPr>
          <w:noProof/>
        </w:rPr>
        <w:fldChar w:fldCharType="separate"/>
      </w:r>
      <w:r w:rsidR="008C645A">
        <w:rPr>
          <w:noProof/>
        </w:rPr>
        <w:t>10</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3" w:name="id.bd2622a07241"/>
      <w:bookmarkStart w:id="4" w:name="id.105932e7f75c"/>
    </w:p>
    <w:p w14:paraId="50FCAE97" w14:textId="483E51B0" w:rsidR="005F6675" w:rsidRDefault="00323E3A" w:rsidP="00952BD5">
      <w:pPr>
        <w:pStyle w:val="Heading1"/>
        <w:numPr>
          <w:ilvl w:val="0"/>
          <w:numId w:val="15"/>
        </w:numPr>
        <w:ind w:left="0" w:firstLine="0"/>
      </w:pPr>
      <w:bookmarkStart w:id="5" w:name="_Toc300491558"/>
      <w:r>
        <w:lastRenderedPageBreak/>
        <w:t>Value Proposition Design</w:t>
      </w:r>
      <w:bookmarkEnd w:id="5"/>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6" w:name="_Toc300491559"/>
      <w:r w:rsidRPr="00952BD5">
        <w:t>Customer</w:t>
      </w:r>
      <w:r w:rsidR="00524D9C" w:rsidRPr="00952BD5">
        <w:t>/User</w:t>
      </w:r>
      <w:r w:rsidRPr="00952BD5">
        <w:t xml:space="preserve"> Profile</w:t>
      </w:r>
      <w:bookmarkEnd w:id="6"/>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w:t>
            </w:r>
            <w:proofErr w:type="gramStart"/>
            <w:r>
              <w:rPr>
                <w:rFonts w:ascii="Calibri" w:hAnsi="Calibri"/>
                <w:b w:val="0"/>
                <w:sz w:val="24"/>
              </w:rPr>
              <w:t>pains</w:t>
            </w:r>
            <w:proofErr w:type="gramEnd"/>
            <w:r>
              <w:rPr>
                <w:rFonts w:ascii="Calibri" w:hAnsi="Calibri"/>
                <w:b w:val="0"/>
                <w:sz w:val="24"/>
              </w:rPr>
              <w:t>/gains)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7" w:name="_Toc300491560"/>
      <w:r w:rsidRPr="00BA7494">
        <w:t>Service Overvie</w:t>
      </w:r>
      <w:r w:rsidR="00952BD5">
        <w:t>w</w:t>
      </w:r>
      <w:bookmarkEnd w:id="7"/>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4B6DDC01"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proofErr w:type="gramStart"/>
            <w:r w:rsidRPr="00880DA8">
              <w:rPr>
                <w:rFonts w:ascii="Calibri" w:hAnsi="Calibri" w:cs="Arial"/>
                <w:i/>
                <w:sz w:val="24"/>
                <w:szCs w:val="24"/>
              </w:rPr>
              <w:t>i</w:t>
            </w:r>
            <w:proofErr w:type="gramEnd"/>
            <w:r w:rsidRPr="00880DA8">
              <w:rPr>
                <w:rFonts w:ascii="Calibri" w:hAnsi="Calibri" w:cs="Arial"/>
                <w:i/>
                <w:sz w:val="24"/>
                <w:szCs w:val="24"/>
              </w:rPr>
              <w:t xml:space="preserve">.e.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w:t>
            </w:r>
            <w:proofErr w:type="gramStart"/>
            <w:r w:rsidRPr="0087301E">
              <w:rPr>
                <w:rFonts w:ascii="Calibri" w:hAnsi="Calibri"/>
                <w:b w:val="0"/>
                <w:sz w:val="24"/>
              </w:rPr>
              <w:t>pain</w:t>
            </w:r>
            <w:proofErr w:type="gramEnd"/>
            <w:r w:rsidRPr="0087301E">
              <w:rPr>
                <w:rFonts w:ascii="Calibri" w:hAnsi="Calibri"/>
                <w:b w:val="0"/>
                <w:sz w:val="24"/>
              </w:rPr>
              <w:t xml:space="preserve">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347F1E9" w14:textId="77777777" w:rsidR="00183D7F"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p w14:paraId="58793BC8" w14:textId="464A3B0D" w:rsidR="00427A33" w:rsidRPr="00880DA8" w:rsidRDefault="00427A33"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Provide specific reference(s) to the document e.g. page, section numbers</w:t>
            </w:r>
          </w:p>
        </w:tc>
      </w:tr>
    </w:tbl>
    <w:p w14:paraId="0AD3321B" w14:textId="383C1AAE" w:rsidR="00524D9C" w:rsidRDefault="00524D9C">
      <w:pPr>
        <w:keepLines w:val="0"/>
        <w:widowControl/>
        <w:suppressAutoHyphens w:val="0"/>
        <w:spacing w:before="0" w:after="0"/>
        <w:jc w:val="left"/>
        <w:rPr>
          <w:rFonts w:ascii="Calibri" w:hAnsi="Calibri" w:cs="Open Sans"/>
          <w:b/>
          <w:bCs/>
          <w:caps/>
          <w:kern w:val="1"/>
          <w:sz w:val="32"/>
          <w:szCs w:val="32"/>
        </w:rPr>
      </w:pPr>
    </w:p>
    <w:p w14:paraId="39B21F0D" w14:textId="0B6ACC34" w:rsidR="005F6675" w:rsidRDefault="00283143" w:rsidP="00952BD5">
      <w:pPr>
        <w:pStyle w:val="Heading1"/>
        <w:numPr>
          <w:ilvl w:val="0"/>
          <w:numId w:val="15"/>
        </w:numPr>
        <w:ind w:left="0" w:firstLine="0"/>
      </w:pPr>
      <w:bookmarkStart w:id="8" w:name="_Toc300491561"/>
      <w:r>
        <w:lastRenderedPageBreak/>
        <w:t>Business Case Design</w:t>
      </w:r>
      <w:bookmarkEnd w:id="8"/>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579"/>
        <w:gridCol w:w="2095"/>
        <w:gridCol w:w="2306"/>
        <w:gridCol w:w="2306"/>
      </w:tblGrid>
      <w:tr w:rsidR="00BB6AC8" w:rsidRPr="00BA7494" w14:paraId="3DBD5750" w14:textId="77777777" w:rsidTr="00BB6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0C31D7D4" w14:textId="77777777" w:rsidR="00BB6AC8" w:rsidRPr="00BA7494" w:rsidRDefault="00BB6AC8" w:rsidP="00E16B56">
            <w:pPr>
              <w:rPr>
                <w:rFonts w:ascii="Calibri" w:hAnsi="Calibri"/>
                <w:b w:val="0"/>
                <w:sz w:val="24"/>
              </w:rPr>
            </w:pPr>
          </w:p>
        </w:tc>
        <w:tc>
          <w:tcPr>
            <w:tcW w:w="2095"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095" w:type="dxa"/>
          </w:tcPr>
          <w:p w14:paraId="1A5195BF" w14:textId="2206806E" w:rsidR="00BB6AC8" w:rsidRPr="00880DA8" w:rsidRDefault="004B34B1" w:rsidP="001F0464">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escribe what is the full market potential (all</w:t>
            </w:r>
            <w:r w:rsidR="00BB6AC8" w:rsidRPr="00880DA8">
              <w:rPr>
                <w:rFonts w:ascii="Calibri" w:hAnsi="Calibri" w:cs="Arial"/>
                <w:sz w:val="24"/>
                <w:szCs w:val="24"/>
              </w:rPr>
              <w:t xml:space="preserve"> user types / categories and size)</w:t>
            </w:r>
            <w:r w:rsidR="00BB6AC8" w:rsidRPr="00880DA8">
              <w:rPr>
                <w:rFonts w:ascii="Calibri" w:hAnsi="Calibri"/>
                <w:sz w:val="24"/>
              </w:rPr>
              <w:t xml:space="preserve"> </w:t>
            </w:r>
            <w:r>
              <w:rPr>
                <w:rFonts w:ascii="Calibri" w:hAnsi="Calibri"/>
                <w:sz w:val="24"/>
              </w:rPr>
              <w:t>and most likely uptake possible</w:t>
            </w:r>
          </w:p>
        </w:tc>
        <w:tc>
          <w:tcPr>
            <w:tcW w:w="2306" w:type="dxa"/>
          </w:tcPr>
          <w:p w14:paraId="46EA858C" w14:textId="6F85C931" w:rsidR="00BB6AC8" w:rsidRPr="00880DA8" w:rsidRDefault="004B34B1" w:rsidP="002B5501">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escribe somewhere between t</w:t>
            </w:r>
            <w:r>
              <w:rPr>
                <w:rFonts w:ascii="Calibri" w:hAnsi="Calibri"/>
                <w:sz w:val="24"/>
              </w:rPr>
              <w:t>he best and worst case scenario</w:t>
            </w:r>
          </w:p>
        </w:tc>
        <w:tc>
          <w:tcPr>
            <w:tcW w:w="2306" w:type="dxa"/>
          </w:tcPr>
          <w:p w14:paraId="2E121870" w14:textId="2377C534" w:rsidR="00BB6AC8" w:rsidRPr="00880DA8" w:rsidRDefault="004B34B1" w:rsidP="001704D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 xml:space="preserve">escribe the minimal uptake of the service e.g. only </w:t>
            </w:r>
            <w:r>
              <w:rPr>
                <w:rFonts w:ascii="Calibri" w:hAnsi="Calibri"/>
                <w:sz w:val="24"/>
              </w:rPr>
              <w:t>by EGI federation; 1 user group</w:t>
            </w:r>
          </w:p>
        </w:tc>
      </w:tr>
      <w:tr w:rsidR="00BB6AC8" w:rsidRPr="00BA7494" w14:paraId="27439FC9"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5D6AB026" w14:textId="77777777" w:rsidR="00BB6AC8" w:rsidRDefault="00BB6AC8" w:rsidP="00E16B56">
            <w:pPr>
              <w:rPr>
                <w:rFonts w:ascii="Calibri" w:hAnsi="Calibri"/>
                <w:sz w:val="24"/>
              </w:rPr>
            </w:pPr>
            <w:r w:rsidRPr="00BA7494">
              <w:rPr>
                <w:rFonts w:ascii="Calibri" w:hAnsi="Calibri"/>
                <w:sz w:val="24"/>
              </w:rPr>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w:t>
            </w:r>
            <w:proofErr w:type="gramStart"/>
            <w:r w:rsidRPr="002B5501">
              <w:rPr>
                <w:rFonts w:ascii="Calibri" w:hAnsi="Calibri"/>
                <w:b w:val="0"/>
                <w:sz w:val="24"/>
              </w:rPr>
              <w:t>about</w:t>
            </w:r>
            <w:proofErr w:type="gramEnd"/>
            <w:r w:rsidRPr="002B5501">
              <w:rPr>
                <w:rFonts w:ascii="Calibri" w:hAnsi="Calibri"/>
                <w:b w:val="0"/>
                <w:sz w:val="24"/>
              </w:rPr>
              <w:t xml:space="preserve"> market uptake)</w:t>
            </w:r>
          </w:p>
        </w:tc>
        <w:tc>
          <w:tcPr>
            <w:tcW w:w="2095" w:type="dxa"/>
          </w:tcPr>
          <w:p w14:paraId="5BCE0D47" w14:textId="0DEA6425" w:rsidR="00BB6AC8" w:rsidRPr="00880DA8" w:rsidRDefault="004B34B1" w:rsidP="00E16B56">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best case scenario e.g. EC policy supports it; no commercial alternative; high user frie</w:t>
            </w:r>
            <w:r>
              <w:rPr>
                <w:rFonts w:ascii="Calibri" w:hAnsi="Calibri"/>
                <w:sz w:val="24"/>
              </w:rPr>
              <w:t>ndliness will equal mass uptake</w:t>
            </w:r>
          </w:p>
        </w:tc>
        <w:tc>
          <w:tcPr>
            <w:tcW w:w="2306" w:type="dxa"/>
          </w:tcPr>
          <w:p w14:paraId="0AE04B64" w14:textId="4862B2D1" w:rsidR="00BB6AC8" w:rsidRPr="00880DA8" w:rsidRDefault="004B34B1" w:rsidP="00DC44CD">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average case scenario e.g. requested by multiple u</w:t>
            </w:r>
            <w:r>
              <w:rPr>
                <w:rFonts w:ascii="Calibri" w:hAnsi="Calibri"/>
                <w:sz w:val="24"/>
              </w:rPr>
              <w:t>ser groups ensuring some uptake</w:t>
            </w:r>
          </w:p>
        </w:tc>
        <w:tc>
          <w:tcPr>
            <w:tcW w:w="2306" w:type="dxa"/>
          </w:tcPr>
          <w:p w14:paraId="59B8F2B3" w14:textId="79876CE3" w:rsidR="00BB6AC8" w:rsidRPr="00880DA8" w:rsidRDefault="004B34B1" w:rsidP="00DC44CD">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worst case scenario e.g. service design is high quality and will b</w:t>
            </w:r>
            <w:r>
              <w:rPr>
                <w:rFonts w:ascii="Calibri" w:hAnsi="Calibri"/>
                <w:sz w:val="24"/>
              </w:rPr>
              <w:t>e supported at least internally</w:t>
            </w:r>
          </w:p>
        </w:tc>
      </w:tr>
      <w:tr w:rsidR="00BB6AC8" w:rsidRPr="00BA7494" w14:paraId="0C85AF84"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6BFC764E" w14:textId="47DAD1C5" w:rsidR="00BB6AC8" w:rsidRPr="00BA7494" w:rsidRDefault="00BB6AC8" w:rsidP="00E16B56">
            <w:pPr>
              <w:rPr>
                <w:rFonts w:ascii="Calibri" w:hAnsi="Calibri"/>
                <w:sz w:val="24"/>
              </w:rPr>
            </w:pPr>
            <w:r>
              <w:rPr>
                <w:rFonts w:ascii="Calibri" w:hAnsi="Calibri"/>
                <w:sz w:val="24"/>
              </w:rPr>
              <w:t xml:space="preserve">Expected </w:t>
            </w:r>
            <w:r w:rsidRPr="00BA7494">
              <w:rPr>
                <w:rFonts w:ascii="Calibri" w:hAnsi="Calibri"/>
                <w:sz w:val="24"/>
              </w:rPr>
              <w:t>organisational impact on the service provider</w:t>
            </w:r>
          </w:p>
        </w:tc>
        <w:tc>
          <w:tcPr>
            <w:tcW w:w="2095" w:type="dxa"/>
          </w:tcPr>
          <w:p w14:paraId="4F537177" w14:textId="128B193E"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 xml:space="preserve">n the best case scenario, what organisation changes would need to be made to support the demand e.g. additional staff, </w:t>
            </w:r>
            <w:r>
              <w:rPr>
                <w:rFonts w:ascii="Calibri" w:hAnsi="Calibri"/>
                <w:sz w:val="24"/>
              </w:rPr>
              <w:t>expanded data centre, no impact</w:t>
            </w:r>
          </w:p>
        </w:tc>
        <w:tc>
          <w:tcPr>
            <w:tcW w:w="2306" w:type="dxa"/>
          </w:tcPr>
          <w:p w14:paraId="4F34C80F" w14:textId="20AF5A58" w:rsidR="00BB6AC8" w:rsidRPr="00880DA8" w:rsidRDefault="004B34B1" w:rsidP="0087301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 xml:space="preserve">n the average case scenario, what organisation changes would need to be made to support the demand e.g. additional staff, </w:t>
            </w:r>
            <w:r>
              <w:rPr>
                <w:rFonts w:ascii="Calibri" w:hAnsi="Calibri"/>
                <w:sz w:val="24"/>
              </w:rPr>
              <w:t>expanded data centre, no impact</w:t>
            </w:r>
          </w:p>
        </w:tc>
        <w:tc>
          <w:tcPr>
            <w:tcW w:w="2306" w:type="dxa"/>
          </w:tcPr>
          <w:p w14:paraId="36EBBB85" w14:textId="2B17F9A1"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n the worst case scenario, what organisation changes would need to be made to support the demand e.g. addition</w:t>
            </w:r>
            <w:r>
              <w:rPr>
                <w:rFonts w:ascii="Calibri" w:hAnsi="Calibri"/>
                <w:sz w:val="24"/>
              </w:rPr>
              <w:t>al training of staff, no impact</w:t>
            </w:r>
          </w:p>
        </w:tc>
      </w:tr>
      <w:tr w:rsidR="00BB6AC8" w:rsidRPr="00BA7494" w14:paraId="0A17E1FA"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095" w:type="dxa"/>
          </w:tcPr>
          <w:p w14:paraId="1E24CC06" w14:textId="3ECDB995" w:rsidR="00BB6AC8" w:rsidRPr="00880DA8" w:rsidRDefault="004B34B1" w:rsidP="00B76A18">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P</w:t>
            </w:r>
            <w:r w:rsidR="00BB6AC8" w:rsidRPr="00880DA8">
              <w:rPr>
                <w:rFonts w:ascii="Calibri" w:hAnsi="Calibri"/>
                <w:sz w:val="24"/>
              </w:rPr>
              <w:t xml:space="preserve">rovide an estimate of the resources required to develop (CAPEX) and maintain / operate (OPEX) the service in the best case e.g. human </w:t>
            </w:r>
            <w:r>
              <w:rPr>
                <w:rFonts w:ascii="Calibri" w:hAnsi="Calibri"/>
                <w:sz w:val="24"/>
              </w:rPr>
              <w:lastRenderedPageBreak/>
              <w:t>effort; financial investment</w:t>
            </w:r>
          </w:p>
        </w:tc>
        <w:tc>
          <w:tcPr>
            <w:tcW w:w="2306" w:type="dxa"/>
          </w:tcPr>
          <w:p w14:paraId="04B3BDC0" w14:textId="281E6ACB" w:rsidR="00BB6AC8" w:rsidRPr="00880DA8" w:rsidRDefault="004B34B1" w:rsidP="0087301E">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lastRenderedPageBreak/>
              <w:t>P</w:t>
            </w:r>
            <w:r w:rsidR="00BB6AC8" w:rsidRPr="00880DA8">
              <w:rPr>
                <w:rFonts w:ascii="Calibri" w:hAnsi="Calibri"/>
                <w:sz w:val="24"/>
              </w:rPr>
              <w:t>rovide an estimate of the resources required to develop (CAPEX) and maintain / operate (OPEX) the average case e.g. human effort; financial</w:t>
            </w:r>
            <w:r>
              <w:rPr>
                <w:rFonts w:ascii="Calibri" w:hAnsi="Calibri"/>
                <w:sz w:val="24"/>
              </w:rPr>
              <w:t xml:space="preserve"> </w:t>
            </w:r>
            <w:r>
              <w:rPr>
                <w:rFonts w:ascii="Calibri" w:hAnsi="Calibri"/>
                <w:sz w:val="24"/>
              </w:rPr>
              <w:lastRenderedPageBreak/>
              <w:t>investment</w:t>
            </w:r>
          </w:p>
        </w:tc>
        <w:tc>
          <w:tcPr>
            <w:tcW w:w="2306" w:type="dxa"/>
          </w:tcPr>
          <w:p w14:paraId="7E8331BB" w14:textId="3A158F5E" w:rsidR="00BB6AC8" w:rsidRPr="00880DA8" w:rsidRDefault="004B34B1" w:rsidP="00C70BD7">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lastRenderedPageBreak/>
              <w:t>P</w:t>
            </w:r>
            <w:r w:rsidR="00BB6AC8" w:rsidRPr="00880DA8">
              <w:rPr>
                <w:rFonts w:ascii="Calibri" w:hAnsi="Calibri"/>
                <w:sz w:val="24"/>
              </w:rPr>
              <w:t>rovide an estimate of the resources required to develop (CAPEX) and maintain / operate (OPEX) the worst case e.g. hum</w:t>
            </w:r>
            <w:r>
              <w:rPr>
                <w:rFonts w:ascii="Calibri" w:hAnsi="Calibri"/>
                <w:sz w:val="24"/>
              </w:rPr>
              <w:t xml:space="preserve">an effort; financial </w:t>
            </w:r>
            <w:r>
              <w:rPr>
                <w:rFonts w:ascii="Calibri" w:hAnsi="Calibri"/>
                <w:sz w:val="24"/>
              </w:rPr>
              <w:lastRenderedPageBreak/>
              <w:t>investment</w:t>
            </w:r>
          </w:p>
        </w:tc>
      </w:tr>
      <w:tr w:rsidR="00BB6AC8" w:rsidRPr="00BA7494" w14:paraId="6B67A5C5"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2C34EFB1" w14:textId="024F71AD" w:rsidR="00BB6AC8" w:rsidRDefault="00BB6AC8" w:rsidP="00E16B56">
            <w:pPr>
              <w:rPr>
                <w:rFonts w:ascii="Calibri" w:hAnsi="Calibri"/>
                <w:sz w:val="24"/>
              </w:rPr>
            </w:pPr>
            <w:r>
              <w:rPr>
                <w:rFonts w:ascii="Calibri" w:hAnsi="Calibri"/>
                <w:sz w:val="24"/>
              </w:rPr>
              <w:lastRenderedPageBreak/>
              <w:t>Expected Revenue</w:t>
            </w:r>
          </w:p>
        </w:tc>
        <w:tc>
          <w:tcPr>
            <w:tcW w:w="2095" w:type="dxa"/>
          </w:tcPr>
          <w:p w14:paraId="05DC1F5D" w14:textId="6DF7F149"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880DA8" w:rsidRDefault="004B34B1" w:rsidP="0087301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Wh</w:t>
            </w:r>
            <w:r w:rsidR="00BB6AC8" w:rsidRPr="00880DA8">
              <w:rPr>
                <w:rFonts w:ascii="Calibri" w:hAnsi="Calibri"/>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revenue types will the provider obtain in return for the investment described above and possible estimates e.g. direct payment(s); funding; in-kind contribution</w:t>
            </w:r>
          </w:p>
        </w:tc>
      </w:tr>
      <w:tr w:rsidR="00BB6AC8" w:rsidRPr="00BA7494" w14:paraId="1061E9D0"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7A615B3D" w14:textId="5B97ED3C" w:rsidR="00BB6AC8" w:rsidRPr="00BA7494" w:rsidRDefault="00BB6AC8" w:rsidP="00E16B56">
            <w:pPr>
              <w:rPr>
                <w:rFonts w:ascii="Calibri" w:hAnsi="Calibri"/>
                <w:sz w:val="24"/>
              </w:rPr>
            </w:pPr>
            <w:r w:rsidRPr="00BA7494">
              <w:rPr>
                <w:rFonts w:ascii="Calibri" w:hAnsi="Calibri"/>
                <w:sz w:val="24"/>
              </w:rPr>
              <w:t>Risks</w:t>
            </w:r>
          </w:p>
        </w:tc>
        <w:tc>
          <w:tcPr>
            <w:tcW w:w="2095" w:type="dxa"/>
          </w:tcPr>
          <w:p w14:paraId="03F625E1" w14:textId="2500C982" w:rsidR="00BB6AC8" w:rsidRPr="00880DA8" w:rsidRDefault="004B34B1" w:rsidP="00131C96">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inability to scale to demand</w:t>
            </w:r>
          </w:p>
        </w:tc>
        <w:tc>
          <w:tcPr>
            <w:tcW w:w="2306" w:type="dxa"/>
          </w:tcPr>
          <w:p w14:paraId="1517DFD0" w14:textId="57AEFB0B" w:rsidR="00BB6AC8" w:rsidRPr="00880DA8" w:rsidRDefault="004B34B1" w:rsidP="000E6F9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880DA8" w:rsidRDefault="004B34B1" w:rsidP="000E6F9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707" w:type="dxa"/>
            <w:gridSpan w:val="3"/>
          </w:tcPr>
          <w:p w14:paraId="7AF19A4F" w14:textId="3792D3E4" w:rsidR="00BB6AC8" w:rsidRPr="00880DA8" w:rsidRDefault="004B34B1" w:rsidP="00D36BB6">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De</w:t>
            </w:r>
            <w:r w:rsidR="00BB6AC8" w:rsidRPr="00880DA8">
              <w:rPr>
                <w:rFonts w:ascii="Calibri" w:hAnsi="Calibri"/>
                <w:sz w:val="24"/>
              </w:rPr>
              <w:t xml:space="preserve">scribe the factors that may limit or hold back the success of the service e.g. size of the market; demand in the market; availability of supply; competition; availability of finances; </w:t>
            </w:r>
            <w:r>
              <w:rPr>
                <w:rFonts w:ascii="Calibri" w:hAnsi="Calibri"/>
                <w:sz w:val="24"/>
              </w:rPr>
              <w:t>quality and skills of employees</w:t>
            </w:r>
          </w:p>
        </w:tc>
      </w:tr>
      <w:tr w:rsidR="00170775" w:rsidRPr="00BA7494" w14:paraId="050022BB"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52C644F8" w14:textId="714109E4" w:rsidR="00170775" w:rsidRPr="00BA7494" w:rsidRDefault="00170775" w:rsidP="00E16B56">
            <w:pPr>
              <w:rPr>
                <w:rFonts w:ascii="Calibri" w:hAnsi="Calibri"/>
                <w:sz w:val="24"/>
              </w:rPr>
            </w:pPr>
            <w:r>
              <w:rPr>
                <w:rFonts w:ascii="Calibri" w:hAnsi="Calibri"/>
                <w:sz w:val="24"/>
              </w:rPr>
              <w:t>Access Policy</w:t>
            </w:r>
          </w:p>
        </w:tc>
        <w:tc>
          <w:tcPr>
            <w:tcW w:w="6707" w:type="dxa"/>
            <w:gridSpan w:val="3"/>
          </w:tcPr>
          <w:p w14:paraId="26BA844B" w14:textId="6EA122F6" w:rsidR="00170775" w:rsidRPr="00170775" w:rsidRDefault="00170775" w:rsidP="0017077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Select at least 1 of the following 3 access policies the</w:t>
            </w:r>
            <w:r w:rsidRPr="00170775">
              <w:rPr>
                <w:rFonts w:ascii="Calibri" w:hAnsi="Calibri"/>
                <w:sz w:val="24"/>
              </w:rPr>
              <w:t xml:space="preserve"> service can be accessed through</w:t>
            </w:r>
            <w:r>
              <w:rPr>
                <w:rFonts w:ascii="Calibri" w:hAnsi="Calibri"/>
                <w:sz w:val="24"/>
              </w:rPr>
              <w:t>; if more than one apply, specify the scenario:</w:t>
            </w:r>
          </w:p>
          <w:p w14:paraId="37FD90CB" w14:textId="7D711494" w:rsidR="00170775" w:rsidRDefault="00170775" w:rsidP="00170775">
            <w:pPr>
              <w:pStyle w:val="ListParagraph"/>
              <w:numPr>
                <w:ilvl w:val="0"/>
                <w:numId w:val="29"/>
              </w:numPr>
              <w:ind w:left="256" w:hanging="141"/>
              <w:cnfStyle w:val="000000000000" w:firstRow="0" w:lastRow="0" w:firstColumn="0" w:lastColumn="0" w:oddVBand="0" w:evenVBand="0" w:oddHBand="0" w:evenHBand="0" w:firstRowFirstColumn="0" w:firstRowLastColumn="0" w:lastRowFirstColumn="0" w:lastRowLastColumn="0"/>
              <w:rPr>
                <w:rFonts w:ascii="Calibri" w:hAnsi="Calibri"/>
                <w:sz w:val="24"/>
              </w:rPr>
            </w:pPr>
            <w:r w:rsidRPr="00170775">
              <w:rPr>
                <w:rFonts w:ascii="Calibri" w:hAnsi="Calibri"/>
                <w:sz w:val="24"/>
              </w:rPr>
              <w:t xml:space="preserve">Policy-based: users are granted access </w:t>
            </w:r>
            <w:r>
              <w:rPr>
                <w:rFonts w:ascii="Calibri" w:hAnsi="Calibri"/>
                <w:sz w:val="24"/>
              </w:rPr>
              <w:t xml:space="preserve">to the service </w:t>
            </w:r>
            <w:r w:rsidRPr="00170775">
              <w:rPr>
                <w:rFonts w:ascii="Calibri" w:hAnsi="Calibri"/>
                <w:sz w:val="24"/>
              </w:rPr>
              <w:t xml:space="preserve">based on policies defined by the EGI </w:t>
            </w:r>
            <w:r>
              <w:rPr>
                <w:rFonts w:ascii="Calibri" w:hAnsi="Calibri"/>
                <w:sz w:val="24"/>
              </w:rPr>
              <w:t>service</w:t>
            </w:r>
            <w:r w:rsidRPr="00170775">
              <w:rPr>
                <w:rFonts w:ascii="Calibri" w:hAnsi="Calibri"/>
                <w:sz w:val="24"/>
              </w:rPr>
              <w:t xml:space="preserve"> provider</w:t>
            </w:r>
            <w:r>
              <w:rPr>
                <w:rFonts w:ascii="Calibri" w:hAnsi="Calibri"/>
                <w:sz w:val="24"/>
              </w:rPr>
              <w:t>(</w:t>
            </w:r>
            <w:r w:rsidRPr="00170775">
              <w:rPr>
                <w:rFonts w:ascii="Calibri" w:hAnsi="Calibri"/>
                <w:sz w:val="24"/>
              </w:rPr>
              <w:t>s</w:t>
            </w:r>
            <w:r>
              <w:rPr>
                <w:rFonts w:ascii="Calibri" w:hAnsi="Calibri"/>
                <w:sz w:val="24"/>
              </w:rPr>
              <w:t>)</w:t>
            </w:r>
            <w:r w:rsidRPr="00170775">
              <w:rPr>
                <w:rFonts w:ascii="Calibri" w:hAnsi="Calibri"/>
                <w:sz w:val="24"/>
              </w:rPr>
              <w:t xml:space="preserve"> or by EGI.eu</w:t>
            </w:r>
          </w:p>
          <w:p w14:paraId="1C29EE86" w14:textId="762F6E4B" w:rsidR="00170775" w:rsidRDefault="00170775" w:rsidP="00170775">
            <w:pPr>
              <w:pStyle w:val="ListParagraph"/>
              <w:numPr>
                <w:ilvl w:val="0"/>
                <w:numId w:val="29"/>
              </w:numPr>
              <w:ind w:left="256" w:hanging="141"/>
              <w:cnfStyle w:val="000000000000" w:firstRow="0" w:lastRow="0" w:firstColumn="0" w:lastColumn="0" w:oddVBand="0" w:evenVBand="0" w:oddHBand="0" w:evenHBand="0" w:firstRowFirstColumn="0" w:firstRowLastColumn="0" w:lastRowFirstColumn="0" w:lastRowLastColumn="0"/>
              <w:rPr>
                <w:rFonts w:ascii="Calibri" w:hAnsi="Calibri"/>
                <w:sz w:val="24"/>
              </w:rPr>
            </w:pPr>
            <w:r w:rsidRPr="00170775">
              <w:rPr>
                <w:rFonts w:ascii="Calibri" w:hAnsi="Calibri"/>
                <w:sz w:val="24"/>
              </w:rPr>
              <w:t xml:space="preserve">Wide access: users can freely access </w:t>
            </w:r>
            <w:r>
              <w:rPr>
                <w:rFonts w:ascii="Calibri" w:hAnsi="Calibri"/>
                <w:sz w:val="24"/>
              </w:rPr>
              <w:t>the service</w:t>
            </w:r>
            <w:r w:rsidRPr="00170775">
              <w:rPr>
                <w:rFonts w:ascii="Calibri" w:hAnsi="Calibri"/>
                <w:sz w:val="24"/>
              </w:rPr>
              <w:t xml:space="preserve"> provided</w:t>
            </w:r>
          </w:p>
          <w:p w14:paraId="25035887" w14:textId="4E05C762" w:rsidR="00170775" w:rsidRPr="00170775" w:rsidRDefault="00170775" w:rsidP="00170775">
            <w:pPr>
              <w:pStyle w:val="ListParagraph"/>
              <w:numPr>
                <w:ilvl w:val="0"/>
                <w:numId w:val="29"/>
              </w:numPr>
              <w:ind w:left="256" w:hanging="141"/>
              <w:cnfStyle w:val="000000000000" w:firstRow="0" w:lastRow="0" w:firstColumn="0" w:lastColumn="0" w:oddVBand="0" w:evenVBand="0" w:oddHBand="0" w:evenHBand="0" w:firstRowFirstColumn="0" w:firstRowLastColumn="0" w:lastRowFirstColumn="0" w:lastRowLastColumn="0"/>
              <w:rPr>
                <w:rFonts w:ascii="Calibri" w:hAnsi="Calibri"/>
                <w:sz w:val="24"/>
              </w:rPr>
            </w:pPr>
            <w:r w:rsidRPr="00170775">
              <w:rPr>
                <w:rFonts w:ascii="Calibri" w:hAnsi="Calibri"/>
                <w:sz w:val="24"/>
              </w:rPr>
              <w:t xml:space="preserve">Market-driven: users can negotiate a fee to access </w:t>
            </w:r>
            <w:r w:rsidR="00862974">
              <w:rPr>
                <w:rFonts w:ascii="Calibri" w:hAnsi="Calibri"/>
                <w:sz w:val="24"/>
              </w:rPr>
              <w:t>the service</w:t>
            </w:r>
            <w:r w:rsidRPr="00170775">
              <w:rPr>
                <w:rFonts w:ascii="Calibri" w:hAnsi="Calibri"/>
                <w:sz w:val="24"/>
              </w:rPr>
              <w:t xml:space="preserve"> either directly with </w:t>
            </w:r>
            <w:r w:rsidR="00862974">
              <w:rPr>
                <w:rFonts w:ascii="Calibri" w:hAnsi="Calibri"/>
                <w:sz w:val="24"/>
              </w:rPr>
              <w:t xml:space="preserve">the </w:t>
            </w:r>
            <w:r w:rsidRPr="00170775">
              <w:rPr>
                <w:rFonts w:ascii="Calibri" w:hAnsi="Calibri"/>
                <w:sz w:val="24"/>
              </w:rPr>
              <w:t xml:space="preserve">EGI </w:t>
            </w:r>
            <w:r w:rsidR="00862974">
              <w:rPr>
                <w:rFonts w:ascii="Calibri" w:hAnsi="Calibri"/>
                <w:sz w:val="24"/>
              </w:rPr>
              <w:t>service provider</w:t>
            </w:r>
            <w:r w:rsidRPr="00170775">
              <w:rPr>
                <w:rFonts w:ascii="Calibri" w:hAnsi="Calibri"/>
                <w:sz w:val="24"/>
              </w:rPr>
              <w:t xml:space="preserve"> or indirectly with EGI.eu</w:t>
            </w:r>
          </w:p>
          <w:p w14:paraId="0E52F0D2" w14:textId="24F00DFE" w:rsidR="00170775" w:rsidRPr="00170775" w:rsidRDefault="00170775" w:rsidP="0017077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 xml:space="preserve">- </w:t>
            </w:r>
            <w:r w:rsidRPr="00170775">
              <w:rPr>
                <w:rFonts w:ascii="Calibri" w:hAnsi="Calibri"/>
                <w:sz w:val="24"/>
              </w:rPr>
              <w:t>Services al</w:t>
            </w:r>
            <w:r w:rsidR="00862974">
              <w:rPr>
                <w:rFonts w:ascii="Calibri" w:hAnsi="Calibri"/>
                <w:sz w:val="24"/>
              </w:rPr>
              <w:t>lowing access to rival services</w:t>
            </w:r>
            <w:r w:rsidRPr="00170775">
              <w:rPr>
                <w:rFonts w:ascii="Calibri" w:hAnsi="Calibri"/>
                <w:sz w:val="24"/>
              </w:rPr>
              <w:t xml:space="preserve"> (e.g. com</w:t>
            </w:r>
            <w:r w:rsidR="00862974">
              <w:rPr>
                <w:rFonts w:ascii="Calibri" w:hAnsi="Calibri"/>
                <w:sz w:val="24"/>
              </w:rPr>
              <w:t>puting capacity or storage</w:t>
            </w:r>
            <w:r w:rsidRPr="00170775">
              <w:rPr>
                <w:rFonts w:ascii="Calibri" w:hAnsi="Calibri"/>
                <w:sz w:val="24"/>
              </w:rPr>
              <w:t>) are usually provided under a</w:t>
            </w:r>
            <w:r w:rsidR="00862974">
              <w:rPr>
                <w:rFonts w:ascii="Calibri" w:hAnsi="Calibri"/>
                <w:sz w:val="24"/>
              </w:rPr>
              <w:t>s</w:t>
            </w:r>
            <w:r w:rsidRPr="00170775">
              <w:rPr>
                <w:rFonts w:ascii="Calibri" w:hAnsi="Calibri"/>
                <w:sz w:val="24"/>
              </w:rPr>
              <w:t xml:space="preserve"> policy-</w:t>
            </w:r>
            <w:r w:rsidR="00862974">
              <w:rPr>
                <w:rFonts w:ascii="Calibri" w:hAnsi="Calibri"/>
                <w:sz w:val="24"/>
              </w:rPr>
              <w:t xml:space="preserve"> or market-driven</w:t>
            </w:r>
            <w:r w:rsidRPr="00170775">
              <w:rPr>
                <w:rFonts w:ascii="Calibri" w:hAnsi="Calibri"/>
                <w:sz w:val="24"/>
              </w:rPr>
              <w:t>.</w:t>
            </w:r>
          </w:p>
          <w:p w14:paraId="1B50C772" w14:textId="735A7B03" w:rsidR="00170775" w:rsidRDefault="00170775" w:rsidP="0017077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 xml:space="preserve">- </w:t>
            </w:r>
            <w:r w:rsidRPr="00170775">
              <w:rPr>
                <w:rFonts w:ascii="Calibri" w:hAnsi="Calibri"/>
                <w:sz w:val="24"/>
              </w:rPr>
              <w:t>Services allowing access to</w:t>
            </w:r>
            <w:r w:rsidR="00862974">
              <w:rPr>
                <w:rFonts w:ascii="Calibri" w:hAnsi="Calibri"/>
                <w:sz w:val="24"/>
              </w:rPr>
              <w:t xml:space="preserve"> non-rival services</w:t>
            </w:r>
            <w:r w:rsidRPr="00170775">
              <w:rPr>
                <w:rFonts w:ascii="Calibri" w:hAnsi="Calibri"/>
                <w:sz w:val="24"/>
              </w:rPr>
              <w:t xml:space="preserve"> (e.g. software packages or scientific data) are usually provided under a wide access policy.</w:t>
            </w:r>
          </w:p>
        </w:tc>
      </w:tr>
    </w:tbl>
    <w:p w14:paraId="701597B1" w14:textId="28BC0BEA" w:rsidR="009B2DFD" w:rsidRDefault="009B2DFD" w:rsidP="00952BD5">
      <w:pPr>
        <w:pStyle w:val="Heading1"/>
        <w:numPr>
          <w:ilvl w:val="0"/>
          <w:numId w:val="15"/>
        </w:numPr>
        <w:ind w:left="0" w:firstLine="0"/>
      </w:pPr>
      <w:bookmarkStart w:id="9" w:name="_Toc421278105"/>
      <w:bookmarkStart w:id="10" w:name="_Toc300491562"/>
      <w:bookmarkStart w:id="11" w:name="_GoBack"/>
      <w:bookmarkEnd w:id="11"/>
      <w:r w:rsidRPr="00952BD5">
        <w:lastRenderedPageBreak/>
        <w:t>Service Design</w:t>
      </w:r>
      <w:bookmarkEnd w:id="10"/>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2" w:name="_Toc300491563"/>
      <w:r w:rsidRPr="00BA7494">
        <w:t>Service requirements</w:t>
      </w:r>
      <w:bookmarkEnd w:id="12"/>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3" w:name="_Toc300491564"/>
      <w:r>
        <w:t>Service architecture</w:t>
      </w:r>
      <w:bookmarkEnd w:id="13"/>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4" w:name="_Toc300491565"/>
      <w:r w:rsidRPr="00547C0A">
        <w:t xml:space="preserve">High-Level </w:t>
      </w:r>
      <w:r w:rsidR="00E16B56" w:rsidRPr="00547C0A">
        <w:t>Service architecture</w:t>
      </w:r>
      <w:bookmarkEnd w:id="9"/>
      <w:bookmarkEnd w:id="14"/>
    </w:p>
    <w:p w14:paraId="43620591" w14:textId="77777777" w:rsid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p>
    <w:p w14:paraId="0BE694AC" w14:textId="664DCD68" w:rsidR="009D616E" w:rsidRDefault="009D616E" w:rsidP="00CD6680">
      <w:pPr>
        <w:spacing w:line="276" w:lineRule="auto"/>
        <w:rPr>
          <w:rFonts w:ascii="Calibri" w:hAnsi="Calibri"/>
          <w:sz w:val="24"/>
        </w:rPr>
      </w:pPr>
      <w:r w:rsidRPr="009D616E">
        <w:rPr>
          <w:rFonts w:ascii="Calibri" w:hAnsi="Calibri"/>
          <w:sz w:val="24"/>
        </w:rPr>
        <w:t>A service component is a logical part of a service that provides a function enabling or enhancing a service</w:t>
      </w:r>
      <w:r>
        <w:rPr>
          <w:rFonts w:ascii="Calibri" w:hAnsi="Calibri"/>
          <w:sz w:val="24"/>
        </w:rPr>
        <w:t>.</w:t>
      </w:r>
    </w:p>
    <w:p w14:paraId="09A06E7F" w14:textId="77777777" w:rsidR="00CD6680" w:rsidRPr="009D616E" w:rsidRDefault="00CD6680" w:rsidP="00CD6680">
      <w:pPr>
        <w:spacing w:line="276" w:lineRule="auto"/>
        <w:rPr>
          <w:rFonts w:ascii="Calibri" w:hAnsi="Calibri"/>
          <w:sz w:val="24"/>
        </w:rPr>
      </w:pPr>
      <w:r w:rsidRPr="009D616E">
        <w:rPr>
          <w:rFonts w:ascii="Calibri" w:hAnsi="Calibri"/>
          <w:sz w:val="24"/>
        </w:rPr>
        <w:t>Note 1: A service is usually composed of several service components.</w:t>
      </w:r>
    </w:p>
    <w:p w14:paraId="6ABBBC7A" w14:textId="77777777" w:rsidR="00CD6680" w:rsidRPr="009D616E" w:rsidRDefault="00CD6680" w:rsidP="00CD6680">
      <w:pPr>
        <w:spacing w:line="276" w:lineRule="auto"/>
        <w:rPr>
          <w:rFonts w:ascii="Calibri" w:hAnsi="Calibri"/>
          <w:sz w:val="24"/>
        </w:rPr>
      </w:pPr>
      <w:r w:rsidRPr="009D616E">
        <w:rPr>
          <w:rFonts w:ascii="Calibri" w:hAnsi="Calibri"/>
          <w:sz w:val="24"/>
        </w:rPr>
        <w:t>Note 2: A service component is usually built from one or more configuration items (CIs).</w:t>
      </w:r>
    </w:p>
    <w:p w14:paraId="69F57BEF" w14:textId="1B3094CA" w:rsidR="00CD6680" w:rsidRPr="009D616E" w:rsidRDefault="00CD6680" w:rsidP="00CD6680">
      <w:pPr>
        <w:spacing w:line="276" w:lineRule="auto"/>
        <w:rPr>
          <w:rFonts w:ascii="Calibri" w:hAnsi="Calibri"/>
          <w:sz w:val="24"/>
        </w:rPr>
      </w:pPr>
      <w:r w:rsidRPr="009D616E">
        <w:rPr>
          <w:rFonts w:ascii="Calibri" w:hAnsi="Calibri"/>
          <w:sz w:val="24"/>
        </w:rPr>
        <w:t>Note 3: Although a service component underlies one or more services, it usually does not create value for a customer alone and is ther</w:t>
      </w:r>
      <w:r>
        <w:rPr>
          <w:rFonts w:ascii="Calibri" w:hAnsi="Calibri"/>
          <w:sz w:val="24"/>
        </w:rPr>
        <w:t>efore not a service by itself.</w:t>
      </w:r>
    </w:p>
    <w:p w14:paraId="53138EF8" w14:textId="77777777" w:rsidR="00E16B56" w:rsidRPr="009D616E" w:rsidRDefault="00E16B56" w:rsidP="00547C0A">
      <w:pPr>
        <w:pStyle w:val="Heading4"/>
      </w:pPr>
      <w:bookmarkStart w:id="15" w:name="_Toc421278108"/>
      <w:bookmarkStart w:id="16" w:name="_Toc300491566"/>
      <w:r w:rsidRPr="009D616E">
        <w:lastRenderedPageBreak/>
        <w:t>Enabling service components</w:t>
      </w:r>
      <w:bookmarkEnd w:id="15"/>
      <w:bookmarkEnd w:id="16"/>
    </w:p>
    <w:p w14:paraId="3060ACAB" w14:textId="6510672C" w:rsidR="006B3501" w:rsidRPr="009D616E"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p w14:paraId="07CCD72B" w14:textId="77777777" w:rsidR="00E16B56" w:rsidRPr="009D616E" w:rsidRDefault="00E16B56" w:rsidP="00547C0A">
      <w:pPr>
        <w:pStyle w:val="Heading4"/>
      </w:pPr>
      <w:bookmarkStart w:id="17" w:name="_Toc421278109"/>
      <w:bookmarkStart w:id="18" w:name="_Toc300491567"/>
      <w:r w:rsidRPr="009D616E">
        <w:t>Enhancing service components</w:t>
      </w:r>
      <w:bookmarkEnd w:id="17"/>
      <w:bookmarkEnd w:id="18"/>
    </w:p>
    <w:p w14:paraId="58674531" w14:textId="465C84EB" w:rsidR="006B3501" w:rsidRPr="009D616E"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p>
    <w:p w14:paraId="0CD647F7" w14:textId="77777777" w:rsidR="00E16B56" w:rsidRPr="009D616E" w:rsidRDefault="00E16B56" w:rsidP="00547C0A">
      <w:pPr>
        <w:pStyle w:val="Heading4"/>
      </w:pPr>
      <w:bookmarkStart w:id="19" w:name="_Toc421278110"/>
      <w:bookmarkStart w:id="20" w:name="_Toc300491568"/>
      <w:r w:rsidRPr="009D616E">
        <w:t>Integration and dependencies</w:t>
      </w:r>
      <w:bookmarkEnd w:id="19"/>
      <w:bookmarkEnd w:id="20"/>
    </w:p>
    <w:p w14:paraId="0917178D" w14:textId="48BD30DC" w:rsidR="00C2793F" w:rsidRPr="009D616E" w:rsidRDefault="00C2793F" w:rsidP="00CD6680">
      <w:pPr>
        <w:spacing w:line="276" w:lineRule="auto"/>
        <w:rPr>
          <w:rFonts w:ascii="Calibri" w:hAnsi="Calibri"/>
          <w:sz w:val="24"/>
        </w:rPr>
      </w:pPr>
      <w:bookmarkStart w:id="21"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2" w:name="_Toc421278111"/>
      <w:bookmarkStart w:id="23" w:name="_Toc300491569"/>
      <w:r w:rsidRPr="00BA7494">
        <w:t>Technical service architecture</w:t>
      </w:r>
      <w:bookmarkEnd w:id="22"/>
      <w:bookmarkEnd w:id="23"/>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4" w:name="_Toc421278112"/>
      <w:bookmarkStart w:id="25" w:name="_Toc300491570"/>
      <w:r w:rsidRPr="00BA7494">
        <w:t>Service acceptance criteria</w:t>
      </w:r>
      <w:bookmarkEnd w:id="24"/>
      <w:bookmarkEnd w:id="25"/>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lastRenderedPageBreak/>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t xml:space="preserve">Critical acceptance criteria according to the above table are regarded as </w:t>
      </w:r>
      <w:proofErr w:type="gramStart"/>
      <w:r w:rsidRPr="00BA7494">
        <w:rPr>
          <w:rFonts w:ascii="Calibri" w:hAnsi="Calibri"/>
          <w:sz w:val="24"/>
        </w:rPr>
        <w:t>show-stoppers</w:t>
      </w:r>
      <w:proofErr w:type="gramEnd"/>
      <w:r w:rsidRPr="00BA7494">
        <w:rPr>
          <w:rFonts w:ascii="Calibri" w:hAnsi="Calibri"/>
          <w:sz w:val="24"/>
        </w:rPr>
        <w:t>.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6" w:name="_Toc300491571"/>
      <w:r w:rsidRPr="00547C0A">
        <w:lastRenderedPageBreak/>
        <w:t xml:space="preserve">Service </w:t>
      </w:r>
      <w:r w:rsidR="00165719" w:rsidRPr="00547C0A">
        <w:t>Transition</w:t>
      </w:r>
      <w:bookmarkEnd w:id="21"/>
      <w:r w:rsidR="00C85E00" w:rsidRPr="00547C0A">
        <w:t xml:space="preserve"> PLan</w:t>
      </w:r>
      <w:bookmarkEnd w:id="26"/>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3"/>
      <w:bookmarkEnd w:id="4"/>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170775" w:rsidRDefault="00170775">
      <w:pPr>
        <w:spacing w:before="0" w:after="0"/>
      </w:pPr>
      <w:r>
        <w:separator/>
      </w:r>
    </w:p>
  </w:endnote>
  <w:endnote w:type="continuationSeparator" w:id="0">
    <w:p w14:paraId="1CD2C8DB" w14:textId="77777777" w:rsidR="00170775" w:rsidRDefault="001707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170775" w:rsidRPr="002D3537" w:rsidRDefault="0017077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170775" w14:paraId="1760B377" w14:textId="77777777" w:rsidTr="004B6465">
      <w:tc>
        <w:tcPr>
          <w:tcW w:w="2764" w:type="dxa"/>
          <w:tcBorders>
            <w:top w:val="single" w:sz="8" w:space="0" w:color="000080"/>
          </w:tcBorders>
          <w:shd w:val="clear" w:color="auto" w:fill="auto"/>
        </w:tcPr>
        <w:p w14:paraId="6B305C56" w14:textId="77777777" w:rsidR="00170775" w:rsidRDefault="00170775"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170775" w:rsidRDefault="00170775"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170775" w:rsidRDefault="00170775"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170775" w:rsidRDefault="00170775" w:rsidP="004B6465">
          <w:pPr>
            <w:pStyle w:val="Footer"/>
            <w:snapToGrid w:val="0"/>
            <w:jc w:val="center"/>
            <w:rPr>
              <w:caps/>
              <w:shd w:val="clear" w:color="auto" w:fill="FFFF00"/>
            </w:rPr>
          </w:pPr>
        </w:p>
        <w:p w14:paraId="5007CAD4" w14:textId="77777777" w:rsidR="00170775" w:rsidRDefault="00170775"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170775" w:rsidRDefault="00170775" w:rsidP="004B6465">
          <w:pPr>
            <w:pStyle w:val="Footer"/>
            <w:snapToGrid w:val="0"/>
            <w:jc w:val="right"/>
          </w:pPr>
        </w:p>
        <w:p w14:paraId="65EB852B" w14:textId="77777777" w:rsidR="00170775" w:rsidRDefault="00170775"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8C645A">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8C645A">
            <w:rPr>
              <w:noProof/>
              <w:sz w:val="18"/>
            </w:rPr>
            <w:t>10</w:t>
          </w:r>
          <w:r w:rsidRPr="00F82664">
            <w:rPr>
              <w:sz w:val="18"/>
            </w:rPr>
            <w:fldChar w:fldCharType="end"/>
          </w:r>
        </w:p>
      </w:tc>
    </w:tr>
  </w:tbl>
  <w:p w14:paraId="55F14CAF" w14:textId="77777777" w:rsidR="00170775" w:rsidRPr="00A91255" w:rsidRDefault="00170775"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170775" w:rsidRPr="002D3537" w14:paraId="37F53B4E" w14:textId="77777777" w:rsidTr="00E17695">
      <w:tc>
        <w:tcPr>
          <w:tcW w:w="1204" w:type="dxa"/>
          <w:tcBorders>
            <w:top w:val="single" w:sz="4" w:space="0" w:color="auto"/>
          </w:tcBorders>
          <w:shd w:val="clear" w:color="auto" w:fill="auto"/>
        </w:tcPr>
        <w:p w14:paraId="3F8F6C57" w14:textId="77777777" w:rsidR="00170775" w:rsidRPr="002D3537" w:rsidRDefault="00170775"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170775" w:rsidRPr="002D3537" w:rsidRDefault="00170775" w:rsidP="004B6465">
          <w:pPr>
            <w:pStyle w:val="Footer"/>
            <w:tabs>
              <w:tab w:val="left" w:pos="1454"/>
              <w:tab w:val="center" w:pos="1843"/>
            </w:tabs>
            <w:snapToGrid w:val="0"/>
            <w:jc w:val="center"/>
            <w:rPr>
              <w:color w:val="000000"/>
              <w:sz w:val="18"/>
              <w:szCs w:val="18"/>
            </w:rPr>
          </w:pPr>
        </w:p>
        <w:p w14:paraId="29A06950" w14:textId="77777777" w:rsidR="00170775" w:rsidRPr="00757E35" w:rsidRDefault="00170775"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170775" w:rsidRPr="0026545C" w:rsidRDefault="00170775" w:rsidP="004B6465">
          <w:pPr>
            <w:pStyle w:val="Footer"/>
            <w:snapToGrid w:val="0"/>
            <w:jc w:val="center"/>
            <w:rPr>
              <w:rFonts w:eastAsia="Verdana" w:cs="Times New Roman"/>
              <w:sz w:val="18"/>
              <w:szCs w:val="18"/>
            </w:rPr>
          </w:pPr>
          <w:hyperlink r:id="rId2" w:history="1">
            <w:r w:rsidRPr="00757E35">
              <w:rPr>
                <w:rStyle w:val="Hyperlink"/>
                <w:rFonts w:asciiTheme="minorHAnsi" w:eastAsia="Verdana" w:hAnsiTheme="minorHAnsi"/>
                <w:sz w:val="18"/>
                <w:szCs w:val="18"/>
              </w:rPr>
              <w:t>Creative Commons Attribution 4.0 International License</w:t>
            </w:r>
          </w:hyperlink>
          <w:r>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170775" w:rsidRPr="002D3537" w:rsidRDefault="00170775" w:rsidP="004B6465">
          <w:pPr>
            <w:pStyle w:val="Footer"/>
            <w:snapToGrid w:val="0"/>
            <w:jc w:val="right"/>
            <w:rPr>
              <w:sz w:val="18"/>
              <w:szCs w:val="18"/>
            </w:rPr>
          </w:pPr>
        </w:p>
        <w:p w14:paraId="3D15E4FC" w14:textId="77777777" w:rsidR="00170775" w:rsidRDefault="00170775" w:rsidP="004B6465">
          <w:pPr>
            <w:pStyle w:val="Footer"/>
            <w:snapToGrid w:val="0"/>
            <w:jc w:val="right"/>
            <w:rPr>
              <w:sz w:val="18"/>
              <w:szCs w:val="18"/>
            </w:rPr>
          </w:pPr>
        </w:p>
        <w:p w14:paraId="0BFE5AFC" w14:textId="77777777" w:rsidR="00170775" w:rsidRPr="002D3537" w:rsidRDefault="00170775"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8C645A">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8C645A">
            <w:rPr>
              <w:noProof/>
              <w:sz w:val="18"/>
              <w:szCs w:val="18"/>
            </w:rPr>
            <w:t>10</w:t>
          </w:r>
          <w:r w:rsidRPr="002D3537">
            <w:rPr>
              <w:sz w:val="18"/>
              <w:szCs w:val="18"/>
            </w:rPr>
            <w:fldChar w:fldCharType="end"/>
          </w:r>
        </w:p>
      </w:tc>
    </w:tr>
    <w:tr w:rsidR="00170775" w:rsidRPr="002D3537" w14:paraId="1EFF1CBC" w14:textId="77777777" w:rsidTr="004B6465">
      <w:tc>
        <w:tcPr>
          <w:tcW w:w="1204" w:type="dxa"/>
          <w:shd w:val="clear" w:color="auto" w:fill="auto"/>
        </w:tcPr>
        <w:p w14:paraId="55F0FD4C" w14:textId="77777777" w:rsidR="00170775" w:rsidRDefault="00170775"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170775" w:rsidRPr="00220329" w:rsidRDefault="00170775"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170775" w:rsidRPr="002D3537" w:rsidRDefault="00170775"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170775" w:rsidRPr="002D3537" w:rsidRDefault="00170775" w:rsidP="004B6465">
          <w:pPr>
            <w:pStyle w:val="Footer"/>
            <w:snapToGrid w:val="0"/>
            <w:jc w:val="right"/>
            <w:rPr>
              <w:sz w:val="18"/>
              <w:szCs w:val="18"/>
            </w:rPr>
          </w:pPr>
        </w:p>
      </w:tc>
    </w:tr>
  </w:tbl>
  <w:p w14:paraId="0911628D" w14:textId="77777777" w:rsidR="00170775" w:rsidRDefault="0017077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170775" w:rsidRDefault="00170775"/>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170775" w:rsidRDefault="00170775">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170775" w:rsidRPr="00CD6680" w14:paraId="7A765B3D" w14:textId="77777777">
      <w:tc>
        <w:tcPr>
          <w:tcW w:w="2764" w:type="dxa"/>
          <w:tcBorders>
            <w:top w:val="single" w:sz="8" w:space="0" w:color="000080"/>
          </w:tcBorders>
          <w:shd w:val="clear" w:color="auto" w:fill="auto"/>
        </w:tcPr>
        <w:p w14:paraId="575E8A84" w14:textId="77777777" w:rsidR="00170775" w:rsidRDefault="00170775">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170775" w:rsidRDefault="00170775">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170775" w:rsidRDefault="00170775"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170775" w:rsidRDefault="00170775">
          <w:pPr>
            <w:pStyle w:val="Footer"/>
            <w:snapToGrid w:val="0"/>
            <w:jc w:val="center"/>
            <w:rPr>
              <w:caps/>
              <w:shd w:val="clear" w:color="auto" w:fill="FFFF00"/>
            </w:rPr>
          </w:pPr>
        </w:p>
        <w:p w14:paraId="31491C0A" w14:textId="77777777" w:rsidR="00170775" w:rsidRDefault="00170775"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170775" w:rsidRPr="00CD6680" w:rsidRDefault="00170775">
          <w:pPr>
            <w:pStyle w:val="Footer"/>
            <w:snapToGrid w:val="0"/>
            <w:jc w:val="right"/>
            <w:rPr>
              <w:rFonts w:ascii="Calibri" w:hAnsi="Calibri"/>
            </w:rPr>
          </w:pPr>
        </w:p>
        <w:p w14:paraId="21815A6A" w14:textId="77777777" w:rsidR="00170775" w:rsidRPr="00CD6680" w:rsidRDefault="00170775">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8C645A">
            <w:rPr>
              <w:rFonts w:ascii="Calibri" w:hAnsi="Calibri"/>
              <w:noProof/>
            </w:rPr>
            <w:t>10</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8C645A">
            <w:rPr>
              <w:rFonts w:ascii="Calibri" w:hAnsi="Calibri"/>
              <w:noProof/>
            </w:rPr>
            <w:t>10</w:t>
          </w:r>
          <w:r w:rsidRPr="00CD6680">
            <w:rPr>
              <w:rFonts w:ascii="Calibri" w:hAnsi="Calibri"/>
            </w:rPr>
            <w:fldChar w:fldCharType="end"/>
          </w:r>
        </w:p>
      </w:tc>
    </w:tr>
  </w:tbl>
  <w:p w14:paraId="29971EFC" w14:textId="77777777" w:rsidR="00170775" w:rsidRDefault="00170775">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170775" w:rsidRDefault="0017077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170775" w:rsidRDefault="00170775">
      <w:pPr>
        <w:spacing w:before="0" w:after="0"/>
      </w:pPr>
      <w:r>
        <w:separator/>
      </w:r>
    </w:p>
  </w:footnote>
  <w:footnote w:type="continuationSeparator" w:id="0">
    <w:p w14:paraId="268C576B" w14:textId="77777777" w:rsidR="00170775" w:rsidRDefault="00170775">
      <w:pPr>
        <w:spacing w:before="0" w:after="0"/>
      </w:pPr>
      <w:r>
        <w:continuationSeparator/>
      </w:r>
    </w:p>
  </w:footnote>
  <w:footnote w:id="1">
    <w:p w14:paraId="2E4C53E6" w14:textId="77777777" w:rsidR="00170775" w:rsidRPr="00383E84" w:rsidRDefault="00170775"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170775" w:rsidRDefault="0017077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170775" w14:paraId="7D21E6F1" w14:textId="77777777">
      <w:trPr>
        <w:trHeight w:val="1131"/>
      </w:trPr>
      <w:tc>
        <w:tcPr>
          <w:tcW w:w="2404" w:type="dxa"/>
          <w:shd w:val="clear" w:color="auto" w:fill="auto"/>
        </w:tcPr>
        <w:p w14:paraId="0FAFFF33" w14:textId="77777777" w:rsidR="00170775" w:rsidRDefault="00170775">
          <w:pPr>
            <w:pStyle w:val="Header"/>
            <w:tabs>
              <w:tab w:val="right" w:pos="9072"/>
            </w:tabs>
            <w:snapToGrid w:val="0"/>
            <w:jc w:val="left"/>
          </w:pPr>
        </w:p>
      </w:tc>
      <w:tc>
        <w:tcPr>
          <w:tcW w:w="3673" w:type="dxa"/>
          <w:shd w:val="clear" w:color="auto" w:fill="auto"/>
        </w:tcPr>
        <w:p w14:paraId="6DDE0258" w14:textId="77777777" w:rsidR="00170775" w:rsidRDefault="00170775">
          <w:pPr>
            <w:pStyle w:val="Header"/>
            <w:tabs>
              <w:tab w:val="right" w:pos="9072"/>
            </w:tabs>
            <w:snapToGrid w:val="0"/>
            <w:jc w:val="center"/>
          </w:pPr>
        </w:p>
      </w:tc>
      <w:tc>
        <w:tcPr>
          <w:tcW w:w="3333" w:type="dxa"/>
          <w:shd w:val="clear" w:color="auto" w:fill="auto"/>
        </w:tcPr>
        <w:p w14:paraId="790CDA5C" w14:textId="77777777" w:rsidR="00170775" w:rsidRDefault="00170775">
          <w:pPr>
            <w:pStyle w:val="Header"/>
            <w:tabs>
              <w:tab w:val="right" w:pos="9072"/>
            </w:tabs>
            <w:snapToGrid w:val="0"/>
            <w:jc w:val="right"/>
          </w:pPr>
        </w:p>
      </w:tc>
    </w:tr>
  </w:tbl>
  <w:p w14:paraId="18A59E92" w14:textId="77777777" w:rsidR="00170775" w:rsidRDefault="00170775"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170775" w:rsidRDefault="0017077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2E0F28C4"/>
    <w:multiLevelType w:val="hybridMultilevel"/>
    <w:tmpl w:val="2E9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21"/>
  </w:num>
  <w:num w:numId="6">
    <w:abstractNumId w:val="17"/>
  </w:num>
  <w:num w:numId="7">
    <w:abstractNumId w:val="18"/>
  </w:num>
  <w:num w:numId="8">
    <w:abstractNumId w:val="25"/>
  </w:num>
  <w:num w:numId="9">
    <w:abstractNumId w:val="16"/>
  </w:num>
  <w:num w:numId="10">
    <w:abstractNumId w:val="23"/>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6"/>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437E"/>
    <w:rsid w:val="001479CE"/>
    <w:rsid w:val="00147F24"/>
    <w:rsid w:val="00151BEC"/>
    <w:rsid w:val="00153364"/>
    <w:rsid w:val="001556AA"/>
    <w:rsid w:val="00162A62"/>
    <w:rsid w:val="001648E8"/>
    <w:rsid w:val="00165719"/>
    <w:rsid w:val="001704DE"/>
    <w:rsid w:val="00170775"/>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27A33"/>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5BCE"/>
    <w:rsid w:val="004A0061"/>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A4663"/>
    <w:rsid w:val="006A6CCA"/>
    <w:rsid w:val="006A7E35"/>
    <w:rsid w:val="006A7F6C"/>
    <w:rsid w:val="006B13F0"/>
    <w:rsid w:val="006B1ECB"/>
    <w:rsid w:val="006B2087"/>
    <w:rsid w:val="006B3501"/>
    <w:rsid w:val="006B36C3"/>
    <w:rsid w:val="006B47AD"/>
    <w:rsid w:val="006C3C07"/>
    <w:rsid w:val="006C3C2D"/>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27D80"/>
    <w:rsid w:val="008308A5"/>
    <w:rsid w:val="00835164"/>
    <w:rsid w:val="00836D4D"/>
    <w:rsid w:val="00845D61"/>
    <w:rsid w:val="008479D4"/>
    <w:rsid w:val="00847AEB"/>
    <w:rsid w:val="00850F78"/>
    <w:rsid w:val="00851D27"/>
    <w:rsid w:val="0085631E"/>
    <w:rsid w:val="00856934"/>
    <w:rsid w:val="0085720B"/>
    <w:rsid w:val="00862046"/>
    <w:rsid w:val="00862974"/>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C645A"/>
    <w:rsid w:val="008D02C1"/>
    <w:rsid w:val="008D221E"/>
    <w:rsid w:val="008D2449"/>
    <w:rsid w:val="008D446E"/>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875"/>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6A24"/>
    <w:rsid w:val="00EE28DE"/>
    <w:rsid w:val="00EE2B44"/>
    <w:rsid w:val="00EE4025"/>
    <w:rsid w:val="00EE75C9"/>
    <w:rsid w:val="00EE7B70"/>
    <w:rsid w:val="00EE7FEF"/>
    <w:rsid w:val="00EF18F5"/>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67F414B3-6480-1F4A-837C-10FDCCA7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1799</Words>
  <Characters>10259</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12034</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4</cp:revision>
  <cp:lastPrinted>2016-02-18T16:36:00Z</cp:lastPrinted>
  <dcterms:created xsi:type="dcterms:W3CDTF">2016-02-18T16:26:00Z</dcterms:created>
  <dcterms:modified xsi:type="dcterms:W3CDTF">2016-02-18T16:36:00Z</dcterms:modified>
</cp:coreProperties>
</file>