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3F0F" w:rsidRPr="00AA51E1" w:rsidRDefault="003A3E63">
      <w:pPr>
        <w:pStyle w:val="Heading1"/>
        <w:rPr>
          <w:rFonts w:ascii="Arial" w:eastAsia="Times New Roman" w:hAnsi="Arial" w:cs="Arial"/>
          <w:color w:val="000000"/>
          <w:sz w:val="52"/>
        </w:rPr>
      </w:pPr>
      <w:bookmarkStart w:id="0" w:name="_GoBack"/>
      <w:bookmarkEnd w:id="0"/>
      <w:r w:rsidRPr="00AA51E1">
        <w:rPr>
          <w:rFonts w:ascii="Arial" w:eastAsia="Times New Roman" w:hAnsi="Arial" w:cs="Arial"/>
          <w:color w:val="000000"/>
          <w:sz w:val="52"/>
        </w:rPr>
        <w:t>Commercial Compute Resources for PCAWG</w:t>
      </w:r>
    </w:p>
    <w:p w:rsidR="00F73F0F" w:rsidRPr="00AA51E1" w:rsidRDefault="003A3E63">
      <w:pPr>
        <w:pStyle w:val="NormalWeb"/>
        <w:rPr>
          <w:rFonts w:ascii="Arial" w:hAnsi="Arial" w:cs="Arial"/>
          <w:color w:val="000000"/>
          <w:sz w:val="22"/>
          <w:szCs w:val="20"/>
        </w:rPr>
      </w:pPr>
      <w:r w:rsidRPr="00AA51E1">
        <w:rPr>
          <w:rFonts w:ascii="Arial" w:hAnsi="Arial" w:cs="Arial"/>
          <w:color w:val="000000"/>
          <w:sz w:val="22"/>
          <w:szCs w:val="20"/>
        </w:rPr>
        <w:t>The Pan-Cancer Analysis of Whole Genomes (PCAWG) project has generated a uniform set of whole genome alignments for over 2800 tumor</w:t>
      </w:r>
      <w:r w:rsidRPr="00AA51E1">
        <w:rPr>
          <w:rFonts w:ascii="Arial" w:hAnsi="Arial" w:cs="Arial"/>
          <w:color w:val="000000"/>
          <w:sz w:val="22"/>
          <w:szCs w:val="20"/>
        </w:rPr>
        <w:softHyphen/>
      </w:r>
      <w:r w:rsidR="00AA51E1" w:rsidRPr="00AA51E1">
        <w:rPr>
          <w:rFonts w:ascii="Arial" w:hAnsi="Arial" w:cs="Arial"/>
          <w:color w:val="000000"/>
          <w:sz w:val="22"/>
          <w:szCs w:val="20"/>
        </w:rPr>
        <w:t>/</w:t>
      </w:r>
      <w:r w:rsidRPr="00AA51E1">
        <w:rPr>
          <w:rFonts w:ascii="Arial" w:hAnsi="Arial" w:cs="Arial"/>
          <w:color w:val="000000"/>
          <w:sz w:val="22"/>
          <w:szCs w:val="20"/>
        </w:rPr>
        <w:t xml:space="preserve">normal pairs and is currently engaged in cataloguing somatic and germline variations among the tumor genomes. In addition to genomic data, a substantial portion of the donors have additional supporting </w:t>
      </w:r>
      <w:r w:rsidRPr="00AA51E1">
        <w:rPr>
          <w:rFonts w:ascii="Arial" w:hAnsi="Arial" w:cs="Arial"/>
          <w:color w:val="000000"/>
          <w:sz w:val="22"/>
          <w:szCs w:val="20"/>
        </w:rPr>
        <w:softHyphen/>
        <w:t xml:space="preserve">omics data including sequenced RNA and arrayed DNA methylation. Eight academic compute centers have contributed to the project, but the overall number of dedicate compute nodes is limited and several research groups require more compute capacity than the academic </w:t>
      </w:r>
      <w:proofErr w:type="spellStart"/>
      <w:r w:rsidRPr="00AA51E1">
        <w:rPr>
          <w:rFonts w:ascii="Arial" w:hAnsi="Arial" w:cs="Arial"/>
          <w:color w:val="000000"/>
          <w:sz w:val="22"/>
          <w:szCs w:val="20"/>
        </w:rPr>
        <w:t>centres</w:t>
      </w:r>
      <w:proofErr w:type="spellEnd"/>
      <w:r w:rsidRPr="00AA51E1">
        <w:rPr>
          <w:rFonts w:ascii="Arial" w:hAnsi="Arial" w:cs="Arial"/>
          <w:color w:val="000000"/>
          <w:sz w:val="22"/>
          <w:szCs w:val="20"/>
        </w:rPr>
        <w:t xml:space="preserve"> can provide. We have accordingly sought grants of compute resources and engineering expertise from a number of commercial compute vendors and have received positive responses from approximately ten. Members of the PCAWG analysis groups with heavy compute needs are encouraged to contact these vendors and make arrangements to make use of their generous donations of engineering expertise and/or compute capacity.</w:t>
      </w:r>
    </w:p>
    <w:p w:rsidR="00F73F0F" w:rsidRPr="00AA51E1" w:rsidRDefault="003A3E63">
      <w:pPr>
        <w:pStyle w:val="Heading2"/>
        <w:rPr>
          <w:rFonts w:ascii="Arial" w:eastAsia="Times New Roman" w:hAnsi="Arial" w:cs="Arial"/>
          <w:color w:val="000000"/>
          <w:sz w:val="40"/>
        </w:rPr>
      </w:pPr>
      <w:r w:rsidRPr="00AA51E1">
        <w:rPr>
          <w:rFonts w:ascii="Arial" w:eastAsia="Times New Roman" w:hAnsi="Arial" w:cs="Arial"/>
          <w:color w:val="000000"/>
          <w:sz w:val="40"/>
        </w:rPr>
        <w:t>Rules of Engagement</w:t>
      </w:r>
    </w:p>
    <w:p w:rsidR="00F73F0F" w:rsidRPr="00AA51E1" w:rsidRDefault="003A3E63">
      <w:pPr>
        <w:pStyle w:val="NormalWeb"/>
        <w:rPr>
          <w:rFonts w:ascii="Arial" w:hAnsi="Arial" w:cs="Arial"/>
          <w:color w:val="000000"/>
          <w:sz w:val="22"/>
          <w:szCs w:val="20"/>
        </w:rPr>
      </w:pPr>
      <w:r w:rsidRPr="00AA51E1">
        <w:rPr>
          <w:rStyle w:val="Emphasis"/>
          <w:rFonts w:ascii="Arial" w:hAnsi="Arial" w:cs="Arial"/>
          <w:color w:val="000000"/>
          <w:sz w:val="22"/>
          <w:szCs w:val="20"/>
        </w:rPr>
        <w:t>For PCAWG research groups, we encourage you to follow this protocol:</w:t>
      </w:r>
    </w:p>
    <w:p w:rsidR="00F73F0F" w:rsidRPr="00AA51E1" w:rsidRDefault="003A3E63">
      <w:pPr>
        <w:numPr>
          <w:ilvl w:val="0"/>
          <w:numId w:val="1"/>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Peruse the vendor information pages listed below to find one or more that meets your needs.</w:t>
      </w:r>
    </w:p>
    <w:p w:rsidR="00F73F0F" w:rsidRPr="00AA51E1" w:rsidRDefault="003A3E63">
      <w:pPr>
        <w:numPr>
          <w:ilvl w:val="0"/>
          <w:numId w:val="1"/>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Contact the vendor(s) using the contact links posted in the information page and make your request. Because they can be contacted by multiple groups, a vendor may or may not be able to accommodate your needs.</w:t>
      </w:r>
    </w:p>
    <w:p w:rsidR="00F73F0F" w:rsidRPr="00AA51E1" w:rsidRDefault="003A3E63">
      <w:pPr>
        <w:numPr>
          <w:ilvl w:val="0"/>
          <w:numId w:val="1"/>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Negotiate a bilateral agreement with the vendor in the manner required by your institution.</w:t>
      </w:r>
    </w:p>
    <w:p w:rsidR="00F73F0F" w:rsidRPr="00AA51E1" w:rsidRDefault="003A3E63">
      <w:pPr>
        <w:numPr>
          <w:ilvl w:val="0"/>
          <w:numId w:val="1"/>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 xml:space="preserve">Please keep the PCAWG steering and tech groups informed of your negotiations by dropping an email to project manager </w:t>
      </w:r>
      <w:hyperlink r:id="rId6" w:history="1">
        <w:r w:rsidRPr="00AA51E1">
          <w:rPr>
            <w:rStyle w:val="Hyperlink"/>
            <w:rFonts w:ascii="Arial" w:eastAsia="Times New Roman" w:hAnsi="Arial" w:cs="Arial"/>
            <w:sz w:val="22"/>
            <w:szCs w:val="20"/>
          </w:rPr>
          <w:t>Christina Yung</w:t>
        </w:r>
      </w:hyperlink>
      <w:r w:rsidRPr="00AA51E1">
        <w:rPr>
          <w:rFonts w:ascii="Arial" w:eastAsia="Times New Roman" w:hAnsi="Arial" w:cs="Arial"/>
          <w:color w:val="000000"/>
          <w:sz w:val="22"/>
          <w:szCs w:val="20"/>
        </w:rPr>
        <w:t>.</w:t>
      </w:r>
    </w:p>
    <w:p w:rsidR="00F73F0F" w:rsidRPr="00AA51E1" w:rsidRDefault="003A3E63">
      <w:pPr>
        <w:numPr>
          <w:ilvl w:val="0"/>
          <w:numId w:val="1"/>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 xml:space="preserve">The tech group can provide you with tips on efficiently transferring and using data on several different types of cloud compute systems. Please contact tech team leader </w:t>
      </w:r>
      <w:hyperlink r:id="rId7" w:history="1">
        <w:r w:rsidRPr="00AA51E1">
          <w:rPr>
            <w:rStyle w:val="Hyperlink"/>
            <w:rFonts w:ascii="Arial" w:eastAsia="Times New Roman" w:hAnsi="Arial" w:cs="Arial"/>
            <w:sz w:val="22"/>
            <w:szCs w:val="20"/>
          </w:rPr>
          <w:t>Brian O'Connor</w:t>
        </w:r>
      </w:hyperlink>
      <w:r w:rsidRPr="00AA51E1">
        <w:rPr>
          <w:rFonts w:ascii="Arial" w:eastAsia="Times New Roman" w:hAnsi="Arial" w:cs="Arial"/>
          <w:color w:val="000000"/>
          <w:sz w:val="22"/>
          <w:szCs w:val="20"/>
        </w:rPr>
        <w:t xml:space="preserve"> for more information.</w:t>
      </w:r>
    </w:p>
    <w:p w:rsidR="00F73F0F" w:rsidRPr="00AA51E1" w:rsidRDefault="003A3E63">
      <w:pPr>
        <w:numPr>
          <w:ilvl w:val="0"/>
          <w:numId w:val="1"/>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 xml:space="preserve">You are ultimately responsible for the security of the PCAWG data, and must abide by the </w:t>
      </w:r>
      <w:hyperlink r:id="rId8" w:history="1">
        <w:r w:rsidRPr="00907871">
          <w:rPr>
            <w:rStyle w:val="Hyperlink"/>
            <w:rFonts w:ascii="Arial" w:eastAsia="Times New Roman" w:hAnsi="Arial" w:cs="Arial"/>
            <w:sz w:val="22"/>
            <w:szCs w:val="20"/>
          </w:rPr>
          <w:t>ICGC DACO</w:t>
        </w:r>
      </w:hyperlink>
      <w:r w:rsidRPr="00AA51E1">
        <w:rPr>
          <w:rFonts w:ascii="Arial" w:eastAsia="Times New Roman" w:hAnsi="Arial" w:cs="Arial"/>
          <w:color w:val="000000"/>
          <w:sz w:val="22"/>
          <w:szCs w:val="20"/>
        </w:rPr>
        <w:t xml:space="preserve"> and </w:t>
      </w:r>
      <w:hyperlink r:id="rId9" w:history="1">
        <w:r w:rsidRPr="00907871">
          <w:rPr>
            <w:rStyle w:val="Hyperlink"/>
            <w:rFonts w:ascii="Arial" w:eastAsia="Times New Roman" w:hAnsi="Arial" w:cs="Arial"/>
            <w:sz w:val="22"/>
            <w:szCs w:val="20"/>
          </w:rPr>
          <w:t xml:space="preserve">TCGA </w:t>
        </w:r>
        <w:proofErr w:type="spellStart"/>
        <w:r w:rsidRPr="00907871">
          <w:rPr>
            <w:rStyle w:val="Hyperlink"/>
            <w:rFonts w:ascii="Arial" w:eastAsia="Times New Roman" w:hAnsi="Arial" w:cs="Arial"/>
            <w:sz w:val="22"/>
            <w:szCs w:val="20"/>
          </w:rPr>
          <w:t>dbGaP</w:t>
        </w:r>
        <w:proofErr w:type="spellEnd"/>
      </w:hyperlink>
      <w:r w:rsidRPr="00AA51E1">
        <w:rPr>
          <w:rFonts w:ascii="Arial" w:eastAsia="Times New Roman" w:hAnsi="Arial" w:cs="Arial"/>
          <w:color w:val="000000"/>
          <w:sz w:val="22"/>
          <w:szCs w:val="20"/>
        </w:rPr>
        <w:t xml:space="preserve"> data usage agreements; this includes deleting data from the vendors' systems once the analytic work is complete.</w:t>
      </w:r>
    </w:p>
    <w:p w:rsidR="00F73F0F" w:rsidRPr="00AA51E1" w:rsidRDefault="003A3E63">
      <w:pPr>
        <w:numPr>
          <w:ilvl w:val="0"/>
          <w:numId w:val="1"/>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In return for the vendor grant, you must acknowledge the vendor in the manner described in </w:t>
      </w:r>
      <w:r w:rsidRPr="00AA51E1">
        <w:rPr>
          <w:rStyle w:val="Strong"/>
          <w:rFonts w:ascii="Arial" w:eastAsia="Times New Roman" w:hAnsi="Arial" w:cs="Arial"/>
          <w:color w:val="000000"/>
          <w:sz w:val="22"/>
          <w:szCs w:val="20"/>
        </w:rPr>
        <w:t>Publicity and Acknowledgements.</w:t>
      </w:r>
    </w:p>
    <w:p w:rsidR="00F73F0F" w:rsidRPr="00AA51E1" w:rsidRDefault="003A3E63">
      <w:pPr>
        <w:pStyle w:val="NormalWeb"/>
        <w:rPr>
          <w:rFonts w:ascii="Arial" w:hAnsi="Arial" w:cs="Arial"/>
          <w:color w:val="000000"/>
          <w:sz w:val="22"/>
          <w:szCs w:val="20"/>
        </w:rPr>
      </w:pPr>
      <w:r w:rsidRPr="00AA51E1">
        <w:rPr>
          <w:rStyle w:val="Emphasis"/>
          <w:rFonts w:ascii="Arial" w:hAnsi="Arial" w:cs="Arial"/>
          <w:color w:val="000000"/>
          <w:sz w:val="22"/>
          <w:szCs w:val="20"/>
        </w:rPr>
        <w:t>For Compute Vendors, here is the basic quid pro quo:</w:t>
      </w:r>
    </w:p>
    <w:p w:rsidR="00F73F0F" w:rsidRPr="00AA51E1" w:rsidRDefault="003A3E63">
      <w:pPr>
        <w:numPr>
          <w:ilvl w:val="0"/>
          <w:numId w:val="2"/>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You will be contacted by one or more PCAWG research groups seeking grants of compute, storage and/or software engineering assistance.</w:t>
      </w:r>
    </w:p>
    <w:p w:rsidR="00F73F0F" w:rsidRPr="00AA51E1" w:rsidRDefault="003A3E63">
      <w:pPr>
        <w:numPr>
          <w:ilvl w:val="0"/>
          <w:numId w:val="2"/>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You are free to make a case-by-case determination of whether the request is feasible suitable for your offerings.</w:t>
      </w:r>
    </w:p>
    <w:p w:rsidR="00F73F0F" w:rsidRPr="00AA51E1" w:rsidRDefault="003A3E63">
      <w:pPr>
        <w:numPr>
          <w:ilvl w:val="0"/>
          <w:numId w:val="2"/>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If more than one group contacts you, you are free to prioritize among them on a first-come/first-serve manner, or other basis.</w:t>
      </w:r>
    </w:p>
    <w:p w:rsidR="00F73F0F" w:rsidRPr="00AA51E1" w:rsidRDefault="003A3E63">
      <w:pPr>
        <w:numPr>
          <w:ilvl w:val="0"/>
          <w:numId w:val="2"/>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Work with the research groups bilaterally to negotiate contracts, service agreements, or MOUs as required by your company and the research groups' institution. </w:t>
      </w:r>
    </w:p>
    <w:p w:rsidR="00F73F0F" w:rsidRPr="00AA51E1" w:rsidRDefault="003A3E63">
      <w:pPr>
        <w:numPr>
          <w:ilvl w:val="0"/>
          <w:numId w:val="2"/>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 xml:space="preserve">Your contribution will be publicized as described in </w:t>
      </w:r>
      <w:r w:rsidRPr="00AA51E1">
        <w:rPr>
          <w:rStyle w:val="Strong"/>
          <w:rFonts w:ascii="Arial" w:eastAsia="Times New Roman" w:hAnsi="Arial" w:cs="Arial"/>
          <w:color w:val="000000"/>
          <w:sz w:val="22"/>
          <w:szCs w:val="20"/>
        </w:rPr>
        <w:t>Publicity and Acknowledgements.</w:t>
      </w:r>
    </w:p>
    <w:p w:rsidR="00F73F0F" w:rsidRPr="00AA51E1" w:rsidRDefault="003A3E63">
      <w:pPr>
        <w:numPr>
          <w:ilvl w:val="0"/>
          <w:numId w:val="2"/>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You may not maintain a copy of the PCAWG data on your systems without a separate agreement with the ICGC and TCGA consortia.</w:t>
      </w:r>
    </w:p>
    <w:p w:rsidR="00F73F0F" w:rsidRPr="00AA51E1" w:rsidRDefault="003A3E63">
      <w:pPr>
        <w:numPr>
          <w:ilvl w:val="0"/>
          <w:numId w:val="2"/>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We require that software developed under these grants be accessible to the academic community for the purposes of reproducing findings. We request (but do not require) that the software be released under an open source license.</w:t>
      </w:r>
    </w:p>
    <w:p w:rsidR="00F73F0F" w:rsidRPr="00AA51E1" w:rsidRDefault="003A3E63">
      <w:pPr>
        <w:pStyle w:val="Heading2"/>
        <w:rPr>
          <w:rFonts w:ascii="Arial" w:eastAsia="Times New Roman" w:hAnsi="Arial" w:cs="Arial"/>
          <w:color w:val="000000"/>
          <w:sz w:val="40"/>
        </w:rPr>
      </w:pPr>
      <w:r w:rsidRPr="00AA51E1">
        <w:rPr>
          <w:rFonts w:ascii="Arial" w:eastAsia="Times New Roman" w:hAnsi="Arial" w:cs="Arial"/>
          <w:color w:val="000000"/>
          <w:sz w:val="40"/>
        </w:rPr>
        <w:t>Publicity and Acknowledgements</w:t>
      </w:r>
    </w:p>
    <w:p w:rsidR="00F73F0F" w:rsidRPr="00AA51E1" w:rsidRDefault="003A3E63">
      <w:pPr>
        <w:pStyle w:val="NormalWeb"/>
        <w:rPr>
          <w:rFonts w:ascii="Arial" w:hAnsi="Arial" w:cs="Arial"/>
          <w:color w:val="000000"/>
          <w:sz w:val="22"/>
          <w:szCs w:val="20"/>
        </w:rPr>
      </w:pPr>
      <w:r w:rsidRPr="00AA51E1">
        <w:rPr>
          <w:rFonts w:ascii="Arial" w:hAnsi="Arial" w:cs="Arial"/>
          <w:color w:val="000000"/>
          <w:sz w:val="22"/>
          <w:szCs w:val="20"/>
        </w:rPr>
        <w:t>Vendors that participate in this research project will be acknowledged both verbally at conferences and in written form in all major manuscripts communicated by the PCAWG group. Explicitly this includes:</w:t>
      </w:r>
    </w:p>
    <w:p w:rsidR="00F73F0F" w:rsidRPr="00AA51E1" w:rsidRDefault="003A3E63">
      <w:pPr>
        <w:numPr>
          <w:ilvl w:val="0"/>
          <w:numId w:val="3"/>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Acknowledgements in the main Resource or "Marker" paper that describes the community resources generated by the PCAWG project.</w:t>
      </w:r>
    </w:p>
    <w:p w:rsidR="00F73F0F" w:rsidRPr="00AA51E1" w:rsidRDefault="003A3E63">
      <w:pPr>
        <w:numPr>
          <w:ilvl w:val="0"/>
          <w:numId w:val="3"/>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Acknowledgements in the paper planned to be written by the technical working group of the PCAWG project that describes the compute information management infrastructure used for the core analyses and for data distribution.</w:t>
      </w:r>
    </w:p>
    <w:p w:rsidR="00F73F0F" w:rsidRPr="00AA51E1" w:rsidRDefault="003A3E63">
      <w:pPr>
        <w:numPr>
          <w:ilvl w:val="0"/>
          <w:numId w:val="3"/>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Acknowledgements in the primary paper(s) written by the research groups that first publish the data sets generated with vendor assistance.</w:t>
      </w:r>
    </w:p>
    <w:p w:rsidR="00F73F0F" w:rsidRPr="00AA51E1" w:rsidRDefault="003A3E63">
      <w:pPr>
        <w:numPr>
          <w:ilvl w:val="0"/>
          <w:numId w:val="3"/>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 xml:space="preserve">Your logo and link will be placed at the bottom of the </w:t>
      </w:r>
      <w:hyperlink r:id="rId10" w:history="1">
        <w:r w:rsidRPr="00AA51E1">
          <w:rPr>
            <w:rStyle w:val="Hyperlink"/>
            <w:rFonts w:ascii="Arial" w:eastAsia="Times New Roman" w:hAnsi="Arial" w:cs="Arial"/>
            <w:sz w:val="22"/>
            <w:szCs w:val="20"/>
          </w:rPr>
          <w:t>PCAWG portal page</w:t>
        </w:r>
      </w:hyperlink>
      <w:r w:rsidRPr="00AA51E1">
        <w:rPr>
          <w:rFonts w:ascii="Arial" w:eastAsia="Times New Roman" w:hAnsi="Arial" w:cs="Arial"/>
          <w:color w:val="000000"/>
          <w:sz w:val="22"/>
          <w:szCs w:val="20"/>
        </w:rPr>
        <w:t>.</w:t>
      </w:r>
    </w:p>
    <w:p w:rsidR="00F73F0F" w:rsidRPr="00AA51E1" w:rsidRDefault="003A3E63">
      <w:pPr>
        <w:numPr>
          <w:ilvl w:val="0"/>
          <w:numId w:val="3"/>
        </w:numPr>
        <w:spacing w:before="100" w:beforeAutospacing="1" w:after="100" w:afterAutospacing="1"/>
        <w:rPr>
          <w:rFonts w:ascii="Arial" w:eastAsia="Times New Roman" w:hAnsi="Arial" w:cs="Arial"/>
          <w:color w:val="000000"/>
          <w:sz w:val="22"/>
          <w:szCs w:val="20"/>
        </w:rPr>
      </w:pPr>
      <w:r w:rsidRPr="00AA51E1">
        <w:rPr>
          <w:rFonts w:ascii="Arial" w:eastAsia="Times New Roman" w:hAnsi="Arial" w:cs="Arial"/>
          <w:color w:val="000000"/>
          <w:sz w:val="22"/>
          <w:szCs w:val="20"/>
        </w:rPr>
        <w:t>Your logo and acknowledgement text will be placed in the acknowledgements slide of PCAWG talks given at major research conferences by members of the PCAWG steering committee, working group leaders, and the individual research groups that benefited from your donation.</w:t>
      </w:r>
    </w:p>
    <w:p w:rsidR="00F73F0F" w:rsidRPr="00AA51E1" w:rsidRDefault="003A3E63">
      <w:pPr>
        <w:pStyle w:val="Heading2"/>
        <w:rPr>
          <w:rFonts w:ascii="Arial" w:eastAsia="Times New Roman" w:hAnsi="Arial" w:cs="Arial"/>
          <w:color w:val="000000"/>
          <w:sz w:val="40"/>
        </w:rPr>
      </w:pPr>
      <w:r w:rsidRPr="00AA51E1">
        <w:rPr>
          <w:rFonts w:ascii="Arial" w:eastAsia="Times New Roman" w:hAnsi="Arial" w:cs="Arial"/>
          <w:color w:val="000000"/>
          <w:sz w:val="40"/>
        </w:rPr>
        <w:t>List of Vendors that are Offering Grants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4"/>
        <w:gridCol w:w="1320"/>
        <w:gridCol w:w="1384"/>
      </w:tblGrid>
      <w:tr w:rsidR="00F73F0F" w:rsidRPr="00AA51E1">
        <w:trPr>
          <w:tblHeader/>
          <w:tblCellSpacing w:w="15" w:type="dxa"/>
        </w:trPr>
        <w:tc>
          <w:tcPr>
            <w:tcW w:w="0" w:type="auto"/>
            <w:vAlign w:val="center"/>
            <w:hideMark/>
          </w:tcPr>
          <w:p w:rsidR="00F73F0F" w:rsidRPr="00AA51E1" w:rsidRDefault="003A3E63">
            <w:pPr>
              <w:jc w:val="center"/>
              <w:rPr>
                <w:rFonts w:ascii="Arial" w:eastAsia="Times New Roman" w:hAnsi="Arial" w:cs="Arial"/>
                <w:b/>
                <w:bCs/>
                <w:color w:val="000000"/>
                <w:sz w:val="22"/>
                <w:szCs w:val="20"/>
              </w:rPr>
            </w:pPr>
            <w:r w:rsidRPr="00AA51E1">
              <w:rPr>
                <w:rFonts w:ascii="Arial" w:eastAsia="Times New Roman" w:hAnsi="Arial" w:cs="Arial"/>
                <w:b/>
                <w:bCs/>
                <w:color w:val="000000"/>
                <w:sz w:val="22"/>
                <w:szCs w:val="20"/>
              </w:rPr>
              <w:t>Title</w:t>
            </w:r>
          </w:p>
        </w:tc>
        <w:tc>
          <w:tcPr>
            <w:tcW w:w="0" w:type="auto"/>
            <w:vAlign w:val="center"/>
            <w:hideMark/>
          </w:tcPr>
          <w:p w:rsidR="00F73F0F" w:rsidRPr="00AA51E1" w:rsidRDefault="003A3E63">
            <w:pPr>
              <w:jc w:val="center"/>
              <w:rPr>
                <w:rFonts w:ascii="Arial" w:eastAsia="Times New Roman" w:hAnsi="Arial" w:cs="Arial"/>
                <w:b/>
                <w:bCs/>
                <w:color w:val="000000"/>
                <w:sz w:val="22"/>
                <w:szCs w:val="20"/>
              </w:rPr>
            </w:pPr>
            <w:r w:rsidRPr="00AA51E1">
              <w:rPr>
                <w:rFonts w:ascii="Arial" w:eastAsia="Times New Roman" w:hAnsi="Arial" w:cs="Arial"/>
                <w:b/>
                <w:bCs/>
                <w:color w:val="000000"/>
                <w:sz w:val="22"/>
                <w:szCs w:val="20"/>
              </w:rPr>
              <w:t>Creator</w:t>
            </w:r>
          </w:p>
        </w:tc>
        <w:tc>
          <w:tcPr>
            <w:tcW w:w="0" w:type="auto"/>
            <w:vAlign w:val="center"/>
            <w:hideMark/>
          </w:tcPr>
          <w:p w:rsidR="00F73F0F" w:rsidRPr="00AA51E1" w:rsidRDefault="003A3E63">
            <w:pPr>
              <w:jc w:val="center"/>
              <w:rPr>
                <w:rFonts w:ascii="Arial" w:eastAsia="Times New Roman" w:hAnsi="Arial" w:cs="Arial"/>
                <w:b/>
                <w:bCs/>
                <w:color w:val="000000"/>
                <w:sz w:val="22"/>
                <w:szCs w:val="20"/>
              </w:rPr>
            </w:pPr>
            <w:r w:rsidRPr="00AA51E1">
              <w:rPr>
                <w:rFonts w:ascii="Arial" w:eastAsia="Times New Roman" w:hAnsi="Arial" w:cs="Arial"/>
                <w:b/>
                <w:bCs/>
                <w:color w:val="000000"/>
                <w:sz w:val="22"/>
                <w:szCs w:val="20"/>
              </w:rPr>
              <w:t>Modified</w:t>
            </w:r>
          </w:p>
        </w:tc>
      </w:tr>
      <w:tr w:rsidR="00F73F0F" w:rsidRPr="00AA51E1">
        <w:trPr>
          <w:cantSplit/>
          <w:tblCellSpacing w:w="15" w:type="dxa"/>
        </w:trPr>
        <w:tc>
          <w:tcPr>
            <w:tcW w:w="0" w:type="auto"/>
            <w:vAlign w:val="center"/>
            <w:hideMark/>
          </w:tcPr>
          <w:p w:rsidR="00F73F0F" w:rsidRPr="00AA51E1" w:rsidRDefault="00D1678B" w:rsidP="00AA51E1">
            <w:pPr>
              <w:rPr>
                <w:rFonts w:ascii="Arial" w:eastAsia="Times New Roman" w:hAnsi="Arial" w:cs="Arial"/>
                <w:color w:val="000000"/>
                <w:sz w:val="22"/>
                <w:szCs w:val="20"/>
                <w:highlight w:val="yellow"/>
              </w:rPr>
            </w:pPr>
            <w:hyperlink r:id="rId11" w:history="1">
              <w:r w:rsidR="00AA51E1" w:rsidRPr="00AA51E1">
                <w:rPr>
                  <w:rStyle w:val="Hyperlink"/>
                  <w:rFonts w:ascii="Arial" w:eastAsia="Times New Roman" w:hAnsi="Arial" w:cs="Arial"/>
                  <w:sz w:val="22"/>
                  <w:szCs w:val="20"/>
                  <w:highlight w:val="yellow"/>
                </w:rPr>
                <w:t>To</w:t>
              </w:r>
            </w:hyperlink>
            <w:r w:rsidR="00AA51E1" w:rsidRPr="00AA51E1">
              <w:rPr>
                <w:rFonts w:ascii="Arial" w:eastAsia="Times New Roman" w:hAnsi="Arial" w:cs="Arial"/>
                <w:color w:val="000000"/>
                <w:sz w:val="22"/>
                <w:szCs w:val="20"/>
                <w:highlight w:val="yellow"/>
              </w:rPr>
              <w:t xml:space="preserve"> come; please check back</w:t>
            </w:r>
          </w:p>
        </w:tc>
        <w:tc>
          <w:tcPr>
            <w:tcW w:w="0" w:type="auto"/>
            <w:vAlign w:val="center"/>
            <w:hideMark/>
          </w:tcPr>
          <w:p w:rsidR="00F73F0F" w:rsidRPr="00AA51E1" w:rsidRDefault="00D1678B">
            <w:pPr>
              <w:rPr>
                <w:rFonts w:ascii="Arial" w:eastAsia="Times New Roman" w:hAnsi="Arial" w:cs="Arial"/>
                <w:color w:val="000000"/>
                <w:sz w:val="22"/>
                <w:szCs w:val="20"/>
                <w:highlight w:val="yellow"/>
              </w:rPr>
            </w:pPr>
            <w:hyperlink r:id="rId12" w:history="1">
              <w:r w:rsidR="003A3E63" w:rsidRPr="00AA51E1">
                <w:rPr>
                  <w:rStyle w:val="Hyperlink"/>
                  <w:rFonts w:ascii="Arial" w:eastAsia="Times New Roman" w:hAnsi="Arial" w:cs="Arial"/>
                  <w:sz w:val="22"/>
                  <w:szCs w:val="20"/>
                  <w:highlight w:val="yellow"/>
                </w:rPr>
                <w:t>Lincoln Stein</w:t>
              </w:r>
            </w:hyperlink>
          </w:p>
        </w:tc>
        <w:tc>
          <w:tcPr>
            <w:tcW w:w="0" w:type="auto"/>
            <w:vAlign w:val="center"/>
            <w:hideMark/>
          </w:tcPr>
          <w:p w:rsidR="00F73F0F" w:rsidRPr="00AA51E1" w:rsidRDefault="003A3E63">
            <w:pPr>
              <w:rPr>
                <w:rFonts w:ascii="Arial" w:eastAsia="Times New Roman" w:hAnsi="Arial" w:cs="Arial"/>
                <w:color w:val="000000"/>
                <w:sz w:val="22"/>
                <w:szCs w:val="20"/>
              </w:rPr>
            </w:pPr>
            <w:r w:rsidRPr="00AA51E1">
              <w:rPr>
                <w:rFonts w:ascii="Arial" w:eastAsia="Times New Roman" w:hAnsi="Arial" w:cs="Arial"/>
                <w:color w:val="000000"/>
                <w:sz w:val="22"/>
                <w:szCs w:val="20"/>
                <w:highlight w:val="yellow"/>
              </w:rPr>
              <w:t>Aug 31, 2015</w:t>
            </w:r>
          </w:p>
        </w:tc>
      </w:tr>
    </w:tbl>
    <w:p w:rsidR="00F73F0F" w:rsidRPr="00AA51E1" w:rsidRDefault="00F73F0F">
      <w:pPr>
        <w:rPr>
          <w:rFonts w:eastAsia="Times New Roman"/>
          <w:sz w:val="28"/>
        </w:rPr>
      </w:pPr>
    </w:p>
    <w:sectPr w:rsidR="00F73F0F" w:rsidRPr="00AA5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60A6"/>
    <w:multiLevelType w:val="multilevel"/>
    <w:tmpl w:val="380C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7E7E1E"/>
    <w:multiLevelType w:val="multilevel"/>
    <w:tmpl w:val="1CCC3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430EBC"/>
    <w:multiLevelType w:val="multilevel"/>
    <w:tmpl w:val="0C74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4"/>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A51E1"/>
    <w:rsid w:val="003A3E63"/>
    <w:rsid w:val="00907871"/>
    <w:rsid w:val="00AA51E1"/>
    <w:rsid w:val="00D1678B"/>
    <w:rsid w:val="00F73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00" w:afterAutospacing="1"/>
    </w:pPr>
  </w:style>
  <w:style w:type="paragraph" w:customStyle="1" w:styleId="print-only">
    <w:name w:val="print-only"/>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comment-body">
    <w:name w:val="comment-body"/>
    <w:basedOn w:val="Normal"/>
    <w:pPr>
      <w:spacing w:before="100" w:beforeAutospacing="1" w:after="100" w:afterAutospacing="1"/>
    </w:pPr>
  </w:style>
  <w:style w:type="paragraph" w:customStyle="1" w:styleId="comment-content">
    <w:name w:val="comment-content"/>
    <w:basedOn w:val="Normal"/>
    <w:pPr>
      <w:spacing w:before="100" w:beforeAutospacing="1" w:after="100" w:afterAutospacing="1"/>
    </w:pPr>
  </w:style>
  <w:style w:type="paragraph" w:customStyle="1" w:styleId="pagesection">
    <w:name w:val="pagesection"/>
    <w:basedOn w:val="Normal"/>
    <w:pPr>
      <w:spacing w:before="100" w:beforeAutospacing="1" w:after="100" w:afterAutospacing="1"/>
    </w:pPr>
  </w:style>
  <w:style w:type="paragraph" w:customStyle="1" w:styleId="aui-header-inner">
    <w:name w:val="aui-header-inner"/>
    <w:basedOn w:val="Normal"/>
    <w:pPr>
      <w:spacing w:before="100" w:beforeAutospacing="1" w:after="100" w:afterAutospacing="1"/>
    </w:pPr>
    <w:rPr>
      <w:vanish/>
    </w:rPr>
  </w:style>
  <w:style w:type="paragraph" w:customStyle="1" w:styleId="sidebar">
    <w:name w:val="sidebar"/>
    <w:basedOn w:val="Normal"/>
    <w:pPr>
      <w:spacing w:before="100" w:beforeAutospacing="1" w:after="100" w:afterAutospacing="1"/>
    </w:pPr>
    <w:rPr>
      <w:vanish/>
    </w:rPr>
  </w:style>
  <w:style w:type="paragraph" w:customStyle="1" w:styleId="ia-fixed-sidebar">
    <w:name w:val="ia-fixed-sidebar"/>
    <w:basedOn w:val="Normal"/>
    <w:pPr>
      <w:spacing w:before="100" w:beforeAutospacing="1" w:after="100" w:afterAutospacing="1"/>
    </w:pPr>
    <w:rPr>
      <w:vanish/>
    </w:rPr>
  </w:style>
  <w:style w:type="paragraph" w:customStyle="1" w:styleId="page-actions">
    <w:name w:val="page-actions"/>
    <w:basedOn w:val="Normal"/>
    <w:pPr>
      <w:spacing w:before="100" w:beforeAutospacing="1" w:after="100" w:afterAutospacing="1"/>
    </w:pPr>
    <w:rPr>
      <w:vanish/>
    </w:rPr>
  </w:style>
  <w:style w:type="paragraph" w:customStyle="1" w:styleId="navmenu">
    <w:name w:val="navmenu"/>
    <w:basedOn w:val="Normal"/>
    <w:pPr>
      <w:spacing w:before="100" w:beforeAutospacing="1" w:after="100" w:afterAutospacing="1"/>
    </w:pPr>
    <w:rPr>
      <w:vanish/>
    </w:rPr>
  </w:style>
  <w:style w:type="paragraph" w:customStyle="1" w:styleId="ajs-menu-bar">
    <w:name w:val="ajs-menu-bar"/>
    <w:basedOn w:val="Normal"/>
    <w:pPr>
      <w:spacing w:before="100" w:beforeAutospacing="1" w:after="100" w:afterAutospacing="1"/>
    </w:pPr>
    <w:rPr>
      <w:vanish/>
    </w:rPr>
  </w:style>
  <w:style w:type="paragraph" w:customStyle="1" w:styleId="noprint">
    <w:name w:val="noprint"/>
    <w:basedOn w:val="Normal"/>
    <w:pPr>
      <w:spacing w:before="100" w:beforeAutospacing="1" w:after="100" w:afterAutospacing="1"/>
    </w:pPr>
    <w:rPr>
      <w:vanish/>
    </w:rPr>
  </w:style>
  <w:style w:type="paragraph" w:customStyle="1" w:styleId="inline-control-link">
    <w:name w:val="inline-control-link"/>
    <w:basedOn w:val="Normal"/>
    <w:pPr>
      <w:spacing w:before="100" w:beforeAutospacing="1" w:after="100" w:afterAutospacing="1"/>
    </w:pPr>
    <w:rPr>
      <w:vanish/>
    </w:rPr>
  </w:style>
  <w:style w:type="paragraph" w:customStyle="1" w:styleId="global-comment-actions">
    <w:name w:val="global-comment-actions"/>
    <w:basedOn w:val="Normal"/>
    <w:pPr>
      <w:spacing w:before="100" w:beforeAutospacing="1" w:after="100" w:afterAutospacing="1"/>
    </w:pPr>
    <w:rPr>
      <w:vanish/>
    </w:rPr>
  </w:style>
  <w:style w:type="paragraph" w:customStyle="1" w:styleId="comment-actions">
    <w:name w:val="comment-actions"/>
    <w:basedOn w:val="Normal"/>
    <w:pPr>
      <w:spacing w:before="100" w:beforeAutospacing="1" w:after="100" w:afterAutospacing="1"/>
    </w:pPr>
    <w:rPr>
      <w:vanish/>
    </w:rPr>
  </w:style>
  <w:style w:type="paragraph" w:customStyle="1" w:styleId="quick-comment-container">
    <w:name w:val="quick-comment-container"/>
    <w:basedOn w:val="Normal"/>
    <w:pPr>
      <w:spacing w:before="100" w:beforeAutospacing="1" w:after="100" w:afterAutospacing="1"/>
    </w:pPr>
    <w:rPr>
      <w:vanish/>
    </w:rPr>
  </w:style>
  <w:style w:type="paragraph" w:customStyle="1" w:styleId="comment1">
    <w:name w:val="comment1"/>
    <w:basedOn w:val="Normal"/>
    <w:pPr>
      <w:spacing w:before="100" w:beforeAutospacing="1" w:after="100" w:afterAutospacing="1"/>
    </w:pPr>
  </w:style>
  <w:style w:type="paragraph" w:customStyle="1" w:styleId="comment-body1">
    <w:name w:val="comment-body1"/>
    <w:basedOn w:val="Normal"/>
    <w:pPr>
      <w:spacing w:before="100" w:beforeAutospacing="1" w:after="100" w:afterAutospacing="1"/>
    </w:pPr>
  </w:style>
  <w:style w:type="paragraph" w:customStyle="1" w:styleId="comment-content1">
    <w:name w:val="comment-content1"/>
    <w:basedOn w:val="Normal"/>
    <w:pPr>
      <w:spacing w:before="100" w:beforeAutospacing="1" w:after="100" w:afterAutospacing="1"/>
    </w:pPr>
  </w:style>
  <w:style w:type="paragraph" w:customStyle="1" w:styleId="pagesection1">
    <w:name w:val="pagesection1"/>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DocumentMap">
    <w:name w:val="Document Map"/>
    <w:basedOn w:val="Normal"/>
    <w:link w:val="DocumentMapChar"/>
    <w:uiPriority w:val="99"/>
    <w:semiHidden/>
    <w:unhideWhenUsed/>
    <w:rsid w:val="00D1678B"/>
    <w:rPr>
      <w:rFonts w:ascii="Lucida Grande" w:hAnsi="Lucida Grande" w:cs="Lucida Grande"/>
    </w:rPr>
  </w:style>
  <w:style w:type="character" w:customStyle="1" w:styleId="DocumentMapChar">
    <w:name w:val="Document Map Char"/>
    <w:basedOn w:val="DefaultParagraphFont"/>
    <w:link w:val="DocumentMap"/>
    <w:uiPriority w:val="99"/>
    <w:semiHidden/>
    <w:rsid w:val="00D1678B"/>
    <w:rPr>
      <w:rFonts w:ascii="Lucida Grande" w:eastAsiaTheme="minorEastAsia"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00" w:afterAutospacing="1"/>
    </w:pPr>
  </w:style>
  <w:style w:type="paragraph" w:customStyle="1" w:styleId="print-only">
    <w:name w:val="print-only"/>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comment-body">
    <w:name w:val="comment-body"/>
    <w:basedOn w:val="Normal"/>
    <w:pPr>
      <w:spacing w:before="100" w:beforeAutospacing="1" w:after="100" w:afterAutospacing="1"/>
    </w:pPr>
  </w:style>
  <w:style w:type="paragraph" w:customStyle="1" w:styleId="comment-content">
    <w:name w:val="comment-content"/>
    <w:basedOn w:val="Normal"/>
    <w:pPr>
      <w:spacing w:before="100" w:beforeAutospacing="1" w:after="100" w:afterAutospacing="1"/>
    </w:pPr>
  </w:style>
  <w:style w:type="paragraph" w:customStyle="1" w:styleId="pagesection">
    <w:name w:val="pagesection"/>
    <w:basedOn w:val="Normal"/>
    <w:pPr>
      <w:spacing w:before="100" w:beforeAutospacing="1" w:after="100" w:afterAutospacing="1"/>
    </w:pPr>
  </w:style>
  <w:style w:type="paragraph" w:customStyle="1" w:styleId="aui-header-inner">
    <w:name w:val="aui-header-inner"/>
    <w:basedOn w:val="Normal"/>
    <w:pPr>
      <w:spacing w:before="100" w:beforeAutospacing="1" w:after="100" w:afterAutospacing="1"/>
    </w:pPr>
    <w:rPr>
      <w:vanish/>
    </w:rPr>
  </w:style>
  <w:style w:type="paragraph" w:customStyle="1" w:styleId="sidebar">
    <w:name w:val="sidebar"/>
    <w:basedOn w:val="Normal"/>
    <w:pPr>
      <w:spacing w:before="100" w:beforeAutospacing="1" w:after="100" w:afterAutospacing="1"/>
    </w:pPr>
    <w:rPr>
      <w:vanish/>
    </w:rPr>
  </w:style>
  <w:style w:type="paragraph" w:customStyle="1" w:styleId="ia-fixed-sidebar">
    <w:name w:val="ia-fixed-sidebar"/>
    <w:basedOn w:val="Normal"/>
    <w:pPr>
      <w:spacing w:before="100" w:beforeAutospacing="1" w:after="100" w:afterAutospacing="1"/>
    </w:pPr>
    <w:rPr>
      <w:vanish/>
    </w:rPr>
  </w:style>
  <w:style w:type="paragraph" w:customStyle="1" w:styleId="page-actions">
    <w:name w:val="page-actions"/>
    <w:basedOn w:val="Normal"/>
    <w:pPr>
      <w:spacing w:before="100" w:beforeAutospacing="1" w:after="100" w:afterAutospacing="1"/>
    </w:pPr>
    <w:rPr>
      <w:vanish/>
    </w:rPr>
  </w:style>
  <w:style w:type="paragraph" w:customStyle="1" w:styleId="navmenu">
    <w:name w:val="navmenu"/>
    <w:basedOn w:val="Normal"/>
    <w:pPr>
      <w:spacing w:before="100" w:beforeAutospacing="1" w:after="100" w:afterAutospacing="1"/>
    </w:pPr>
    <w:rPr>
      <w:vanish/>
    </w:rPr>
  </w:style>
  <w:style w:type="paragraph" w:customStyle="1" w:styleId="ajs-menu-bar">
    <w:name w:val="ajs-menu-bar"/>
    <w:basedOn w:val="Normal"/>
    <w:pPr>
      <w:spacing w:before="100" w:beforeAutospacing="1" w:after="100" w:afterAutospacing="1"/>
    </w:pPr>
    <w:rPr>
      <w:vanish/>
    </w:rPr>
  </w:style>
  <w:style w:type="paragraph" w:customStyle="1" w:styleId="noprint">
    <w:name w:val="noprint"/>
    <w:basedOn w:val="Normal"/>
    <w:pPr>
      <w:spacing w:before="100" w:beforeAutospacing="1" w:after="100" w:afterAutospacing="1"/>
    </w:pPr>
    <w:rPr>
      <w:vanish/>
    </w:rPr>
  </w:style>
  <w:style w:type="paragraph" w:customStyle="1" w:styleId="inline-control-link">
    <w:name w:val="inline-control-link"/>
    <w:basedOn w:val="Normal"/>
    <w:pPr>
      <w:spacing w:before="100" w:beforeAutospacing="1" w:after="100" w:afterAutospacing="1"/>
    </w:pPr>
    <w:rPr>
      <w:vanish/>
    </w:rPr>
  </w:style>
  <w:style w:type="paragraph" w:customStyle="1" w:styleId="global-comment-actions">
    <w:name w:val="global-comment-actions"/>
    <w:basedOn w:val="Normal"/>
    <w:pPr>
      <w:spacing w:before="100" w:beforeAutospacing="1" w:after="100" w:afterAutospacing="1"/>
    </w:pPr>
    <w:rPr>
      <w:vanish/>
    </w:rPr>
  </w:style>
  <w:style w:type="paragraph" w:customStyle="1" w:styleId="comment-actions">
    <w:name w:val="comment-actions"/>
    <w:basedOn w:val="Normal"/>
    <w:pPr>
      <w:spacing w:before="100" w:beforeAutospacing="1" w:after="100" w:afterAutospacing="1"/>
    </w:pPr>
    <w:rPr>
      <w:vanish/>
    </w:rPr>
  </w:style>
  <w:style w:type="paragraph" w:customStyle="1" w:styleId="quick-comment-container">
    <w:name w:val="quick-comment-container"/>
    <w:basedOn w:val="Normal"/>
    <w:pPr>
      <w:spacing w:before="100" w:beforeAutospacing="1" w:after="100" w:afterAutospacing="1"/>
    </w:pPr>
    <w:rPr>
      <w:vanish/>
    </w:rPr>
  </w:style>
  <w:style w:type="paragraph" w:customStyle="1" w:styleId="comment1">
    <w:name w:val="comment1"/>
    <w:basedOn w:val="Normal"/>
    <w:pPr>
      <w:spacing w:before="100" w:beforeAutospacing="1" w:after="100" w:afterAutospacing="1"/>
    </w:pPr>
  </w:style>
  <w:style w:type="paragraph" w:customStyle="1" w:styleId="comment-body1">
    <w:name w:val="comment-body1"/>
    <w:basedOn w:val="Normal"/>
    <w:pPr>
      <w:spacing w:before="100" w:beforeAutospacing="1" w:after="100" w:afterAutospacing="1"/>
    </w:pPr>
  </w:style>
  <w:style w:type="paragraph" w:customStyle="1" w:styleId="comment-content1">
    <w:name w:val="comment-content1"/>
    <w:basedOn w:val="Normal"/>
    <w:pPr>
      <w:spacing w:before="100" w:beforeAutospacing="1" w:after="100" w:afterAutospacing="1"/>
    </w:pPr>
  </w:style>
  <w:style w:type="paragraph" w:customStyle="1" w:styleId="pagesection1">
    <w:name w:val="pagesection1"/>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DocumentMap">
    <w:name w:val="Document Map"/>
    <w:basedOn w:val="Normal"/>
    <w:link w:val="DocumentMapChar"/>
    <w:uiPriority w:val="99"/>
    <w:semiHidden/>
    <w:unhideWhenUsed/>
    <w:rsid w:val="00D1678B"/>
    <w:rPr>
      <w:rFonts w:ascii="Lucida Grande" w:hAnsi="Lucida Grande" w:cs="Lucida Grande"/>
    </w:rPr>
  </w:style>
  <w:style w:type="character" w:customStyle="1" w:styleId="DocumentMapChar">
    <w:name w:val="Document Map Char"/>
    <w:basedOn w:val="DefaultParagraphFont"/>
    <w:link w:val="DocumentMap"/>
    <w:uiPriority w:val="99"/>
    <w:semiHidden/>
    <w:rsid w:val="00D1678B"/>
    <w:rPr>
      <w:rFonts w:ascii="Lucida Grande" w:eastAsiaTheme="minorEastAsia"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vmware-host\display\PANCANCER\Template+-+PCAWG+Commercial+Cloud+Compute+Vendor" TargetMode="External"/><Relationship Id="rId12" Type="http://schemas.openxmlformats.org/officeDocument/2006/relationships/hyperlink" Target="file:///\\vmware-host\display\~lstei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hristina.yung@oicr.on.ca" TargetMode="External"/><Relationship Id="rId7" Type="http://schemas.openxmlformats.org/officeDocument/2006/relationships/hyperlink" Target="mailto:brian.oconnor@oicr.on.ca" TargetMode="External"/><Relationship Id="rId8" Type="http://schemas.openxmlformats.org/officeDocument/2006/relationships/hyperlink" Target="http://www.icgc.org/daco" TargetMode="External"/><Relationship Id="rId9" Type="http://schemas.openxmlformats.org/officeDocument/2006/relationships/hyperlink" Target="https://dbgap.ncbi.nlm.nih.gov/aa/wga.cgi?page=login" TargetMode="External"/><Relationship Id="rId10" Type="http://schemas.openxmlformats.org/officeDocument/2006/relationships/hyperlink" Target="https://pcawg.icgc.org/pca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726</Words>
  <Characters>4139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Commercial Compute Resources for PCAWG</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Compute Resources for PCAWG</dc:title>
  <dc:creator>Lincoln Stein</dc:creator>
  <cp:lastModifiedBy>Tiziana Ferrari</cp:lastModifiedBy>
  <cp:revision>2</cp:revision>
  <dcterms:created xsi:type="dcterms:W3CDTF">2015-09-10T09:18:00Z</dcterms:created>
  <dcterms:modified xsi:type="dcterms:W3CDTF">2015-09-10T09:18:00Z</dcterms:modified>
</cp:coreProperties>
</file>