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40" w:before="40" w:lineRule="auto"/>
        <w:contextualSpacing w:val="0"/>
        <w:jc w:val="center"/>
      </w:pPr>
      <w:r w:rsidDel="00000000" w:rsidR="00000000" w:rsidRPr="00000000">
        <w:drawing>
          <wp:inline distB="0" distT="0" distL="0" distR="0">
            <wp:extent cx="3327400" cy="2641600"/>
            <wp:effectExtent b="0" l="0" r="0" t="0"/>
            <wp:docPr descr="EGI_Logo" id="1" name="image02.png"/>
            <a:graphic>
              <a:graphicData uri="http://schemas.openxmlformats.org/drawingml/2006/picture">
                <pic:pic>
                  <pic:nvPicPr>
                    <pic:cNvPr descr="EGI_Logo"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widowControl w:val="0"/>
        <w:tabs>
          <w:tab w:val="left" w:pos="431"/>
          <w:tab w:val="left" w:pos="573"/>
          <w:tab w:val="center" w:pos="4536"/>
          <w:tab w:val="left" w:pos="7845"/>
        </w:tabs>
        <w:spacing w:after="40" w:before="4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44"/>
          <w:szCs w:val="44"/>
          <w:rtl w:val="0"/>
        </w:rPr>
        <w:t xml:space="preserve">EGI.eu</w:t>
      </w:r>
    </w:p>
    <w:p w:rsidR="00000000" w:rsidDel="00000000" w:rsidP="00000000" w:rsidRDefault="00000000" w:rsidRPr="00000000">
      <w:pPr>
        <w:keepLines w:val="1"/>
        <w:widowControl w:val="0"/>
        <w:tabs>
          <w:tab w:val="left" w:pos="431"/>
          <w:tab w:val="left" w:pos="573"/>
          <w:tab w:val="center" w:pos="4536"/>
          <w:tab w:val="left" w:pos="7845"/>
        </w:tabs>
        <w:spacing w:after="40" w:before="4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44"/>
          <w:szCs w:val="44"/>
          <w:rtl w:val="0"/>
        </w:rPr>
        <w:t xml:space="preserve">OLA Performance Report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6612.0" w:type="dxa"/>
        <w:jc w:val="center"/>
        <w:tblInd w:w="-70.0" w:type="dxa"/>
        <w:tblBorders>
          <w:top w:color="000080" w:space="0" w:sz="20" w:val="single"/>
        </w:tblBorders>
        <w:tblLayout w:type="fixed"/>
        <w:tblLook w:val="0000"/>
      </w:tblPr>
      <w:tblGrid>
        <w:gridCol w:w="2644"/>
        <w:gridCol w:w="3968"/>
        <w:tblGridChange w:id="0">
          <w:tblGrid>
            <w:gridCol w:w="2644"/>
            <w:gridCol w:w="3968"/>
          </w:tblGrid>
        </w:tblGridChange>
      </w:tblGrid>
      <w:tr>
        <w:trPr>
          <w:trHeight w:val="520" w:hRule="atLeast"/>
        </w:trPr>
        <w:tc>
          <w:tcPr>
            <w:tcBorders>
              <w:top w:color="000080" w:space="0" w:sz="20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20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EGI.eu OLA – performance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Provider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CNRS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Operations Portal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Produced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Lines w:val="1"/>
              <w:widowControl w:val="0"/>
              <w:spacing w:after="40" w:before="4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Cyril L’Orphelin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Site Operations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Lines w:val="1"/>
              <w:widowControl w:val="0"/>
              <w:spacing w:after="40" w:before="40" w:lineRule="auto"/>
              <w:contextualSpacing w:val="0"/>
              <w:jc w:val="both"/>
            </w:pPr>
            <w:bookmarkStart w:colFirst="0" w:colLast="0" w:name="h.gjdgxs" w:id="0"/>
            <w:bookmarkEnd w:id="0"/>
            <w:hyperlink r:id="rId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cyril.lorphelin@cc.in2p3.fr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Audience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Lines w:val="1"/>
              <w:widowControl w:val="0"/>
              <w:spacing w:after="120" w:before="120" w:line="2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EGI.eu Operations</w:t>
            </w:r>
          </w:p>
          <w:p w:rsidR="00000000" w:rsidDel="00000000" w:rsidP="00000000" w:rsidRDefault="00000000" w:rsidRPr="00000000">
            <w:pPr>
              <w:keepLines w:val="1"/>
              <w:widowControl w:val="0"/>
              <w:spacing w:after="120" w:before="120" w:line="2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operations@egi.eu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Lines w:val="1"/>
              <w:widowControl w:val="0"/>
              <w:spacing w:after="120" w:before="120" w:line="2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Report on performance of the service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2015 May - 2015 October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Related agreements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https://documents.egi.eu/document/2456</w:t>
              </w:r>
            </w:hyperlink>
            <w:hyperlink r:id="rId8">
              <w:r w:rsidDel="00000000" w:rsidR="00000000" w:rsidRPr="00000000">
                <w:rPr>
                  <w:rtl w:val="0"/>
                </w:rPr>
              </w:r>
            </w:hyperlink>
          </w:p>
        </w:tc>
      </w:tr>
      <w:tr>
        <w:trPr>
          <w:trHeight w:val="520" w:hRule="atLeast"/>
        </w:trPr>
        <w:tc>
          <w:tcPr>
            <w:tcBorders>
              <w:bottom w:color="000080" w:space="0" w:sz="20" w:val="single"/>
            </w:tcBorders>
            <w:vAlign w:val="center"/>
          </w:tcPr>
          <w:p w:rsidR="00000000" w:rsidDel="00000000" w:rsidP="00000000" w:rsidRDefault="00000000" w:rsidRPr="00000000">
            <w:pPr>
              <w:keepLines w:val="1"/>
              <w:widowControl w:val="0"/>
              <w:tabs>
                <w:tab w:val="center" w:pos="4320"/>
                <w:tab w:val="right" w:pos="8640"/>
              </w:tabs>
              <w:spacing w:after="120" w:before="120" w:line="24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 Link:</w:t>
            </w:r>
          </w:p>
        </w:tc>
        <w:tc>
          <w:tcPr>
            <w:tcBorders>
              <w:bottom w:color="000080" w:space="0" w:sz="20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https://documents.egi.eu/document/2596</w:t>
              </w:r>
            </w:hyperlink>
            <w:hyperlink r:id="rId10">
              <w:r w:rsidDel="00000000" w:rsidR="00000000" w:rsidRPr="00000000">
                <w:rPr>
                  <w:rtl w:val="0"/>
                </w:rPr>
              </w:r>
            </w:hyperlink>
          </w:p>
        </w:tc>
      </w:tr>
    </w:tbl>
    <w:p w:rsidR="00000000" w:rsidDel="00000000" w:rsidP="00000000" w:rsidRDefault="00000000" w:rsidRPr="00000000">
      <w:pPr>
        <w:keepLines w:val="1"/>
        <w:widowControl w:val="0"/>
        <w:tabs>
          <w:tab w:val="left" w:pos="382"/>
          <w:tab w:val="right" w:pos="9054"/>
        </w:tabs>
        <w:spacing w:after="0" w:before="120" w:line="240" w:lineRule="auto"/>
        <w:contextualSpacing w:val="0"/>
        <w:jc w:val="center"/>
      </w:pPr>
      <w:hyperlink r:id="rId11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keepLines w:val="1"/>
        <w:widowControl w:val="0"/>
        <w:tabs>
          <w:tab w:val="left" w:pos="382"/>
          <w:tab w:val="right" w:pos="9054"/>
        </w:tabs>
        <w:spacing w:after="0" w:before="120" w:line="240" w:lineRule="auto"/>
        <w:contextualSpacing w:val="0"/>
        <w:jc w:val="center"/>
      </w:pPr>
      <w:hyperlink r:id="rId1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13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15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1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keepNext w:val="1"/>
        <w:keepLines w:val="1"/>
        <w:widowControl w:val="1"/>
        <w:spacing w:after="0" w:before="480" w:line="276" w:lineRule="auto"/>
        <w:ind w:left="431" w:hanging="431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1"/>
          <w:smallCaps w:val="0"/>
          <w:color w:val="366091"/>
          <w:sz w:val="28"/>
          <w:szCs w:val="28"/>
          <w:rtl w:val="0"/>
        </w:rPr>
        <w:t xml:space="preserve">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widowControl w:val="0"/>
        <w:tabs>
          <w:tab w:val="left" w:pos="382"/>
          <w:tab w:val="right" w:pos="9054"/>
        </w:tabs>
        <w:spacing w:after="0" w:before="12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smallCaps w:val="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Effort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widowControl w:val="0"/>
        <w:tabs>
          <w:tab w:val="left" w:pos="382"/>
          <w:tab w:val="right" w:pos="9054"/>
        </w:tabs>
        <w:spacing w:after="0" w:before="12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smallCaps w:val="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General overview of Activity in the period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widowControl w:val="0"/>
        <w:tabs>
          <w:tab w:val="left" w:pos="382"/>
          <w:tab w:val="right" w:pos="9054"/>
        </w:tabs>
        <w:spacing w:after="0" w:before="12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smallCaps w:val="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Performance against Service Targets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widowControl w:val="0"/>
        <w:tabs>
          <w:tab w:val="left" w:pos="382"/>
          <w:tab w:val="right" w:pos="9054"/>
        </w:tabs>
        <w:spacing w:after="0" w:before="12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smallCaps w:val="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Issues arising in the period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widowControl w:val="0"/>
        <w:tabs>
          <w:tab w:val="left" w:pos="382"/>
          <w:tab w:val="right" w:pos="9054"/>
        </w:tabs>
        <w:spacing w:after="0" w:before="12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smallCaps w:val="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Measures planned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widowControl w:val="0"/>
        <w:tabs>
          <w:tab w:val="left" w:pos="382"/>
          <w:tab w:val="right" w:pos="9054"/>
        </w:tabs>
        <w:spacing w:after="0" w:before="12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smallCaps w:val="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Foreseen activities and changes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1"/>
        <w:ind w:left="431" w:hanging="431"/>
        <w:contextualSpacing w:val="0"/>
      </w:pPr>
      <w:hyperlink r:id="rId19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3"/>
        </w:numPr>
        <w:ind w:left="432" w:hanging="432"/>
        <w:rPr>
          <w:rFonts w:ascii="Calibri" w:cs="Calibri" w:eastAsia="Calibri" w:hAnsi="Calibri"/>
          <w:b w:val="1"/>
          <w:smallCaps w:val="1"/>
          <w:color w:val="0070c0"/>
          <w:sz w:val="32"/>
          <w:szCs w:val="32"/>
        </w:rPr>
      </w:pPr>
      <w:bookmarkStart w:colFirst="0" w:colLast="0" w:name="h.30j0zll" w:id="1"/>
      <w:bookmarkEnd w:id="1"/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Effort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spacing w:after="120" w:lineRule="auto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global effort for CNRS is 12 Pm for the last 6 months and is distributed over 3 persons 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20" w:lineRule="auto"/>
        <w:ind w:left="72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Cyril Flieller : 3 PM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20" w:lineRule="auto"/>
        <w:ind w:left="72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Cyril L’Orphelin : 3 PM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20" w:lineRule="auto"/>
        <w:ind w:left="720" w:hanging="360"/>
        <w:contextualSpacing w:val="1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Pierre Frebault : 6 PM</w:t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3"/>
        </w:numPr>
        <w:ind w:left="432" w:hanging="432"/>
        <w:rPr>
          <w:rFonts w:ascii="Calibri" w:cs="Calibri" w:eastAsia="Calibri" w:hAnsi="Calibri"/>
          <w:b w:val="1"/>
          <w:smallCaps w:val="1"/>
          <w:color w:val="0070c0"/>
          <w:sz w:val="32"/>
          <w:szCs w:val="32"/>
        </w:rPr>
      </w:pPr>
      <w:bookmarkStart w:colFirst="0" w:colLast="0" w:name="h.1fob9te" w:id="2"/>
      <w:bookmarkEnd w:id="2"/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General overview of Activity in the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specific issues during the period , the main events are the two releases 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Release 3.2 : this release was mainly oriented around improvements for the security dashboard and the possibility to create tickets into EGI RTIR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Release 3.2.1 :  this release has been focused on a new module dedicated to metrics </w:t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3"/>
        </w:numPr>
        <w:ind w:left="432" w:hanging="432"/>
        <w:rPr>
          <w:rFonts w:ascii="Calibri" w:cs="Calibri" w:eastAsia="Calibri" w:hAnsi="Calibri"/>
          <w:b w:val="1"/>
          <w:smallCaps w:val="1"/>
          <w:color w:val="0070c0"/>
          <w:sz w:val="32"/>
          <w:szCs w:val="32"/>
        </w:rPr>
      </w:pPr>
      <w:bookmarkStart w:colFirst="0" w:colLast="0" w:name="h.3znysh7" w:id="3"/>
      <w:bookmarkEnd w:id="3"/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Performance againSt Service Targets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following table shows performance against targets: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284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394"/>
        <w:gridCol w:w="1282"/>
        <w:gridCol w:w="1317"/>
        <w:gridCol w:w="1230"/>
        <w:gridCol w:w="1231"/>
        <w:gridCol w:w="942"/>
        <w:gridCol w:w="942"/>
        <w:gridCol w:w="946"/>
        <w:tblGridChange w:id="0">
          <w:tblGrid>
            <w:gridCol w:w="1394"/>
            <w:gridCol w:w="1282"/>
            <w:gridCol w:w="1317"/>
            <w:gridCol w:w="1230"/>
            <w:gridCol w:w="1231"/>
            <w:gridCol w:w="942"/>
            <w:gridCol w:w="942"/>
            <w:gridCol w:w="946"/>
          </w:tblGrid>
        </w:tblGridChange>
      </w:tblGrid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Service level 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keepLines w:val="1"/>
              <w:widowControl w:val="0"/>
              <w:spacing w:after="40" w:before="4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M1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M2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M3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M4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M5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M6 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Availability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99.93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99.94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99.75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Reliability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99.93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99.94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99.75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5b3d7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Support 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lu:5, u:5</w:t>
            </w:r>
          </w:p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vu:1 , tp:1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lu:1.64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lu:0.26</w:t>
            </w:r>
          </w:p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u:0.01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lu: 0.55</w:t>
            </w:r>
          </w:p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u:1.49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lu: 0.84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lu:0.47</w:t>
            </w:r>
          </w:p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u:1.05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rtl w:val="0"/>
              </w:rPr>
              <w:t xml:space="preserve">lu : 0.34</w:t>
            </w:r>
          </w:p>
          <w:p w:rsidR="00000000" w:rsidDel="00000000" w:rsidP="00000000" w:rsidRDefault="00000000" w:rsidRPr="00000000">
            <w:pPr>
              <w:spacing w:after="40" w:before="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cc0000"/>
                <w:rtl w:val="0"/>
              </w:rPr>
              <w:t xml:space="preserve">vu: 8.53</w:t>
            </w:r>
          </w:p>
        </w:tc>
      </w:tr>
    </w:tbl>
    <w:p w:rsidR="00000000" w:rsidDel="00000000" w:rsidP="00000000" w:rsidRDefault="00000000" w:rsidRPr="00000000">
      <w:pPr>
        <w:pStyle w:val="Heading1"/>
        <w:numPr>
          <w:ilvl w:val="0"/>
          <w:numId w:val="3"/>
        </w:numPr>
        <w:ind w:left="432" w:hanging="432"/>
        <w:rPr>
          <w:rFonts w:ascii="Calibri" w:cs="Calibri" w:eastAsia="Calibri" w:hAnsi="Calibri"/>
          <w:b w:val="1"/>
          <w:smallCaps w:val="1"/>
          <w:color w:val="0070c0"/>
          <w:sz w:val="32"/>
          <w:szCs w:val="32"/>
        </w:rPr>
      </w:pPr>
      <w:bookmarkStart w:colFirst="0" w:colLast="0" w:name="h.tyjcwt" w:id="4"/>
      <w:bookmarkEnd w:id="4"/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Issues arising in the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1"/>
        <w:widowControl w:val="0"/>
        <w:spacing w:after="40" w:before="40" w:line="240" w:lineRule="auto"/>
        <w:ind w:right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Targets have been respected excepted during month 6 for the support quality.</w:t>
      </w:r>
    </w:p>
    <w:p w:rsidR="00000000" w:rsidDel="00000000" w:rsidP="00000000" w:rsidRDefault="00000000" w:rsidRPr="00000000">
      <w:pPr>
        <w:keepNext w:val="0"/>
        <w:keepLines w:val="1"/>
        <w:widowControl w:val="0"/>
        <w:spacing w:after="40" w:before="40" w:line="240" w:lineRule="auto"/>
        <w:ind w:right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ticket (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https://ggus.eu/?mode=ticket_info&amp;ticket_id=116776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) has been treated in the time but the status has not been changed into ‘in progress’ explaining the long answer time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3"/>
        </w:numPr>
        <w:ind w:left="432" w:hanging="432"/>
        <w:rPr>
          <w:rFonts w:ascii="Calibri" w:cs="Calibri" w:eastAsia="Calibri" w:hAnsi="Calibri"/>
          <w:b w:val="1"/>
          <w:smallCaps w:val="1"/>
          <w:color w:val="0070c0"/>
          <w:sz w:val="32"/>
          <w:szCs w:val="32"/>
        </w:rPr>
      </w:pPr>
      <w:bookmarkStart w:colFirst="0" w:colLast="0" w:name="h.3dy6vkm" w:id="5"/>
      <w:bookmarkEnd w:id="5"/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Measures planned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Change the status of tickets ‘in Progress’ as soon as we have received it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3"/>
        </w:numPr>
        <w:ind w:left="432" w:hanging="432"/>
        <w:rPr>
          <w:rFonts w:ascii="Calibri" w:cs="Calibri" w:eastAsia="Calibri" w:hAnsi="Calibri"/>
          <w:b w:val="1"/>
          <w:smallCaps w:val="1"/>
          <w:color w:val="0070c0"/>
          <w:sz w:val="32"/>
          <w:szCs w:val="32"/>
        </w:rPr>
      </w:pPr>
      <w:bookmarkStart w:colFirst="0" w:colLast="0" w:name="h.1t3h5sf" w:id="6"/>
      <w:bookmarkEnd w:id="6"/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 Foreseen activities and changes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  <w:tab/>
        <w:t xml:space="preserve"> </w:t>
        <w:tab/>
        <w:t xml:space="preserve">  </w:t>
        <w:tab/>
      </w:r>
    </w:p>
    <w:p w:rsidR="00000000" w:rsidDel="00000000" w:rsidP="00000000" w:rsidRDefault="00000000" w:rsidRPr="00000000">
      <w:pPr>
        <w:spacing w:after="120" w:lineRule="auto"/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foreseen changes that will impact the OLA.</w:t>
      </w:r>
    </w:p>
    <w:p w:rsidR="00000000" w:rsidDel="00000000" w:rsidP="00000000" w:rsidRDefault="00000000" w:rsidRPr="00000000">
      <w:pPr>
        <w:spacing w:after="120" w:before="40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footerReference r:id="rId23" w:type="first"/>
      <w:pgSz w:h="16838" w:w="11906"/>
      <w:pgMar w:bottom="1418" w:top="765" w:left="1418" w:right="141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Calibri"/>
  <w:font w:name="Open Sans">
    <w:embedRegular r:id="rId1" w:subsetted="0"/>
    <w:embedBold r:id="rId2" w:subsetted="0"/>
    <w:embedItalic r:id="rId3" w:subsetted="0"/>
    <w:embedBoldItalic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4"/>
      <w:bidi w:val="0"/>
      <w:tblW w:w="9181.0" w:type="dxa"/>
      <w:jc w:val="left"/>
      <w:tblInd w:w="-108.0" w:type="dxa"/>
      <w:tblBorders>
        <w:top w:color="00000a" w:space="0" w:sz="4" w:val="single"/>
      </w:tblBorders>
      <w:tblLayout w:type="fixed"/>
      <w:tblLook w:val="0000"/>
    </w:tblPr>
    <w:tblGrid>
      <w:gridCol w:w="3060"/>
      <w:gridCol w:w="3060"/>
      <w:gridCol w:w="3061"/>
      <w:tblGridChange w:id="0">
        <w:tblGrid>
          <w:gridCol w:w="3060"/>
          <w:gridCol w:w="3060"/>
          <w:gridCol w:w="3061"/>
        </w:tblGrid>
      </w:tblGridChange>
    </w:tblGrid>
    <w:tr>
      <w:trPr>
        <w:trHeight w:val="840" w:hRule="atLeast"/>
      </w:trPr>
      <w:tc>
        <w:tcPr>
          <w:tcBorders>
            <w:top w:color="00000a" w:space="0" w:sz="4" w:val="single"/>
          </w:tcBorders>
          <w:vAlign w:val="bottom"/>
        </w:tcPr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</w:tabs>
            <w:spacing w:after="708" w:before="40" w:line="240" w:lineRule="auto"/>
            <w:contextualSpacing w:val="0"/>
            <w:jc w:val="left"/>
          </w:pPr>
          <w:r w:rsidDel="00000000" w:rsidR="00000000" w:rsidRPr="00000000">
            <w:drawing>
              <wp:inline distB="0" distT="0" distL="0" distR="0">
                <wp:extent cx="765810" cy="436245"/>
                <wp:effectExtent b="0" l="0" r="0" t="0"/>
                <wp:docPr id="3" name="image05.gif"/>
                <a:graphic>
                  <a:graphicData uri="http://schemas.openxmlformats.org/drawingml/2006/picture">
                    <pic:pic>
                      <pic:nvPicPr>
                        <pic:cNvPr id="0" name="image05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" cy="4362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a" w:space="0" w:sz="4" w:val="single"/>
          </w:tcBorders>
          <w:vAlign w:val="bottom"/>
        </w:tcPr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</w:tabs>
            <w:spacing w:after="708" w:before="40" w:line="240" w:lineRule="auto"/>
            <w:contextualSpacing w:val="0"/>
            <w:jc w:val="center"/>
          </w:pPr>
          <w:fldSimple w:instr="PAGE" w:fldLock="0" w:dirty="0">
            <w:r w:rsidDel="00000000" w:rsidR="00000000" w:rsidRPr="00000000">
              <w:rPr>
                <w:rFonts w:ascii="Open Sans" w:cs="Open Sans" w:eastAsia="Open Sans" w:hAnsi="Open Sans"/>
                <w:b w:val="0"/>
                <w:sz w:val="22"/>
                <w:szCs w:val="22"/>
              </w:rPr>
            </w:r>
          </w:fldSimple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a" w:space="0" w:sz="4" w:val="single"/>
          </w:tcBorders>
          <w:vAlign w:val="bottom"/>
        </w:tcPr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</w:tabs>
            <w:spacing w:after="708" w:before="40" w:line="240" w:lineRule="auto"/>
            <w:contextualSpacing w:val="0"/>
            <w:jc w:val="right"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Lines w:val="1"/>
      <w:widowControl w:val="0"/>
      <w:tabs>
        <w:tab w:val="center" w:pos="4320"/>
        <w:tab w:val="right" w:pos="8640"/>
      </w:tabs>
      <w:spacing w:after="708" w:before="40" w:line="240" w:lineRule="auto"/>
      <w:contextualSpacing w:val="0"/>
      <w:jc w:val="both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Lines w:val="1"/>
      <w:widowControl w:val="0"/>
      <w:tabs>
        <w:tab w:val="center" w:pos="4320"/>
        <w:tab w:val="right" w:pos="8640"/>
      </w:tabs>
      <w:spacing w:after="708" w:before="40" w:line="240" w:lineRule="auto"/>
      <w:contextualSpacing w:val="0"/>
      <w:jc w:val="both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5"/>
      <w:bidi w:val="0"/>
      <w:tblW w:w="9241.0" w:type="dxa"/>
      <w:jc w:val="left"/>
      <w:tblInd w:w="-108.0" w:type="dxa"/>
      <w:tblLayout w:type="fixed"/>
      <w:tblLook w:val="0000"/>
    </w:tblPr>
    <w:tblGrid>
      <w:gridCol w:w="1270"/>
      <w:gridCol w:w="7971"/>
      <w:tblGridChange w:id="0">
        <w:tblGrid>
          <w:gridCol w:w="1270"/>
          <w:gridCol w:w="7971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</w:tabs>
            <w:spacing w:after="708" w:before="40" w:line="240" w:lineRule="auto"/>
            <w:contextualSpacing w:val="0"/>
            <w:jc w:val="center"/>
          </w:pPr>
          <w:r w:rsidDel="00000000" w:rsidR="00000000" w:rsidRPr="00000000">
            <w:drawing>
              <wp:inline distB="0" distT="0" distL="0" distR="0">
                <wp:extent cx="669290" cy="531495"/>
                <wp:effectExtent b="0" l="0" r="0" t="0"/>
                <wp:docPr descr="EGI_Logo_RGB_315x250px" id="2" name="image04.png"/>
                <a:graphic>
                  <a:graphicData uri="http://schemas.openxmlformats.org/drawingml/2006/picture">
                    <pic:pic>
                      <pic:nvPicPr>
                        <pic:cNvPr descr="EGI_Logo_RGB_315x250px" id="0" name="image0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290" cy="5314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</w:tabs>
            <w:spacing w:after="40" w:before="40" w:line="240" w:lineRule="auto"/>
            <w:contextualSpacing w:val="0"/>
            <w:jc w:val="center"/>
          </w:pPr>
          <w:r w:rsidDel="00000000" w:rsidR="00000000" w:rsidRPr="00000000">
            <w:rPr>
              <w:rFonts w:ascii="Calibri" w:cs="Calibri" w:eastAsia="Calibri" w:hAnsi="Calibri"/>
              <w:b w:val="0"/>
              <w:sz w:val="18"/>
              <w:szCs w:val="18"/>
              <w:rtl w:val="0"/>
            </w:rPr>
            <w:t xml:space="preserve">This work by EGI.eu is licensed under a </w:t>
          </w:r>
        </w:p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</w:tabs>
            <w:spacing w:after="40" w:before="40" w:line="240" w:lineRule="auto"/>
            <w:contextualSpacing w:val="0"/>
            <w:jc w:val="center"/>
          </w:pPr>
          <w:hyperlink r:id="rId2">
            <w:r w:rsidDel="00000000" w:rsidR="00000000" w:rsidRPr="00000000">
              <w:rPr>
                <w:rFonts w:ascii="Calibri" w:cs="Calibri" w:eastAsia="Calibri" w:hAnsi="Calibri"/>
                <w:b w:val="0"/>
                <w:color w:val="0000ff"/>
                <w:sz w:val="22"/>
                <w:szCs w:val="22"/>
                <w:u w:val="single"/>
                <w:rtl w:val="0"/>
              </w:rPr>
              <w:t xml:space="preserve">Creative Commons Attribution 4.0 International License</w:t>
            </w:r>
          </w:hyperlink>
          <w:hyperlink r:id="rId3">
            <w:r w:rsidDel="00000000" w:rsidR="00000000" w:rsidRPr="00000000">
              <w:rPr>
                <w:rtl w:val="0"/>
              </w:rPr>
            </w:r>
          </w:hyperlink>
        </w:p>
        <w:p w:rsidR="00000000" w:rsidDel="00000000" w:rsidP="00000000" w:rsidRDefault="00000000" w:rsidRPr="00000000">
          <w:pPr>
            <w:spacing w:after="60" w:before="40" w:lineRule="auto"/>
            <w:contextualSpacing w:val="0"/>
            <w:jc w:val="center"/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This report is based on FitSM Template: Report v0.2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</w:tabs>
            <w:spacing w:after="708" w:before="40" w:line="240" w:lineRule="auto"/>
            <w:contextualSpacing w:val="0"/>
            <w:jc w:val="center"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Lines w:val="1"/>
      <w:widowControl w:val="0"/>
      <w:spacing w:after="708" w:before="40" w:lineRule="auto"/>
      <w:contextualSpacing w:val="0"/>
      <w:jc w:val="both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3"/>
      <w:bidi w:val="0"/>
      <w:tblW w:w="9410.0" w:type="dxa"/>
      <w:jc w:val="left"/>
      <w:tblInd w:w="-108.0" w:type="dxa"/>
      <w:tblLayout w:type="fixed"/>
      <w:tblLook w:val="0000"/>
    </w:tblPr>
    <w:tblGrid>
      <w:gridCol w:w="2403"/>
      <w:gridCol w:w="3673"/>
      <w:gridCol w:w="3334"/>
      <w:tblGridChange w:id="0">
        <w:tblGrid>
          <w:gridCol w:w="2403"/>
          <w:gridCol w:w="3673"/>
          <w:gridCol w:w="3334"/>
        </w:tblGrid>
      </w:tblGridChange>
    </w:tblGrid>
    <w:tr>
      <w:trPr>
        <w:trHeight w:val="1120" w:hRule="atLeast"/>
      </w:trPr>
      <w:tc>
        <w:tcPr/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  <w:tab w:val="right" w:pos="9072"/>
            </w:tabs>
            <w:spacing w:after="40" w:before="708" w:line="240" w:lineRule="auto"/>
            <w:contextualSpacing w:val="0"/>
            <w:jc w:val="left"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  <w:tab w:val="right" w:pos="9072"/>
            </w:tabs>
            <w:spacing w:after="40" w:before="708" w:line="240" w:lineRule="auto"/>
            <w:contextualSpacing w:val="0"/>
            <w:jc w:val="center"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>
          <w:pPr>
            <w:keepLines w:val="1"/>
            <w:widowControl w:val="0"/>
            <w:tabs>
              <w:tab w:val="center" w:pos="4320"/>
              <w:tab w:val="right" w:pos="8640"/>
              <w:tab w:val="right" w:pos="9072"/>
            </w:tabs>
            <w:spacing w:after="40" w:before="708" w:line="240" w:lineRule="auto"/>
            <w:contextualSpacing w:val="0"/>
            <w:jc w:val="right"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Lines w:val="1"/>
      <w:widowControl w:val="0"/>
      <w:tabs>
        <w:tab w:val="center" w:pos="4320"/>
        <w:tab w:val="right" w:pos="8640"/>
      </w:tabs>
      <w:spacing w:after="40" w:before="708" w:line="240" w:lineRule="auto"/>
      <w:contextualSpacing w:val="0"/>
      <w:jc w:val="both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"/>
      <w:lvlJc w:val="left"/>
      <w:pPr>
        <w:ind w:left="432" w:firstLine="0"/>
      </w:pPr>
      <w:rPr/>
    </w:lvl>
    <w:lvl w:ilvl="1">
      <w:start w:val="1"/>
      <w:numFmt w:val="decimal"/>
      <w:lvlText w:val="%1.%2"/>
      <w:lvlJc w:val="left"/>
      <w:pPr>
        <w:ind w:left="3837" w:firstLine="3260.9999999999995"/>
      </w:pPr>
      <w:rPr/>
    </w:lvl>
    <w:lvl w:ilvl="2">
      <w:start w:val="1"/>
      <w:numFmt w:val="decimal"/>
      <w:lvlText w:val="%1.%2.%3"/>
      <w:lvlJc w:val="left"/>
      <w:pPr>
        <w:ind w:left="720" w:firstLine="0"/>
      </w:pPr>
      <w:rPr/>
    </w:lvl>
    <w:lvl w:ilvl="3">
      <w:start w:val="1"/>
      <w:numFmt w:val="decimal"/>
      <w:lvlText w:val="%1.%2.%3.%4"/>
      <w:lvlJc w:val="left"/>
      <w:pPr>
        <w:ind w:left="864" w:firstLine="0"/>
      </w:pPr>
      <w:rPr/>
    </w:lvl>
    <w:lvl w:ilvl="4">
      <w:start w:val="1"/>
      <w:numFmt w:val="decimal"/>
      <w:lvlText w:val="%1.%2.%3.%4.%5"/>
      <w:lvlJc w:val="left"/>
      <w:pPr>
        <w:ind w:left="1008" w:firstLine="0"/>
      </w:pPr>
      <w:rPr/>
    </w:lvl>
    <w:lvl w:ilvl="5">
      <w:start w:val="1"/>
      <w:numFmt w:val="decimal"/>
      <w:lvlText w:val="%1.%2.%3.%4.%5.%6"/>
      <w:lvlJc w:val="left"/>
      <w:pPr>
        <w:ind w:left="1152" w:firstLine="0"/>
      </w:pPr>
      <w:rPr/>
    </w:lvl>
    <w:lvl w:ilvl="6">
      <w:start w:val="1"/>
      <w:numFmt w:val="decimal"/>
      <w:lvlText w:val="%1.%2.%3.%4.%5.%6.%7"/>
      <w:lvlJc w:val="left"/>
      <w:pPr>
        <w:ind w:left="1296" w:firstLine="0"/>
      </w:pPr>
      <w:rPr/>
    </w:lvl>
    <w:lvl w:ilvl="7">
      <w:start w:val="1"/>
      <w:numFmt w:val="decimal"/>
      <w:lvlText w:val="%1.%2.%3.%4.%5.%6.%7.%8"/>
      <w:lvlJc w:val="left"/>
      <w:pPr>
        <w:ind w:left="1440" w:firstLine="0"/>
      </w:pPr>
      <w:rPr/>
    </w:lvl>
    <w:lvl w:ilvl="8">
      <w:start w:val="1"/>
      <w:numFmt w:val="decimal"/>
      <w:lvlText w:val="%1.%2.%3.%4.%5.%6.%7.%8.%9"/>
      <w:lvlJc w:val="left"/>
      <w:pPr>
        <w:ind w:left="1584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1"/>
        <w:widowControl w:val="0"/>
        <w:spacing w:after="40" w:before="40" w:line="240" w:lineRule="auto"/>
        <w:ind w:left="0" w:right="0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60" w:before="240" w:line="240" w:lineRule="auto"/>
      <w:ind w:left="431" w:hanging="431"/>
      <w:jc w:val="both"/>
    </w:pPr>
    <w:rPr>
      <w:rFonts w:ascii="Open Sans" w:cs="Open Sans" w:eastAsia="Open Sans" w:hAnsi="Open Sans"/>
      <w:b w:val="1"/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60" w:before="240" w:line="240" w:lineRule="auto"/>
      <w:ind w:left="3837" w:hanging="576.0000000000002"/>
      <w:jc w:val="both"/>
    </w:pPr>
    <w:rPr>
      <w:rFonts w:ascii="Open Sans" w:cs="Open Sans" w:eastAsia="Open Sans" w:hAnsi="Open Sans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60" w:before="240" w:line="240" w:lineRule="auto"/>
      <w:ind w:left="720" w:hanging="720"/>
      <w:jc w:val="both"/>
    </w:pPr>
    <w:rPr>
      <w:rFonts w:ascii="Open Sans" w:cs="Open Sans" w:eastAsia="Open Sans" w:hAnsi="Open Sans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60" w:before="240" w:line="240" w:lineRule="auto"/>
      <w:ind w:left="864" w:hanging="864"/>
      <w:jc w:val="both"/>
    </w:pPr>
    <w:rPr>
      <w:rFonts w:ascii="Cambria" w:cs="Cambria" w:eastAsia="Cambria" w:hAnsi="Cambria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60" w:before="240" w:line="240" w:lineRule="auto"/>
      <w:ind w:left="1008" w:hanging="1008"/>
      <w:jc w:val="both"/>
    </w:pPr>
    <w:rPr>
      <w:rFonts w:ascii="Cambria" w:cs="Cambria" w:eastAsia="Cambria" w:hAnsi="Cambria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60" w:before="240" w:line="240" w:lineRule="auto"/>
      <w:ind w:left="1152" w:hanging="1152"/>
      <w:jc w:val="both"/>
    </w:pPr>
    <w:rPr>
      <w:rFonts w:ascii="Cambria" w:cs="Cambria" w:eastAsia="Cambria" w:hAnsi="Cambria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gus.eu/?mode=ticket_info&amp;ticket_id=116776" TargetMode="External"/><Relationship Id="rId11" Type="http://schemas.openxmlformats.org/officeDocument/2006/relationships/hyperlink" Target="https://documents.egi.eu/document/2596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documents.egi.eu/document/2596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documents.egi.eu/document/2596" TargetMode="External"/><Relationship Id="rId12" Type="http://schemas.openxmlformats.org/officeDocument/2006/relationships/hyperlink" Target="https://documents.egi.eu/document/2596" TargetMode="External"/><Relationship Id="rId23" Type="http://schemas.openxmlformats.org/officeDocument/2006/relationships/footer" Target="footer2.xm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ocuments.egi.eu/document/2596" TargetMode="External"/><Relationship Id="rId15" Type="http://schemas.openxmlformats.org/officeDocument/2006/relationships/hyperlink" Target="https://documents.egi.eu/document/2596" TargetMode="External"/><Relationship Id="rId14" Type="http://schemas.openxmlformats.org/officeDocument/2006/relationships/hyperlink" Target="https://documents.egi.eu/document/2596" TargetMode="External"/><Relationship Id="rId17" Type="http://schemas.openxmlformats.org/officeDocument/2006/relationships/hyperlink" Target="https://documents.egi.eu/document/2596" TargetMode="External"/><Relationship Id="rId16" Type="http://schemas.openxmlformats.org/officeDocument/2006/relationships/hyperlink" Target="https://documents.egi.eu/document/2596" TargetMode="External"/><Relationship Id="rId5" Type="http://schemas.openxmlformats.org/officeDocument/2006/relationships/image" Target="media/image02.png"/><Relationship Id="rId19" Type="http://schemas.openxmlformats.org/officeDocument/2006/relationships/hyperlink" Target="http://#_Toc431288907" TargetMode="External"/><Relationship Id="rId6" Type="http://schemas.openxmlformats.org/officeDocument/2006/relationships/hyperlink" Target="mailto:cyril.lorphelin@cc.in2p3.fr" TargetMode="External"/><Relationship Id="rId18" Type="http://schemas.openxmlformats.org/officeDocument/2006/relationships/hyperlink" Target="http://#_Toc431288907" TargetMode="External"/><Relationship Id="rId7" Type="http://schemas.openxmlformats.org/officeDocument/2006/relationships/hyperlink" Target="https://documents.egi.eu/document/2456" TargetMode="External"/><Relationship Id="rId8" Type="http://schemas.openxmlformats.org/officeDocument/2006/relationships/hyperlink" Target="https://documents.egi.eu/document/245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5.gi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0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creativecommons.org/licenses/by/4.0/" TargetMode="External"/></Relationships>
</file>