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F4D" w:rsidRDefault="008F5E84">
      <w:pPr>
        <w:jc w:val="center"/>
      </w:pPr>
      <w:r>
        <w:rPr>
          <w:noProof/>
          <w:lang w:eastAsia="en-GB"/>
        </w:rPr>
        <w:drawing>
          <wp:inline distT="0" distB="0" distL="0" distR="0">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rsidR="009B4F4D" w:rsidRDefault="008F5E84">
      <w:pPr>
        <w:jc w:val="center"/>
        <w:rPr>
          <w:b/>
          <w:color w:val="0067B1"/>
          <w:sz w:val="56"/>
        </w:rPr>
      </w:pPr>
      <w:r>
        <w:rPr>
          <w:b/>
          <w:color w:val="0067B1"/>
          <w:sz w:val="56"/>
        </w:rPr>
        <w:t>EGI-Engage</w:t>
      </w:r>
    </w:p>
    <w:p w:rsidR="009B4F4D" w:rsidRDefault="009B4F4D"/>
    <w:p w:rsidR="009B4F4D" w:rsidRDefault="008F5E84">
      <w:pPr>
        <w:pStyle w:val="Title"/>
        <w:rPr>
          <w:i w:val="0"/>
        </w:rPr>
      </w:pPr>
      <w:bookmarkStart w:id="0" w:name="docs-internal-guid-1d7959a3-dcc6-9267-35"/>
      <w:bookmarkEnd w:id="0"/>
      <w:r>
        <w:rPr>
          <w:i w:val="0"/>
        </w:rPr>
        <w:t>VM snapshot support:</w:t>
      </w:r>
    </w:p>
    <w:p w:rsidR="009B4F4D" w:rsidRDefault="008F5E84">
      <w:pPr>
        <w:pStyle w:val="Title"/>
        <w:rPr>
          <w:i w:val="0"/>
        </w:rPr>
      </w:pPr>
      <w:r>
        <w:rPr>
          <w:i w:val="0"/>
        </w:rPr>
        <w:t>OCCI extension, final specification</w:t>
      </w:r>
    </w:p>
    <w:p w:rsidR="009B4F4D" w:rsidRDefault="008F5E84">
      <w:pPr>
        <w:pStyle w:val="Subtitle"/>
      </w:pPr>
      <w:r>
        <w:t>D4.2</w:t>
      </w:r>
    </w:p>
    <w:p w:rsidR="009B4F4D" w:rsidRDefault="009B4F4D"/>
    <w:tbl>
      <w:tblPr>
        <w:tblStyle w:val="TableGrid"/>
        <w:tblW w:w="7938" w:type="dxa"/>
        <w:tblInd w:w="959" w:type="dxa"/>
        <w:tblCellMar>
          <w:left w:w="143" w:type="dxa"/>
        </w:tblCellMar>
        <w:tblLook w:val="04A0" w:firstRow="1" w:lastRow="0" w:firstColumn="1" w:lastColumn="0" w:noHBand="0" w:noVBand="1"/>
      </w:tblPr>
      <w:tblGrid>
        <w:gridCol w:w="2835"/>
        <w:gridCol w:w="5103"/>
      </w:tblGrid>
      <w:tr w:rsidR="009B4F4D">
        <w:tc>
          <w:tcPr>
            <w:tcW w:w="2835" w:type="dxa"/>
            <w:tcBorders>
              <w:top w:val="single" w:sz="12" w:space="0" w:color="0067B1"/>
              <w:left w:val="nil"/>
              <w:bottom w:val="nil"/>
              <w:right w:val="nil"/>
            </w:tcBorders>
            <w:shd w:val="clear" w:color="auto" w:fill="auto"/>
          </w:tcPr>
          <w:p w:rsidR="009B4F4D" w:rsidRDefault="008F5E84">
            <w:pPr>
              <w:pStyle w:val="NoSpacing"/>
              <w:rPr>
                <w:b/>
              </w:rPr>
            </w:pPr>
            <w:r>
              <w:rPr>
                <w:b/>
              </w:rPr>
              <w:t>Date</w:t>
            </w:r>
          </w:p>
        </w:tc>
        <w:tc>
          <w:tcPr>
            <w:tcW w:w="5102" w:type="dxa"/>
            <w:tcBorders>
              <w:top w:val="single" w:sz="12" w:space="0" w:color="0067B1"/>
              <w:left w:val="nil"/>
              <w:bottom w:val="nil"/>
              <w:right w:val="nil"/>
            </w:tcBorders>
            <w:shd w:val="clear" w:color="auto" w:fill="auto"/>
          </w:tcPr>
          <w:p w:rsidR="009B4F4D" w:rsidRDefault="002401E5">
            <w:pPr>
              <w:pStyle w:val="NoSpacing"/>
            </w:pPr>
            <w:r>
              <w:t>25</w:t>
            </w:r>
            <w:r w:rsidR="008F5E84">
              <w:t>/11/15</w:t>
            </w:r>
          </w:p>
        </w:tc>
      </w:tr>
      <w:tr w:rsidR="009B4F4D">
        <w:tc>
          <w:tcPr>
            <w:tcW w:w="2835" w:type="dxa"/>
            <w:tcBorders>
              <w:top w:val="nil"/>
              <w:left w:val="nil"/>
              <w:bottom w:val="nil"/>
              <w:right w:val="nil"/>
            </w:tcBorders>
            <w:shd w:val="clear" w:color="auto" w:fill="auto"/>
          </w:tcPr>
          <w:p w:rsidR="009B4F4D" w:rsidRDefault="008F5E84">
            <w:pPr>
              <w:pStyle w:val="NoSpacing"/>
              <w:rPr>
                <w:b/>
              </w:rPr>
            </w:pPr>
            <w:r>
              <w:rPr>
                <w:b/>
              </w:rPr>
              <w:t>Activity</w:t>
            </w:r>
          </w:p>
        </w:tc>
        <w:tc>
          <w:tcPr>
            <w:tcW w:w="5102" w:type="dxa"/>
            <w:tcBorders>
              <w:top w:val="nil"/>
              <w:left w:val="nil"/>
              <w:bottom w:val="nil"/>
              <w:right w:val="nil"/>
            </w:tcBorders>
            <w:shd w:val="clear" w:color="auto" w:fill="auto"/>
          </w:tcPr>
          <w:p w:rsidR="009B4F4D" w:rsidRDefault="008F5E84">
            <w:pPr>
              <w:pStyle w:val="NoSpacing"/>
            </w:pPr>
            <w:r>
              <w:t>WP4</w:t>
            </w:r>
          </w:p>
        </w:tc>
      </w:tr>
      <w:tr w:rsidR="009B4F4D">
        <w:tc>
          <w:tcPr>
            <w:tcW w:w="2835" w:type="dxa"/>
            <w:tcBorders>
              <w:top w:val="nil"/>
              <w:left w:val="nil"/>
              <w:bottom w:val="nil"/>
              <w:right w:val="nil"/>
            </w:tcBorders>
            <w:shd w:val="clear" w:color="auto" w:fill="auto"/>
          </w:tcPr>
          <w:p w:rsidR="009B4F4D" w:rsidRDefault="008F5E84">
            <w:pPr>
              <w:pStyle w:val="NoSpacing"/>
              <w:rPr>
                <w:b/>
              </w:rPr>
            </w:pPr>
            <w:r>
              <w:rPr>
                <w:b/>
              </w:rPr>
              <w:t>Lead Partner</w:t>
            </w:r>
          </w:p>
        </w:tc>
        <w:tc>
          <w:tcPr>
            <w:tcW w:w="5102" w:type="dxa"/>
            <w:tcBorders>
              <w:top w:val="nil"/>
              <w:left w:val="nil"/>
              <w:bottom w:val="nil"/>
              <w:right w:val="nil"/>
            </w:tcBorders>
            <w:shd w:val="clear" w:color="auto" w:fill="auto"/>
          </w:tcPr>
          <w:p w:rsidR="009B4F4D" w:rsidRDefault="008F5E84">
            <w:pPr>
              <w:pStyle w:val="NoSpacing"/>
            </w:pPr>
            <w:r>
              <w:t>CSIC</w:t>
            </w:r>
          </w:p>
        </w:tc>
      </w:tr>
      <w:tr w:rsidR="009B4F4D">
        <w:tc>
          <w:tcPr>
            <w:tcW w:w="2835" w:type="dxa"/>
            <w:tcBorders>
              <w:top w:val="nil"/>
              <w:left w:val="nil"/>
              <w:bottom w:val="nil"/>
              <w:right w:val="nil"/>
            </w:tcBorders>
            <w:shd w:val="clear" w:color="auto" w:fill="auto"/>
          </w:tcPr>
          <w:p w:rsidR="009B4F4D" w:rsidRDefault="008F5E84">
            <w:pPr>
              <w:pStyle w:val="NoSpacing"/>
              <w:rPr>
                <w:b/>
              </w:rPr>
            </w:pPr>
            <w:r>
              <w:rPr>
                <w:b/>
              </w:rPr>
              <w:t>Document Status</w:t>
            </w:r>
          </w:p>
        </w:tc>
        <w:tc>
          <w:tcPr>
            <w:tcW w:w="5102" w:type="dxa"/>
            <w:tcBorders>
              <w:top w:val="nil"/>
              <w:left w:val="nil"/>
              <w:bottom w:val="nil"/>
              <w:right w:val="nil"/>
            </w:tcBorders>
            <w:shd w:val="clear" w:color="auto" w:fill="auto"/>
          </w:tcPr>
          <w:p w:rsidR="009B4F4D" w:rsidRDefault="002401E5">
            <w:pPr>
              <w:pStyle w:val="NoSpacing"/>
            </w:pPr>
            <w:r>
              <w:t>FINAL</w:t>
            </w:r>
          </w:p>
        </w:tc>
      </w:tr>
      <w:tr w:rsidR="009B4F4D">
        <w:tc>
          <w:tcPr>
            <w:tcW w:w="2835" w:type="dxa"/>
            <w:tcBorders>
              <w:top w:val="nil"/>
              <w:left w:val="nil"/>
              <w:bottom w:val="single" w:sz="12" w:space="0" w:color="0067B1"/>
              <w:right w:val="nil"/>
            </w:tcBorders>
            <w:shd w:val="clear" w:color="auto" w:fill="auto"/>
          </w:tcPr>
          <w:p w:rsidR="009B4F4D" w:rsidRDefault="008F5E84">
            <w:pPr>
              <w:pStyle w:val="NoSpacing"/>
              <w:rPr>
                <w:b/>
              </w:rPr>
            </w:pPr>
            <w:r>
              <w:rPr>
                <w:b/>
              </w:rPr>
              <w:t>Document Link</w:t>
            </w:r>
          </w:p>
        </w:tc>
        <w:tc>
          <w:tcPr>
            <w:tcW w:w="5102" w:type="dxa"/>
            <w:tcBorders>
              <w:top w:val="nil"/>
              <w:left w:val="nil"/>
              <w:bottom w:val="single" w:sz="12" w:space="0" w:color="0067B1"/>
              <w:right w:val="nil"/>
            </w:tcBorders>
            <w:shd w:val="clear" w:color="auto" w:fill="auto"/>
          </w:tcPr>
          <w:p w:rsidR="009B4F4D" w:rsidRDefault="008F5E84">
            <w:pPr>
              <w:pStyle w:val="NoSpacing"/>
            </w:pPr>
            <w:hyperlink r:id="rId10">
              <w:r>
                <w:rPr>
                  <w:rStyle w:val="InternetLink"/>
                </w:rPr>
                <w:t>https://documents.egi.eu/document/2643</w:t>
              </w:r>
            </w:hyperlink>
            <w:r>
              <w:t xml:space="preserve"> </w:t>
            </w:r>
          </w:p>
        </w:tc>
      </w:tr>
    </w:tbl>
    <w:p w:rsidR="009B4F4D" w:rsidRDefault="009B4F4D"/>
    <w:p w:rsidR="009B4F4D" w:rsidRDefault="008F5E84">
      <w:pPr>
        <w:pStyle w:val="Subtitle"/>
      </w:pPr>
      <w:r>
        <w:t>Abstract</w:t>
      </w:r>
    </w:p>
    <w:p w:rsidR="009B4F4D" w:rsidRDefault="008F5E84">
      <w:bookmarkStart w:id="1" w:name="docs-internal-guid-1d7959a3-dcc7-68bd-ce"/>
      <w:bookmarkEnd w:id="1"/>
      <w:r>
        <w:rPr>
          <w:color w:val="000000"/>
        </w:rPr>
        <w:t xml:space="preserve">This Report deals with the effort to standardize the process of saving the current state of a virtual machine to allow creation of additional instances based on that state. The standardization of virtual </w:t>
      </w:r>
      <w:r>
        <w:rPr>
          <w:color w:val="000000"/>
        </w:rPr>
        <w:t>machine snapshotting with OCCI, originally envisioned as a separate extension to the standard, was finally achieved by augmenting the existing standard during preparation of the OCCI 1.2 release.  This paves the way to future implementation of this new fun</w:t>
      </w:r>
      <w:r>
        <w:rPr>
          <w:color w:val="000000"/>
        </w:rPr>
        <w:t>ctionalit</w:t>
      </w:r>
      <w:r w:rsidR="002401E5">
        <w:rPr>
          <w:color w:val="000000"/>
        </w:rPr>
        <w:t>y on EGI infrastructure via EGI-</w:t>
      </w:r>
      <w:r>
        <w:rPr>
          <w:color w:val="000000"/>
        </w:rPr>
        <w:t>Engage.</w:t>
      </w:r>
    </w:p>
    <w:p w:rsidR="009B4F4D" w:rsidRDefault="009B4F4D"/>
    <w:p w:rsidR="009B4F4D" w:rsidRDefault="009B4F4D"/>
    <w:p w:rsidR="009B4F4D" w:rsidRDefault="009B4F4D"/>
    <w:p w:rsidR="009B4F4D" w:rsidRDefault="008F5E84">
      <w:pPr>
        <w:spacing w:after="200"/>
        <w:jc w:val="left"/>
      </w:pPr>
      <w:r>
        <w:br w:type="page"/>
      </w:r>
    </w:p>
    <w:p w:rsidR="009B4F4D" w:rsidRDefault="008F5E84">
      <w:pPr>
        <w:rPr>
          <w:b/>
          <w:color w:val="4F81BD" w:themeColor="accent1"/>
        </w:rPr>
      </w:pPr>
      <w:r>
        <w:rPr>
          <w:b/>
          <w:color w:val="4F81BD" w:themeColor="accent1"/>
        </w:rPr>
        <w:lastRenderedPageBreak/>
        <w:t xml:space="preserve">COPYRIGHT NOTICE </w:t>
      </w:r>
    </w:p>
    <w:p w:rsidR="009B4F4D" w:rsidRDefault="008F5E84">
      <w:r>
        <w:rPr>
          <w:noProof/>
          <w:lang w:eastAsia="en-GB"/>
        </w:rPr>
        <w:drawing>
          <wp:inline distT="0" distB="0" distL="0" distR="0">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rsidR="009B4F4D" w:rsidRDefault="008F5E84">
      <w:r>
        <w:t>This work by Parties of the EGI-Engage Consortium is licensed under a Creative Commons Attribution 4.0 International License (http://creativecommons.org/licenses/by/4.0/). The EGI-En</w:t>
      </w:r>
      <w:r>
        <w:t>gage project is co-funded by the European Union Horizon 2020 programme under grant number 654142.</w:t>
      </w:r>
    </w:p>
    <w:p w:rsidR="009B4F4D" w:rsidRDefault="008F5E84">
      <w:pPr>
        <w:rPr>
          <w:b/>
          <w:color w:val="4F81BD" w:themeColor="accent1"/>
        </w:rPr>
      </w:pPr>
      <w:r>
        <w:rPr>
          <w:b/>
          <w:color w:val="4F81BD" w:themeColor="accent1"/>
        </w:rPr>
        <w:t>DELIVERY SLIP</w:t>
      </w:r>
    </w:p>
    <w:tbl>
      <w:tblPr>
        <w:tblStyle w:val="TableGrid"/>
        <w:tblW w:w="9243" w:type="dxa"/>
        <w:tblInd w:w="-35" w:type="dxa"/>
        <w:tblCellMar>
          <w:left w:w="73" w:type="dxa"/>
        </w:tblCellMar>
        <w:tblLook w:val="04A0" w:firstRow="1" w:lastRow="0" w:firstColumn="1" w:lastColumn="0" w:noHBand="0" w:noVBand="1"/>
      </w:tblPr>
      <w:tblGrid>
        <w:gridCol w:w="2311"/>
        <w:gridCol w:w="2759"/>
        <w:gridCol w:w="2696"/>
        <w:gridCol w:w="1477"/>
      </w:tblGrid>
      <w:tr w:rsidR="009B4F4D" w:rsidTr="002401E5">
        <w:tc>
          <w:tcPr>
            <w:tcW w:w="2311" w:type="dxa"/>
            <w:shd w:val="clear" w:color="auto" w:fill="B8CCE4" w:themeFill="accent1" w:themeFillTint="66"/>
            <w:tcMar>
              <w:left w:w="73" w:type="dxa"/>
            </w:tcMar>
          </w:tcPr>
          <w:p w:rsidR="009B4F4D" w:rsidRDefault="009B4F4D">
            <w:pPr>
              <w:pStyle w:val="NoSpacing"/>
              <w:rPr>
                <w:b/>
              </w:rPr>
            </w:pPr>
          </w:p>
        </w:tc>
        <w:tc>
          <w:tcPr>
            <w:tcW w:w="2759" w:type="dxa"/>
            <w:shd w:val="clear" w:color="auto" w:fill="B8CCE4" w:themeFill="accent1" w:themeFillTint="66"/>
            <w:tcMar>
              <w:left w:w="73" w:type="dxa"/>
            </w:tcMar>
          </w:tcPr>
          <w:p w:rsidR="009B4F4D" w:rsidRDefault="008F5E84">
            <w:pPr>
              <w:pStyle w:val="NoSpacing"/>
              <w:rPr>
                <w:b/>
                <w:i/>
              </w:rPr>
            </w:pPr>
            <w:r>
              <w:rPr>
                <w:b/>
                <w:i/>
              </w:rPr>
              <w:t>Name</w:t>
            </w:r>
          </w:p>
        </w:tc>
        <w:tc>
          <w:tcPr>
            <w:tcW w:w="2696" w:type="dxa"/>
            <w:shd w:val="clear" w:color="auto" w:fill="B8CCE4" w:themeFill="accent1" w:themeFillTint="66"/>
            <w:tcMar>
              <w:left w:w="73" w:type="dxa"/>
            </w:tcMar>
          </w:tcPr>
          <w:p w:rsidR="009B4F4D" w:rsidRDefault="008F5E84">
            <w:pPr>
              <w:pStyle w:val="NoSpacing"/>
              <w:rPr>
                <w:b/>
                <w:i/>
              </w:rPr>
            </w:pPr>
            <w:r>
              <w:rPr>
                <w:b/>
                <w:i/>
              </w:rPr>
              <w:t>Partner/Activity</w:t>
            </w:r>
          </w:p>
        </w:tc>
        <w:tc>
          <w:tcPr>
            <w:tcW w:w="1477" w:type="dxa"/>
            <w:shd w:val="clear" w:color="auto" w:fill="B8CCE4" w:themeFill="accent1" w:themeFillTint="66"/>
            <w:tcMar>
              <w:left w:w="73" w:type="dxa"/>
            </w:tcMar>
          </w:tcPr>
          <w:p w:rsidR="009B4F4D" w:rsidRDefault="008F5E84">
            <w:pPr>
              <w:pStyle w:val="NoSpacing"/>
              <w:rPr>
                <w:b/>
                <w:i/>
              </w:rPr>
            </w:pPr>
            <w:r>
              <w:rPr>
                <w:b/>
                <w:i/>
              </w:rPr>
              <w:t>Date</w:t>
            </w:r>
          </w:p>
        </w:tc>
      </w:tr>
      <w:tr w:rsidR="009B4F4D" w:rsidTr="002401E5">
        <w:tc>
          <w:tcPr>
            <w:tcW w:w="2311" w:type="dxa"/>
            <w:shd w:val="clear" w:color="auto" w:fill="B8CCE4" w:themeFill="accent1" w:themeFillTint="66"/>
            <w:tcMar>
              <w:left w:w="73" w:type="dxa"/>
            </w:tcMar>
          </w:tcPr>
          <w:p w:rsidR="009B4F4D" w:rsidRDefault="008F5E84">
            <w:pPr>
              <w:pStyle w:val="NoSpacing"/>
              <w:rPr>
                <w:b/>
              </w:rPr>
            </w:pPr>
            <w:r>
              <w:rPr>
                <w:b/>
              </w:rPr>
              <w:t>From:</w:t>
            </w:r>
          </w:p>
        </w:tc>
        <w:tc>
          <w:tcPr>
            <w:tcW w:w="2759" w:type="dxa"/>
            <w:shd w:val="clear" w:color="auto" w:fill="auto"/>
            <w:tcMar>
              <w:left w:w="73" w:type="dxa"/>
            </w:tcMar>
          </w:tcPr>
          <w:p w:rsidR="009B4F4D" w:rsidRDefault="008F5E84">
            <w:pPr>
              <w:pStyle w:val="NoSpacing"/>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2696" w:type="dxa"/>
            <w:shd w:val="clear" w:color="auto" w:fill="auto"/>
            <w:tcMar>
              <w:left w:w="73" w:type="dxa"/>
            </w:tcMar>
          </w:tcPr>
          <w:p w:rsidR="009B4F4D" w:rsidRDefault="008F5E84">
            <w:pPr>
              <w:pStyle w:val="NoSpacing"/>
            </w:pPr>
            <w:r>
              <w:t>CESNET</w:t>
            </w:r>
          </w:p>
        </w:tc>
        <w:tc>
          <w:tcPr>
            <w:tcW w:w="1477" w:type="dxa"/>
            <w:shd w:val="clear" w:color="auto" w:fill="auto"/>
            <w:tcMar>
              <w:left w:w="73" w:type="dxa"/>
            </w:tcMar>
          </w:tcPr>
          <w:p w:rsidR="002401E5" w:rsidRDefault="002401E5">
            <w:pPr>
              <w:pStyle w:val="NoSpacing"/>
            </w:pPr>
            <w:r>
              <w:t>25.11.2015</w:t>
            </w:r>
          </w:p>
        </w:tc>
      </w:tr>
      <w:tr w:rsidR="002401E5" w:rsidTr="002401E5">
        <w:tc>
          <w:tcPr>
            <w:tcW w:w="2311" w:type="dxa"/>
            <w:shd w:val="clear" w:color="auto" w:fill="B8CCE4" w:themeFill="accent1" w:themeFillTint="66"/>
            <w:tcMar>
              <w:left w:w="73" w:type="dxa"/>
            </w:tcMar>
          </w:tcPr>
          <w:p w:rsidR="002401E5" w:rsidRDefault="002401E5">
            <w:pPr>
              <w:pStyle w:val="NoSpacing"/>
              <w:rPr>
                <w:b/>
              </w:rPr>
            </w:pPr>
            <w:r>
              <w:rPr>
                <w:b/>
              </w:rPr>
              <w:t>Moderated by:</w:t>
            </w:r>
          </w:p>
        </w:tc>
        <w:tc>
          <w:tcPr>
            <w:tcW w:w="2759" w:type="dxa"/>
            <w:shd w:val="clear" w:color="auto" w:fill="auto"/>
            <w:tcMar>
              <w:left w:w="73" w:type="dxa"/>
            </w:tcMar>
          </w:tcPr>
          <w:p w:rsidR="002401E5" w:rsidRDefault="002401E5">
            <w:pPr>
              <w:pStyle w:val="NoSpacing"/>
            </w:pPr>
            <w:r>
              <w:t xml:space="preserve">Kostas </w:t>
            </w:r>
            <w:proofErr w:type="spellStart"/>
            <w:r>
              <w:t>Koumantaros</w:t>
            </w:r>
            <w:proofErr w:type="spellEnd"/>
          </w:p>
        </w:tc>
        <w:tc>
          <w:tcPr>
            <w:tcW w:w="2696" w:type="dxa"/>
            <w:shd w:val="clear" w:color="auto" w:fill="auto"/>
            <w:tcMar>
              <w:left w:w="73" w:type="dxa"/>
            </w:tcMar>
          </w:tcPr>
          <w:p w:rsidR="002401E5" w:rsidRDefault="002401E5">
            <w:pPr>
              <w:pStyle w:val="NoSpacing"/>
            </w:pPr>
            <w:r>
              <w:t>GRNET/PMB</w:t>
            </w:r>
          </w:p>
        </w:tc>
        <w:tc>
          <w:tcPr>
            <w:tcW w:w="1477" w:type="dxa"/>
            <w:shd w:val="clear" w:color="auto" w:fill="auto"/>
            <w:tcMar>
              <w:left w:w="73" w:type="dxa"/>
            </w:tcMar>
          </w:tcPr>
          <w:p w:rsidR="002401E5" w:rsidRDefault="002401E5" w:rsidP="009B206C">
            <w:pPr>
              <w:pStyle w:val="NoSpacing"/>
            </w:pPr>
            <w:r>
              <w:t>25.11.2015</w:t>
            </w:r>
          </w:p>
        </w:tc>
      </w:tr>
      <w:tr w:rsidR="002401E5" w:rsidTr="002401E5">
        <w:tc>
          <w:tcPr>
            <w:tcW w:w="2311" w:type="dxa"/>
            <w:shd w:val="clear" w:color="auto" w:fill="B8CCE4" w:themeFill="accent1" w:themeFillTint="66"/>
            <w:tcMar>
              <w:left w:w="73" w:type="dxa"/>
            </w:tcMar>
          </w:tcPr>
          <w:p w:rsidR="002401E5" w:rsidRDefault="002401E5">
            <w:pPr>
              <w:pStyle w:val="NoSpacing"/>
              <w:rPr>
                <w:b/>
              </w:rPr>
            </w:pPr>
            <w:r>
              <w:rPr>
                <w:b/>
              </w:rPr>
              <w:t>Reviewed by</w:t>
            </w:r>
          </w:p>
        </w:tc>
        <w:tc>
          <w:tcPr>
            <w:tcW w:w="2759" w:type="dxa"/>
            <w:shd w:val="clear" w:color="auto" w:fill="auto"/>
            <w:tcMar>
              <w:left w:w="73" w:type="dxa"/>
            </w:tcMar>
          </w:tcPr>
          <w:p w:rsidR="002401E5" w:rsidRDefault="002401E5">
            <w:pPr>
              <w:pStyle w:val="NoSpacing"/>
            </w:pPr>
            <w:r>
              <w:t xml:space="preserve">Diego </w:t>
            </w:r>
            <w:proofErr w:type="spellStart"/>
            <w:r>
              <w:t>Scardaci</w:t>
            </w:r>
            <w:proofErr w:type="spellEnd"/>
          </w:p>
          <w:p w:rsidR="002401E5" w:rsidRDefault="002401E5">
            <w:pPr>
              <w:pStyle w:val="NoSpacing"/>
            </w:pPr>
            <w:r>
              <w:t xml:space="preserve">Enol </w:t>
            </w:r>
            <w:proofErr w:type="spellStart"/>
            <w:r>
              <w:t>Frenandez</w:t>
            </w:r>
            <w:proofErr w:type="spellEnd"/>
          </w:p>
        </w:tc>
        <w:tc>
          <w:tcPr>
            <w:tcW w:w="2696" w:type="dxa"/>
            <w:shd w:val="clear" w:color="auto" w:fill="auto"/>
            <w:tcMar>
              <w:left w:w="73" w:type="dxa"/>
            </w:tcMar>
          </w:tcPr>
          <w:p w:rsidR="002401E5" w:rsidRDefault="002401E5">
            <w:pPr>
              <w:pStyle w:val="NoSpacing"/>
            </w:pPr>
            <w:r>
              <w:t>INFN/WP3</w:t>
            </w:r>
          </w:p>
          <w:p w:rsidR="002401E5" w:rsidRPr="002401E5" w:rsidRDefault="002401E5" w:rsidP="002401E5">
            <w:pPr>
              <w:pStyle w:val="NoSpacing"/>
            </w:pPr>
            <w:r>
              <w:t>IFCA/</w:t>
            </w:r>
            <w:r w:rsidRPr="002401E5">
              <w:t xml:space="preserve">WP6.2Task </w:t>
            </w:r>
            <w:r>
              <w:t>L</w:t>
            </w:r>
            <w:r w:rsidRPr="002401E5">
              <w:t>eader</w:t>
            </w:r>
          </w:p>
        </w:tc>
        <w:tc>
          <w:tcPr>
            <w:tcW w:w="1477" w:type="dxa"/>
            <w:shd w:val="clear" w:color="auto" w:fill="auto"/>
            <w:tcMar>
              <w:left w:w="73" w:type="dxa"/>
            </w:tcMar>
          </w:tcPr>
          <w:p w:rsidR="002401E5" w:rsidRDefault="002401E5" w:rsidP="009B206C">
            <w:pPr>
              <w:pStyle w:val="NoSpacing"/>
            </w:pPr>
            <w:r>
              <w:t>25.11.2015</w:t>
            </w:r>
          </w:p>
        </w:tc>
      </w:tr>
      <w:tr w:rsidR="002401E5" w:rsidTr="002401E5">
        <w:tc>
          <w:tcPr>
            <w:tcW w:w="2311" w:type="dxa"/>
            <w:shd w:val="clear" w:color="auto" w:fill="B8CCE4" w:themeFill="accent1" w:themeFillTint="66"/>
            <w:tcMar>
              <w:left w:w="73" w:type="dxa"/>
            </w:tcMar>
          </w:tcPr>
          <w:p w:rsidR="002401E5" w:rsidRDefault="002401E5">
            <w:pPr>
              <w:pStyle w:val="NoSpacing"/>
              <w:rPr>
                <w:b/>
              </w:rPr>
            </w:pPr>
            <w:r>
              <w:rPr>
                <w:b/>
              </w:rPr>
              <w:t>Approved by:</w:t>
            </w:r>
          </w:p>
        </w:tc>
        <w:tc>
          <w:tcPr>
            <w:tcW w:w="2759" w:type="dxa"/>
            <w:shd w:val="clear" w:color="auto" w:fill="auto"/>
            <w:tcMar>
              <w:left w:w="73" w:type="dxa"/>
            </w:tcMar>
          </w:tcPr>
          <w:p w:rsidR="002401E5" w:rsidRDefault="002401E5">
            <w:pPr>
              <w:pStyle w:val="NoSpacing"/>
            </w:pPr>
            <w:r w:rsidRPr="003A63CA">
              <w:rPr>
                <w:rFonts w:asciiTheme="minorHAnsi" w:hAnsiTheme="minorHAnsi"/>
              </w:rPr>
              <w:t>AMB</w:t>
            </w:r>
            <w:r>
              <w:rPr>
                <w:rFonts w:asciiTheme="minorHAnsi" w:hAnsiTheme="minorHAnsi"/>
              </w:rPr>
              <w:t xml:space="preserve"> and PMB</w:t>
            </w:r>
          </w:p>
        </w:tc>
        <w:tc>
          <w:tcPr>
            <w:tcW w:w="2696" w:type="dxa"/>
            <w:shd w:val="clear" w:color="auto" w:fill="auto"/>
            <w:tcMar>
              <w:left w:w="73" w:type="dxa"/>
            </w:tcMar>
          </w:tcPr>
          <w:p w:rsidR="002401E5" w:rsidRDefault="002401E5">
            <w:pPr>
              <w:pStyle w:val="NoSpacing"/>
            </w:pPr>
          </w:p>
        </w:tc>
        <w:tc>
          <w:tcPr>
            <w:tcW w:w="1477" w:type="dxa"/>
            <w:shd w:val="clear" w:color="auto" w:fill="auto"/>
            <w:tcMar>
              <w:left w:w="73" w:type="dxa"/>
            </w:tcMar>
          </w:tcPr>
          <w:p w:rsidR="002401E5" w:rsidRDefault="006E1938" w:rsidP="009B206C">
            <w:pPr>
              <w:pStyle w:val="NoSpacing"/>
            </w:pPr>
            <w:r>
              <w:t>30.11.2015</w:t>
            </w:r>
          </w:p>
        </w:tc>
      </w:tr>
    </w:tbl>
    <w:p w:rsidR="009B4F4D" w:rsidRDefault="009B4F4D"/>
    <w:p w:rsidR="009B4F4D" w:rsidRDefault="008F5E84">
      <w:pPr>
        <w:rPr>
          <w:b/>
          <w:color w:val="4F81BD" w:themeColor="accent1"/>
        </w:rPr>
      </w:pPr>
      <w:r>
        <w:rPr>
          <w:b/>
          <w:color w:val="4F81BD" w:themeColor="accent1"/>
        </w:rPr>
        <w:t>DOCUMENT LOG</w:t>
      </w:r>
    </w:p>
    <w:tbl>
      <w:tblPr>
        <w:tblStyle w:val="TableGrid"/>
        <w:tblW w:w="9242" w:type="dxa"/>
        <w:tblInd w:w="-35" w:type="dxa"/>
        <w:tblCellMar>
          <w:left w:w="73" w:type="dxa"/>
        </w:tblCellMar>
        <w:tblLook w:val="04A0" w:firstRow="1" w:lastRow="0" w:firstColumn="1" w:lastColumn="0" w:noHBand="0" w:noVBand="1"/>
      </w:tblPr>
      <w:tblGrid>
        <w:gridCol w:w="811"/>
        <w:gridCol w:w="1392"/>
        <w:gridCol w:w="5093"/>
        <w:gridCol w:w="1946"/>
      </w:tblGrid>
      <w:tr w:rsidR="009B4F4D" w:rsidTr="002401E5">
        <w:tc>
          <w:tcPr>
            <w:tcW w:w="811" w:type="dxa"/>
            <w:shd w:val="clear" w:color="auto" w:fill="B8CCE4" w:themeFill="accent1" w:themeFillTint="66"/>
            <w:tcMar>
              <w:left w:w="73" w:type="dxa"/>
            </w:tcMar>
          </w:tcPr>
          <w:p w:rsidR="009B4F4D" w:rsidRDefault="008F5E84">
            <w:pPr>
              <w:pStyle w:val="NoSpacing"/>
              <w:rPr>
                <w:b/>
                <w:i/>
              </w:rPr>
            </w:pPr>
            <w:r>
              <w:rPr>
                <w:b/>
                <w:i/>
              </w:rPr>
              <w:t>Issue</w:t>
            </w:r>
          </w:p>
        </w:tc>
        <w:tc>
          <w:tcPr>
            <w:tcW w:w="1392" w:type="dxa"/>
            <w:shd w:val="clear" w:color="auto" w:fill="B8CCE4" w:themeFill="accent1" w:themeFillTint="66"/>
            <w:tcMar>
              <w:left w:w="73" w:type="dxa"/>
            </w:tcMar>
          </w:tcPr>
          <w:p w:rsidR="009B4F4D" w:rsidRDefault="008F5E84">
            <w:pPr>
              <w:pStyle w:val="NoSpacing"/>
              <w:rPr>
                <w:b/>
                <w:i/>
              </w:rPr>
            </w:pPr>
            <w:r>
              <w:rPr>
                <w:b/>
                <w:i/>
              </w:rPr>
              <w:t>Date</w:t>
            </w:r>
          </w:p>
        </w:tc>
        <w:tc>
          <w:tcPr>
            <w:tcW w:w="5093" w:type="dxa"/>
            <w:shd w:val="clear" w:color="auto" w:fill="B8CCE4" w:themeFill="accent1" w:themeFillTint="66"/>
            <w:tcMar>
              <w:left w:w="73" w:type="dxa"/>
            </w:tcMar>
          </w:tcPr>
          <w:p w:rsidR="009B4F4D" w:rsidRDefault="008F5E84">
            <w:pPr>
              <w:pStyle w:val="NoSpacing"/>
              <w:rPr>
                <w:b/>
                <w:i/>
              </w:rPr>
            </w:pPr>
            <w:r>
              <w:rPr>
                <w:b/>
                <w:i/>
              </w:rPr>
              <w:t>Comment</w:t>
            </w:r>
          </w:p>
        </w:tc>
        <w:tc>
          <w:tcPr>
            <w:tcW w:w="1946" w:type="dxa"/>
            <w:shd w:val="clear" w:color="auto" w:fill="B8CCE4" w:themeFill="accent1" w:themeFillTint="66"/>
            <w:tcMar>
              <w:left w:w="73" w:type="dxa"/>
            </w:tcMar>
          </w:tcPr>
          <w:p w:rsidR="009B4F4D" w:rsidRDefault="008F5E84">
            <w:pPr>
              <w:pStyle w:val="NoSpacing"/>
              <w:rPr>
                <w:b/>
                <w:i/>
              </w:rPr>
            </w:pPr>
            <w:r>
              <w:rPr>
                <w:b/>
                <w:i/>
              </w:rPr>
              <w:t>Author/Partner</w:t>
            </w:r>
          </w:p>
        </w:tc>
      </w:tr>
      <w:tr w:rsidR="009B4F4D" w:rsidTr="002401E5">
        <w:tc>
          <w:tcPr>
            <w:tcW w:w="811" w:type="dxa"/>
            <w:shd w:val="clear" w:color="auto" w:fill="auto"/>
            <w:tcMar>
              <w:left w:w="73" w:type="dxa"/>
            </w:tcMar>
          </w:tcPr>
          <w:p w:rsidR="009B4F4D" w:rsidRDefault="002401E5">
            <w:pPr>
              <w:pStyle w:val="NoSpacing"/>
              <w:rPr>
                <w:b/>
              </w:rPr>
            </w:pPr>
            <w:r>
              <w:rPr>
                <w:b/>
              </w:rPr>
              <w:t>0.</w:t>
            </w:r>
            <w:r w:rsidR="008F5E84">
              <w:rPr>
                <w:b/>
              </w:rPr>
              <w:t>1</w:t>
            </w:r>
          </w:p>
        </w:tc>
        <w:tc>
          <w:tcPr>
            <w:tcW w:w="1392" w:type="dxa"/>
            <w:shd w:val="clear" w:color="auto" w:fill="auto"/>
            <w:tcMar>
              <w:left w:w="73" w:type="dxa"/>
            </w:tcMar>
          </w:tcPr>
          <w:p w:rsidR="009B4F4D" w:rsidRDefault="008F5E84">
            <w:pPr>
              <w:pStyle w:val="NoSpacing"/>
            </w:pPr>
            <w:r>
              <w:t>22/10/2015</w:t>
            </w:r>
          </w:p>
        </w:tc>
        <w:tc>
          <w:tcPr>
            <w:tcW w:w="5093" w:type="dxa"/>
            <w:shd w:val="clear" w:color="auto" w:fill="auto"/>
            <w:tcMar>
              <w:left w:w="73" w:type="dxa"/>
            </w:tcMar>
          </w:tcPr>
          <w:p w:rsidR="009B4F4D" w:rsidRDefault="008F5E84">
            <w:pPr>
              <w:pStyle w:val="NoSpacing"/>
            </w:pPr>
            <w:r>
              <w:t>Document created</w:t>
            </w:r>
          </w:p>
        </w:tc>
        <w:tc>
          <w:tcPr>
            <w:tcW w:w="1946" w:type="dxa"/>
            <w:shd w:val="clear" w:color="auto" w:fill="auto"/>
            <w:tcMar>
              <w:left w:w="73" w:type="dxa"/>
            </w:tcMar>
          </w:tcPr>
          <w:p w:rsidR="009B4F4D" w:rsidRDefault="008F5E84">
            <w:pPr>
              <w:pStyle w:val="NoSpacing"/>
            </w:pPr>
            <w:r>
              <w:t xml:space="preserve">B. </w:t>
            </w:r>
            <w:proofErr w:type="spellStart"/>
            <w:r>
              <w:t>Parak</w:t>
            </w:r>
            <w:proofErr w:type="spellEnd"/>
            <w:r>
              <w:t xml:space="preserve"> / CESNET</w:t>
            </w:r>
          </w:p>
        </w:tc>
      </w:tr>
      <w:tr w:rsidR="009B4F4D" w:rsidTr="002401E5">
        <w:tc>
          <w:tcPr>
            <w:tcW w:w="811" w:type="dxa"/>
            <w:shd w:val="clear" w:color="auto" w:fill="auto"/>
            <w:tcMar>
              <w:left w:w="73" w:type="dxa"/>
            </w:tcMar>
          </w:tcPr>
          <w:p w:rsidR="009B4F4D" w:rsidRDefault="002401E5">
            <w:pPr>
              <w:pStyle w:val="NoSpacing"/>
            </w:pPr>
            <w:r>
              <w:rPr>
                <w:b/>
              </w:rPr>
              <w:t>0</w:t>
            </w:r>
            <w:r w:rsidR="008F5E84">
              <w:rPr>
                <w:b/>
              </w:rPr>
              <w:t>.2</w:t>
            </w:r>
          </w:p>
        </w:tc>
        <w:tc>
          <w:tcPr>
            <w:tcW w:w="1392" w:type="dxa"/>
            <w:shd w:val="clear" w:color="auto" w:fill="auto"/>
            <w:tcMar>
              <w:left w:w="73" w:type="dxa"/>
            </w:tcMar>
          </w:tcPr>
          <w:p w:rsidR="009B4F4D" w:rsidRDefault="008F5E84">
            <w:pPr>
              <w:pStyle w:val="NoSpacing"/>
            </w:pPr>
            <w:r>
              <w:t>03/11/2015</w:t>
            </w:r>
          </w:p>
        </w:tc>
        <w:tc>
          <w:tcPr>
            <w:tcW w:w="5093" w:type="dxa"/>
            <w:shd w:val="clear" w:color="auto" w:fill="auto"/>
            <w:tcMar>
              <w:left w:w="73" w:type="dxa"/>
            </w:tcMar>
          </w:tcPr>
          <w:p w:rsidR="009B4F4D" w:rsidRDefault="008F5E84">
            <w:pPr>
              <w:pStyle w:val="NoSpacing"/>
            </w:pPr>
            <w:r>
              <w:t>Internal review changes</w:t>
            </w:r>
          </w:p>
        </w:tc>
        <w:tc>
          <w:tcPr>
            <w:tcW w:w="1946" w:type="dxa"/>
            <w:shd w:val="clear" w:color="auto" w:fill="auto"/>
            <w:tcMar>
              <w:left w:w="73" w:type="dxa"/>
            </w:tcMar>
          </w:tcPr>
          <w:p w:rsidR="009B4F4D" w:rsidRDefault="008F5E84">
            <w:pPr>
              <w:pStyle w:val="NoSpacing"/>
            </w:pPr>
            <w:r>
              <w:t>A. Lopez / CSIC</w:t>
            </w:r>
          </w:p>
        </w:tc>
      </w:tr>
      <w:tr w:rsidR="009B4F4D" w:rsidTr="002401E5">
        <w:tc>
          <w:tcPr>
            <w:tcW w:w="811" w:type="dxa"/>
            <w:tcBorders>
              <w:top w:val="nil"/>
            </w:tcBorders>
            <w:shd w:val="clear" w:color="auto" w:fill="auto"/>
            <w:tcMar>
              <w:left w:w="73" w:type="dxa"/>
            </w:tcMar>
          </w:tcPr>
          <w:p w:rsidR="009B4F4D" w:rsidRPr="002401E5" w:rsidRDefault="002401E5">
            <w:pPr>
              <w:pStyle w:val="NoSpacing"/>
              <w:rPr>
                <w:b/>
              </w:rPr>
            </w:pPr>
            <w:r w:rsidRPr="002401E5">
              <w:rPr>
                <w:b/>
              </w:rPr>
              <w:t>0.3</w:t>
            </w:r>
          </w:p>
        </w:tc>
        <w:tc>
          <w:tcPr>
            <w:tcW w:w="1392" w:type="dxa"/>
            <w:tcBorders>
              <w:top w:val="nil"/>
            </w:tcBorders>
            <w:shd w:val="clear" w:color="auto" w:fill="auto"/>
            <w:tcMar>
              <w:left w:w="73" w:type="dxa"/>
            </w:tcMar>
          </w:tcPr>
          <w:p w:rsidR="009B4F4D" w:rsidRDefault="008F5E84">
            <w:pPr>
              <w:pStyle w:val="NoSpacing"/>
            </w:pPr>
            <w:r>
              <w:t>24/11/2015</w:t>
            </w:r>
          </w:p>
        </w:tc>
        <w:tc>
          <w:tcPr>
            <w:tcW w:w="5093" w:type="dxa"/>
            <w:tcBorders>
              <w:top w:val="nil"/>
            </w:tcBorders>
            <w:shd w:val="clear" w:color="auto" w:fill="auto"/>
            <w:tcMar>
              <w:left w:w="73" w:type="dxa"/>
            </w:tcMar>
          </w:tcPr>
          <w:p w:rsidR="009B4F4D" w:rsidRDefault="008F5E84">
            <w:pPr>
              <w:pStyle w:val="NoSpacing"/>
            </w:pPr>
            <w:r>
              <w:t>External review changes</w:t>
            </w:r>
          </w:p>
        </w:tc>
        <w:tc>
          <w:tcPr>
            <w:tcW w:w="1946" w:type="dxa"/>
            <w:tcBorders>
              <w:top w:val="nil"/>
            </w:tcBorders>
            <w:shd w:val="clear" w:color="auto" w:fill="auto"/>
            <w:tcMar>
              <w:left w:w="73" w:type="dxa"/>
            </w:tcMar>
          </w:tcPr>
          <w:p w:rsidR="009B4F4D" w:rsidRDefault="008F5E84">
            <w:pPr>
              <w:pStyle w:val="NoSpacing"/>
            </w:pPr>
            <w:r>
              <w:t xml:space="preserve">Z. </w:t>
            </w:r>
            <w:proofErr w:type="spellStart"/>
            <w:r>
              <w:t>Šustr</w:t>
            </w:r>
            <w:proofErr w:type="spellEnd"/>
            <w:r>
              <w:t xml:space="preserve"> / CESNET</w:t>
            </w:r>
          </w:p>
          <w:p w:rsidR="009B4F4D" w:rsidRDefault="008F5E84">
            <w:pPr>
              <w:pStyle w:val="NoSpacing"/>
            </w:pPr>
            <w:r>
              <w:t>A. Lopez / CSIC</w:t>
            </w:r>
          </w:p>
        </w:tc>
      </w:tr>
      <w:tr w:rsidR="009B4F4D" w:rsidTr="002401E5">
        <w:tc>
          <w:tcPr>
            <w:tcW w:w="811" w:type="dxa"/>
            <w:tcBorders>
              <w:top w:val="nil"/>
            </w:tcBorders>
            <w:shd w:val="clear" w:color="auto" w:fill="auto"/>
            <w:tcMar>
              <w:left w:w="73" w:type="dxa"/>
            </w:tcMar>
          </w:tcPr>
          <w:p w:rsidR="009B4F4D" w:rsidRPr="002401E5" w:rsidRDefault="002401E5">
            <w:pPr>
              <w:pStyle w:val="NoSpacing"/>
              <w:rPr>
                <w:b/>
              </w:rPr>
            </w:pPr>
            <w:r w:rsidRPr="002401E5">
              <w:rPr>
                <w:b/>
              </w:rPr>
              <w:t>FINAL</w:t>
            </w:r>
          </w:p>
        </w:tc>
        <w:tc>
          <w:tcPr>
            <w:tcW w:w="1392" w:type="dxa"/>
            <w:tcBorders>
              <w:top w:val="nil"/>
            </w:tcBorders>
            <w:shd w:val="clear" w:color="auto" w:fill="auto"/>
            <w:tcMar>
              <w:left w:w="73" w:type="dxa"/>
            </w:tcMar>
          </w:tcPr>
          <w:p w:rsidR="009B4F4D" w:rsidRDefault="002401E5" w:rsidP="002401E5">
            <w:pPr>
              <w:pStyle w:val="NoSpacing"/>
            </w:pPr>
            <w:r>
              <w:t>2</w:t>
            </w:r>
            <w:r>
              <w:t>5</w:t>
            </w:r>
            <w:r>
              <w:t>/11/2015</w:t>
            </w:r>
          </w:p>
        </w:tc>
        <w:tc>
          <w:tcPr>
            <w:tcW w:w="5093" w:type="dxa"/>
            <w:tcBorders>
              <w:top w:val="nil"/>
            </w:tcBorders>
            <w:shd w:val="clear" w:color="auto" w:fill="auto"/>
            <w:tcMar>
              <w:left w:w="73" w:type="dxa"/>
            </w:tcMar>
          </w:tcPr>
          <w:p w:rsidR="009B4F4D" w:rsidRDefault="002401E5">
            <w:pPr>
              <w:pStyle w:val="NoSpacing"/>
            </w:pPr>
            <w:r>
              <w:t>Final version</w:t>
            </w:r>
          </w:p>
        </w:tc>
        <w:tc>
          <w:tcPr>
            <w:tcW w:w="1946" w:type="dxa"/>
            <w:tcBorders>
              <w:top w:val="nil"/>
            </w:tcBorders>
            <w:shd w:val="clear" w:color="auto" w:fill="auto"/>
            <w:tcMar>
              <w:left w:w="73" w:type="dxa"/>
            </w:tcMar>
          </w:tcPr>
          <w:p w:rsidR="009B4F4D" w:rsidRDefault="008F5E84">
            <w:pPr>
              <w:pStyle w:val="NoSpacing"/>
            </w:pPr>
            <w:r>
              <w:t>A. Lopez / CSIC</w:t>
            </w:r>
          </w:p>
        </w:tc>
      </w:tr>
    </w:tbl>
    <w:p w:rsidR="009B4F4D" w:rsidRDefault="009B4F4D"/>
    <w:p w:rsidR="009B4F4D" w:rsidRDefault="008F5E84">
      <w:pPr>
        <w:rPr>
          <w:b/>
          <w:color w:val="4F81BD" w:themeColor="accent1"/>
        </w:rPr>
      </w:pPr>
      <w:r>
        <w:rPr>
          <w:b/>
          <w:color w:val="4F81BD" w:themeColor="accent1"/>
        </w:rPr>
        <w:t>TERMINOLOGY</w:t>
      </w:r>
    </w:p>
    <w:p w:rsidR="009B4F4D" w:rsidRDefault="008F5E84">
      <w:r>
        <w:t xml:space="preserve">A complete project glossary is provided at the following page: </w:t>
      </w:r>
      <w:hyperlink r:id="rId12">
        <w:r>
          <w:rPr>
            <w:rStyle w:val="InternetLink"/>
          </w:rPr>
          <w:t>http://www.egi.eu/about/glossary/</w:t>
        </w:r>
      </w:hyperlink>
      <w:r>
        <w:t xml:space="preserve">     </w:t>
      </w:r>
    </w:p>
    <w:p w:rsidR="009B4F4D" w:rsidRDefault="008F5E84">
      <w:r>
        <w:t xml:space="preserve">The key words </w:t>
      </w:r>
      <w:r>
        <w:t xml:space="preserve">"MUST", "MUST NOT", "REQUIRED", "SHALL", "SHALL NOT", "SHOULD", "SHOULD NOT", "RECOMMENDED", “MAY", and "OPTIONAL" in this document are to be interpreted as described in </w:t>
      </w:r>
      <w:hyperlink r:id="rId13">
        <w:r>
          <w:rPr>
            <w:rStyle w:val="InternetLink"/>
          </w:rPr>
          <w:t>RFC 2119</w:t>
        </w:r>
      </w:hyperlink>
      <w:r>
        <w:t xml:space="preserve">. </w:t>
      </w:r>
    </w:p>
    <w:p w:rsidR="009B4F4D" w:rsidRDefault="008F5E84">
      <w:r>
        <w:br w:type="page"/>
      </w:r>
    </w:p>
    <w:sdt>
      <w:sdtPr>
        <w:id w:val="504277968"/>
        <w:docPartObj>
          <w:docPartGallery w:val="Table of Contents"/>
          <w:docPartUnique/>
        </w:docPartObj>
      </w:sdtPr>
      <w:sdtEndPr/>
      <w:sdtContent>
        <w:p w:rsidR="009B4F4D" w:rsidRDefault="008F5E84">
          <w:r>
            <w:rPr>
              <w:b/>
              <w:color w:val="0067B1"/>
              <w:sz w:val="40"/>
            </w:rPr>
            <w:t>Contents</w:t>
          </w:r>
        </w:p>
        <w:p w:rsidR="00832749" w:rsidRDefault="008F5E84">
          <w:pPr>
            <w:pStyle w:val="TOC1"/>
            <w:tabs>
              <w:tab w:val="left" w:pos="440"/>
              <w:tab w:val="right" w:leader="dot" w:pos="9016"/>
            </w:tabs>
            <w:rPr>
              <w:rFonts w:asciiTheme="minorHAnsi" w:eastAsiaTheme="minorEastAsia" w:hAnsiTheme="minorHAnsi"/>
              <w:noProof/>
              <w:color w:val="auto"/>
              <w:spacing w:val="0"/>
              <w:lang w:eastAsia="en-GB"/>
            </w:rPr>
          </w:pPr>
          <w:r>
            <w:fldChar w:fldCharType="begin"/>
          </w:r>
          <w:r>
            <w:instrText xml:space="preserve">TOC \z \o </w:instrText>
          </w:r>
          <w:r>
            <w:instrText>"1-3" \u \h</w:instrText>
          </w:r>
          <w:r>
            <w:fldChar w:fldCharType="separate"/>
          </w:r>
          <w:hyperlink w:anchor="_Toc436228491" w:history="1">
            <w:r w:rsidR="00832749" w:rsidRPr="00AF2CC6">
              <w:rPr>
                <w:rStyle w:val="Hyperlink"/>
                <w:noProof/>
              </w:rPr>
              <w:t>1</w:t>
            </w:r>
            <w:r w:rsidR="00832749">
              <w:rPr>
                <w:rFonts w:asciiTheme="minorHAnsi" w:eastAsiaTheme="minorEastAsia" w:hAnsiTheme="minorHAnsi"/>
                <w:noProof/>
                <w:color w:val="auto"/>
                <w:spacing w:val="0"/>
                <w:lang w:eastAsia="en-GB"/>
              </w:rPr>
              <w:tab/>
            </w:r>
            <w:r w:rsidR="00832749" w:rsidRPr="00AF2CC6">
              <w:rPr>
                <w:rStyle w:val="Hyperlink"/>
                <w:noProof/>
              </w:rPr>
              <w:t>Introduction</w:t>
            </w:r>
            <w:r w:rsidR="00832749">
              <w:rPr>
                <w:noProof/>
                <w:webHidden/>
              </w:rPr>
              <w:tab/>
            </w:r>
            <w:r w:rsidR="00832749">
              <w:rPr>
                <w:noProof/>
                <w:webHidden/>
              </w:rPr>
              <w:fldChar w:fldCharType="begin"/>
            </w:r>
            <w:r w:rsidR="00832749">
              <w:rPr>
                <w:noProof/>
                <w:webHidden/>
              </w:rPr>
              <w:instrText xml:space="preserve"> PAGEREF _Toc436228491 \h </w:instrText>
            </w:r>
            <w:r w:rsidR="00832749">
              <w:rPr>
                <w:noProof/>
                <w:webHidden/>
              </w:rPr>
            </w:r>
            <w:r w:rsidR="00832749">
              <w:rPr>
                <w:noProof/>
                <w:webHidden/>
              </w:rPr>
              <w:fldChar w:fldCharType="separate"/>
            </w:r>
            <w:r w:rsidR="00FE265D">
              <w:rPr>
                <w:noProof/>
                <w:webHidden/>
              </w:rPr>
              <w:t>4</w:t>
            </w:r>
            <w:r w:rsidR="00832749">
              <w:rPr>
                <w:noProof/>
                <w:webHidden/>
              </w:rPr>
              <w:fldChar w:fldCharType="end"/>
            </w:r>
          </w:hyperlink>
        </w:p>
        <w:p w:rsidR="00832749" w:rsidRDefault="00832749">
          <w:pPr>
            <w:pStyle w:val="TOC2"/>
            <w:tabs>
              <w:tab w:val="left" w:pos="880"/>
              <w:tab w:val="right" w:leader="dot" w:pos="9016"/>
            </w:tabs>
            <w:rPr>
              <w:rFonts w:asciiTheme="minorHAnsi" w:eastAsiaTheme="minorEastAsia" w:hAnsiTheme="minorHAnsi"/>
              <w:noProof/>
              <w:color w:val="auto"/>
              <w:spacing w:val="0"/>
              <w:lang w:eastAsia="en-GB"/>
            </w:rPr>
          </w:pPr>
          <w:hyperlink w:anchor="_Toc436228492" w:history="1">
            <w:r w:rsidRPr="00AF2CC6">
              <w:rPr>
                <w:rStyle w:val="Hyperlink"/>
                <w:noProof/>
              </w:rPr>
              <w:t>1.1</w:t>
            </w:r>
            <w:r>
              <w:rPr>
                <w:rFonts w:asciiTheme="minorHAnsi" w:eastAsiaTheme="minorEastAsia" w:hAnsiTheme="minorHAnsi"/>
                <w:noProof/>
                <w:color w:val="auto"/>
                <w:spacing w:val="0"/>
                <w:lang w:eastAsia="en-GB"/>
              </w:rPr>
              <w:tab/>
            </w:r>
            <w:r w:rsidRPr="00AF2CC6">
              <w:rPr>
                <w:rStyle w:val="Hyperlink"/>
                <w:noProof/>
              </w:rPr>
              <w:t>Use cases</w:t>
            </w:r>
            <w:r>
              <w:rPr>
                <w:noProof/>
                <w:webHidden/>
              </w:rPr>
              <w:tab/>
            </w:r>
            <w:r>
              <w:rPr>
                <w:noProof/>
                <w:webHidden/>
              </w:rPr>
              <w:fldChar w:fldCharType="begin"/>
            </w:r>
            <w:r>
              <w:rPr>
                <w:noProof/>
                <w:webHidden/>
              </w:rPr>
              <w:instrText xml:space="preserve"> PAGEREF _Toc436228492 \h </w:instrText>
            </w:r>
            <w:r>
              <w:rPr>
                <w:noProof/>
                <w:webHidden/>
              </w:rPr>
            </w:r>
            <w:r>
              <w:rPr>
                <w:noProof/>
                <w:webHidden/>
              </w:rPr>
              <w:fldChar w:fldCharType="separate"/>
            </w:r>
            <w:r w:rsidR="00FE265D">
              <w:rPr>
                <w:noProof/>
                <w:webHidden/>
              </w:rPr>
              <w:t>4</w:t>
            </w:r>
            <w:r>
              <w:rPr>
                <w:noProof/>
                <w:webHidden/>
              </w:rPr>
              <w:fldChar w:fldCharType="end"/>
            </w:r>
          </w:hyperlink>
        </w:p>
        <w:p w:rsidR="00832749" w:rsidRDefault="00832749">
          <w:pPr>
            <w:pStyle w:val="TOC1"/>
            <w:tabs>
              <w:tab w:val="left" w:pos="440"/>
              <w:tab w:val="right" w:leader="dot" w:pos="9016"/>
            </w:tabs>
            <w:rPr>
              <w:rFonts w:asciiTheme="minorHAnsi" w:eastAsiaTheme="minorEastAsia" w:hAnsiTheme="minorHAnsi"/>
              <w:noProof/>
              <w:color w:val="auto"/>
              <w:spacing w:val="0"/>
              <w:lang w:eastAsia="en-GB"/>
            </w:rPr>
          </w:pPr>
          <w:hyperlink w:anchor="_Toc436228493" w:history="1">
            <w:r w:rsidRPr="00AF2CC6">
              <w:rPr>
                <w:rStyle w:val="Hyperlink"/>
                <w:noProof/>
              </w:rPr>
              <w:t>2</w:t>
            </w:r>
            <w:r>
              <w:rPr>
                <w:rFonts w:asciiTheme="minorHAnsi" w:eastAsiaTheme="minorEastAsia" w:hAnsiTheme="minorHAnsi"/>
                <w:noProof/>
                <w:color w:val="auto"/>
                <w:spacing w:val="0"/>
                <w:lang w:eastAsia="en-GB"/>
              </w:rPr>
              <w:tab/>
            </w:r>
            <w:r w:rsidRPr="00AF2CC6">
              <w:rPr>
                <w:rStyle w:val="Hyperlink"/>
                <w:noProof/>
              </w:rPr>
              <w:t>Virtual Machine Snapshotting</w:t>
            </w:r>
            <w:r>
              <w:rPr>
                <w:noProof/>
                <w:webHidden/>
              </w:rPr>
              <w:tab/>
            </w:r>
            <w:r>
              <w:rPr>
                <w:noProof/>
                <w:webHidden/>
              </w:rPr>
              <w:fldChar w:fldCharType="begin"/>
            </w:r>
            <w:r>
              <w:rPr>
                <w:noProof/>
                <w:webHidden/>
              </w:rPr>
              <w:instrText xml:space="preserve"> PAGEREF _Toc436228493 \h </w:instrText>
            </w:r>
            <w:r>
              <w:rPr>
                <w:noProof/>
                <w:webHidden/>
              </w:rPr>
            </w:r>
            <w:r>
              <w:rPr>
                <w:noProof/>
                <w:webHidden/>
              </w:rPr>
              <w:fldChar w:fldCharType="separate"/>
            </w:r>
            <w:r w:rsidR="00FE265D">
              <w:rPr>
                <w:noProof/>
                <w:webHidden/>
              </w:rPr>
              <w:t>6</w:t>
            </w:r>
            <w:r>
              <w:rPr>
                <w:noProof/>
                <w:webHidden/>
              </w:rPr>
              <w:fldChar w:fldCharType="end"/>
            </w:r>
          </w:hyperlink>
        </w:p>
        <w:p w:rsidR="00832749" w:rsidRDefault="00832749">
          <w:pPr>
            <w:pStyle w:val="TOC2"/>
            <w:tabs>
              <w:tab w:val="left" w:pos="880"/>
              <w:tab w:val="right" w:leader="dot" w:pos="9016"/>
            </w:tabs>
            <w:rPr>
              <w:rFonts w:asciiTheme="minorHAnsi" w:eastAsiaTheme="minorEastAsia" w:hAnsiTheme="minorHAnsi"/>
              <w:noProof/>
              <w:color w:val="auto"/>
              <w:spacing w:val="0"/>
              <w:lang w:eastAsia="en-GB"/>
            </w:rPr>
          </w:pPr>
          <w:hyperlink w:anchor="_Toc436228494" w:history="1">
            <w:r w:rsidRPr="00AF2CC6">
              <w:rPr>
                <w:rStyle w:val="Hyperlink"/>
                <w:noProof/>
              </w:rPr>
              <w:t>2.1</w:t>
            </w:r>
            <w:r>
              <w:rPr>
                <w:rFonts w:asciiTheme="minorHAnsi" w:eastAsiaTheme="minorEastAsia" w:hAnsiTheme="minorHAnsi"/>
                <w:noProof/>
                <w:color w:val="auto"/>
                <w:spacing w:val="0"/>
                <w:lang w:eastAsia="en-GB"/>
              </w:rPr>
              <w:tab/>
            </w:r>
            <w:r w:rsidRPr="00AF2CC6">
              <w:rPr>
                <w:rStyle w:val="Hyperlink"/>
                <w:noProof/>
              </w:rPr>
              <w:t>Changes introduced into the standard</w:t>
            </w:r>
            <w:r>
              <w:rPr>
                <w:noProof/>
                <w:webHidden/>
              </w:rPr>
              <w:tab/>
            </w:r>
            <w:r>
              <w:rPr>
                <w:noProof/>
                <w:webHidden/>
              </w:rPr>
              <w:fldChar w:fldCharType="begin"/>
            </w:r>
            <w:r>
              <w:rPr>
                <w:noProof/>
                <w:webHidden/>
              </w:rPr>
              <w:instrText xml:space="preserve"> PAGEREF _Toc436228494 \h </w:instrText>
            </w:r>
            <w:r>
              <w:rPr>
                <w:noProof/>
                <w:webHidden/>
              </w:rPr>
            </w:r>
            <w:r>
              <w:rPr>
                <w:noProof/>
                <w:webHidden/>
              </w:rPr>
              <w:fldChar w:fldCharType="separate"/>
            </w:r>
            <w:r w:rsidR="00FE265D">
              <w:rPr>
                <w:noProof/>
                <w:webHidden/>
              </w:rPr>
              <w:t>7</w:t>
            </w:r>
            <w:r>
              <w:rPr>
                <w:noProof/>
                <w:webHidden/>
              </w:rPr>
              <w:fldChar w:fldCharType="end"/>
            </w:r>
          </w:hyperlink>
        </w:p>
        <w:p w:rsidR="00832749" w:rsidRDefault="00832749">
          <w:pPr>
            <w:pStyle w:val="TOC1"/>
            <w:tabs>
              <w:tab w:val="left" w:pos="440"/>
              <w:tab w:val="right" w:leader="dot" w:pos="9016"/>
            </w:tabs>
            <w:rPr>
              <w:rFonts w:asciiTheme="minorHAnsi" w:eastAsiaTheme="minorEastAsia" w:hAnsiTheme="minorHAnsi"/>
              <w:noProof/>
              <w:color w:val="auto"/>
              <w:spacing w:val="0"/>
              <w:lang w:eastAsia="en-GB"/>
            </w:rPr>
          </w:pPr>
          <w:hyperlink w:anchor="_Toc436228495" w:history="1">
            <w:r w:rsidRPr="00AF2CC6">
              <w:rPr>
                <w:rStyle w:val="Hyperlink"/>
                <w:noProof/>
              </w:rPr>
              <w:t>3</w:t>
            </w:r>
            <w:r>
              <w:rPr>
                <w:rFonts w:asciiTheme="minorHAnsi" w:eastAsiaTheme="minorEastAsia" w:hAnsiTheme="minorHAnsi"/>
                <w:noProof/>
                <w:color w:val="auto"/>
                <w:spacing w:val="0"/>
                <w:lang w:eastAsia="en-GB"/>
              </w:rPr>
              <w:tab/>
            </w:r>
            <w:r w:rsidRPr="00AF2CC6">
              <w:rPr>
                <w:rStyle w:val="Hyperlink"/>
                <w:noProof/>
              </w:rPr>
              <w:t>Roadmap and future plans</w:t>
            </w:r>
            <w:r>
              <w:rPr>
                <w:noProof/>
                <w:webHidden/>
              </w:rPr>
              <w:tab/>
            </w:r>
            <w:r>
              <w:rPr>
                <w:noProof/>
                <w:webHidden/>
              </w:rPr>
              <w:fldChar w:fldCharType="begin"/>
            </w:r>
            <w:r>
              <w:rPr>
                <w:noProof/>
                <w:webHidden/>
              </w:rPr>
              <w:instrText xml:space="preserve"> PAGEREF _Toc436228495 \h </w:instrText>
            </w:r>
            <w:r>
              <w:rPr>
                <w:noProof/>
                <w:webHidden/>
              </w:rPr>
            </w:r>
            <w:r>
              <w:rPr>
                <w:noProof/>
                <w:webHidden/>
              </w:rPr>
              <w:fldChar w:fldCharType="separate"/>
            </w:r>
            <w:r w:rsidR="00FE265D">
              <w:rPr>
                <w:noProof/>
                <w:webHidden/>
              </w:rPr>
              <w:t>8</w:t>
            </w:r>
            <w:r>
              <w:rPr>
                <w:noProof/>
                <w:webHidden/>
              </w:rPr>
              <w:fldChar w:fldCharType="end"/>
            </w:r>
          </w:hyperlink>
        </w:p>
        <w:p w:rsidR="00832749" w:rsidRDefault="00832749">
          <w:pPr>
            <w:pStyle w:val="TOC1"/>
            <w:tabs>
              <w:tab w:val="left" w:pos="1320"/>
              <w:tab w:val="right" w:leader="dot" w:pos="9016"/>
            </w:tabs>
            <w:rPr>
              <w:rFonts w:asciiTheme="minorHAnsi" w:eastAsiaTheme="minorEastAsia" w:hAnsiTheme="minorHAnsi"/>
              <w:noProof/>
              <w:color w:val="auto"/>
              <w:spacing w:val="0"/>
              <w:lang w:eastAsia="en-GB"/>
            </w:rPr>
          </w:pPr>
          <w:hyperlink w:anchor="_Toc436228496" w:history="1">
            <w:r w:rsidRPr="00AF2CC6">
              <w:rPr>
                <w:rStyle w:val="Hyperlink"/>
                <w:noProof/>
              </w:rPr>
              <w:t>Appendix I.</w:t>
            </w:r>
            <w:r>
              <w:rPr>
                <w:rFonts w:asciiTheme="minorHAnsi" w:eastAsiaTheme="minorEastAsia" w:hAnsiTheme="minorHAnsi"/>
                <w:noProof/>
                <w:color w:val="auto"/>
                <w:spacing w:val="0"/>
                <w:lang w:eastAsia="en-GB"/>
              </w:rPr>
              <w:tab/>
            </w:r>
            <w:r w:rsidRPr="00AF2CC6">
              <w:rPr>
                <w:rStyle w:val="Hyperlink"/>
                <w:noProof/>
              </w:rPr>
              <w:t>OCCI Infrastructure Specifications</w:t>
            </w:r>
            <w:r>
              <w:rPr>
                <w:noProof/>
                <w:webHidden/>
              </w:rPr>
              <w:tab/>
            </w:r>
            <w:r>
              <w:rPr>
                <w:noProof/>
                <w:webHidden/>
              </w:rPr>
              <w:fldChar w:fldCharType="begin"/>
            </w:r>
            <w:r>
              <w:rPr>
                <w:noProof/>
                <w:webHidden/>
              </w:rPr>
              <w:instrText xml:space="preserve"> PAGEREF _Toc436228496 \h </w:instrText>
            </w:r>
            <w:r>
              <w:rPr>
                <w:noProof/>
                <w:webHidden/>
              </w:rPr>
            </w:r>
            <w:r>
              <w:rPr>
                <w:noProof/>
                <w:webHidden/>
              </w:rPr>
              <w:fldChar w:fldCharType="separate"/>
            </w:r>
            <w:r w:rsidR="00FE265D">
              <w:rPr>
                <w:noProof/>
                <w:webHidden/>
              </w:rPr>
              <w:t>9</w:t>
            </w:r>
            <w:r>
              <w:rPr>
                <w:noProof/>
                <w:webHidden/>
              </w:rPr>
              <w:fldChar w:fldCharType="end"/>
            </w:r>
          </w:hyperlink>
        </w:p>
        <w:p w:rsidR="009B4F4D" w:rsidRDefault="008F5E84">
          <w:pPr>
            <w:pStyle w:val="Contents1"/>
            <w:tabs>
              <w:tab w:val="right" w:leader="dot" w:pos="9026"/>
            </w:tabs>
          </w:pPr>
          <w:r>
            <w:fldChar w:fldCharType="end"/>
          </w:r>
        </w:p>
      </w:sdtContent>
    </w:sdt>
    <w:p w:rsidR="009B4F4D" w:rsidRDefault="009B4F4D"/>
    <w:p w:rsidR="009B4F4D" w:rsidRDefault="009B4F4D"/>
    <w:p w:rsidR="009B4F4D" w:rsidRDefault="009B4F4D"/>
    <w:p w:rsidR="009B4F4D" w:rsidRDefault="008F5E84">
      <w:pPr>
        <w:pStyle w:val="Heading1"/>
        <w:numPr>
          <w:ilvl w:val="0"/>
          <w:numId w:val="1"/>
        </w:numPr>
        <w:ind w:left="431" w:hanging="431"/>
      </w:pPr>
      <w:bookmarkStart w:id="2" w:name="_Toc434583201"/>
      <w:bookmarkStart w:id="3" w:name="_Toc428966022"/>
      <w:bookmarkStart w:id="4" w:name="_Toc436228491"/>
      <w:bookmarkEnd w:id="2"/>
      <w:bookmarkEnd w:id="3"/>
      <w:r>
        <w:lastRenderedPageBreak/>
        <w:t>Introduction</w:t>
      </w:r>
      <w:bookmarkEnd w:id="4"/>
    </w:p>
    <w:p w:rsidR="009B4F4D" w:rsidRDefault="008F5E84">
      <w:r>
        <w:rPr>
          <w:color w:val="000000"/>
        </w:rPr>
        <w:t>The OCCI (Open Cloud Computing Interface)</w:t>
      </w:r>
      <w:r>
        <w:rPr>
          <w:rStyle w:val="FootnoteAnchor"/>
          <w:color w:val="000000"/>
        </w:rPr>
        <w:footnoteReference w:id="1"/>
      </w:r>
      <w:r>
        <w:rPr>
          <w:color w:val="000000"/>
        </w:rPr>
        <w:t xml:space="preserve"> standard is a set of community driven specifications delivered by the Open Grid Forum (OGF)</w:t>
      </w:r>
      <w:r>
        <w:rPr>
          <w:rStyle w:val="FootnoteAnchor"/>
          <w:color w:val="000000"/>
        </w:rPr>
        <w:footnoteReference w:id="2"/>
      </w:r>
      <w:r>
        <w:rPr>
          <w:color w:val="000000"/>
        </w:rPr>
        <w:t>, allow</w:t>
      </w:r>
      <w:r>
        <w:rPr>
          <w:color w:val="000000"/>
        </w:rPr>
        <w:t>ing for the development and deployment of interoperable clouds. The OCCI specification</w:t>
      </w:r>
      <w:r>
        <w:rPr>
          <w:rStyle w:val="FootnoteAnchor"/>
          <w:color w:val="000000"/>
        </w:rPr>
        <w:footnoteReference w:id="3"/>
      </w:r>
      <w:r>
        <w:rPr>
          <w:color w:val="000000"/>
        </w:rPr>
        <w:t xml:space="preserve"> consists of several complimentary documents defining the core abstract model, its renderings and extensions to the core model. Currently, the Infrastructure extension c</w:t>
      </w:r>
      <w:r>
        <w:rPr>
          <w:color w:val="000000"/>
        </w:rPr>
        <w:t>ontains the required resource types, attributes and actions needed to manage Infrastructure as a Service (IaaS) resources.</w:t>
      </w:r>
    </w:p>
    <w:p w:rsidR="009B4F4D" w:rsidRDefault="008F5E84">
      <w:r>
        <w:t>The current version of the standard at the time of this deliverable is OCCI v. 1.1. The new version 1.2 has been developed in the las</w:t>
      </w:r>
      <w:r>
        <w:t>t months, passing through the public comment phase that ended in July 2015. Currently the v. 1.2 version of the standard is going through the OGF processes to be officially released to the public.</w:t>
      </w:r>
    </w:p>
    <w:p w:rsidR="009B4F4D" w:rsidRDefault="008F5E84">
      <w:r>
        <w:t>A common use case and requirement from IaaS customers is cr</w:t>
      </w:r>
      <w:r>
        <w:t>eating copies or snapshots of running virtual machines. This is highly desirable when the virtual machine has undergone major changes of its operating system environment, when a long running service wants to be preserved, or when a given virtual machine ne</w:t>
      </w:r>
      <w:r>
        <w:t>eds to be duplicated. It is worth to note that for the purpose of this document, the term “snapshotting” refers to the process of deriving a new VM image from an existing Virtual Machine (Compute) instance, so that new instances can be spawned from the “sn</w:t>
      </w:r>
      <w:r>
        <w:t>apshot” created. This is contrary to another usual use of the term, where snapshots are only the recording of the current state of an instance to allow the same instance to be returned to that state. Therefore the definition of “snapshotting” should suppor</w:t>
      </w:r>
      <w:r>
        <w:t xml:space="preserve">t the creation of “snapshots” as VM images with cleanly bootable Operating Systems. </w:t>
      </w:r>
    </w:p>
    <w:p w:rsidR="009B4F4D" w:rsidRDefault="008F5E84">
      <w:r>
        <w:t>The OCCI standard lacked a clear support for this functionality, as there was no snapshotting or save action available, even if this functionality was already available in</w:t>
      </w:r>
      <w:r>
        <w:t xml:space="preserve"> most of the cloud </w:t>
      </w:r>
      <w:proofErr w:type="spellStart"/>
      <w:r>
        <w:t>backends</w:t>
      </w:r>
      <w:proofErr w:type="spellEnd"/>
      <w:r>
        <w:t xml:space="preserve"> being used. EGI Federated Cloud users perceived this lack of support in the OCCI standard as a considerable drawback to embrace its usage as they had to circumvent this issue by contacting each particular resource </w:t>
      </w:r>
      <w:r w:rsidR="002401E5">
        <w:t>provider that</w:t>
      </w:r>
      <w:r>
        <w:t xml:space="preserve"> created the snapshots on their behalf, using the cloud management framework native interfaces.</w:t>
      </w:r>
    </w:p>
    <w:p w:rsidR="009B4F4D" w:rsidRDefault="008F5E84">
      <w:pPr>
        <w:pStyle w:val="Heading2"/>
        <w:numPr>
          <w:ilvl w:val="1"/>
          <w:numId w:val="1"/>
        </w:numPr>
      </w:pPr>
      <w:bookmarkStart w:id="5" w:name="__RefHeading___Toc3364_9426014331"/>
      <w:bookmarkStart w:id="6" w:name="_Toc436228492"/>
      <w:bookmarkEnd w:id="5"/>
      <w:r>
        <w:t>Use cases</w:t>
      </w:r>
      <w:bookmarkEnd w:id="6"/>
    </w:p>
    <w:p w:rsidR="009B4F4D" w:rsidRDefault="008F5E84">
      <w:r>
        <w:t>Virtual machine snapshotting is a common functionality in the current cloud resource providers and management frameworks, and it is commonly used to s</w:t>
      </w:r>
      <w:r>
        <w:t xml:space="preserve">atisfy two use </w:t>
      </w:r>
      <w:proofErr w:type="spellStart"/>
      <w:r>
        <w:t>cases</w:t>
      </w:r>
      <w:proofErr w:type="gramStart"/>
      <w:r>
        <w:t>:virtual</w:t>
      </w:r>
      <w:proofErr w:type="spellEnd"/>
      <w:proofErr w:type="gramEnd"/>
      <w:r>
        <w:t xml:space="preserve"> machine images customization, and backup and archival.</w:t>
      </w:r>
    </w:p>
    <w:p w:rsidR="009B4F4D" w:rsidRDefault="008F5E84">
      <w:proofErr w:type="gramStart"/>
      <w:r>
        <w:lastRenderedPageBreak/>
        <w:t xml:space="preserve">Regarding the virtual machine image customization, Infrastructure as </w:t>
      </w:r>
      <w:r>
        <w:t>Service users</w:t>
      </w:r>
      <w:r>
        <w:t xml:space="preserve"> tend to create a virtual machine starting from a simple and minimal virtual machine ima</w:t>
      </w:r>
      <w:r>
        <w:t>ge.</w:t>
      </w:r>
      <w:proofErr w:type="gramEnd"/>
      <w:r>
        <w:t xml:space="preserve"> This basic virtual machine is then customized and configured with additional software to fit the user requirements. For the simpler applications and customizations, this task can be done automatically at boot time via contextualization mechanisms, but </w:t>
      </w:r>
      <w:r>
        <w:t xml:space="preserve">in the case of more complex software this needs to be done manually by the virtual machine operator, consuming a considerable amount of work. Therefore, whenever a virtual machine is configured to satisfy their requirements, users tend to create snapshots </w:t>
      </w:r>
      <w:r>
        <w:t>of their running machines so that additional instances can be created based on that new image. This way, it is possible for a group of users to rely on the same baseline virtual machine image that has been customized and configured with the needed software</w:t>
      </w:r>
      <w:r>
        <w:t xml:space="preserve"> and applications.</w:t>
      </w:r>
    </w:p>
    <w:p w:rsidR="009B4F4D" w:rsidRDefault="008F5E84">
      <w:r>
        <w:t xml:space="preserve">The second use case is the backup of running virtual machines. This is not only useful for backing </w:t>
      </w:r>
      <w:proofErr w:type="gramStart"/>
      <w:r>
        <w:t>up  long</w:t>
      </w:r>
      <w:proofErr w:type="gramEnd"/>
      <w:r>
        <w:t xml:space="preserve">-running executions (if the cloud management framework supports </w:t>
      </w:r>
      <w:r>
        <w:rPr>
          <w:i/>
          <w:iCs/>
        </w:rPr>
        <w:t>hot</w:t>
      </w:r>
      <w:r>
        <w:t xml:space="preserve"> snapshots) but also to ensure that a given version of a virtua</w:t>
      </w:r>
      <w:r>
        <w:t>l machine can be preserved along the time. Whenever an actualization is done, users can easily preserve the original state, so that it is possible to roll-back to it if the new update is found to be problematic.</w:t>
      </w:r>
    </w:p>
    <w:p w:rsidR="009B4F4D" w:rsidRDefault="008F5E84">
      <w:r>
        <w:t>As it was already stated, OCCI 1.1 lacked th</w:t>
      </w:r>
      <w:r>
        <w:t xml:space="preserve">is </w:t>
      </w:r>
      <w:r w:rsidR="002401E5">
        <w:t>functionality;</w:t>
      </w:r>
      <w:r>
        <w:t xml:space="preserve"> therefore the EGI Federated Cloud users were unable to manage snapshots on their own. Instead, they had to perform individual requests to each of the particular resource providers where their virtual machines were running asking for a sna</w:t>
      </w:r>
      <w:r>
        <w:t>pshot to be made. Then, the resource provider would create the snapshot and would make it available for the user or group This produced a negative impact on their experience using the infrastructure, as the users were unable to self-service their own snaps</w:t>
      </w:r>
      <w:r>
        <w:t>hots on-demand as they had to rely on an intervention by the resource provider.</w:t>
      </w:r>
    </w:p>
    <w:p w:rsidR="009B4F4D" w:rsidRDefault="008F5E84">
      <w:pPr>
        <w:pStyle w:val="Heading1"/>
        <w:numPr>
          <w:ilvl w:val="0"/>
          <w:numId w:val="1"/>
        </w:numPr>
      </w:pPr>
      <w:bookmarkStart w:id="7" w:name="_Toc434583202"/>
      <w:bookmarkStart w:id="8" w:name="_Toc436228493"/>
      <w:bookmarkEnd w:id="7"/>
      <w:r>
        <w:lastRenderedPageBreak/>
        <w:t>Virtual Machine Snapshotting</w:t>
      </w:r>
      <w:bookmarkEnd w:id="8"/>
    </w:p>
    <w:p w:rsidR="009B4F4D" w:rsidRDefault="008F5E84">
      <w:bookmarkStart w:id="9" w:name="docs-internal-guid-cd1b600c-dcca-262f-7d"/>
      <w:bookmarkEnd w:id="9"/>
      <w:r>
        <w:t xml:space="preserve">In the envisioned reference scenario for Virtual Machine snapshotting, a user can have a running Virtual Machine (VM), which they want to use as a </w:t>
      </w:r>
      <w:r>
        <w:t>starting point for further work. They should be able to derive a usable Virtual Machine Image from that machine, and spawn further instances based on that template. Using OCCI terminology Virtual Machines are modelled as Compute Resources, and VM images as</w:t>
      </w:r>
      <w:r>
        <w:t xml:space="preserve"> Operating System (OS) Templates.</w:t>
      </w:r>
    </w:p>
    <w:p w:rsidR="009B4F4D" w:rsidRDefault="008F5E84">
      <w:r>
        <w:t>Up until, and including, OCCI v. 1.1, the OCCI Infrastructure specification only recognized a snapshot action associated with Storage type resources. This snapshot action could not be applied to virtual machines (i.e. Comp</w:t>
      </w:r>
      <w:r>
        <w:t>ute type instances) therefore it could not be applied for taking a snapshot of a running virtual machine.</w:t>
      </w:r>
    </w:p>
    <w:p w:rsidR="009B4F4D" w:rsidRDefault="008F5E84">
      <w:r>
        <w:t>Therefore, the OCCI Infrastructure definition for OCCI v. 1.2 has been updated based on EGI-Engage comments and discussions carried out during the pub</w:t>
      </w:r>
      <w:r>
        <w:t>lic comment stage to introduce a save action, which, when called for an existing compute instance, creates a new Operating System (OS) Template.</w:t>
      </w:r>
    </w:p>
    <w:p w:rsidR="009B4F4D" w:rsidRDefault="008F5E84">
      <w:r>
        <w:t xml:space="preserve">The specification makes it possible for the user to optionally specify a method (hot or deferred) for the save </w:t>
      </w:r>
      <w:r>
        <w:t>action. The chosen method will, in case of hot, instruct the implementation to make an immediate (potentially inconsistent) copy without interfering with the running instance or, in case of deferred, to gracefully stop the instance, safely copy its data an</w:t>
      </w:r>
      <w:r>
        <w:t>d start it again. An optional name attribute will be available for the user to specify their desired name of the OS Template, and the server may choose to use that name if technically possible.</w:t>
      </w:r>
    </w:p>
    <w:p w:rsidR="009B4F4D" w:rsidRDefault="008F5E84">
      <w:r>
        <w:t xml:space="preserve">The save action will then produce an OS template based on the </w:t>
      </w:r>
      <w:r>
        <w:t>content of the disks of the originating compute instance and, on success, return an identifier of the newly created OS Template. The action target state over the Compute instance will be “active”, via a “stop” and “start” chain if needed. Once the snapshot</w:t>
      </w:r>
      <w:r>
        <w:t xml:space="preserve"> is created, it will be discoverable as any other virtual machine image available at the resource provider, but it is out of the scope of OCCI how to export that image to outside the resource provider domain.</w:t>
      </w:r>
    </w:p>
    <w:p w:rsidR="009B4F4D" w:rsidRDefault="008F5E84">
      <w:r>
        <w:t>As with any other OCCI action, if the functiona</w:t>
      </w:r>
      <w:r>
        <w:t>lity is not supported in the underlying backend, the OCCI implementation MUST return any of the HTTP error codes, according to the OCCI HTTP rendering.</w:t>
      </w:r>
    </w:p>
    <w:p w:rsidR="009B4F4D" w:rsidRDefault="008F5E84">
      <w:r>
        <w:t xml:space="preserve">As a reference, we attach the OCCI 1.2 Infrastructure Extension drafts as it stands as of the date of </w:t>
      </w:r>
      <w:r>
        <w:t>this deliverable. However, it is worth notice that these are not the final documents, as they are subject to the OGF processes that are still ongoing.</w:t>
      </w:r>
    </w:p>
    <w:p w:rsidR="009B4F4D" w:rsidRDefault="008F5E84">
      <w:pPr>
        <w:pStyle w:val="Heading2"/>
        <w:numPr>
          <w:ilvl w:val="1"/>
          <w:numId w:val="1"/>
        </w:numPr>
      </w:pPr>
      <w:bookmarkStart w:id="10" w:name="_Toc434583203"/>
      <w:bookmarkStart w:id="11" w:name="_Toc436228494"/>
      <w:bookmarkEnd w:id="10"/>
      <w:r>
        <w:lastRenderedPageBreak/>
        <w:t>Changes introduced into the standard</w:t>
      </w:r>
      <w:bookmarkEnd w:id="11"/>
    </w:p>
    <w:p w:rsidR="009B4F4D" w:rsidRDefault="008F5E84">
      <w:pPr>
        <w:pStyle w:val="TextBody"/>
      </w:pPr>
      <w:bookmarkStart w:id="12" w:name="docs-internal-guid-8041b34f-dccd-a5a8-5a"/>
      <w:bookmarkEnd w:id="12"/>
      <w:r>
        <w:t>The Section 3.1 “Compute” from the OCCI Infrastructure Extension has</w:t>
      </w:r>
      <w:r>
        <w:t xml:space="preserve"> been augmented as follows. An ellipsis </w:t>
      </w:r>
      <w:r>
        <w:rPr>
          <w:i/>
          <w:iCs/>
        </w:rPr>
        <w:t>(…)</w:t>
      </w:r>
      <w:r>
        <w:t xml:space="preserve"> means that unmodified parts of the standard have been omitted.</w:t>
      </w:r>
    </w:p>
    <w:p w:rsidR="009B4F4D" w:rsidRDefault="008F5E84">
      <w:pPr>
        <w:ind w:left="720"/>
      </w:pPr>
      <w:r>
        <w:t>3.1 Compute</w:t>
      </w:r>
    </w:p>
    <w:p w:rsidR="009B4F4D" w:rsidRDefault="009B4F4D">
      <w:pPr>
        <w:ind w:left="720"/>
      </w:pPr>
    </w:p>
    <w:p w:rsidR="009B4F4D" w:rsidRDefault="008F5E84">
      <w:pPr>
        <w:ind w:left="720"/>
        <w:rPr>
          <w:i/>
          <w:iCs/>
        </w:rPr>
      </w:pPr>
      <w:r>
        <w:rPr>
          <w:i/>
          <w:iCs/>
        </w:rPr>
        <w:t>(…)</w:t>
      </w:r>
    </w:p>
    <w:p w:rsidR="009B4F4D" w:rsidRDefault="009B4F4D">
      <w:pPr>
        <w:ind w:left="720"/>
      </w:pPr>
    </w:p>
    <w:tbl>
      <w:tblPr>
        <w:tblW w:w="8363" w:type="dxa"/>
        <w:tblInd w:w="859" w:type="dxa"/>
        <w:tblBorders>
          <w:top w:val="single" w:sz="2" w:space="0" w:color="000001"/>
          <w:bottom w:val="single" w:sz="2" w:space="0" w:color="000001"/>
          <w:insideH w:val="single" w:sz="2" w:space="0" w:color="000001"/>
        </w:tblBorders>
        <w:tblCellMar>
          <w:top w:w="105" w:type="dxa"/>
          <w:left w:w="105" w:type="dxa"/>
          <w:bottom w:w="105" w:type="dxa"/>
          <w:right w:w="105" w:type="dxa"/>
        </w:tblCellMar>
        <w:tblLook w:val="04A0" w:firstRow="1" w:lastRow="0" w:firstColumn="1" w:lastColumn="0" w:noHBand="0" w:noVBand="1"/>
      </w:tblPr>
      <w:tblGrid>
        <w:gridCol w:w="1444"/>
        <w:gridCol w:w="3150"/>
        <w:gridCol w:w="3769"/>
      </w:tblGrid>
      <w:tr w:rsidR="009B4F4D">
        <w:tc>
          <w:tcPr>
            <w:tcW w:w="1444" w:type="dxa"/>
            <w:tcBorders>
              <w:top w:val="single" w:sz="2" w:space="0" w:color="000001"/>
              <w:bottom w:val="single" w:sz="2" w:space="0" w:color="000001"/>
            </w:tcBorders>
            <w:shd w:val="clear" w:color="auto" w:fill="auto"/>
            <w:vAlign w:val="center"/>
          </w:tcPr>
          <w:p w:rsidR="009B4F4D" w:rsidRDefault="008F5E84">
            <w:pPr>
              <w:pStyle w:val="NoSpacing"/>
            </w:pPr>
            <w:r>
              <w:t>Action term</w:t>
            </w:r>
          </w:p>
        </w:tc>
        <w:tc>
          <w:tcPr>
            <w:tcW w:w="3150" w:type="dxa"/>
            <w:tcBorders>
              <w:top w:val="single" w:sz="2" w:space="0" w:color="000001"/>
              <w:bottom w:val="single" w:sz="2" w:space="0" w:color="000001"/>
            </w:tcBorders>
            <w:shd w:val="clear" w:color="auto" w:fill="auto"/>
            <w:vAlign w:val="center"/>
          </w:tcPr>
          <w:p w:rsidR="009B4F4D" w:rsidRDefault="008F5E84">
            <w:pPr>
              <w:pStyle w:val="NoSpacing"/>
            </w:pPr>
            <w:r>
              <w:t>Target state</w:t>
            </w:r>
          </w:p>
        </w:tc>
        <w:tc>
          <w:tcPr>
            <w:tcW w:w="3769" w:type="dxa"/>
            <w:tcBorders>
              <w:top w:val="single" w:sz="2" w:space="0" w:color="000001"/>
              <w:bottom w:val="single" w:sz="2" w:space="0" w:color="000001"/>
            </w:tcBorders>
            <w:shd w:val="clear" w:color="auto" w:fill="auto"/>
            <w:vAlign w:val="center"/>
          </w:tcPr>
          <w:p w:rsidR="009B4F4D" w:rsidRDefault="008F5E84">
            <w:pPr>
              <w:pStyle w:val="NoSpacing"/>
            </w:pPr>
            <w:r>
              <w:t>Attributes</w:t>
            </w:r>
          </w:p>
        </w:tc>
      </w:tr>
      <w:tr w:rsidR="009B4F4D">
        <w:tc>
          <w:tcPr>
            <w:tcW w:w="1444" w:type="dxa"/>
            <w:tcBorders>
              <w:top w:val="single" w:sz="2" w:space="0" w:color="000001"/>
              <w:bottom w:val="single" w:sz="2" w:space="0" w:color="000001"/>
            </w:tcBorders>
            <w:shd w:val="clear" w:color="auto" w:fill="auto"/>
            <w:vAlign w:val="center"/>
          </w:tcPr>
          <w:p w:rsidR="009B4F4D" w:rsidRDefault="008F5E84">
            <w:pPr>
              <w:pStyle w:val="NoSpacing"/>
              <w:rPr>
                <w:i/>
                <w:iCs/>
              </w:rPr>
            </w:pPr>
            <w:r>
              <w:rPr>
                <w:i/>
                <w:iCs/>
              </w:rPr>
              <w:t>(...)</w:t>
            </w:r>
          </w:p>
        </w:tc>
        <w:tc>
          <w:tcPr>
            <w:tcW w:w="3150" w:type="dxa"/>
            <w:tcBorders>
              <w:top w:val="single" w:sz="2" w:space="0" w:color="000001"/>
              <w:bottom w:val="single" w:sz="2" w:space="0" w:color="000001"/>
            </w:tcBorders>
            <w:shd w:val="clear" w:color="auto" w:fill="auto"/>
            <w:vAlign w:val="center"/>
          </w:tcPr>
          <w:p w:rsidR="009B4F4D" w:rsidRDefault="009B4F4D">
            <w:pPr>
              <w:pStyle w:val="NoSpacing"/>
            </w:pPr>
          </w:p>
        </w:tc>
        <w:tc>
          <w:tcPr>
            <w:tcW w:w="3769" w:type="dxa"/>
            <w:tcBorders>
              <w:top w:val="single" w:sz="2" w:space="0" w:color="000001"/>
              <w:bottom w:val="single" w:sz="2" w:space="0" w:color="000001"/>
            </w:tcBorders>
            <w:shd w:val="clear" w:color="auto" w:fill="auto"/>
            <w:vAlign w:val="center"/>
          </w:tcPr>
          <w:p w:rsidR="009B4F4D" w:rsidRDefault="009B4F4D">
            <w:pPr>
              <w:pStyle w:val="NoSpacing"/>
            </w:pPr>
          </w:p>
        </w:tc>
      </w:tr>
      <w:tr w:rsidR="009B4F4D">
        <w:tc>
          <w:tcPr>
            <w:tcW w:w="1444" w:type="dxa"/>
            <w:tcBorders>
              <w:top w:val="single" w:sz="2" w:space="0" w:color="000001"/>
              <w:bottom w:val="single" w:sz="2" w:space="0" w:color="000001"/>
            </w:tcBorders>
            <w:shd w:val="clear" w:color="auto" w:fill="auto"/>
            <w:vAlign w:val="center"/>
          </w:tcPr>
          <w:p w:rsidR="009B4F4D" w:rsidRDefault="008F5E84">
            <w:pPr>
              <w:pStyle w:val="NoSpacing"/>
            </w:pPr>
            <w:r>
              <w:t>save</w:t>
            </w:r>
          </w:p>
        </w:tc>
        <w:tc>
          <w:tcPr>
            <w:tcW w:w="3150" w:type="dxa"/>
            <w:tcBorders>
              <w:top w:val="single" w:sz="2" w:space="0" w:color="000001"/>
              <w:bottom w:val="single" w:sz="2" w:space="0" w:color="000001"/>
            </w:tcBorders>
            <w:shd w:val="clear" w:color="auto" w:fill="auto"/>
            <w:vAlign w:val="center"/>
          </w:tcPr>
          <w:p w:rsidR="009B4F4D" w:rsidRDefault="008F5E84">
            <w:pPr>
              <w:pStyle w:val="NoSpacing"/>
            </w:pPr>
            <w:r>
              <w:t>active (via stop and start chain)</w:t>
            </w:r>
          </w:p>
        </w:tc>
        <w:tc>
          <w:tcPr>
            <w:tcW w:w="3769" w:type="dxa"/>
            <w:tcBorders>
              <w:top w:val="single" w:sz="2" w:space="0" w:color="000001"/>
              <w:bottom w:val="single" w:sz="2" w:space="0" w:color="000001"/>
            </w:tcBorders>
            <w:shd w:val="clear" w:color="auto" w:fill="auto"/>
            <w:vAlign w:val="center"/>
          </w:tcPr>
          <w:p w:rsidR="009B4F4D" w:rsidRDefault="008F5E84">
            <w:pPr>
              <w:pStyle w:val="NoSpacing"/>
            </w:pPr>
            <w:r>
              <w:t>method={hot, deferred},  name=String</w:t>
            </w:r>
          </w:p>
        </w:tc>
      </w:tr>
    </w:tbl>
    <w:p w:rsidR="009B4F4D" w:rsidRDefault="009B4F4D"/>
    <w:p w:rsidR="009B4F4D" w:rsidRDefault="008F5E84">
      <w:pPr>
        <w:ind w:left="720"/>
        <w:rPr>
          <w:i/>
          <w:iCs/>
        </w:rPr>
      </w:pPr>
      <w:r>
        <w:rPr>
          <w:i/>
          <w:iCs/>
        </w:rPr>
        <w:t>(...)</w:t>
      </w:r>
    </w:p>
    <w:p w:rsidR="009B4F4D" w:rsidRDefault="008F5E84">
      <w:pPr>
        <w:ind w:left="720"/>
      </w:pPr>
      <w:r>
        <w:t>Action “save” is expected to create an OS Template referencing an independent copy of the current state of the Compute instance. The provider MAY choose to respect the “name” given by the client or override it according to its internal policies. A successf</w:t>
      </w:r>
      <w:r>
        <w:t xml:space="preserve">ul execution of this action MUST lead to a response containing the rendering of the newly created OS Template as defined by the chosen rendering and transport protocol. The provider MAY choose to include a reference to the original Compute instance in the </w:t>
      </w:r>
      <w:proofErr w:type="spellStart"/>
      <w:r>
        <w:t>Mixin</w:t>
      </w:r>
      <w:proofErr w:type="spellEnd"/>
      <w:r>
        <w:t xml:space="preserve"> attributes of the newly created OS Template.</w:t>
      </w:r>
    </w:p>
    <w:p w:rsidR="009B4F4D" w:rsidRDefault="009B4F4D"/>
    <w:p w:rsidR="009B4F4D" w:rsidRDefault="009B4F4D"/>
    <w:p w:rsidR="009B4F4D" w:rsidRDefault="008F5E84">
      <w:pPr>
        <w:pStyle w:val="Heading1"/>
        <w:numPr>
          <w:ilvl w:val="0"/>
          <w:numId w:val="1"/>
        </w:numPr>
      </w:pPr>
      <w:bookmarkStart w:id="13" w:name="_Toc436228495"/>
      <w:r>
        <w:lastRenderedPageBreak/>
        <w:t>Roadmap and future plans</w:t>
      </w:r>
      <w:bookmarkEnd w:id="13"/>
    </w:p>
    <w:p w:rsidR="009B4F4D" w:rsidRDefault="008F5E84">
      <w:r>
        <w:t xml:space="preserve">The EGI-Engage proposed changes for </w:t>
      </w:r>
      <w:r>
        <w:rPr>
          <w:color w:val="000000"/>
        </w:rPr>
        <w:t xml:space="preserve">standardizing the process of saving the current state of a virtual machine </w:t>
      </w:r>
      <w:r>
        <w:t xml:space="preserve">have been accepted in the public comment phase for the elaboration </w:t>
      </w:r>
      <w:r>
        <w:t>of the next OCCI 1.2 standard by the OGF. The preparation and release of the new version of the standard is currently undergoing the internal OGF processes, but no substantial changes are expected to the proposed extensions.</w:t>
      </w:r>
    </w:p>
    <w:p w:rsidR="009B4F4D" w:rsidRDefault="008F5E84">
      <w:r>
        <w:t>Although outside of the scope o</w:t>
      </w:r>
      <w:r>
        <w:t>f this deliverable, the implementation of this functionality on EGI infrastructure within the scope of EGI-Engage depends on OCCI 1.2 support being introduced for each of the OCCI interfaces for the available cloud management frameworks supported in the EG</w:t>
      </w:r>
      <w:r>
        <w:t>I Federated Cloud. The first OCCI 1.2 preview release is planned for March 2016. The final OCCI 1.2 release will depend on the delivery by the OGF of the final OCCI 1.2 specifications, but it is expected for the 2</w:t>
      </w:r>
      <w:r>
        <w:rPr>
          <w:vertAlign w:val="superscript"/>
        </w:rPr>
        <w:t>nd</w:t>
      </w:r>
      <w:r>
        <w:t xml:space="preserve"> quarter of 2016.</w:t>
      </w:r>
    </w:p>
    <w:p w:rsidR="009B4F4D" w:rsidRDefault="008F5E84">
      <w:r>
        <w:t xml:space="preserve">Regarding the adoption </w:t>
      </w:r>
      <w:r>
        <w:t xml:space="preserve">and deployment of OCCI 1.2 by the EGI Federated Cloud sites, it is expected that resource providers deploy the new interface as soon as it is available. OCCI 1.2 solves several usability shortcomings (such as the lack of a JSON rendering) that are present </w:t>
      </w:r>
      <w:r>
        <w:t>in the OCCI 1.1 implementation.</w:t>
      </w:r>
    </w:p>
    <w:p w:rsidR="009B4F4D" w:rsidRDefault="00F543FD">
      <w:pPr>
        <w:pStyle w:val="Appendix"/>
        <w:numPr>
          <w:ilvl w:val="0"/>
          <w:numId w:val="2"/>
        </w:numPr>
      </w:pPr>
      <w:bookmarkStart w:id="14" w:name="_Toc434583204"/>
      <w:bookmarkStart w:id="15" w:name="_Toc428966034"/>
      <w:bookmarkStart w:id="16" w:name="_Toc436228496"/>
      <w:bookmarkEnd w:id="14"/>
      <w:bookmarkEnd w:id="15"/>
      <w:r>
        <w:lastRenderedPageBreak/>
        <w:t xml:space="preserve">OCCI Infrastructure </w:t>
      </w:r>
      <w:r w:rsidR="008F5E84">
        <w:t>Specifications</w:t>
      </w:r>
      <w:bookmarkEnd w:id="16"/>
    </w:p>
    <w:p w:rsidR="00466E62" w:rsidRPr="00466E62" w:rsidRDefault="00466E62" w:rsidP="00466E62">
      <w:r>
        <w:t>As a reference, we attach the OCCI 1.2 Infrastructure Extension draft as it stands as of the date of</w:t>
      </w:r>
      <w:r>
        <w:t xml:space="preserve"> </w:t>
      </w:r>
      <w:r>
        <w:t>this deliverable. The latest version of the draft document is provided in the following link:</w:t>
      </w:r>
    </w:p>
    <w:p w:rsidR="002401E5" w:rsidRPr="002401E5" w:rsidRDefault="002401E5" w:rsidP="002401E5">
      <w:pPr>
        <w:rPr>
          <w:highlight w:val="yellow"/>
        </w:rPr>
      </w:pPr>
      <w:hyperlink r:id="rId14" w:history="1">
        <w:r w:rsidRPr="00F8078C">
          <w:rPr>
            <w:rStyle w:val="Hyperlink"/>
          </w:rPr>
          <w:t>https://documents.egi.eu/document/2643</w:t>
        </w:r>
      </w:hyperlink>
      <w:r>
        <w:t xml:space="preserve"> </w:t>
      </w:r>
      <w:bookmarkStart w:id="17" w:name="_GoBack"/>
      <w:bookmarkEnd w:id="17"/>
    </w:p>
    <w:p w:rsidR="009B4F4D" w:rsidRDefault="009B4F4D" w:rsidP="002401E5"/>
    <w:sectPr w:rsidR="009B4F4D">
      <w:headerReference w:type="default" r:id="rId15"/>
      <w:footerReference w:type="default" r:id="rId16"/>
      <w:headerReference w:type="first" r:id="rId17"/>
      <w:footerReference w:type="first" r:id="rId18"/>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E84" w:rsidRDefault="008F5E84">
      <w:pPr>
        <w:spacing w:after="0" w:line="240" w:lineRule="auto"/>
      </w:pPr>
      <w:r>
        <w:separator/>
      </w:r>
    </w:p>
  </w:endnote>
  <w:endnote w:type="continuationSeparator" w:id="0">
    <w:p w:rsidR="008F5E84" w:rsidRDefault="008F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4D" w:rsidRDefault="009B4F4D">
    <w:pPr>
      <w:pStyle w:val="NoSpacing"/>
    </w:pPr>
  </w:p>
  <w:tbl>
    <w:tblPr>
      <w:tblStyle w:val="TableGrid"/>
      <w:tblW w:w="9181" w:type="dxa"/>
      <w:tblCellMar>
        <w:left w:w="143" w:type="dxa"/>
      </w:tblCellMar>
      <w:tblLook w:val="04A0" w:firstRow="1" w:lastRow="0" w:firstColumn="1" w:lastColumn="0" w:noHBand="0" w:noVBand="1"/>
    </w:tblPr>
    <w:tblGrid>
      <w:gridCol w:w="3060"/>
      <w:gridCol w:w="3060"/>
      <w:gridCol w:w="3061"/>
    </w:tblGrid>
    <w:tr w:rsidR="009B4F4D">
      <w:trPr>
        <w:trHeight w:val="857"/>
      </w:trPr>
      <w:tc>
        <w:tcPr>
          <w:tcW w:w="3060" w:type="dxa"/>
          <w:tcBorders>
            <w:left w:val="nil"/>
            <w:bottom w:val="nil"/>
            <w:right w:val="nil"/>
          </w:tcBorders>
          <w:shd w:val="clear" w:color="auto" w:fill="auto"/>
          <w:vAlign w:val="bottom"/>
        </w:tcPr>
        <w:p w:rsidR="009B4F4D" w:rsidRDefault="008F5E84">
          <w:pPr>
            <w:pStyle w:val="Header"/>
            <w:jc w:val="left"/>
          </w:pPr>
          <w:r>
            <w:rPr>
              <w:noProof/>
              <w:lang w:eastAsia="en-GB"/>
            </w:rPr>
            <w:drawing>
              <wp:inline distT="0" distB="0" distL="0" distR="0">
                <wp:extent cx="765810" cy="4318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79966781"/>
            <w:docPartObj>
              <w:docPartGallery w:val="Page Numbers (Bottom of Page)"/>
              <w:docPartUnique/>
            </w:docPartObj>
          </w:sdtPr>
          <w:sdtEndPr/>
          <w:sdtContent>
            <w:p w:rsidR="009B4F4D" w:rsidRDefault="008F5E84">
              <w:pPr>
                <w:pStyle w:val="Header"/>
                <w:jc w:val="center"/>
              </w:pPr>
              <w:r>
                <w:fldChar w:fldCharType="begin"/>
              </w:r>
              <w:r>
                <w:instrText>PAGE</w:instrText>
              </w:r>
              <w:r>
                <w:fldChar w:fldCharType="separate"/>
              </w:r>
              <w:r w:rsidR="00FE265D">
                <w:rPr>
                  <w:noProof/>
                </w:rPr>
                <w:t>3</w:t>
              </w:r>
              <w:r>
                <w:fldChar w:fldCharType="end"/>
              </w:r>
            </w:p>
          </w:sdtContent>
        </w:sdt>
      </w:tc>
      <w:tc>
        <w:tcPr>
          <w:tcW w:w="3061" w:type="dxa"/>
          <w:tcBorders>
            <w:left w:val="nil"/>
            <w:bottom w:val="nil"/>
            <w:right w:val="nil"/>
          </w:tcBorders>
          <w:shd w:val="clear" w:color="auto" w:fill="auto"/>
          <w:vAlign w:val="bottom"/>
        </w:tcPr>
        <w:p w:rsidR="009B4F4D" w:rsidRDefault="008F5E84">
          <w:pPr>
            <w:pStyle w:val="Header"/>
            <w:jc w:val="right"/>
          </w:pPr>
          <w:r>
            <w:rPr>
              <w:noProof/>
              <w:lang w:eastAsia="en-GB"/>
            </w:rPr>
            <w:drawing>
              <wp:inline distT="0" distB="0" distL="0" distR="0">
                <wp:extent cx="539750" cy="36004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9B4F4D" w:rsidRDefault="009B4F4D">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3" w:type="dxa"/>
      </w:tblCellMar>
      <w:tblLook w:val="04A0" w:firstRow="1" w:lastRow="0" w:firstColumn="1" w:lastColumn="0" w:noHBand="0" w:noVBand="1"/>
    </w:tblPr>
    <w:tblGrid>
      <w:gridCol w:w="1271"/>
      <w:gridCol w:w="7971"/>
    </w:tblGrid>
    <w:tr w:rsidR="009B4F4D">
      <w:tc>
        <w:tcPr>
          <w:tcW w:w="1255" w:type="dxa"/>
          <w:tcBorders>
            <w:top w:val="nil"/>
            <w:left w:val="nil"/>
            <w:bottom w:val="nil"/>
            <w:right w:val="nil"/>
          </w:tcBorders>
          <w:shd w:val="clear" w:color="auto" w:fill="auto"/>
          <w:vAlign w:val="center"/>
        </w:tcPr>
        <w:p w:rsidR="009B4F4D" w:rsidRDefault="008F5E84">
          <w:pPr>
            <w:pStyle w:val="Footer"/>
            <w:jc w:val="center"/>
          </w:pPr>
          <w:r>
            <w:rPr>
              <w:noProof/>
              <w:lang w:eastAsia="en-GB"/>
            </w:rPr>
            <w:drawing>
              <wp:inline distT="0" distB="0" distL="0" distR="0">
                <wp:extent cx="647700" cy="4318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86" w:type="dxa"/>
          <w:tcBorders>
            <w:top w:val="nil"/>
            <w:left w:val="nil"/>
            <w:bottom w:val="nil"/>
            <w:right w:val="nil"/>
          </w:tcBorders>
          <w:shd w:val="clear" w:color="auto" w:fill="auto"/>
          <w:vAlign w:val="center"/>
        </w:tcPr>
        <w:p w:rsidR="009B4F4D" w:rsidRDefault="008F5E84">
          <w:pPr>
            <w:pStyle w:val="Footer"/>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webHidden/>
                <w:sz w:val="20"/>
              </w:rPr>
              <w:t xml:space="preserve">Creative </w:t>
            </w:r>
            <w:r>
              <w:rPr>
                <w:rStyle w:val="InternetLink"/>
                <w:vanish/>
                <w:webHidden/>
                <w:sz w:val="20"/>
              </w:rPr>
              <w:t>Commons Attribution 4.0 International License</w:t>
            </w:r>
          </w:hyperlink>
          <w:r>
            <w:rPr>
              <w:sz w:val="20"/>
            </w:rPr>
            <w:t xml:space="preserve">. </w:t>
          </w:r>
        </w:p>
        <w:p w:rsidR="009B4F4D" w:rsidRDefault="008F5E84">
          <w:pPr>
            <w:pStyle w:val="Footer"/>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rsidR="009B4F4D" w:rsidRDefault="009B4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E84" w:rsidRDefault="008F5E84"/>
  </w:footnote>
  <w:footnote w:type="continuationSeparator" w:id="0">
    <w:p w:rsidR="008F5E84" w:rsidRDefault="008F5E84">
      <w:r>
        <w:continuationSeparator/>
      </w:r>
    </w:p>
  </w:footnote>
  <w:footnote w:id="1">
    <w:p w:rsidR="009B4F4D" w:rsidRDefault="008F5E84">
      <w:pPr>
        <w:pStyle w:val="FootnoteText"/>
      </w:pPr>
      <w:r>
        <w:footnoteRef/>
      </w:r>
      <w:r w:rsidR="002401E5">
        <w:t xml:space="preserve"> </w:t>
      </w:r>
      <w:hyperlink r:id="rId1">
        <w:r w:rsidR="002401E5">
          <w:rPr>
            <w:rStyle w:val="InternetLink"/>
            <w:webHidden/>
          </w:rPr>
          <w:t>http://occi-wg.org/</w:t>
        </w:r>
      </w:hyperlink>
      <w:r>
        <w:tab/>
        <w:t xml:space="preserve"> </w:t>
      </w:r>
      <w:hyperlink r:id="rId2">
        <w:r>
          <w:rPr>
            <w:rStyle w:val="InternetLink"/>
            <w:vanish/>
            <w:webHidden/>
          </w:rPr>
          <w:t>http://occi-wg.org/</w:t>
        </w:r>
      </w:hyperlink>
      <w:r>
        <w:rPr>
          <w:vanish/>
        </w:rPr>
        <w:t xml:space="preserve"> </w:t>
      </w:r>
    </w:p>
  </w:footnote>
  <w:footnote w:id="2">
    <w:p w:rsidR="009B4F4D" w:rsidRDefault="008F5E84">
      <w:pPr>
        <w:pStyle w:val="FootnoteText"/>
      </w:pPr>
      <w:r>
        <w:footnoteRef/>
      </w:r>
      <w:r w:rsidR="002401E5">
        <w:t xml:space="preserve"> </w:t>
      </w:r>
      <w:hyperlink r:id="rId3">
        <w:r w:rsidR="002401E5">
          <w:rPr>
            <w:rStyle w:val="InternetLink"/>
            <w:webHidden/>
          </w:rPr>
          <w:t>https://www.ogf.org/</w:t>
        </w:r>
      </w:hyperlink>
      <w:r>
        <w:tab/>
        <w:t xml:space="preserve"> </w:t>
      </w:r>
      <w:hyperlink r:id="rId4">
        <w:r>
          <w:rPr>
            <w:rStyle w:val="InternetLink"/>
            <w:vanish/>
            <w:webHidden/>
          </w:rPr>
          <w:t>https://www.ogf.org/</w:t>
        </w:r>
      </w:hyperlink>
      <w:r>
        <w:rPr>
          <w:vanish/>
        </w:rPr>
        <w:t xml:space="preserve"> </w:t>
      </w:r>
    </w:p>
  </w:footnote>
  <w:footnote w:id="3">
    <w:p w:rsidR="009B4F4D" w:rsidRDefault="008F5E84">
      <w:pPr>
        <w:pStyle w:val="FootnoteText"/>
      </w:pPr>
      <w:r>
        <w:footnoteRef/>
      </w:r>
      <w:r w:rsidR="002401E5">
        <w:t xml:space="preserve"> </w:t>
      </w:r>
      <w:hyperlink r:id="rId5">
        <w:r w:rsidR="002401E5">
          <w:rPr>
            <w:rStyle w:val="InternetLink"/>
            <w:webHidden/>
          </w:rPr>
          <w:t>http://occi-wg.org/about/specification/</w:t>
        </w:r>
      </w:hyperlink>
      <w:r>
        <w:tab/>
        <w:t xml:space="preserve"> </w:t>
      </w:r>
      <w:hyperlink r:id="rId6">
        <w:r>
          <w:rPr>
            <w:rStyle w:val="InternetLink"/>
            <w:vanish/>
            <w:webHidden/>
          </w:rPr>
          <w:t>http://occi-wg.org/about/specification/</w:t>
        </w:r>
      </w:hyperlink>
      <w:r>
        <w:rPr>
          <w:vanish/>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3" w:type="dxa"/>
      </w:tblCellMar>
      <w:tblLook w:val="04A0" w:firstRow="1" w:lastRow="0" w:firstColumn="1" w:lastColumn="0" w:noHBand="0" w:noVBand="1"/>
    </w:tblPr>
    <w:tblGrid>
      <w:gridCol w:w="4622"/>
      <w:gridCol w:w="4620"/>
    </w:tblGrid>
    <w:tr w:rsidR="009B4F4D">
      <w:tc>
        <w:tcPr>
          <w:tcW w:w="4621" w:type="dxa"/>
          <w:tcBorders>
            <w:top w:val="nil"/>
            <w:left w:val="nil"/>
            <w:bottom w:val="nil"/>
            <w:right w:val="nil"/>
          </w:tcBorders>
          <w:shd w:val="clear" w:color="auto" w:fill="auto"/>
        </w:tcPr>
        <w:p w:rsidR="009B4F4D" w:rsidRDefault="009B4F4D">
          <w:pPr>
            <w:spacing w:after="0" w:line="240" w:lineRule="auto"/>
          </w:pPr>
        </w:p>
      </w:tc>
      <w:tc>
        <w:tcPr>
          <w:tcW w:w="4620" w:type="dxa"/>
          <w:tcBorders>
            <w:top w:val="nil"/>
            <w:left w:val="nil"/>
            <w:bottom w:val="nil"/>
            <w:right w:val="nil"/>
          </w:tcBorders>
          <w:shd w:val="clear" w:color="auto" w:fill="auto"/>
        </w:tcPr>
        <w:p w:rsidR="009B4F4D" w:rsidRDefault="008F5E84">
          <w:pPr>
            <w:spacing w:after="0" w:line="240" w:lineRule="auto"/>
            <w:jc w:val="right"/>
          </w:pPr>
          <w:r>
            <w:t>EGI-Engage</w:t>
          </w:r>
        </w:p>
      </w:tc>
    </w:tr>
  </w:tbl>
  <w:p w:rsidR="009B4F4D" w:rsidRDefault="009B4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4D" w:rsidRDefault="009B4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8545C"/>
    <w:multiLevelType w:val="multilevel"/>
    <w:tmpl w:val="42181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621763A1"/>
    <w:multiLevelType w:val="multilevel"/>
    <w:tmpl w:val="BFCC8D3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51036AA"/>
    <w:multiLevelType w:val="multilevel"/>
    <w:tmpl w:val="C8FA9FA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4D"/>
    <w:rsid w:val="002401E5"/>
    <w:rsid w:val="00466E62"/>
    <w:rsid w:val="00543A7D"/>
    <w:rsid w:val="006E1938"/>
    <w:rsid w:val="007848CB"/>
    <w:rsid w:val="00832749"/>
    <w:rsid w:val="008F5E84"/>
    <w:rsid w:val="009B4F4D"/>
    <w:rsid w:val="00F543FD"/>
    <w:rsid w:val="00FE265D"/>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2E1233"/>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2E1233"/>
    <w:rPr>
      <w:color w:val="00000A"/>
      <w:spacing w:val="2"/>
      <w:szCs w:val="20"/>
    </w:rPr>
  </w:style>
  <w:style w:type="character" w:styleId="FootnoteReference">
    <w:name w:val="footnote reference"/>
    <w:basedOn w:val="DefaultParagraphFont"/>
    <w:uiPriority w:val="99"/>
    <w:semiHidden/>
    <w:unhideWhenUsed/>
    <w:qFormat/>
    <w:rsid w:val="002E1233"/>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2E1233"/>
    <w:pPr>
      <w:spacing w:after="100"/>
    </w:pPr>
  </w:style>
  <w:style w:type="paragraph" w:customStyle="1" w:styleId="Contents2">
    <w:name w:val="Contents 2"/>
    <w:basedOn w:val="Normal"/>
    <w:next w:val="Normal"/>
    <w:autoRedefine/>
    <w:uiPriority w:val="39"/>
    <w:unhideWhenUsed/>
    <w:rsid w:val="002E1233"/>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2E1233"/>
    <w:pPr>
      <w:spacing w:after="0" w:line="240" w:lineRule="auto"/>
    </w:pPr>
    <w:rPr>
      <w:sz w:val="20"/>
      <w:szCs w:val="20"/>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401E5"/>
    <w:pPr>
      <w:spacing w:after="100"/>
    </w:pPr>
  </w:style>
  <w:style w:type="paragraph" w:styleId="TOC2">
    <w:name w:val="toc 2"/>
    <w:basedOn w:val="Normal"/>
    <w:next w:val="Normal"/>
    <w:autoRedefine/>
    <w:uiPriority w:val="39"/>
    <w:unhideWhenUsed/>
    <w:rsid w:val="002401E5"/>
    <w:pPr>
      <w:spacing w:after="100"/>
      <w:ind w:left="220"/>
    </w:pPr>
  </w:style>
  <w:style w:type="character" w:styleId="Hyperlink">
    <w:name w:val="Hyperlink"/>
    <w:basedOn w:val="DefaultParagraphFont"/>
    <w:uiPriority w:val="99"/>
    <w:unhideWhenUsed/>
    <w:rsid w:val="002401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2E1233"/>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2E1233"/>
    <w:rPr>
      <w:color w:val="00000A"/>
      <w:spacing w:val="2"/>
      <w:szCs w:val="20"/>
    </w:rPr>
  </w:style>
  <w:style w:type="character" w:styleId="FootnoteReference">
    <w:name w:val="footnote reference"/>
    <w:basedOn w:val="DefaultParagraphFont"/>
    <w:uiPriority w:val="99"/>
    <w:semiHidden/>
    <w:unhideWhenUsed/>
    <w:qFormat/>
    <w:rsid w:val="002E1233"/>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2E1233"/>
    <w:pPr>
      <w:spacing w:after="100"/>
    </w:pPr>
  </w:style>
  <w:style w:type="paragraph" w:customStyle="1" w:styleId="Contents2">
    <w:name w:val="Contents 2"/>
    <w:basedOn w:val="Normal"/>
    <w:next w:val="Normal"/>
    <w:autoRedefine/>
    <w:uiPriority w:val="39"/>
    <w:unhideWhenUsed/>
    <w:rsid w:val="002E1233"/>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2E1233"/>
    <w:pPr>
      <w:spacing w:after="0" w:line="240" w:lineRule="auto"/>
    </w:pPr>
    <w:rPr>
      <w:sz w:val="20"/>
      <w:szCs w:val="20"/>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401E5"/>
    <w:pPr>
      <w:spacing w:after="100"/>
    </w:pPr>
  </w:style>
  <w:style w:type="paragraph" w:styleId="TOC2">
    <w:name w:val="toc 2"/>
    <w:basedOn w:val="Normal"/>
    <w:next w:val="Normal"/>
    <w:autoRedefine/>
    <w:uiPriority w:val="39"/>
    <w:unhideWhenUsed/>
    <w:rsid w:val="002401E5"/>
    <w:pPr>
      <w:spacing w:after="100"/>
      <w:ind w:left="220"/>
    </w:pPr>
  </w:style>
  <w:style w:type="character" w:styleId="Hyperlink">
    <w:name w:val="Hyperlink"/>
    <w:basedOn w:val="DefaultParagraphFont"/>
    <w:uiPriority w:val="99"/>
    <w:unhideWhenUsed/>
    <w:rsid w:val="00240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ols.ietf.org/html/rfc21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4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264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ogf.org/" TargetMode="External"/><Relationship Id="rId2" Type="http://schemas.openxmlformats.org/officeDocument/2006/relationships/hyperlink" Target="http://occi-wg.org/" TargetMode="External"/><Relationship Id="rId1" Type="http://schemas.openxmlformats.org/officeDocument/2006/relationships/hyperlink" Target="http://occi-wg.org/" TargetMode="External"/><Relationship Id="rId6" Type="http://schemas.openxmlformats.org/officeDocument/2006/relationships/hyperlink" Target="http://occi-wg.org/about/specification/" TargetMode="External"/><Relationship Id="rId5" Type="http://schemas.openxmlformats.org/officeDocument/2006/relationships/hyperlink" Target="http://occi-wg.org/about/specification/" TargetMode="External"/><Relationship Id="rId4" Type="http://schemas.openxmlformats.org/officeDocument/2006/relationships/hyperlink" Target="https://www.og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2C3EC-1505-46E8-84D3-F73A9144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EGI.eu</Company>
  <LinksUpToDate>false</LinksUpToDate>
  <CharactersWithSpaces>12363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17</cp:revision>
  <cp:lastPrinted>2015-11-25T15:02:00Z</cp:lastPrinted>
  <dcterms:created xsi:type="dcterms:W3CDTF">2015-11-25T08:41:00Z</dcterms:created>
  <dcterms:modified xsi:type="dcterms:W3CDTF">2015-11-25T15:02:00Z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EGI.eu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