
<file path=[Content_Types].xml><?xml version="1.0" encoding="utf-8"?>
<Types xmlns="http://schemas.openxmlformats.org/package/2006/content-types">
  <Override PartName="/_rels/.rels" ContentType="application/vnd.openxmlformats-package.relationships+xml"/>
  <Override PartName="/word/_rels/footer2.xml.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media/image4.png" ContentType="image/png"/>
  <Override PartName="/word/media/image3.png" ContentType="image/png"/>
  <Override PartName="/word/media/image2.gif" ContentType="image/gif"/>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2042160" cy="162242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042160" cy="1622425"/>
                    </a:xfrm>
                    <a:prstGeom prst="rect">
                      <a:avLst/>
                    </a:prstGeom>
                  </pic:spPr>
                </pic:pic>
              </a:graphicData>
            </a:graphic>
          </wp:inline>
        </w:drawing>
      </w:r>
    </w:p>
    <w:p>
      <w:pPr>
        <w:pStyle w:val="Normal"/>
        <w:jc w:val="center"/>
        <w:rPr>
          <w:b/>
          <w:b/>
          <w:color w:val="0067B1"/>
          <w:sz w:val="56"/>
        </w:rPr>
      </w:pPr>
      <w:r>
        <w:rPr>
          <w:b/>
          <w:color w:val="0067B1"/>
          <w:sz w:val="56"/>
        </w:rPr>
        <w:t>EGI-Engage</w:t>
      </w:r>
    </w:p>
    <w:p>
      <w:pPr>
        <w:pStyle w:val="Normal"/>
        <w:rPr/>
      </w:pPr>
      <w:r>
        <w:rPr/>
      </w:r>
    </w:p>
    <w:p>
      <w:pPr>
        <w:pStyle w:val="Title"/>
        <w:rPr>
          <w:i w:val="false"/>
          <w:i w:val="false"/>
        </w:rPr>
      </w:pPr>
      <w:r>
        <w:rPr>
          <w:i w:val="false"/>
        </w:rPr>
        <w:t>Deliverable/Milestone review form</w:t>
      </w:r>
    </w:p>
    <w:p>
      <w:pPr>
        <w:pStyle w:val="Normal"/>
        <w:rPr/>
      </w:pPr>
      <w:r>
        <w:rPr/>
      </w:r>
    </w:p>
    <w:tbl>
      <w:tblPr>
        <w:tblW w:w="9640" w:type="dxa"/>
        <w:jc w:val="left"/>
        <w:tblInd w:w="8" w:type="dxa"/>
        <w:tblBorders>
          <w:top w:val="single" w:sz="6" w:space="0" w:color="00000A"/>
          <w:left w:val="single" w:sz="6" w:space="0" w:color="00000A"/>
          <w:bottom w:val="double" w:sz="6" w:space="0" w:color="00000A"/>
          <w:right w:val="single" w:sz="6" w:space="0" w:color="00000A"/>
          <w:insideH w:val="double" w:sz="6" w:space="0" w:color="00000A"/>
          <w:insideV w:val="single" w:sz="6" w:space="0" w:color="00000A"/>
        </w:tblBorders>
        <w:tblCellMar>
          <w:top w:w="0" w:type="dxa"/>
          <w:left w:w="-7" w:type="dxa"/>
          <w:bottom w:w="0" w:type="dxa"/>
          <w:right w:w="0" w:type="dxa"/>
        </w:tblCellMar>
        <w:tblLook w:val="0000" w:noVBand="0" w:noHBand="0" w:lastColumn="0" w:firstColumn="0" w:lastRow="0" w:firstRow="0"/>
      </w:tblPr>
      <w:tblGrid>
        <w:gridCol w:w="1276"/>
        <w:gridCol w:w="3402"/>
        <w:gridCol w:w="2268"/>
        <w:gridCol w:w="2693"/>
      </w:tblGrid>
      <w:tr>
        <w:trPr>
          <w:cantSplit w:val="true"/>
        </w:trPr>
        <w:tc>
          <w:tcPr>
            <w:tcW w:w="9639" w:type="dxa"/>
            <w:gridSpan w:val="4"/>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tcPr>
          <w:p>
            <w:pPr>
              <w:pStyle w:val="Annotationtext"/>
              <w:spacing w:before="0" w:after="120"/>
              <w:jc w:val="center"/>
              <w:rPr>
                <w:b/>
                <w:b/>
                <w:szCs w:val="22"/>
              </w:rPr>
            </w:pPr>
            <w:r>
              <w:rPr>
                <w:b/>
                <w:szCs w:val="22"/>
              </w:rPr>
              <w:t>Details of the document being reviewed</w:t>
            </w:r>
          </w:p>
        </w:tc>
      </w:tr>
      <w:tr>
        <w:trPr>
          <w:cantSplit w:val="true"/>
        </w:trPr>
        <w:tc>
          <w:tcPr>
            <w:tcW w:w="1276" w:type="dxa"/>
            <w:tcBorders>
              <w:left w:val="single" w:sz="6" w:space="0" w:color="00000A"/>
              <w:bottom w:val="single" w:sz="6" w:space="0" w:color="00000A"/>
              <w:insideH w:val="single" w:sz="6" w:space="0" w:color="00000A"/>
            </w:tcBorders>
            <w:shd w:fill="auto" w:val="clear"/>
            <w:tcMar>
              <w:left w:w="-7" w:type="dxa"/>
            </w:tcMar>
          </w:tcPr>
          <w:p>
            <w:pPr>
              <w:pStyle w:val="Normal"/>
              <w:spacing w:before="0" w:after="120"/>
              <w:ind w:left="113" w:right="113" w:hanging="0"/>
              <w:rPr>
                <w:i/>
                <w:i/>
              </w:rPr>
            </w:pPr>
            <w:r>
              <w:rPr>
                <w:i/>
              </w:rPr>
              <w:t>Title:</w:t>
            </w:r>
          </w:p>
        </w:tc>
        <w:tc>
          <w:tcPr>
            <w:tcW w:w="3402" w:type="dxa"/>
            <w:tcBorders>
              <w:bottom w:val="single" w:sz="6" w:space="0" w:color="00000A"/>
              <w:right w:val="single" w:sz="6" w:space="0" w:color="00000A"/>
              <w:insideH w:val="single" w:sz="6" w:space="0" w:color="00000A"/>
              <w:insideV w:val="single" w:sz="6" w:space="0" w:color="00000A"/>
            </w:tcBorders>
            <w:shd w:fill="auto" w:val="clear"/>
          </w:tcPr>
          <w:p>
            <w:pPr>
              <w:pStyle w:val="Normal"/>
              <w:spacing w:before="0" w:after="120"/>
              <w:ind w:left="113" w:right="113" w:hanging="0"/>
              <w:jc w:val="left"/>
              <w:rPr>
                <w:b/>
                <w:b/>
              </w:rPr>
            </w:pPr>
            <w:r>
              <w:rPr>
                <w:b/>
              </w:rPr>
              <w:t>D4.3 Resource template changes: OCCI extension, final specification</w:t>
            </w:r>
          </w:p>
        </w:tc>
        <w:tc>
          <w:tcPr>
            <w:tcW w:w="2268" w:type="dxa"/>
            <w:tcBorders>
              <w:left w:val="single" w:sz="6" w:space="0" w:color="00000A"/>
              <w:bottom w:val="single" w:sz="6" w:space="0" w:color="00000A"/>
              <w:insideH w:val="single" w:sz="6" w:space="0" w:color="00000A"/>
            </w:tcBorders>
            <w:shd w:fill="auto" w:val="clear"/>
            <w:tcMar>
              <w:left w:w="-7" w:type="dxa"/>
            </w:tcMar>
          </w:tcPr>
          <w:p>
            <w:pPr>
              <w:pStyle w:val="Normal"/>
              <w:spacing w:before="0" w:after="120"/>
              <w:ind w:left="113" w:right="113" w:hanging="0"/>
              <w:rPr>
                <w:i/>
                <w:i/>
              </w:rPr>
            </w:pPr>
            <w:r>
              <w:rPr>
                <w:i/>
              </w:rPr>
              <w:t>Document identifier:</w:t>
            </w:r>
          </w:p>
        </w:tc>
        <w:tc>
          <w:tcPr>
            <w:tcW w:w="2693" w:type="dxa"/>
            <w:tcBorders>
              <w:bottom w:val="single" w:sz="6" w:space="0" w:color="00000A"/>
              <w:right w:val="single" w:sz="6" w:space="0" w:color="00000A"/>
              <w:insideH w:val="single" w:sz="6" w:space="0" w:color="00000A"/>
              <w:insideV w:val="single" w:sz="6" w:space="0" w:color="00000A"/>
            </w:tcBorders>
            <w:shd w:fill="auto" w:val="clear"/>
          </w:tcPr>
          <w:p>
            <w:pPr>
              <w:pStyle w:val="Normal"/>
              <w:spacing w:before="0" w:after="120"/>
              <w:ind w:right="113" w:hanging="0"/>
              <w:jc w:val="left"/>
              <w:rPr>
                <w:b/>
                <w:b/>
                <w:highlight w:val="yellow"/>
              </w:rPr>
            </w:pPr>
            <w:r>
              <w:rPr/>
              <w:t>EGI-doc-2644</w:t>
            </w:r>
          </w:p>
        </w:tc>
      </w:tr>
      <w:tr>
        <w:trPr>
          <w:cantSplit w:val="true"/>
        </w:trPr>
        <w:tc>
          <w:tcPr>
            <w:tcW w:w="1276" w:type="dxa"/>
            <w:tcBorders>
              <w:top w:val="single" w:sz="6" w:space="0" w:color="00000A"/>
              <w:left w:val="single" w:sz="6" w:space="0" w:color="00000A"/>
              <w:bottom w:val="single" w:sz="6" w:space="0" w:color="00000A"/>
              <w:insideH w:val="single" w:sz="6" w:space="0" w:color="00000A"/>
            </w:tcBorders>
            <w:shd w:fill="auto" w:val="clear"/>
            <w:tcMar>
              <w:left w:w="-7" w:type="dxa"/>
            </w:tcMar>
          </w:tcPr>
          <w:p>
            <w:pPr>
              <w:pStyle w:val="Normal"/>
              <w:spacing w:before="0" w:after="120"/>
              <w:ind w:left="113" w:right="113" w:hanging="0"/>
              <w:rPr>
                <w:i/>
                <w:i/>
              </w:rPr>
            </w:pPr>
            <w:r>
              <w:rPr>
                <w:i/>
              </w:rPr>
              <w:t>Project:</w:t>
            </w:r>
          </w:p>
        </w:tc>
        <w:tc>
          <w:tcPr>
            <w:tcW w:w="3402" w:type="dxa"/>
            <w:tcBorders>
              <w:top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spacing w:before="0" w:after="120"/>
              <w:ind w:left="113" w:right="113" w:hanging="0"/>
              <w:jc w:val="left"/>
              <w:rPr>
                <w:b/>
                <w:b/>
              </w:rPr>
            </w:pPr>
            <w:r>
              <w:rPr>
                <w:b/>
              </w:rPr>
              <w:t>EGI-Engage</w:t>
            </w:r>
          </w:p>
        </w:tc>
        <w:tc>
          <w:tcPr>
            <w:tcW w:w="2268" w:type="dxa"/>
            <w:tcBorders>
              <w:top w:val="single" w:sz="6" w:space="0" w:color="00000A"/>
              <w:left w:val="single" w:sz="6" w:space="0" w:color="00000A"/>
              <w:bottom w:val="single" w:sz="6" w:space="0" w:color="00000A"/>
              <w:insideH w:val="single" w:sz="6" w:space="0" w:color="00000A"/>
            </w:tcBorders>
            <w:shd w:fill="auto" w:val="clear"/>
            <w:tcMar>
              <w:left w:w="-7" w:type="dxa"/>
            </w:tcMar>
          </w:tcPr>
          <w:p>
            <w:pPr>
              <w:pStyle w:val="Normal"/>
              <w:spacing w:before="0" w:after="120"/>
              <w:ind w:left="113" w:right="113" w:hanging="0"/>
              <w:rPr>
                <w:b/>
                <w:b/>
              </w:rPr>
            </w:pPr>
            <w:r>
              <w:rPr>
                <w:i/>
              </w:rPr>
              <w:t>Document url:</w:t>
            </w:r>
          </w:p>
        </w:tc>
        <w:tc>
          <w:tcPr>
            <w:tcW w:w="2693" w:type="dxa"/>
            <w:tcBorders>
              <w:top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spacing w:before="0" w:after="120"/>
              <w:ind w:right="113" w:hanging="0"/>
              <w:jc w:val="left"/>
              <w:rPr/>
            </w:pPr>
            <w:hyperlink r:id="rId3">
              <w:r>
                <w:rPr>
                  <w:rStyle w:val="InternetLink"/>
                  <w:sz w:val="15"/>
                  <w:szCs w:val="15"/>
                </w:rPr>
                <w:t>https://documents.egi.eu/document/2644</w:t>
              </w:r>
            </w:hyperlink>
          </w:p>
        </w:tc>
      </w:tr>
      <w:tr>
        <w:trPr>
          <w:cantSplit w:val="true"/>
        </w:trPr>
        <w:tc>
          <w:tcPr>
            <w:tcW w:w="1276" w:type="dxa"/>
            <w:tcBorders>
              <w:top w:val="single" w:sz="6" w:space="0" w:color="00000A"/>
              <w:left w:val="single" w:sz="6" w:space="0" w:color="00000A"/>
              <w:bottom w:val="single" w:sz="6" w:space="0" w:color="00000A"/>
              <w:insideH w:val="single" w:sz="6" w:space="0" w:color="00000A"/>
            </w:tcBorders>
            <w:shd w:fill="auto" w:val="clear"/>
            <w:tcMar>
              <w:left w:w="-7" w:type="dxa"/>
            </w:tcMar>
          </w:tcPr>
          <w:p>
            <w:pPr>
              <w:pStyle w:val="Normal"/>
              <w:spacing w:before="0" w:after="120"/>
              <w:ind w:left="113" w:right="113" w:hanging="0"/>
              <w:rPr>
                <w:i/>
                <w:i/>
              </w:rPr>
            </w:pPr>
            <w:r>
              <w:rPr>
                <w:i/>
              </w:rPr>
              <w:t>Author(s):</w:t>
            </w:r>
          </w:p>
        </w:tc>
        <w:tc>
          <w:tcPr>
            <w:tcW w:w="3402" w:type="dxa"/>
            <w:tcBorders>
              <w:top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spacing w:before="0" w:after="120"/>
              <w:ind w:left="113" w:right="113" w:hanging="0"/>
              <w:jc w:val="left"/>
              <w:rPr>
                <w:b/>
                <w:b/>
              </w:rPr>
            </w:pPr>
            <w:r>
              <w:rPr/>
              <w:t>Zdeněk Šustr, Boris Parák</w:t>
            </w:r>
          </w:p>
        </w:tc>
        <w:tc>
          <w:tcPr>
            <w:tcW w:w="2268" w:type="dxa"/>
            <w:tcBorders>
              <w:top w:val="single" w:sz="6" w:space="0" w:color="00000A"/>
              <w:left w:val="single" w:sz="6" w:space="0" w:color="00000A"/>
              <w:bottom w:val="single" w:sz="6" w:space="0" w:color="00000A"/>
              <w:insideH w:val="single" w:sz="6" w:space="0" w:color="00000A"/>
            </w:tcBorders>
            <w:shd w:fill="auto" w:val="clear"/>
            <w:tcMar>
              <w:left w:w="-7" w:type="dxa"/>
            </w:tcMar>
          </w:tcPr>
          <w:p>
            <w:pPr>
              <w:pStyle w:val="Normal"/>
              <w:spacing w:before="0" w:after="120"/>
              <w:ind w:left="113" w:right="113" w:hanging="0"/>
              <w:rPr>
                <w:b/>
                <w:b/>
              </w:rPr>
            </w:pPr>
            <w:r>
              <w:rPr>
                <w:i/>
              </w:rPr>
              <w:t>Date:</w:t>
            </w:r>
          </w:p>
        </w:tc>
        <w:tc>
          <w:tcPr>
            <w:tcW w:w="2693" w:type="dxa"/>
            <w:tcBorders>
              <w:top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spacing w:before="0" w:after="120"/>
              <w:ind w:right="113" w:hanging="0"/>
              <w:jc w:val="left"/>
              <w:rPr/>
            </w:pPr>
            <w:r>
              <w:rPr>
                <w:b/>
                <w:highlight w:val="yellow"/>
              </w:rPr>
              <w:t>25/11/2015</w:t>
            </w:r>
          </w:p>
        </w:tc>
      </w:tr>
    </w:tbl>
    <w:p>
      <w:pPr>
        <w:pStyle w:val="Normal"/>
        <w:rPr/>
      </w:pPr>
      <w:r>
        <w:rPr/>
      </w:r>
    </w:p>
    <w:tbl>
      <w:tblPr>
        <w:tblW w:w="9638" w:type="dxa"/>
        <w:jc w:val="left"/>
        <w:tblInd w:w="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0" w:type="dxa"/>
          <w:bottom w:w="0" w:type="dxa"/>
          <w:right w:w="0" w:type="dxa"/>
        </w:tblCellMar>
        <w:tblLook w:val="0000" w:noVBand="0" w:noHBand="0" w:lastColumn="0" w:firstColumn="0" w:lastRow="0" w:firstRow="0"/>
      </w:tblPr>
      <w:tblGrid>
        <w:gridCol w:w="1417"/>
        <w:gridCol w:w="3260"/>
        <w:gridCol w:w="1133"/>
        <w:gridCol w:w="3827"/>
      </w:tblGrid>
      <w:tr>
        <w:trPr>
          <w:cantSplit w:val="true"/>
        </w:trPr>
        <w:tc>
          <w:tcPr>
            <w:tcW w:w="963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0" w:type="dxa"/>
            </w:tcMar>
          </w:tcPr>
          <w:p>
            <w:pPr>
              <w:pStyle w:val="Annotationtext"/>
              <w:spacing w:before="0" w:after="120"/>
              <w:jc w:val="center"/>
              <w:rPr>
                <w:b/>
                <w:b/>
                <w:szCs w:val="22"/>
              </w:rPr>
            </w:pPr>
            <w:r>
              <w:rPr>
                <w:b/>
                <w:szCs w:val="22"/>
              </w:rPr>
              <w:t>Identification of the reviewer</w:t>
            </w:r>
          </w:p>
        </w:tc>
      </w:tr>
      <w:tr>
        <w:trPr>
          <w:cantSplit w:val="true"/>
        </w:trPr>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spacing w:before="0" w:after="120"/>
              <w:ind w:left="113" w:right="113" w:hanging="0"/>
              <w:rPr>
                <w:i/>
                <w:i/>
              </w:rPr>
            </w:pPr>
            <w:r>
              <w:rPr>
                <w:i/>
              </w:rPr>
              <w:t>Reviewer:</w:t>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spacing w:before="0" w:after="120"/>
              <w:ind w:left="113" w:right="113" w:hanging="0"/>
              <w:jc w:val="left"/>
              <w:rPr>
                <w:b/>
                <w:b/>
              </w:rPr>
            </w:pPr>
            <w:r>
              <w:rPr>
                <w:b/>
              </w:rPr>
              <w:t>Kostas Koumantaros</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spacing w:before="0" w:after="120"/>
              <w:ind w:left="113" w:right="113" w:hanging="0"/>
              <w:rPr>
                <w:b/>
                <w:b/>
              </w:rPr>
            </w:pPr>
            <w:r>
              <w:rPr>
                <w:i/>
              </w:rPr>
              <w:t>Activity:</w:t>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spacing w:before="0" w:after="120"/>
              <w:ind w:right="113" w:hanging="0"/>
              <w:rPr>
                <w:b/>
                <w:b/>
                <w:bCs/>
                <w:iCs/>
              </w:rPr>
            </w:pPr>
            <w:r>
              <w:rPr>
                <w:b/>
              </w:rPr>
              <w:t>PMB</w:t>
            </w:r>
          </w:p>
        </w:tc>
      </w:tr>
    </w:tbl>
    <w:p>
      <w:pPr>
        <w:pStyle w:val="Normal"/>
        <w:rPr>
          <w:b/>
          <w:b/>
          <w:bCs/>
        </w:rPr>
      </w:pPr>
      <w:r>
        <w:rPr>
          <w:b/>
          <w:bCs/>
        </w:rPr>
      </w:r>
    </w:p>
    <w:p>
      <w:pPr>
        <w:pStyle w:val="Normal"/>
        <w:numPr>
          <w:ilvl w:val="0"/>
          <w:numId w:val="0"/>
        </w:numPr>
        <w:outlineLvl w:val="0"/>
        <w:rPr>
          <w:b/>
          <w:b/>
          <w:bCs/>
          <w:sz w:val="24"/>
        </w:rPr>
      </w:pPr>
      <w:r>
        <w:rPr>
          <w:b/>
          <w:bCs/>
          <w:sz w:val="24"/>
        </w:rPr>
        <w:t>General comments on the content</w:t>
      </w:r>
    </w:p>
    <w:tbl>
      <w:tblPr>
        <w:tblW w:w="9622" w:type="dxa"/>
        <w:jc w:val="left"/>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noVBand="0" w:noHBand="0" w:lastColumn="0" w:firstColumn="0" w:lastRow="0" w:firstRow="0"/>
      </w:tblPr>
      <w:tblGrid>
        <w:gridCol w:w="9622"/>
      </w:tblGrid>
      <w:tr>
        <w:trPr>
          <w:trHeight w:val="333"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70" w:type="dxa"/>
            </w:tcMar>
          </w:tcPr>
          <w:p>
            <w:pPr>
              <w:pStyle w:val="Normal"/>
              <w:widowControl/>
              <w:bidi w:val="0"/>
              <w:spacing w:before="0" w:after="120"/>
              <w:jc w:val="both"/>
              <w:rPr/>
            </w:pPr>
            <w:r>
              <w:rPr>
                <w:b/>
                <w:bCs/>
              </w:rPr>
              <w:t>Comments from Reviewer:</w:t>
            </w:r>
          </w:p>
        </w:tc>
      </w:tr>
      <w:tr>
        <w:trPr>
          <w:trHeight w:val="900"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bidi w:val="0"/>
              <w:spacing w:before="0" w:after="120"/>
              <w:jc w:val="both"/>
              <w:rPr/>
            </w:pPr>
            <w:bookmarkStart w:id="0" w:name="_GoBack"/>
            <w:bookmarkEnd w:id="0"/>
            <w:r>
              <w:rPr/>
              <w:t>they seem to be rather short without much explanations why these extensions are needed e.g some sort of use case to be documented (eg. add a uml diagram or something)  also for D4.3 its unclear what the response of an OCCI interface would be in this scenario also some implementations may support resize only of specific attributes of a VM and I see no way of specifying that or at least providing an error response to the user. For example synnefo does not allow to change the size of the system disk but ony the number of cpus and/or size of ram.  Last but not least usually in order to resize a running VM a CMF needs to shutdown - resize and reboot the machine I didn’t see this documented in the deliverable (is it true for openstack/opennebulla or do they have ability to resize a vm on the fly.)</w:t>
            </w:r>
          </w:p>
        </w:tc>
      </w:tr>
      <w:tr>
        <w:trPr>
          <w:trHeight w:val="358"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70" w:type="dxa"/>
            </w:tcMar>
          </w:tcPr>
          <w:p>
            <w:pPr>
              <w:pStyle w:val="Normal"/>
              <w:widowControl/>
              <w:bidi w:val="0"/>
              <w:spacing w:before="0" w:after="120"/>
              <w:jc w:val="both"/>
              <w:rPr>
                <w:b/>
                <w:b/>
                <w:bCs/>
              </w:rPr>
            </w:pPr>
            <w:r>
              <w:rPr>
                <w:b/>
                <w:bCs/>
              </w:rPr>
              <w:t xml:space="preserve">Response from Author: </w:t>
            </w:r>
          </w:p>
        </w:tc>
      </w:tr>
      <w:tr>
        <w:trPr>
          <w:trHeight w:val="914"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pPr>
            <w:r>
              <w:rPr/>
              <w:t>Regarding the use cases: The documents have been augmented with a description of the use cases. They are illustrative enough, so we think that a diagram is not needed.</w:t>
            </w:r>
          </w:p>
          <w:p>
            <w:pPr>
              <w:pStyle w:val="Normal"/>
              <w:widowControl/>
              <w:bidi w:val="0"/>
              <w:spacing w:before="0" w:after="120"/>
              <w:jc w:val="both"/>
              <w:rPr/>
            </w:pPr>
            <w:r>
              <w:rPr/>
              <w:t xml:space="preserve">Regarding the D4.3 support in the implementation: </w:t>
            </w:r>
            <w:r>
              <w:rPr/>
              <w:t xml:space="preserve">The specification does not assume resizing disks. Only CPU and RAM, so Synnefo is covered. The specification further says that resizing is done in a provider-specific way, so Synnefo can do whatever they consider </w:t>
            </w:r>
            <w:r>
              <w:rPr/>
              <w:t xml:space="preserve">as the </w:t>
            </w:r>
            <w:r>
              <w:rPr/>
              <w:t xml:space="preserve">best </w:t>
            </w:r>
            <w:r>
              <w:rPr/>
              <w:t>approach</w:t>
            </w:r>
            <w:r>
              <w:rPr/>
              <w:t xml:space="preserve">. </w:t>
            </w:r>
            <w:r>
              <w:rPr/>
              <w:t xml:space="preserve">This has been stressed in the deliverable, as it </w:t>
            </w:r>
            <w:r>
              <w:rPr/>
              <w:t xml:space="preserve">was only </w:t>
            </w:r>
            <w:r>
              <w:rPr/>
              <w:t xml:space="preserve">covered </w:t>
            </w:r>
            <w:r>
              <w:rPr/>
              <w:t xml:space="preserve">in the standard </w:t>
            </w:r>
            <w:r>
              <w:rPr/>
              <w:t>draft</w:t>
            </w:r>
            <w:r>
              <w:rPr/>
              <w:t xml:space="preserve">. </w:t>
            </w:r>
            <w:r>
              <w:rPr/>
              <w:t>The same applies for the stop-resize-start chain, as this is something implementation specific.</w:t>
            </w:r>
            <w:r>
              <w:rPr/>
              <w:t xml:space="preserve"> </w:t>
            </w:r>
            <w:r>
              <w:rPr/>
              <w:t>Regarding the response towards the user, this is covered in the OCCI standard, that mandates that, for any operation or action, proper HTTP error codes should be used to report any error back to the user. This has been clarified in the deliverable as well.</w:t>
            </w:r>
          </w:p>
        </w:tc>
      </w:tr>
    </w:tbl>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sz w:val="24"/>
        </w:rPr>
      </w:pPr>
      <w:r>
        <w:rPr>
          <w:b/>
          <w:bCs/>
          <w:sz w:val="24"/>
        </w:rPr>
        <w:t xml:space="preserve">Additional comments </w:t>
      </w:r>
    </w:p>
    <w:p>
      <w:pPr>
        <w:pStyle w:val="Normal"/>
        <w:rPr>
          <w:i/>
          <w:i/>
        </w:rPr>
      </w:pPr>
      <w:r>
        <w:rPr>
          <w:bCs/>
          <w:i/>
        </w:rPr>
        <w:t>(not affecting the document content e.g.  recommendations for the future</w:t>
      </w:r>
      <w:r>
        <w:rPr>
          <w:i/>
        </w:rPr>
        <w:t>)</w:t>
      </w:r>
    </w:p>
    <w:tbl>
      <w:tblPr>
        <w:tblW w:w="9622" w:type="dxa"/>
        <w:jc w:val="left"/>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noVBand="0" w:noHBand="0" w:lastColumn="0" w:firstColumn="0" w:lastRow="0" w:firstRow="0"/>
      </w:tblPr>
      <w:tblGrid>
        <w:gridCol w:w="9622"/>
      </w:tblGrid>
      <w:tr>
        <w:trPr>
          <w:trHeight w:val="370"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70" w:type="dxa"/>
            </w:tcMar>
          </w:tcPr>
          <w:p>
            <w:pPr>
              <w:pStyle w:val="Normal"/>
              <w:widowControl/>
              <w:bidi w:val="0"/>
              <w:spacing w:before="0" w:after="120"/>
              <w:jc w:val="both"/>
              <w:rPr>
                <w:b/>
                <w:b/>
                <w:bCs/>
              </w:rPr>
            </w:pPr>
            <w:r>
              <w:rPr>
                <w:b/>
                <w:bCs/>
              </w:rPr>
              <w:t>From reviewer:</w:t>
            </w:r>
          </w:p>
        </w:tc>
      </w:tr>
      <w:tr>
        <w:trPr>
          <w:trHeight w:val="1265"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bidi w:val="0"/>
              <w:spacing w:before="0" w:after="120"/>
              <w:jc w:val="both"/>
              <w:rPr/>
            </w:pPr>
            <w:r>
              <w:rPr/>
            </w:r>
          </w:p>
        </w:tc>
      </w:tr>
    </w:tbl>
    <w:p>
      <w:pPr>
        <w:pStyle w:val="Normal"/>
        <w:numPr>
          <w:ilvl w:val="0"/>
          <w:numId w:val="0"/>
        </w:numPr>
        <w:outlineLvl w:val="0"/>
        <w:rPr>
          <w:b/>
          <w:b/>
          <w:bCs/>
        </w:rPr>
      </w:pPr>
      <w:r>
        <w:rPr>
          <w:b/>
          <w:bCs/>
        </w:rPr>
      </w:r>
    </w:p>
    <w:p>
      <w:pPr>
        <w:pStyle w:val="Normal"/>
        <w:numPr>
          <w:ilvl w:val="0"/>
          <w:numId w:val="0"/>
        </w:numPr>
        <w:outlineLvl w:val="0"/>
        <w:rPr>
          <w:b/>
          <w:b/>
          <w:bCs/>
          <w:sz w:val="24"/>
        </w:rPr>
      </w:pPr>
      <w:r>
        <w:rPr>
          <w:b/>
          <w:bCs/>
          <w:sz w:val="24"/>
        </w:rPr>
        <w:t>Detailed comments on the content</w:t>
      </w:r>
    </w:p>
    <w:tbl>
      <w:tblPr>
        <w:tblW w:w="9639" w:type="dxa"/>
        <w:jc w:val="left"/>
        <w:tblInd w:w="8" w:type="dxa"/>
        <w:tblBorders>
          <w:top w:val="single" w:sz="6" w:space="0" w:color="00000A"/>
          <w:left w:val="single" w:sz="6" w:space="0" w:color="00000A"/>
          <w:bottom w:val="double" w:sz="6" w:space="0" w:color="00000A"/>
          <w:right w:val="single" w:sz="6" w:space="0" w:color="00000A"/>
          <w:insideH w:val="double" w:sz="6" w:space="0" w:color="00000A"/>
          <w:insideV w:val="single" w:sz="6" w:space="0" w:color="00000A"/>
        </w:tblBorders>
        <w:tblCellMar>
          <w:top w:w="0" w:type="dxa"/>
          <w:left w:w="-7" w:type="dxa"/>
          <w:bottom w:w="0" w:type="dxa"/>
          <w:right w:w="0" w:type="dxa"/>
        </w:tblCellMar>
        <w:tblLook w:val="0000" w:noVBand="0" w:noHBand="0" w:lastColumn="0" w:firstColumn="0" w:lastRow="0" w:firstRow="0"/>
      </w:tblPr>
      <w:tblGrid>
        <w:gridCol w:w="426"/>
        <w:gridCol w:w="566"/>
        <w:gridCol w:w="850"/>
        <w:gridCol w:w="4962"/>
        <w:gridCol w:w="2835"/>
      </w:tblGrid>
      <w:tr>
        <w:trPr>
          <w:tblHeader w:val="true"/>
          <w:cantSplit w:val="true"/>
        </w:trPr>
        <w:tc>
          <w:tcPr>
            <w:tcW w:w="426" w:type="dxa"/>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vAlign w:val="center"/>
          </w:tcPr>
          <w:p>
            <w:pPr>
              <w:pStyle w:val="NoSpacing"/>
              <w:rPr>
                <w:b/>
                <w:b/>
              </w:rPr>
            </w:pPr>
            <w:r>
              <w:rPr>
                <w:b/>
              </w:rPr>
              <w:t>N°</w:t>
            </w:r>
          </w:p>
        </w:tc>
        <w:tc>
          <w:tcPr>
            <w:tcW w:w="566" w:type="dxa"/>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vAlign w:val="center"/>
          </w:tcPr>
          <w:p>
            <w:pPr>
              <w:pStyle w:val="NoSpacing"/>
              <w:rPr>
                <w:b/>
                <w:b/>
              </w:rPr>
            </w:pPr>
            <w:r>
              <w:rPr>
                <w:b/>
              </w:rPr>
              <w:t>Page</w:t>
            </w:r>
          </w:p>
        </w:tc>
        <w:tc>
          <w:tcPr>
            <w:tcW w:w="850" w:type="dxa"/>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vAlign w:val="center"/>
          </w:tcPr>
          <w:p>
            <w:pPr>
              <w:pStyle w:val="NoSpacing"/>
              <w:rPr>
                <w:b/>
                <w:b/>
              </w:rPr>
            </w:pPr>
            <w:r>
              <w:rPr>
                <w:b/>
              </w:rPr>
              <w:t>§</w:t>
            </w:r>
          </w:p>
        </w:tc>
        <w:tc>
          <w:tcPr>
            <w:tcW w:w="4962" w:type="dxa"/>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vAlign w:val="center"/>
          </w:tcPr>
          <w:p>
            <w:pPr>
              <w:pStyle w:val="NoSpacing"/>
              <w:rPr>
                <w:b/>
                <w:b/>
              </w:rPr>
            </w:pPr>
            <w:r>
              <w:rPr>
                <w:b/>
              </w:rPr>
              <w:t>Observations</w:t>
            </w:r>
          </w:p>
        </w:tc>
        <w:tc>
          <w:tcPr>
            <w:tcW w:w="2835" w:type="dxa"/>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vAlign w:val="center"/>
          </w:tcPr>
          <w:p>
            <w:pPr>
              <w:pStyle w:val="NoSpacing"/>
              <w:rPr>
                <w:b/>
                <w:b/>
              </w:rPr>
            </w:pPr>
            <w:r>
              <w:rPr>
                <w:b/>
              </w:rPr>
              <w:t>Reply from author</w:t>
              <w:br/>
              <w:t>(correction / reject,  …)</w:t>
            </w:r>
          </w:p>
        </w:tc>
      </w:tr>
      <w:tr>
        <w:trPr>
          <w:trHeight w:val="480" w:hRule="atLeast"/>
          <w:cantSplit w:val="true"/>
        </w:trPr>
        <w:tc>
          <w:tcPr>
            <w:tcW w:w="4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56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4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2835" w:type="dxa"/>
            <w:tcBorders>
              <w:top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Spacing"/>
              <w:rPr>
                <w:b/>
                <w:b/>
              </w:rPr>
            </w:pPr>
            <w:r>
              <w:rPr>
                <w:b/>
              </w:rPr>
            </w:r>
          </w:p>
        </w:tc>
      </w:tr>
      <w:tr>
        <w:trPr>
          <w:trHeight w:val="480" w:hRule="atLeast"/>
          <w:cantSplit w:val="true"/>
        </w:trPr>
        <w:tc>
          <w:tcPr>
            <w:tcW w:w="4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56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4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2835" w:type="dxa"/>
            <w:tcBorders>
              <w:top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Spacing"/>
              <w:rPr>
                <w:b/>
                <w:b/>
              </w:rPr>
            </w:pPr>
            <w:r>
              <w:rPr>
                <w:b/>
              </w:rPr>
            </w:r>
          </w:p>
        </w:tc>
      </w:tr>
      <w:tr>
        <w:trPr>
          <w:trHeight w:val="480" w:hRule="atLeast"/>
          <w:cantSplit w:val="true"/>
        </w:trPr>
        <w:tc>
          <w:tcPr>
            <w:tcW w:w="4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56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4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2835" w:type="dxa"/>
            <w:tcBorders>
              <w:top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Spacing"/>
              <w:rPr>
                <w:b/>
                <w:b/>
              </w:rPr>
            </w:pPr>
            <w:r>
              <w:rPr>
                <w:b/>
              </w:rPr>
            </w:r>
          </w:p>
        </w:tc>
      </w:tr>
      <w:tr>
        <w:trPr>
          <w:trHeight w:val="480" w:hRule="atLeast"/>
          <w:cantSplit w:val="true"/>
        </w:trPr>
        <w:tc>
          <w:tcPr>
            <w:tcW w:w="4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56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4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2835" w:type="dxa"/>
            <w:tcBorders>
              <w:top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Spacing"/>
              <w:rPr>
                <w:b/>
                <w:b/>
              </w:rPr>
            </w:pPr>
            <w:r>
              <w:rPr>
                <w:b/>
              </w:rPr>
            </w:r>
          </w:p>
        </w:tc>
      </w:tr>
      <w:tr>
        <w:trPr>
          <w:trHeight w:val="480" w:hRule="atLeast"/>
          <w:cantSplit w:val="true"/>
        </w:trPr>
        <w:tc>
          <w:tcPr>
            <w:tcW w:w="4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56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4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2835" w:type="dxa"/>
            <w:tcBorders>
              <w:top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Spacing"/>
              <w:rPr>
                <w:b/>
                <w:b/>
              </w:rPr>
            </w:pPr>
            <w:r>
              <w:rPr>
                <w:b/>
              </w:rPr>
            </w:r>
          </w:p>
        </w:tc>
      </w:tr>
      <w:tr>
        <w:trPr>
          <w:trHeight w:val="480" w:hRule="atLeast"/>
          <w:cantSplit w:val="true"/>
        </w:trPr>
        <w:tc>
          <w:tcPr>
            <w:tcW w:w="4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56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4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2835" w:type="dxa"/>
            <w:tcBorders>
              <w:top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Spacing"/>
              <w:rPr>
                <w:b/>
                <w:b/>
              </w:rPr>
            </w:pPr>
            <w:r>
              <w:rPr>
                <w:b/>
              </w:rPr>
            </w:r>
          </w:p>
        </w:tc>
      </w:tr>
    </w:tbl>
    <w:p>
      <w:pPr>
        <w:pStyle w:val="Normal"/>
        <w:rPr/>
      </w:pPr>
      <w:r>
        <w:rPr/>
      </w:r>
    </w:p>
    <w:p>
      <w:pPr>
        <w:pStyle w:val="Normal"/>
        <w:numPr>
          <w:ilvl w:val="0"/>
          <w:numId w:val="0"/>
        </w:numPr>
        <w:outlineLvl w:val="0"/>
        <w:rPr>
          <w:b/>
          <w:b/>
          <w:bCs/>
          <w:sz w:val="24"/>
        </w:rPr>
      </w:pPr>
      <w:r>
        <w:rPr>
          <w:b/>
          <w:bCs/>
          <w:sz w:val="24"/>
        </w:rPr>
        <w:t>English and other corrections:</w:t>
      </w:r>
    </w:p>
    <w:p>
      <w:pPr>
        <w:pStyle w:val="Normal"/>
        <w:rPr/>
      </w:pPr>
      <w:r>
        <w:rPr/>
        <w:t>Note: English and typo corrections can be made directly in the document as comments.</w:t>
      </w:r>
    </w:p>
    <w:p>
      <w:pPr>
        <w:pStyle w:val="Normal"/>
        <w:rPr/>
      </w:pPr>
      <w:r>
        <w:rPr/>
      </w:r>
    </w:p>
    <w:p>
      <w:pPr>
        <w:pStyle w:val="Normal"/>
        <w:spacing w:before="0" w:after="200"/>
        <w:jc w:val="left"/>
        <w:rPr/>
      </w:pPr>
      <w:r>
        <w:rPr/>
      </w:r>
    </w:p>
    <w:p>
      <w:pPr>
        <w:pStyle w:val="Normal"/>
        <w:rPr/>
      </w:pPr>
      <w:r>
        <w:rPr/>
      </w:r>
    </w:p>
    <w:p>
      <w:pPr>
        <w:pStyle w:val="Normal"/>
        <w:rPr/>
      </w:pPr>
      <w:r>
        <w:rPr/>
      </w:r>
    </w:p>
    <w:p>
      <w:pPr>
        <w:pStyle w:val="Normal"/>
        <w:rPr/>
      </w:pPr>
      <w:r>
        <w:rPr/>
      </w:r>
    </w:p>
    <w:p>
      <w:pPr>
        <w:pStyle w:val="Normal"/>
        <w:widowControl/>
        <w:bidi w:val="0"/>
        <w:spacing w:before="0" w:after="120"/>
        <w:jc w:val="both"/>
        <w:rPr/>
      </w:pPr>
      <w:r>
        <w:rPr/>
      </w:r>
    </w:p>
    <w:sectPr>
      <w:headerReference w:type="default" r:id="rId4"/>
      <w:footerReference w:type="default" r:id="rId5"/>
      <w:footerReference w:type="first" r:id="rId6"/>
      <w:type w:val="nextPage"/>
      <w:pgSz w:w="11906" w:h="16838"/>
      <w:pgMar w:left="1440" w:right="1440" w:header="993" w:top="1985" w:footer="844" w:bottom="1440"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Open Sans">
    <w:charset w:val="01"/>
    <w:family w:val="roman"/>
    <w:pitch w:val="variable"/>
  </w:font>
  <w:font w:name="Tahoma">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Spacing"/>
      <w:rPr/>
    </w:pPr>
    <w:r>
      <w:rPr/>
    </w:r>
  </w:p>
  <w:tbl>
    <w:tblPr>
      <w:tblStyle w:val="TableGrid"/>
      <w:tblW w:w="9181" w:type="dxa"/>
      <w:jc w:val="left"/>
      <w:tblInd w:w="0" w:type="dxa"/>
      <w:tblCellMar>
        <w:top w:w="0" w:type="dxa"/>
        <w:left w:w="108" w:type="dxa"/>
        <w:bottom w:w="0" w:type="dxa"/>
        <w:right w:w="108" w:type="dxa"/>
      </w:tblCellMar>
      <w:tblLook w:val="04a0" w:noVBand="1" w:noHBand="0" w:firstRow="1" w:lastRow="0" w:firstColumn="1" w:lastColumn="0"/>
    </w:tblPr>
    <w:tblGrid>
      <w:gridCol w:w="3060"/>
      <w:gridCol w:w="3060"/>
      <w:gridCol w:w="3061"/>
    </w:tblGrid>
    <w:tr>
      <w:trPr>
        <w:trHeight w:val="857" w:hRule="atLeast"/>
      </w:trPr>
      <w:tc>
        <w:tcPr>
          <w:tcW w:w="3060" w:type="dxa"/>
          <w:tcBorders>
            <w:left w:val="nil"/>
            <w:bottom w:val="nil"/>
            <w:right w:val="nil"/>
            <w:insideH w:val="nil"/>
            <w:insideV w:val="nil"/>
          </w:tcBorders>
          <w:shd w:fill="auto" w:val="clear"/>
          <w:vAlign w:val="bottom"/>
        </w:tcPr>
        <w:p>
          <w:pPr>
            <w:pStyle w:val="Header"/>
            <w:spacing w:lineRule="auto" w:line="240" w:before="0" w:after="0"/>
            <w:jc w:val="left"/>
            <w:rPr/>
          </w:pPr>
          <w:r>
            <w:rPr/>
            <w:drawing>
              <wp:inline distT="0" distB="6350" distL="0" distR="0">
                <wp:extent cx="765810" cy="431800"/>
                <wp:effectExtent l="0" t="0" r="0" b="0"/>
                <wp:docPr id="2"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60" w:type="dxa"/>
          <w:tcBorders>
            <w:left w:val="nil"/>
            <w:bottom w:val="nil"/>
            <w:right w:val="nil"/>
            <w:insideH w:val="nil"/>
            <w:insideV w:val="nil"/>
          </w:tcBorders>
          <w:shd w:fill="auto" w:val="clear"/>
          <w:vAlign w:val="bottom"/>
        </w:tcPr>
        <w:sdt>
          <w:sdtPr>
            <w:docPartObj>
              <w:docPartGallery w:val="Page Numbers (Bottom of Page)"/>
              <w:docPartUnique w:val="true"/>
            </w:docPartObj>
            <w:id w:val="648451071"/>
          </w:sdtPr>
          <w:sdtContent>
            <w:p>
              <w:pPr>
                <w:pStyle w:val="Header"/>
                <w:spacing w:lineRule="auto" w:line="240" w:before="0" w:after="0"/>
                <w:jc w:val="center"/>
                <w:rPr/>
              </w:pPr>
              <w:r>
                <w:rPr/>
                <w:fldChar w:fldCharType="begin"/>
              </w:r>
              <w:r>
                <w:instrText> PAGE </w:instrText>
              </w:r>
              <w:r>
                <w:fldChar w:fldCharType="separate"/>
              </w:r>
              <w:r>
                <w:t>3</w:t>
              </w:r>
              <w:r>
                <w:fldChar w:fldCharType="end"/>
              </w:r>
            </w:p>
          </w:sdtContent>
        </w:sdt>
      </w:tc>
      <w:tc>
        <w:tcPr>
          <w:tcW w:w="3061" w:type="dxa"/>
          <w:tcBorders>
            <w:left w:val="nil"/>
            <w:bottom w:val="nil"/>
            <w:right w:val="nil"/>
            <w:insideH w:val="nil"/>
            <w:insideV w:val="nil"/>
          </w:tcBorders>
          <w:shd w:fill="auto" w:val="clear"/>
          <w:vAlign w:val="bottom"/>
        </w:tcPr>
        <w:p>
          <w:pPr>
            <w:pStyle w:val="Header"/>
            <w:spacing w:lineRule="auto" w:line="240" w:before="0" w:after="0"/>
            <w:jc w:val="right"/>
            <w:rPr/>
          </w:pPr>
          <w:r>
            <w:rPr/>
            <w:drawing>
              <wp:inline distT="0" distB="2540" distL="0" distR="0">
                <wp:extent cx="539750" cy="360045"/>
                <wp:effectExtent l="0" t="0" r="0" b="0"/>
                <wp:docPr id="3"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
                        <pic:cNvPicPr>
                          <a:picLocks noChangeAspect="1" noChangeArrowheads="1"/>
                        </pic:cNvPicPr>
                      </pic:nvPicPr>
                      <pic:blipFill>
                        <a:blip r:embed="rId2"/>
                        <a:stretch>
                          <a:fillRect/>
                        </a:stretch>
                      </pic:blipFill>
                      <pic:spPr bwMode="auto">
                        <a:xfrm>
                          <a:off x="0" y="0"/>
                          <a:ext cx="539750" cy="360045"/>
                        </a:xfrm>
                        <a:prstGeom prst="rect">
                          <a:avLst/>
                        </a:prstGeom>
                      </pic:spPr>
                    </pic:pic>
                  </a:graphicData>
                </a:graphic>
              </wp:inline>
            </w:drawing>
          </w:r>
        </w:p>
      </w:tc>
    </w:tr>
  </w:tbl>
  <w:p>
    <w:pPr>
      <w:pStyle w:val="NoSpacing"/>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242" w:type="dxa"/>
      <w:jc w:val="left"/>
      <w:tblInd w:w="0" w:type="dxa"/>
      <w:tblCellMar>
        <w:top w:w="0" w:type="dxa"/>
        <w:left w:w="108" w:type="dxa"/>
        <w:bottom w:w="0" w:type="dxa"/>
        <w:right w:w="108" w:type="dxa"/>
      </w:tblCellMar>
      <w:tblLook w:val="04a0" w:noVBand="1" w:noHBand="0" w:firstRow="1" w:lastRow="0" w:firstColumn="1" w:lastColumn="0"/>
    </w:tblPr>
    <w:tblGrid>
      <w:gridCol w:w="1242"/>
      <w:gridCol w:w="7999"/>
    </w:tblGrid>
    <w:tr>
      <w:trPr/>
      <w:tc>
        <w:tcPr>
          <w:tcW w:w="1242" w:type="dxa"/>
          <w:tcBorders>
            <w:top w:val="nil"/>
            <w:left w:val="nil"/>
            <w:bottom w:val="nil"/>
            <w:right w:val="nil"/>
            <w:insideH w:val="nil"/>
            <w:insideV w:val="nil"/>
          </w:tcBorders>
          <w:shd w:fill="auto" w:val="clear"/>
          <w:vAlign w:val="center"/>
        </w:tcPr>
        <w:p>
          <w:pPr>
            <w:pStyle w:val="Footer"/>
            <w:spacing w:lineRule="auto" w:line="240" w:before="0" w:after="0"/>
            <w:jc w:val="center"/>
            <w:rPr>
              <w:sz w:val="20"/>
            </w:rPr>
          </w:pPr>
          <w:r>
            <w:rPr/>
            <w:drawing>
              <wp:inline distT="0" distB="6350" distL="0" distR="0">
                <wp:extent cx="647700" cy="431800"/>
                <wp:effectExtent l="0" t="0" r="0" b="0"/>
                <wp:docPr id="4"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
                        <pic:cNvPicPr>
                          <a:picLocks noChangeAspect="1" noChangeArrowheads="1"/>
                        </pic:cNvPicPr>
                      </pic:nvPicPr>
                      <pic:blipFill>
                        <a:blip r:embed="rId1"/>
                        <a:stretch>
                          <a:fillRect/>
                        </a:stretch>
                      </pic:blipFill>
                      <pic:spPr bwMode="auto">
                        <a:xfrm>
                          <a:off x="0" y="0"/>
                          <a:ext cx="647700" cy="431800"/>
                        </a:xfrm>
                        <a:prstGeom prst="rect">
                          <a:avLst/>
                        </a:prstGeom>
                      </pic:spPr>
                    </pic:pic>
                  </a:graphicData>
                </a:graphic>
              </wp:inline>
            </w:drawing>
          </w:r>
        </w:p>
      </w:tc>
      <w:tc>
        <w:tcPr>
          <w:tcW w:w="7999" w:type="dxa"/>
          <w:tcBorders>
            <w:top w:val="nil"/>
            <w:left w:val="nil"/>
            <w:bottom w:val="nil"/>
            <w:right w:val="nil"/>
            <w:insideH w:val="nil"/>
            <w:insideV w:val="nil"/>
          </w:tcBorders>
          <w:shd w:fill="auto" w:val="clear"/>
          <w:vAlign w:val="center"/>
        </w:tcPr>
        <w:p>
          <w:pPr>
            <w:pStyle w:val="Footer"/>
            <w:spacing w:lineRule="auto" w:line="240" w:before="0" w:after="0"/>
            <w:jc w:val="left"/>
            <w:rPr/>
          </w:pPr>
          <w:r>
            <w:rPr>
              <w:sz w:val="20"/>
            </w:rPr>
            <w:t xml:space="preserve">This material by Parties of the EGI-Engage Consortium is licensed under a </w:t>
          </w:r>
          <w:hyperlink r:id="rId2">
            <w:r>
              <w:rPr>
                <w:rStyle w:val="InternetLink"/>
                <w:sz w:val="20"/>
              </w:rPr>
              <w:t>Creative Commons Attribution 4.0 International License</w:t>
            </w:r>
          </w:hyperlink>
          <w:r>
            <w:rPr>
              <w:sz w:val="20"/>
            </w:rPr>
            <w:t xml:space="preserve">. </w:t>
          </w:r>
        </w:p>
        <w:p>
          <w:pPr>
            <w:pStyle w:val="Footer"/>
            <w:spacing w:lineRule="auto" w:line="240" w:before="0" w:after="0"/>
            <w:jc w:val="left"/>
            <w:rPr/>
          </w:pPr>
          <w:r>
            <w:rPr>
              <w:sz w:val="20"/>
            </w:rPr>
            <w:t xml:space="preserve">The EGI-Engage project is co-funded by the European Union (EU) Horizon 2020 program under Grant number 654142 </w:t>
          </w:r>
          <w:hyperlink r:id="rId3">
            <w:r>
              <w:rPr>
                <w:rStyle w:val="InternetLink"/>
                <w:sz w:val="20"/>
              </w:rPr>
              <w:t>http://go.egi.eu/eng</w:t>
            </w:r>
          </w:hyperlink>
        </w:p>
      </w:tc>
    </w:tr>
  </w:tbl>
  <w:p>
    <w:pPr>
      <w:pStyle w:val="Footer"/>
      <w:rPr>
        <w:sz w:val="20"/>
      </w:rPr>
    </w:pPr>
    <w:r>
      <w:rPr>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242" w:type="dxa"/>
      <w:jc w:val="left"/>
      <w:tblInd w:w="0" w:type="dxa"/>
      <w:tblCellMar>
        <w:top w:w="0" w:type="dxa"/>
        <w:left w:w="108" w:type="dxa"/>
        <w:bottom w:w="0" w:type="dxa"/>
        <w:right w:w="108" w:type="dxa"/>
      </w:tblCellMar>
      <w:tblLook w:val="04a0" w:noVBand="1" w:noHBand="0" w:firstRow="1" w:lastRow="0" w:firstColumn="1" w:lastColumn="0"/>
    </w:tblPr>
    <w:tblGrid>
      <w:gridCol w:w="4621"/>
      <w:gridCol w:w="4620"/>
    </w:tblGrid>
    <w:tr>
      <w:trPr/>
      <w:tc>
        <w:tcPr>
          <w:tcW w:w="4621" w:type="dxa"/>
          <w:tcBorders>
            <w:top w:val="nil"/>
            <w:left w:val="nil"/>
            <w:bottom w:val="nil"/>
            <w:right w:val="nil"/>
            <w:insideH w:val="nil"/>
            <w:insideV w:val="nil"/>
          </w:tcBorders>
          <w:shd w:fill="auto" w:val="clear"/>
        </w:tcPr>
        <w:p>
          <w:pPr>
            <w:pStyle w:val="Normal"/>
            <w:spacing w:lineRule="auto" w:line="240" w:before="0" w:after="0"/>
            <w:rPr/>
          </w:pPr>
          <w:r>
            <w:rPr/>
          </w:r>
        </w:p>
      </w:tc>
      <w:tc>
        <w:tcPr>
          <w:tcW w:w="4620" w:type="dxa"/>
          <w:tcBorders>
            <w:top w:val="nil"/>
            <w:left w:val="nil"/>
            <w:bottom w:val="nil"/>
            <w:right w:val="nil"/>
            <w:insideH w:val="nil"/>
            <w:insideV w:val="nil"/>
          </w:tcBorders>
          <w:shd w:fill="auto" w:val="clear"/>
        </w:tcPr>
        <w:p>
          <w:pPr>
            <w:pStyle w:val="Normal"/>
            <w:spacing w:lineRule="auto" w:line="240" w:before="0" w:after="0"/>
            <w:jc w:val="right"/>
            <w:rPr/>
          </w:pPr>
          <w:r>
            <w:rPr/>
            <w:t>EGI-Engage</w:t>
          </w:r>
        </w:p>
      </w:tc>
    </w:tr>
  </w:tbl>
  <w:p>
    <w:pPr>
      <w:pStyle w:val="Header"/>
      <w:rPr/>
    </w:pPr>
    <w:r>
      <w:rPr/>
      <w:fldChar w:fldCharType="begin"/>
    </w:r>
    <w:r>
      <w:instrText> TITLE </w:instrText>
    </w:r>
    <w:r>
      <w:fldChar w:fldCharType="separate"/>
    </w:r>
    <w:r>
      <w:t>Title of the Document / Number if required</w:t>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tabs>
          <w:tab w:val="num" w:pos="1152"/>
        </w:tabs>
        <w:ind w:left="1152" w:hanging="1152"/>
      </w:pPr>
    </w:lvl>
    <w:lvl w:ilvl="6">
      <w:start w:val="1"/>
      <w:numFmt w:val="decimal"/>
      <w:lvlText w:val="%1.%2.%3.%4.%5.%7"/>
      <w:lvlJc w:val="left"/>
      <w:pPr>
        <w:ind w:left="1296" w:hanging="1296"/>
      </w:pPr>
    </w:lvl>
    <w:lvl w:ilvl="7">
      <w:start w:val="1"/>
      <w:numFmt w:val="decimal"/>
      <w:lvlText w:val="%1.%2.%3.%4.%5.%7.%8"/>
      <w:lvlJc w:val="left"/>
      <w:pPr>
        <w:ind w:left="1440" w:hanging="1440"/>
      </w:pPr>
    </w:lvl>
    <w:lvl w:ilvl="8">
      <w:start w:val="1"/>
      <w:numFmt w:val="decimal"/>
      <w:lvlText w:val="%1.%2.%3.%4.%5.%7.%8.%9"/>
      <w:lvlJc w:val="left"/>
      <w:pPr>
        <w:ind w:left="1584" w:hanging="1584"/>
      </w:pPr>
    </w:lvl>
  </w:abstractNum>
  <w:num w:numId="1">
    <w:abstractNumId w:val="1"/>
  </w:num>
</w:numbering>
</file>

<file path=word/settings.xml><?xml version="1.0" encoding="utf-8"?>
<w:settings xmlns:w="http://schemas.openxmlformats.org/wordprocessingml/2006/main">
  <w:zoom w:percent="8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a7241"/>
    <w:pPr>
      <w:widowControl/>
      <w:bidi w:val="0"/>
      <w:spacing w:before="0" w:after="120" w:lineRule="auto" w:line="276"/>
      <w:jc w:val="both"/>
    </w:pPr>
    <w:rPr>
      <w:rFonts w:ascii="Calibri" w:hAnsi="Calibri" w:eastAsia="Calibri" w:cs="" w:asciiTheme="minorHAnsi" w:cstheme="minorBidi" w:eastAsiaTheme="minorHAnsi" w:hAnsiTheme="minorHAnsi"/>
      <w:color w:val="auto"/>
      <w:spacing w:val="2"/>
      <w:sz w:val="22"/>
      <w:szCs w:val="22"/>
      <w:lang w:val="en-GB" w:eastAsia="en-US" w:bidi="ar-SA"/>
    </w:rPr>
  </w:style>
  <w:style w:type="paragraph" w:styleId="Heading1">
    <w:name w:val="Heading 1"/>
    <w:basedOn w:val="Normal"/>
    <w:next w:val="Normal"/>
    <w:link w:val="Heading1Char"/>
    <w:autoRedefine/>
    <w:uiPriority w:val="9"/>
    <w:qFormat/>
    <w:rsid w:val="004d249b"/>
    <w:pPr>
      <w:keepNext/>
      <w:keepLines/>
      <w:pageBreakBefore/>
      <w:numPr>
        <w:ilvl w:val="0"/>
        <w:numId w:val="1"/>
      </w:numPr>
      <w:spacing w:before="480" w:after="120"/>
      <w:ind w:left="431" w:hanging="431"/>
      <w:outlineLvl w:val="0"/>
      <w:outlineLvl w:val="0"/>
    </w:pPr>
    <w:rPr>
      <w:rFonts w:eastAsia="" w:cs="" w:cstheme="majorBidi" w:eastAsiaTheme="majorEastAsia"/>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after="120"/>
      <w:outlineLvl w:val="1"/>
      <w:outlineLvl w:val="1"/>
    </w:pPr>
    <w:rPr>
      <w:rFonts w:eastAsia="" w:cs="" w:cstheme="majorBidi" w:eastAsiaTheme="majorEastAsia"/>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after="120"/>
      <w:outlineLvl w:val="2"/>
      <w:outlineLvl w:val="2"/>
    </w:pPr>
    <w:rPr>
      <w:rFonts w:eastAsia="" w:cs="" w:cstheme="majorBidi" w:eastAsiaTheme="majorEastAsia"/>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after="120"/>
      <w:outlineLvl w:val="3"/>
      <w:outlineLvl w:val="3"/>
    </w:pPr>
    <w:rPr>
      <w:rFonts w:eastAsia="" w:cs="" w:cstheme="majorBidi" w:eastAsiaTheme="majorEastAsia"/>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after="120"/>
      <w:outlineLvl w:val="4"/>
      <w:outlineLvl w:val="4"/>
    </w:pPr>
    <w:rPr>
      <w:rFonts w:eastAsia="" w:cs="" w:cstheme="majorBidi" w:eastAsiaTheme="majorEastAsia"/>
      <w:color w:val="0063AA"/>
      <w:spacing w:val="0"/>
    </w:rPr>
  </w:style>
  <w:style w:type="paragraph" w:styleId="Heading6">
    <w:name w:val="Heading 6"/>
    <w:basedOn w:val="Heading5"/>
    <w:next w:val="Normal"/>
    <w:link w:val="Heading6Char"/>
    <w:uiPriority w:val="9"/>
    <w:unhideWhenUsed/>
    <w:qFormat/>
    <w:rsid w:val="006d527c"/>
    <w:pPr>
      <w:numPr>
        <w:ilvl w:val="0"/>
        <w:numId w:val="0"/>
      </w:numPr>
      <w:outlineLvl w:val="5"/>
    </w:pPr>
    <w:r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after="120"/>
      <w:outlineLvl w:val="6"/>
      <w:outlineLvl w:val="6"/>
    </w:pPr>
    <w:rPr>
      <w:rFonts w:ascii="Cambria" w:hAnsi="Cambria" w:eastAsia="" w:cs="" w:asciiTheme="majorHAnsi" w:cstheme="majorBidi" w:eastAsiaTheme="majorEastAsia" w:hAnsiTheme="majorHAns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after="120"/>
      <w:outlineLvl w:val="7"/>
      <w:outlineLvl w:val="7"/>
    </w:pPr>
    <w:rPr>
      <w:rFonts w:ascii="Cambria" w:hAnsi="Cambria" w:eastAsia="" w:cs="" w:asciiTheme="majorHAnsi" w:cstheme="majorBidi" w:eastAsiaTheme="majorEastAsia" w:hAnsiTheme="majorHAns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after="120"/>
      <w:outlineLvl w:val="8"/>
      <w:outlineLvl w:val="8"/>
    </w:pPr>
    <w:rPr>
      <w:rFonts w:ascii="Cambria" w:hAnsi="Cambria" w:eastAsia="" w:cs="" w:asciiTheme="majorHAnsi" w:cstheme="majorBidi" w:eastAsiaTheme="majorEastAsia" w:hAnsiTheme="majorHAnsi"/>
      <w:i/>
      <w:iCs/>
      <w:color w:val="404040" w:themeColor="text1" w:themeTint="bf"/>
      <w:spacing w:val="0"/>
      <w:szCs w:val="20"/>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uiPriority w:val="9"/>
    <w:qFormat/>
    <w:rsid w:val="000502d5"/>
    <w:rPr>
      <w:rFonts w:ascii="Calibri" w:hAnsi="Calibri" w:eastAsia="" w:cs="" w:cstheme="majorBidi" w:eastAsiaTheme="majorEastAsia"/>
      <w:b/>
      <w:bCs/>
      <w:color w:val="0063AA"/>
      <w:sz w:val="24"/>
    </w:rPr>
  </w:style>
  <w:style w:type="character" w:styleId="Heading1Char" w:customStyle="1">
    <w:name w:val="Heading 1 Char"/>
    <w:basedOn w:val="DefaultParagraphFont"/>
    <w:link w:val="Heading1"/>
    <w:uiPriority w:val="9"/>
    <w:qFormat/>
    <w:rsid w:val="004d249b"/>
    <w:rPr>
      <w:rFonts w:ascii="Calibri" w:hAnsi="Calibri" w:eastAsia="" w:cs="" w:cstheme="majorBidi" w:eastAsiaTheme="majorEastAsia"/>
      <w:b/>
      <w:bCs/>
      <w:color w:val="0063AA"/>
      <w:sz w:val="40"/>
      <w:szCs w:val="28"/>
    </w:rPr>
  </w:style>
  <w:style w:type="character" w:styleId="Heading2Char" w:customStyle="1">
    <w:name w:val="Heading 2 Char"/>
    <w:basedOn w:val="DefaultParagraphFont"/>
    <w:link w:val="Heading2"/>
    <w:uiPriority w:val="9"/>
    <w:qFormat/>
    <w:rsid w:val="00d065ef"/>
    <w:rPr>
      <w:rFonts w:ascii="Calibri" w:hAnsi="Calibri" w:eastAsia="" w:cs="" w:cstheme="majorBidi" w:eastAsiaTheme="majorEastAsia"/>
      <w:bCs/>
      <w:color w:val="0063AA"/>
      <w:spacing w:val="2"/>
      <w:sz w:val="32"/>
      <w:szCs w:val="26"/>
    </w:rPr>
  </w:style>
  <w:style w:type="character" w:styleId="Heading4Char" w:customStyle="1">
    <w:name w:val="Heading 4 Char"/>
    <w:basedOn w:val="DefaultParagraphFont"/>
    <w:link w:val="Heading4"/>
    <w:uiPriority w:val="9"/>
    <w:qFormat/>
    <w:rsid w:val="00d95f48"/>
    <w:rPr>
      <w:rFonts w:ascii="Calibri" w:hAnsi="Calibri" w:eastAsia="" w:cs="" w:cstheme="majorBidi" w:eastAsiaTheme="majorEastAsia"/>
      <w:bCs/>
      <w:i/>
      <w:iCs/>
      <w:color w:val="0063AA"/>
    </w:rPr>
  </w:style>
  <w:style w:type="character" w:styleId="Heading5Char" w:customStyle="1">
    <w:name w:val="Heading 5 Char"/>
    <w:basedOn w:val="DefaultParagraphFont"/>
    <w:link w:val="Heading5"/>
    <w:uiPriority w:val="9"/>
    <w:qFormat/>
    <w:rsid w:val="00d95f48"/>
    <w:rPr>
      <w:rFonts w:ascii="Calibri" w:hAnsi="Calibri" w:eastAsia="" w:cs="" w:cstheme="majorBidi" w:eastAsiaTheme="majorEastAsia"/>
      <w:color w:val="0063AA"/>
    </w:rPr>
  </w:style>
  <w:style w:type="character" w:styleId="Heading6Char" w:customStyle="1">
    <w:name w:val="Heading 6 Char"/>
    <w:basedOn w:val="DefaultParagraphFont"/>
    <w:link w:val="Heading6"/>
    <w:uiPriority w:val="9"/>
    <w:qFormat/>
    <w:rsid w:val="006d527c"/>
    <w:rPr>
      <w:rFonts w:ascii="Calibri" w:hAnsi="Calibri" w:eastAsia="" w:cs="" w:cstheme="majorBidi" w:eastAsiaTheme="majorEastAsia"/>
      <w:color w:val="0063AA"/>
    </w:rPr>
  </w:style>
  <w:style w:type="character" w:styleId="Heading7Char" w:customStyle="1">
    <w:name w:val="Heading 7 Char"/>
    <w:basedOn w:val="DefaultParagraphFont"/>
    <w:link w:val="Heading7"/>
    <w:uiPriority w:val="9"/>
    <w:semiHidden/>
    <w:qFormat/>
    <w:rsid w:val="000502d5"/>
    <w:rPr>
      <w:rFonts w:ascii="Cambria" w:hAnsi="Cambria" w:eastAsia=""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0502d5"/>
    <w:rPr>
      <w:rFonts w:ascii="Cambria" w:hAnsi="Cambria" w:eastAsia="" w:cs="" w:asciiTheme="majorHAnsi" w:cstheme="majorBidi" w:eastAsiaTheme="majorEastAsia" w:hAnsiTheme="majorHAnsi"/>
      <w:color w:val="404040" w:themeColor="text1" w:themeTint="bf"/>
      <w:szCs w:val="20"/>
    </w:rPr>
  </w:style>
  <w:style w:type="character" w:styleId="Heading9Char" w:customStyle="1">
    <w:name w:val="Heading 9 Char"/>
    <w:basedOn w:val="DefaultParagraphFont"/>
    <w:link w:val="Heading9"/>
    <w:uiPriority w:val="9"/>
    <w:semiHidden/>
    <w:qFormat/>
    <w:rsid w:val="000502d5"/>
    <w:rPr>
      <w:rFonts w:ascii="Cambria" w:hAnsi="Cambria" w:eastAsia="" w:cs="" w:asciiTheme="majorHAnsi" w:cstheme="majorBidi" w:eastAsiaTheme="majorEastAsia" w:hAnsiTheme="majorHAnsi"/>
      <w:i/>
      <w:iCs/>
      <w:color w:val="404040" w:themeColor="text1" w:themeTint="bf"/>
      <w:szCs w:val="20"/>
    </w:rPr>
  </w:style>
  <w:style w:type="character" w:styleId="TitleChar" w:customStyle="1">
    <w:name w:val="Title Char"/>
    <w:basedOn w:val="DefaultParagraphFont"/>
    <w:link w:val="Title"/>
    <w:uiPriority w:val="10"/>
    <w:qFormat/>
    <w:rsid w:val="000502d5"/>
    <w:rPr>
      <w:rFonts w:ascii="Open Sans" w:hAnsi="Open Sans"/>
      <w:b/>
      <w:i/>
      <w:spacing w:val="2"/>
      <w:sz w:val="44"/>
    </w:rPr>
  </w:style>
  <w:style w:type="character" w:styleId="SubtitleChar" w:customStyle="1">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rPr/>
  </w:style>
  <w:style w:type="character" w:styleId="QuoteChar" w:customStyle="1">
    <w:name w:val="Quote Char"/>
    <w:basedOn w:val="DefaultParagraphFont"/>
    <w:link w:val="Quote"/>
    <w:uiPriority w:val="29"/>
    <w:qFormat/>
    <w:rsid w:val="000502d5"/>
    <w:rPr>
      <w:rFonts w:ascii="Open Sans" w:hAnsi="Open Sans"/>
      <w:i/>
      <w:iCs/>
      <w:color w:val="000000" w:themeColor="text1"/>
      <w:spacing w:val="2"/>
      <w:sz w:val="20"/>
    </w:rPr>
  </w:style>
  <w:style w:type="character" w:styleId="IntenseQuoteChar" w:customStyle="1">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styleId="AuthorChar" w:customStyle="1">
    <w:name w:val="author Char"/>
    <w:basedOn w:val="SubtitleChar"/>
    <w:link w:val="author"/>
    <w:qFormat/>
    <w:rsid w:val="000e00d2"/>
    <w:rPr>
      <w:rFonts w:ascii="Open Sans" w:hAnsi="Open Sans"/>
      <w:b w:val="false"/>
      <w:i/>
      <w:color w:val="0067B1"/>
      <w:spacing w:val="10"/>
      <w:sz w:val="20"/>
    </w:rPr>
  </w:style>
  <w:style w:type="character" w:styleId="CaptionChar" w:customStyle="1">
    <w:name w:val="caption Char"/>
    <w:basedOn w:val="SubtitleChar"/>
    <w:link w:val="Caption1"/>
    <w:qFormat/>
    <w:rsid w:val="004d249b"/>
    <w:rPr>
      <w:rFonts w:ascii="Calibri" w:hAnsi="Calibri"/>
      <w:b/>
      <w:i/>
      <w:color w:val="0067B1"/>
      <w:spacing w:val="2"/>
      <w:sz w:val="26"/>
    </w:rPr>
  </w:style>
  <w:style w:type="character" w:styleId="CorrespondingChar" w:customStyle="1">
    <w:name w:val="corresponding Char"/>
    <w:basedOn w:val="SubtitleChar"/>
    <w:link w:val="corresponding"/>
    <w:qFormat/>
    <w:rsid w:val="000502d5"/>
    <w:rPr>
      <w:rFonts w:ascii="Open Sans" w:hAnsi="Open Sans"/>
      <w:b/>
      <w:spacing w:val="2"/>
      <w:sz w:val="20"/>
    </w:rPr>
  </w:style>
  <w:style w:type="character" w:styleId="ListParagraphChar" w:customStyle="1">
    <w:name w:val="List Paragraph Char"/>
    <w:link w:val="ListParagraph"/>
    <w:uiPriority w:val="34"/>
    <w:qFormat/>
    <w:rsid w:val="000502d5"/>
    <w:rPr>
      <w:rFonts w:ascii="Open Sans" w:hAnsi="Open Sans"/>
      <w:sz w:val="20"/>
    </w:rPr>
  </w:style>
  <w:style w:type="character" w:styleId="BalloonTextChar" w:customStyle="1">
    <w:name w:val="Balloon Text Char"/>
    <w:basedOn w:val="DefaultParagraphFont"/>
    <w:link w:val="BalloonText"/>
    <w:uiPriority w:val="99"/>
    <w:semiHidden/>
    <w:qFormat/>
    <w:rsid w:val="000502d5"/>
    <w:rPr>
      <w:rFonts w:ascii="Tahoma" w:hAnsi="Tahoma" w:cs="Tahoma"/>
      <w:spacing w:val="2"/>
      <w:sz w:val="16"/>
      <w:szCs w:val="16"/>
    </w:rPr>
  </w:style>
  <w:style w:type="character" w:styleId="HeaderChar" w:customStyle="1">
    <w:name w:val="Header Char"/>
    <w:basedOn w:val="DefaultParagraphFont"/>
    <w:link w:val="Header"/>
    <w:uiPriority w:val="99"/>
    <w:qFormat/>
    <w:rsid w:val="00835e24"/>
    <w:rPr>
      <w:rFonts w:ascii="Open Sans" w:hAnsi="Open Sans"/>
      <w:spacing w:val="2"/>
      <w:sz w:val="20"/>
    </w:rPr>
  </w:style>
  <w:style w:type="character" w:styleId="FooterChar" w:customStyle="1">
    <w:name w:val="Footer Char"/>
    <w:basedOn w:val="DefaultParagraphFont"/>
    <w:link w:val="Footer"/>
    <w:uiPriority w:val="99"/>
    <w:qFormat/>
    <w:rsid w:val="00835e24"/>
    <w:rPr>
      <w:rFonts w:ascii="Open Sans" w:hAnsi="Open Sans"/>
      <w:spacing w:val="2"/>
      <w:sz w:val="20"/>
    </w:rPr>
  </w:style>
  <w:style w:type="character" w:styleId="InternetLink">
    <w:name w:val="Internet Link"/>
    <w:basedOn w:val="DefaultParagraphFont"/>
    <w:uiPriority w:val="99"/>
    <w:unhideWhenUsed/>
    <w:rsid w:val="00d95f48"/>
    <w:rPr>
      <w:color w:val="0000FF" w:themeColor="hyperlink"/>
      <w:u w:val="single"/>
    </w:rPr>
  </w:style>
  <w:style w:type="character" w:styleId="Annotationreference">
    <w:name w:val="annotation reference"/>
    <w:basedOn w:val="DefaultParagraphFont"/>
    <w:uiPriority w:val="99"/>
    <w:semiHidden/>
    <w:unhideWhenUsed/>
    <w:qFormat/>
    <w:rsid w:val="00ea73f8"/>
    <w:rPr>
      <w:sz w:val="16"/>
      <w:szCs w:val="16"/>
    </w:rPr>
  </w:style>
  <w:style w:type="character" w:styleId="CommentTextChar" w:customStyle="1">
    <w:name w:val="Comment Text Char"/>
    <w:basedOn w:val="DefaultParagraphFont"/>
    <w:link w:val="CommentText"/>
    <w:uiPriority w:val="99"/>
    <w:qFormat/>
    <w:rsid w:val="00ea73f8"/>
    <w:rPr>
      <w:rFonts w:ascii="Open Sans" w:hAnsi="Open Sans"/>
      <w:spacing w:val="2"/>
      <w:sz w:val="20"/>
      <w:szCs w:val="20"/>
    </w:rPr>
  </w:style>
  <w:style w:type="character" w:styleId="CommentSubjectChar" w:customStyle="1">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styleId="AppendixChar" w:customStyle="1">
    <w:name w:val="Appendix Char"/>
    <w:basedOn w:val="ListParagraphChar"/>
    <w:link w:val="Appendix"/>
    <w:qFormat/>
    <w:rsid w:val="002a7241"/>
    <w:rPr>
      <w:rFonts w:ascii="Calibri" w:hAnsi="Calibri" w:eastAsia="" w:cs="" w:cstheme="majorBidi" w:eastAsiaTheme="majorEastAsia"/>
      <w:b/>
      <w:bCs/>
      <w:color w:val="0070C0"/>
      <w:sz w:val="40"/>
      <w:szCs w:val="40"/>
    </w:rPr>
  </w:style>
  <w:style w:type="character" w:styleId="Watchtitle" w:customStyle="1">
    <w:name w:val="watch-title"/>
    <w:basedOn w:val="DefaultParagraphFont"/>
    <w:qFormat/>
    <w:rsid w:val="006971e0"/>
    <w:rPr/>
  </w:style>
  <w:style w:type="character" w:styleId="ListLabel1">
    <w:name w:val="ListLabel 1"/>
    <w:qFormat/>
    <w:rPr>
      <w:rFonts w:cs="Courier New"/>
    </w:rPr>
  </w:style>
  <w:style w:type="character" w:styleId="ListLabel2">
    <w:name w:val="ListLabel 2"/>
    <w:qFormat/>
    <w:rPr>
      <w:rFonts w:cs="Times New Roman"/>
    </w:rPr>
  </w:style>
  <w:style w:type="character" w:styleId="ListLabel3">
    <w:name w:val="ListLabel 3"/>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0"/>
      <w:position w:val="0"/>
      <w:sz w:val="0"/>
      <w:sz w:val="0"/>
      <w:szCs w:val="0"/>
      <w:highlight w:val="black"/>
      <w:u w:val="none" w:color="000000"/>
      <w:effect w:val="blinkBackground"/>
      <w:vertAlign w:val="baseline"/>
      <w:em w:val="none"/>
      <w:lang w:val="x-none" w:eastAsia="x-none" w:bidi="x-none"/>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lineRule="auto" w:line="240" w:before="0" w:after="0"/>
    </w:pPr>
    <w:rPr/>
  </w:style>
  <w:style w:type="paragraph" w:styleId="ListParagraph">
    <w:name w:val="List Paragraph"/>
    <w:basedOn w:val="Normal"/>
    <w:link w:val="ListParagraphChar"/>
    <w:uiPriority w:val="34"/>
    <w:qFormat/>
    <w:rsid w:val="000502d5"/>
    <w:pPr>
      <w:spacing w:before="0" w:after="120"/>
      <w:ind w:left="720" w:hanging="0"/>
      <w:contextualSpacing/>
    </w:pPr>
    <w:rPr>
      <w:spacing w:val="0"/>
    </w:rPr>
  </w:style>
  <w:style w:type="paragraph" w:styleId="Quote">
    <w:name w:val="Quote"/>
    <w:basedOn w:val="Normal"/>
    <w:next w:val="Normal"/>
    <w:link w:val="QuoteChar"/>
    <w:uiPriority w:val="29"/>
    <w:qFormat/>
    <w:rsid w:val="000502d5"/>
    <w:pPr/>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hanging="0"/>
    </w:pPr>
    <w:rPr>
      <w:b/>
      <w:bCs/>
      <w:i/>
      <w:iCs/>
      <w:color w:val="4F81BD" w:themeColor="accent1"/>
    </w:rPr>
  </w:style>
  <w:style w:type="paragraph" w:styleId="ContentsHeading">
    <w:name w:val="Contents Heading"/>
    <w:basedOn w:val="Heading1"/>
    <w:next w:val="Normal"/>
    <w:uiPriority w:val="39"/>
    <w:semiHidden/>
    <w:unhideWhenUsed/>
    <w:qFormat/>
    <w:rsid w:val="000502d5"/>
    <w:pPr>
      <w:numPr>
        <w:ilvl w:val="0"/>
        <w:numId w:val="0"/>
      </w:numPr>
      <w:ind w:left="431" w:hanging="431"/>
    </w:pPr>
    <w:rPr>
      <w:rFonts w:ascii="Cambria" w:hAnsi="Cambria" w:asciiTheme="majorHAnsi" w:hAnsiTheme="majorHAnsi"/>
      <w:color w:val="365F91" w:themeColor="accent1" w:themeShade="bf"/>
      <w:spacing w:val="2"/>
      <w:sz w:val="28"/>
    </w:rPr>
  </w:style>
  <w:style w:type="paragraph" w:styleId="Author" w:customStyle="1">
    <w:name w:val="author"/>
    <w:basedOn w:val="Subtitle"/>
    <w:next w:val="Normal"/>
    <w:link w:val="authorChar"/>
    <w:autoRedefine/>
    <w:qFormat/>
    <w:rsid w:val="000e00d2"/>
    <w:pPr/>
    <w:rPr>
      <w:b w:val="false"/>
      <w:i/>
      <w:color w:val="0067B1"/>
      <w:spacing w:val="10"/>
      <w:sz w:val="20"/>
    </w:rPr>
  </w:style>
  <w:style w:type="paragraph" w:styleId="Caption1" w:customStyle="1">
    <w:name w:val="Caption1"/>
    <w:basedOn w:val="Normal"/>
    <w:next w:val="Normal"/>
    <w:link w:val="captionChar"/>
    <w:qFormat/>
    <w:rsid w:val="004d249b"/>
    <w:pPr>
      <w:keepNext/>
      <w:spacing w:before="0" w:after="240"/>
      <w:jc w:val="center"/>
    </w:pPr>
    <w:rPr>
      <w:b/>
      <w:i/>
      <w:color w:val="0067B1"/>
    </w:rPr>
  </w:style>
  <w:style w:type="paragraph" w:styleId="Corresponding" w:customStyle="1">
    <w:name w:val="corresponding"/>
    <w:basedOn w:val="Author"/>
    <w:next w:val="Normal"/>
    <w:link w:val="correspondingChar"/>
    <w:qFormat/>
    <w:rsid w:val="000502d5"/>
    <w:pPr/>
    <w:rPr>
      <w:spacing w:val="15"/>
    </w:rPr>
  </w:style>
  <w:style w:type="paragraph" w:styleId="Caption2">
    <w:name w:val="caption"/>
    <w:basedOn w:val="Normal"/>
    <w:next w:val="Normal"/>
    <w:uiPriority w:val="35"/>
    <w:semiHidden/>
    <w:unhideWhenUsed/>
    <w:qFormat/>
    <w:rsid w:val="000502d5"/>
    <w:pPr>
      <w:spacing w:lineRule="auto" w:line="240" w:before="0" w:after="240"/>
    </w:pPr>
    <w:rPr>
      <w:b/>
      <w:bCs/>
      <w:color w:val="4F81BD" w:themeColor="accent1"/>
      <w:sz w:val="18"/>
      <w:szCs w:val="18"/>
    </w:rPr>
  </w:style>
  <w:style w:type="paragraph" w:styleId="BalloonText">
    <w:name w:val="Balloon Text"/>
    <w:basedOn w:val="Normal"/>
    <w:link w:val="BalloonTextChar"/>
    <w:uiPriority w:val="99"/>
    <w:semiHidden/>
    <w:unhideWhenUsed/>
    <w:qFormat/>
    <w:rsid w:val="000502d5"/>
    <w:pPr>
      <w:spacing w:lineRule="auto" w:line="240" w:before="0" w:after="0"/>
    </w:pPr>
    <w:rPr>
      <w:rFonts w:ascii="Tahoma" w:hAnsi="Tahoma" w:cs="Tahoma"/>
      <w:sz w:val="16"/>
      <w:szCs w:val="16"/>
    </w:rPr>
  </w:style>
  <w:style w:type="paragraph" w:styleId="Header">
    <w:name w:val="Header"/>
    <w:basedOn w:val="Normal"/>
    <w:link w:val="HeaderChar"/>
    <w:uiPriority w:val="99"/>
    <w:unhideWhenUsed/>
    <w:rsid w:val="00835e24"/>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835e24"/>
    <w:pPr>
      <w:tabs>
        <w:tab w:val="center" w:pos="4513" w:leader="none"/>
        <w:tab w:val="right" w:pos="9026" w:leader="none"/>
      </w:tabs>
      <w:spacing w:lineRule="auto" w:line="240" w:before="0" w:after="0"/>
    </w:pPr>
    <w:rPr/>
  </w:style>
  <w:style w:type="paragraph" w:styleId="Contents1">
    <w:name w:val="Contents 1"/>
    <w:basedOn w:val="Normal"/>
    <w:next w:val="Normal"/>
    <w:autoRedefine/>
    <w:uiPriority w:val="39"/>
    <w:unhideWhenUsed/>
    <w:rsid w:val="00d95f48"/>
    <w:pPr>
      <w:spacing w:before="0" w:after="100"/>
    </w:pPr>
    <w:rPr/>
  </w:style>
  <w:style w:type="paragraph" w:styleId="Contents2">
    <w:name w:val="Contents 2"/>
    <w:basedOn w:val="Normal"/>
    <w:next w:val="Normal"/>
    <w:autoRedefine/>
    <w:uiPriority w:val="39"/>
    <w:unhideWhenUsed/>
    <w:rsid w:val="00d95f48"/>
    <w:pPr>
      <w:spacing w:before="0" w:after="100"/>
      <w:ind w:left="200" w:hanging="0"/>
    </w:pPr>
    <w:rPr/>
  </w:style>
  <w:style w:type="paragraph" w:styleId="Contents3">
    <w:name w:val="Contents 3"/>
    <w:basedOn w:val="Normal"/>
    <w:next w:val="Normal"/>
    <w:autoRedefine/>
    <w:uiPriority w:val="39"/>
    <w:unhideWhenUsed/>
    <w:rsid w:val="00d95f48"/>
    <w:pPr>
      <w:spacing w:before="0" w:after="100"/>
      <w:ind w:left="400" w:hanging="0"/>
    </w:pPr>
    <w:rPr/>
  </w:style>
  <w:style w:type="paragraph" w:styleId="Annotationtext">
    <w:name w:val="annotation text"/>
    <w:basedOn w:val="Normal"/>
    <w:link w:val="CommentTextChar"/>
    <w:unhideWhenUsed/>
    <w:qFormat/>
    <w:rsid w:val="00ea73f8"/>
    <w:pPr>
      <w:spacing w:lineRule="auto" w:line="240"/>
    </w:pPr>
    <w:rPr>
      <w:szCs w:val="20"/>
    </w:rPr>
  </w:style>
  <w:style w:type="paragraph" w:styleId="Annotationsubject">
    <w:name w:val="annotation subject"/>
    <w:basedOn w:val="Annotationtext"/>
    <w:link w:val="CommentSubjectChar"/>
    <w:uiPriority w:val="99"/>
    <w:semiHidden/>
    <w:unhideWhenUsed/>
    <w:qFormat/>
    <w:rsid w:val="00ea73f8"/>
    <w:pPr/>
    <w:rPr>
      <w:b/>
      <w:bCs/>
    </w:rPr>
  </w:style>
  <w:style w:type="paragraph" w:styleId="Appendix" w:customStyle="1">
    <w:name w:val="Appendix"/>
    <w:basedOn w:val="Heading1"/>
    <w:next w:val="Normal"/>
    <w:link w:val="AppendixChar"/>
    <w:qFormat/>
    <w:rsid w:val="002a7241"/>
    <w:pPr>
      <w:numPr>
        <w:ilvl w:val="0"/>
        <w:numId w:val="0"/>
      </w:numPr>
      <w:ind w:left="431" w:hanging="431"/>
    </w:pPr>
    <w:rPr>
      <w:color w:val="0070C0"/>
      <w:szCs w:val="40"/>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0502d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documents.egi.eu/document/2644"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
</Relationships>
</file>

<file path=word/_rels/footer2.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CF8DF-B3CA-4BCA-AD8B-E8EA5837D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Application>LibreOffice/5.0.3.1$Linux_X86_64 LibreOffice_project/00m0$Build-1</Application>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2015-04-17T14:01:00Z</dcterms:created>
  <dc:creator>S C</dc:creator>
  <dc:language>en-US</dc:language>
  <cp:lastModifiedBy>Alvaro Lopez Garcia</cp:lastModifiedBy>
  <dcterms:modified xsi:type="dcterms:W3CDTF">2015-11-25T17:50:47Z</dcterms:modified>
  <cp:revision>9</cp:revision>
  <dc:title>Title of the Document / Number if required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