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02674" w14:textId="77777777" w:rsidR="004B04FF" w:rsidRDefault="000502D5" w:rsidP="00CF1E31">
      <w:pPr>
        <w:jc w:val="center"/>
      </w:pPr>
      <w:r>
        <w:rPr>
          <w:noProof/>
          <w:lang w:val="en-US"/>
        </w:rPr>
        <w:drawing>
          <wp:inline distT="0" distB="0" distL="0" distR="0" wp14:anchorId="1EC851EC" wp14:editId="05FB9D0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4A01226" w14:textId="77777777" w:rsidR="000502D5" w:rsidRDefault="000502D5" w:rsidP="000502D5">
      <w:pPr>
        <w:jc w:val="center"/>
        <w:rPr>
          <w:b/>
          <w:color w:val="0067B1"/>
          <w:sz w:val="56"/>
        </w:rPr>
      </w:pPr>
      <w:r w:rsidRPr="00E04C11">
        <w:rPr>
          <w:b/>
          <w:color w:val="0067B1"/>
          <w:sz w:val="56"/>
        </w:rPr>
        <w:t>EGI-Engage</w:t>
      </w:r>
    </w:p>
    <w:p w14:paraId="4BE51CC3" w14:textId="77777777" w:rsidR="001C5D2E" w:rsidRPr="00E04C11" w:rsidRDefault="001C5D2E" w:rsidP="00E04C11"/>
    <w:p w14:paraId="2F8D4054"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58E9A809"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36E04976"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16E05317" w14:textId="77777777" w:rsidR="00CB278D" w:rsidRPr="00AF072F" w:rsidRDefault="00CB278D" w:rsidP="009146CF">
            <w:pPr>
              <w:pStyle w:val="CommentText"/>
              <w:jc w:val="center"/>
              <w:rPr>
                <w:b/>
                <w:szCs w:val="22"/>
              </w:rPr>
            </w:pPr>
            <w:r w:rsidRPr="00AF072F">
              <w:rPr>
                <w:b/>
                <w:szCs w:val="22"/>
              </w:rPr>
              <w:t>Details of the document being reviewed</w:t>
            </w:r>
          </w:p>
        </w:tc>
      </w:tr>
      <w:tr w:rsidR="00CB278D" w14:paraId="773BBF67" w14:textId="77777777" w:rsidTr="00CB278D">
        <w:trPr>
          <w:cantSplit/>
        </w:trPr>
        <w:tc>
          <w:tcPr>
            <w:tcW w:w="1276" w:type="dxa"/>
            <w:tcBorders>
              <w:left w:val="single" w:sz="6" w:space="0" w:color="auto"/>
              <w:bottom w:val="single" w:sz="6" w:space="0" w:color="auto"/>
            </w:tcBorders>
          </w:tcPr>
          <w:p w14:paraId="556EFEDF" w14:textId="77777777" w:rsidR="00CB278D" w:rsidRDefault="00CB278D" w:rsidP="009146CF">
            <w:pPr>
              <w:ind w:left="113" w:right="113"/>
              <w:rPr>
                <w:i/>
              </w:rPr>
            </w:pPr>
            <w:r>
              <w:rPr>
                <w:i/>
              </w:rPr>
              <w:t>Title:</w:t>
            </w:r>
          </w:p>
        </w:tc>
        <w:tc>
          <w:tcPr>
            <w:tcW w:w="3402" w:type="dxa"/>
            <w:tcBorders>
              <w:bottom w:val="single" w:sz="6" w:space="0" w:color="auto"/>
              <w:right w:val="single" w:sz="6" w:space="0" w:color="auto"/>
            </w:tcBorders>
          </w:tcPr>
          <w:p w14:paraId="1E348409" w14:textId="77777777" w:rsidR="00CB278D" w:rsidRDefault="00E74002" w:rsidP="009E130B">
            <w:pPr>
              <w:ind w:left="113" w:right="113"/>
              <w:jc w:val="left"/>
              <w:rPr>
                <w:b/>
              </w:rPr>
            </w:pPr>
            <w:r w:rsidRPr="00E74002">
              <w:rPr>
                <w:b/>
              </w:rPr>
              <w:t>Relocating VM instances between providers, final specification</w:t>
            </w:r>
          </w:p>
        </w:tc>
        <w:tc>
          <w:tcPr>
            <w:tcW w:w="2268" w:type="dxa"/>
            <w:tcBorders>
              <w:left w:val="single" w:sz="6" w:space="0" w:color="auto"/>
              <w:bottom w:val="single" w:sz="6" w:space="0" w:color="auto"/>
            </w:tcBorders>
          </w:tcPr>
          <w:p w14:paraId="5FBA0AA2" w14:textId="77777777" w:rsidR="00CB278D" w:rsidRDefault="006F735A" w:rsidP="009146CF">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7F36DFFC" w14:textId="77777777" w:rsidR="00CB278D" w:rsidRPr="0079377B" w:rsidRDefault="00E74002" w:rsidP="009E130B">
            <w:pPr>
              <w:ind w:right="113"/>
              <w:jc w:val="left"/>
              <w:rPr>
                <w:b/>
                <w:highlight w:val="yellow"/>
              </w:rPr>
            </w:pPr>
            <w:r>
              <w:t>EGI-doc-2680</w:t>
            </w:r>
          </w:p>
        </w:tc>
      </w:tr>
      <w:tr w:rsidR="00CB278D" w14:paraId="4EEF7F7F" w14:textId="77777777" w:rsidTr="00CB278D">
        <w:trPr>
          <w:cantSplit/>
        </w:trPr>
        <w:tc>
          <w:tcPr>
            <w:tcW w:w="1276" w:type="dxa"/>
            <w:tcBorders>
              <w:top w:val="single" w:sz="6" w:space="0" w:color="auto"/>
              <w:left w:val="single" w:sz="6" w:space="0" w:color="auto"/>
              <w:bottom w:val="single" w:sz="6" w:space="0" w:color="auto"/>
            </w:tcBorders>
          </w:tcPr>
          <w:p w14:paraId="4A2AD22C" w14:textId="77777777" w:rsidR="00CB278D" w:rsidRDefault="00CB278D" w:rsidP="009146CF">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67CDB048"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58F0B33D"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25191962" w14:textId="77777777" w:rsidR="00CB278D" w:rsidRDefault="009146CF" w:rsidP="00DD03A2">
            <w:pPr>
              <w:ind w:right="113"/>
              <w:jc w:val="left"/>
              <w:rPr>
                <w:b/>
              </w:rPr>
            </w:pPr>
            <w:hyperlink r:id="rId10" w:history="1">
              <w:r w:rsidR="00E74002">
                <w:rPr>
                  <w:rStyle w:val="Hyperlink"/>
                  <w:sz w:val="15"/>
                  <w:szCs w:val="15"/>
                </w:rPr>
                <w:t>https://documents.egi.eu/document/2680</w:t>
              </w:r>
            </w:hyperlink>
          </w:p>
        </w:tc>
      </w:tr>
      <w:tr w:rsidR="0079377B" w14:paraId="7E60AF41" w14:textId="77777777" w:rsidTr="00CB278D">
        <w:trPr>
          <w:cantSplit/>
        </w:trPr>
        <w:tc>
          <w:tcPr>
            <w:tcW w:w="1276" w:type="dxa"/>
            <w:tcBorders>
              <w:top w:val="single" w:sz="6" w:space="0" w:color="auto"/>
              <w:left w:val="single" w:sz="6" w:space="0" w:color="auto"/>
              <w:bottom w:val="single" w:sz="6" w:space="0" w:color="auto"/>
            </w:tcBorders>
          </w:tcPr>
          <w:p w14:paraId="54FAFC22" w14:textId="77777777" w:rsidR="0079377B" w:rsidRDefault="0079377B" w:rsidP="009146CF">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3BA78BC1" w14:textId="77777777" w:rsidR="0079377B" w:rsidRPr="00DD03A2" w:rsidRDefault="00E74002" w:rsidP="00E74002">
            <w:pPr>
              <w:ind w:left="113" w:right="113"/>
              <w:jc w:val="left"/>
              <w:rPr>
                <w:b/>
              </w:rPr>
            </w:pPr>
            <w:r>
              <w:rPr>
                <w:b/>
              </w:rPr>
              <w:t xml:space="preserve">Alvaro </w:t>
            </w:r>
            <w:r w:rsidRPr="00E74002">
              <w:rPr>
                <w:b/>
              </w:rPr>
              <w:t>López García</w:t>
            </w:r>
          </w:p>
        </w:tc>
        <w:tc>
          <w:tcPr>
            <w:tcW w:w="2268" w:type="dxa"/>
            <w:tcBorders>
              <w:top w:val="single" w:sz="6" w:space="0" w:color="auto"/>
              <w:left w:val="single" w:sz="6" w:space="0" w:color="auto"/>
              <w:bottom w:val="single" w:sz="6" w:space="0" w:color="auto"/>
            </w:tcBorders>
          </w:tcPr>
          <w:p w14:paraId="25A93811" w14:textId="77777777" w:rsidR="0079377B" w:rsidRDefault="0079377B" w:rsidP="009146CF">
            <w:pPr>
              <w:ind w:left="113" w:right="113"/>
              <w:rPr>
                <w:b/>
              </w:rPr>
            </w:pPr>
            <w:r>
              <w:rPr>
                <w:i/>
              </w:rPr>
              <w:t>Date:</w:t>
            </w:r>
          </w:p>
        </w:tc>
        <w:tc>
          <w:tcPr>
            <w:tcW w:w="2694" w:type="dxa"/>
            <w:tcBorders>
              <w:top w:val="single" w:sz="6" w:space="0" w:color="auto"/>
              <w:bottom w:val="single" w:sz="6" w:space="0" w:color="auto"/>
              <w:right w:val="single" w:sz="6" w:space="0" w:color="auto"/>
            </w:tcBorders>
          </w:tcPr>
          <w:p w14:paraId="67D8AC8E" w14:textId="77777777" w:rsidR="0079377B" w:rsidRPr="0079377B" w:rsidRDefault="0067009D" w:rsidP="0067009D">
            <w:pPr>
              <w:ind w:right="113"/>
              <w:jc w:val="left"/>
              <w:rPr>
                <w:b/>
                <w:highlight w:val="yellow"/>
              </w:rPr>
            </w:pPr>
            <w:r>
              <w:rPr>
                <w:b/>
                <w:highlight w:val="yellow"/>
              </w:rPr>
              <w:t>21 Feb 2016</w:t>
            </w:r>
          </w:p>
        </w:tc>
      </w:tr>
    </w:tbl>
    <w:p w14:paraId="5E30517D"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36D706FD" w14:textId="77777777" w:rsidTr="00CB278D">
        <w:trPr>
          <w:cantSplit/>
        </w:trPr>
        <w:tc>
          <w:tcPr>
            <w:tcW w:w="9639" w:type="dxa"/>
            <w:gridSpan w:val="4"/>
            <w:shd w:val="clear" w:color="auto" w:fill="95B3D7" w:themeFill="accent1" w:themeFillTint="99"/>
          </w:tcPr>
          <w:p w14:paraId="7EB3126E" w14:textId="77777777" w:rsidR="00CB278D" w:rsidRPr="00AF072F" w:rsidRDefault="00CB278D" w:rsidP="009146CF">
            <w:pPr>
              <w:pStyle w:val="CommentText"/>
              <w:jc w:val="center"/>
              <w:rPr>
                <w:b/>
                <w:szCs w:val="22"/>
              </w:rPr>
            </w:pPr>
            <w:r w:rsidRPr="00AF072F">
              <w:rPr>
                <w:b/>
                <w:szCs w:val="22"/>
              </w:rPr>
              <w:t>Identification of the reviewer</w:t>
            </w:r>
          </w:p>
        </w:tc>
      </w:tr>
      <w:tr w:rsidR="00CB278D" w14:paraId="6BB2E486" w14:textId="77777777" w:rsidTr="00CB278D">
        <w:trPr>
          <w:cantSplit/>
        </w:trPr>
        <w:tc>
          <w:tcPr>
            <w:tcW w:w="1418" w:type="dxa"/>
          </w:tcPr>
          <w:p w14:paraId="7233E9A7" w14:textId="77777777" w:rsidR="00CB278D" w:rsidRDefault="00CB278D" w:rsidP="009146CF">
            <w:pPr>
              <w:ind w:left="113" w:right="113"/>
              <w:rPr>
                <w:i/>
              </w:rPr>
            </w:pPr>
            <w:r>
              <w:rPr>
                <w:i/>
              </w:rPr>
              <w:t>Reviewer:</w:t>
            </w:r>
          </w:p>
        </w:tc>
        <w:tc>
          <w:tcPr>
            <w:tcW w:w="3260" w:type="dxa"/>
          </w:tcPr>
          <w:p w14:paraId="4C97B263" w14:textId="77777777" w:rsidR="00CB278D" w:rsidRDefault="0067009D" w:rsidP="009146CF">
            <w:pPr>
              <w:ind w:left="113" w:right="113"/>
              <w:jc w:val="left"/>
              <w:rPr>
                <w:b/>
              </w:rPr>
            </w:pPr>
            <w:r w:rsidRPr="0067009D">
              <w:rPr>
                <w:b/>
              </w:rPr>
              <w:t>Peter Solagna</w:t>
            </w:r>
          </w:p>
        </w:tc>
        <w:tc>
          <w:tcPr>
            <w:tcW w:w="1134" w:type="dxa"/>
          </w:tcPr>
          <w:p w14:paraId="72A37094" w14:textId="77777777" w:rsidR="00CB278D" w:rsidRDefault="00CB278D" w:rsidP="009146CF">
            <w:pPr>
              <w:ind w:left="113" w:right="113"/>
              <w:rPr>
                <w:b/>
              </w:rPr>
            </w:pPr>
            <w:r>
              <w:rPr>
                <w:i/>
              </w:rPr>
              <w:t>Activity:</w:t>
            </w:r>
          </w:p>
        </w:tc>
        <w:tc>
          <w:tcPr>
            <w:tcW w:w="3827" w:type="dxa"/>
          </w:tcPr>
          <w:p w14:paraId="0322DE32" w14:textId="77777777" w:rsidR="00CB278D" w:rsidRDefault="0079377B" w:rsidP="009146CF">
            <w:pPr>
              <w:ind w:right="113"/>
              <w:rPr>
                <w:b/>
                <w:bCs/>
                <w:iCs/>
              </w:rPr>
            </w:pPr>
            <w:r w:rsidRPr="0079377B">
              <w:rPr>
                <w:b/>
                <w:highlight w:val="yellow"/>
              </w:rPr>
              <w:t>[please fill in]</w:t>
            </w:r>
          </w:p>
        </w:tc>
      </w:tr>
    </w:tbl>
    <w:p w14:paraId="48F5EA02" w14:textId="77777777" w:rsidR="00CB278D" w:rsidRDefault="00CB278D" w:rsidP="00CB278D">
      <w:pPr>
        <w:rPr>
          <w:b/>
          <w:bCs/>
        </w:rPr>
      </w:pPr>
    </w:p>
    <w:p w14:paraId="1D1F2CEA"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49617161" w14:textId="77777777" w:rsidTr="00823F4B">
        <w:trPr>
          <w:trHeight w:val="333"/>
        </w:trPr>
        <w:tc>
          <w:tcPr>
            <w:tcW w:w="9622" w:type="dxa"/>
            <w:shd w:val="clear" w:color="auto" w:fill="95B3D7" w:themeFill="accent1" w:themeFillTint="99"/>
          </w:tcPr>
          <w:p w14:paraId="500ACCD9" w14:textId="77777777" w:rsidR="00823F4B" w:rsidRPr="00823F4B" w:rsidRDefault="00823F4B" w:rsidP="009146CF">
            <w:r>
              <w:rPr>
                <w:b/>
                <w:bCs/>
              </w:rPr>
              <w:t>Comments from Reviewer:</w:t>
            </w:r>
          </w:p>
        </w:tc>
      </w:tr>
      <w:tr w:rsidR="00CB278D" w14:paraId="63278F7A" w14:textId="77777777" w:rsidTr="00CB278D">
        <w:trPr>
          <w:trHeight w:val="900"/>
        </w:trPr>
        <w:tc>
          <w:tcPr>
            <w:tcW w:w="9622" w:type="dxa"/>
          </w:tcPr>
          <w:p w14:paraId="3A477A31" w14:textId="2E1C3337" w:rsidR="0067009D" w:rsidRDefault="0067009D" w:rsidP="00823F4B">
            <w:r>
              <w:t>The document is clear, it includes a good overview of the existing works about vm migration, and rightly highlights the peculiarities of the federated cloud of EGI. Although motivated in the document, I think that the decision of focusing on cold migration could be a strong limitation, at least it should foresee some activities in the future to investigate warm migration.</w:t>
            </w:r>
            <w:r w:rsidR="0094079E">
              <w:t xml:space="preserve"> The extension proposed is clear, as initial draft, but I think it needs more discussions. </w:t>
            </w:r>
          </w:p>
        </w:tc>
      </w:tr>
      <w:tr w:rsidR="00823F4B" w14:paraId="56DC575D" w14:textId="77777777" w:rsidTr="00823F4B">
        <w:trPr>
          <w:trHeight w:val="358"/>
        </w:trPr>
        <w:tc>
          <w:tcPr>
            <w:tcW w:w="9622" w:type="dxa"/>
            <w:shd w:val="clear" w:color="auto" w:fill="95B3D7" w:themeFill="accent1" w:themeFillTint="99"/>
          </w:tcPr>
          <w:p w14:paraId="7FB827D0" w14:textId="77777777" w:rsidR="00823F4B" w:rsidRDefault="00823F4B" w:rsidP="009146CF">
            <w:pPr>
              <w:rPr>
                <w:b/>
                <w:bCs/>
              </w:rPr>
            </w:pPr>
            <w:r>
              <w:rPr>
                <w:b/>
                <w:bCs/>
              </w:rPr>
              <w:t xml:space="preserve">Response from Author: </w:t>
            </w:r>
          </w:p>
        </w:tc>
      </w:tr>
      <w:tr w:rsidR="00CB278D" w14:paraId="37558FC3" w14:textId="77777777" w:rsidTr="00CB278D">
        <w:trPr>
          <w:trHeight w:val="914"/>
        </w:trPr>
        <w:tc>
          <w:tcPr>
            <w:tcW w:w="9622" w:type="dxa"/>
          </w:tcPr>
          <w:p w14:paraId="5E106DEA" w14:textId="77777777" w:rsidR="00CB278D" w:rsidRPr="00AF072F" w:rsidRDefault="00CB278D" w:rsidP="00823F4B">
            <w:pPr>
              <w:rPr>
                <w:b/>
                <w:bCs/>
              </w:rPr>
            </w:pPr>
          </w:p>
        </w:tc>
      </w:tr>
    </w:tbl>
    <w:p w14:paraId="6878F8F0" w14:textId="77777777" w:rsidR="002333CB" w:rsidRDefault="002333CB" w:rsidP="002333CB">
      <w:pPr>
        <w:rPr>
          <w:b/>
          <w:bCs/>
        </w:rPr>
      </w:pPr>
    </w:p>
    <w:p w14:paraId="03F30BDF" w14:textId="77777777" w:rsidR="002333CB" w:rsidRDefault="002333CB" w:rsidP="002333CB">
      <w:pPr>
        <w:rPr>
          <w:b/>
          <w:bCs/>
        </w:rPr>
      </w:pPr>
    </w:p>
    <w:p w14:paraId="1E1B2715" w14:textId="77777777" w:rsidR="002333CB" w:rsidRDefault="002333CB" w:rsidP="002333CB">
      <w:pPr>
        <w:rPr>
          <w:b/>
          <w:bCs/>
        </w:rPr>
      </w:pPr>
    </w:p>
    <w:p w14:paraId="12B70588" w14:textId="77777777" w:rsidR="002333CB" w:rsidRDefault="002333CB" w:rsidP="002333CB">
      <w:pPr>
        <w:rPr>
          <w:b/>
          <w:bCs/>
        </w:rPr>
      </w:pPr>
    </w:p>
    <w:p w14:paraId="125BEF07" w14:textId="77777777" w:rsidR="002333CB" w:rsidRDefault="002333CB" w:rsidP="002333CB">
      <w:pPr>
        <w:rPr>
          <w:b/>
          <w:bCs/>
        </w:rPr>
      </w:pPr>
    </w:p>
    <w:p w14:paraId="6BED90FE" w14:textId="77777777" w:rsidR="002333CB" w:rsidRDefault="002333CB" w:rsidP="002333CB">
      <w:pPr>
        <w:rPr>
          <w:b/>
          <w:bCs/>
          <w:sz w:val="24"/>
        </w:rPr>
      </w:pPr>
      <w:r w:rsidRPr="002333CB">
        <w:rPr>
          <w:b/>
          <w:bCs/>
          <w:sz w:val="24"/>
        </w:rPr>
        <w:t xml:space="preserve">Additional comments </w:t>
      </w:r>
    </w:p>
    <w:p w14:paraId="13E05BFC"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1CC26D19" w14:textId="77777777" w:rsidTr="00823F4B">
        <w:trPr>
          <w:trHeight w:val="370"/>
        </w:trPr>
        <w:tc>
          <w:tcPr>
            <w:tcW w:w="9622" w:type="dxa"/>
            <w:shd w:val="clear" w:color="auto" w:fill="95B3D7" w:themeFill="accent1" w:themeFillTint="99"/>
          </w:tcPr>
          <w:p w14:paraId="213581D4" w14:textId="77777777" w:rsidR="00823F4B" w:rsidRDefault="00823F4B" w:rsidP="009146CF">
            <w:pPr>
              <w:rPr>
                <w:b/>
                <w:bCs/>
              </w:rPr>
            </w:pPr>
            <w:r>
              <w:rPr>
                <w:b/>
                <w:bCs/>
              </w:rPr>
              <w:t>From reviewer:</w:t>
            </w:r>
          </w:p>
        </w:tc>
      </w:tr>
      <w:tr w:rsidR="002333CB" w14:paraId="532DFE5D" w14:textId="77777777" w:rsidTr="009146CF">
        <w:trPr>
          <w:trHeight w:val="1265"/>
        </w:trPr>
        <w:tc>
          <w:tcPr>
            <w:tcW w:w="9622" w:type="dxa"/>
          </w:tcPr>
          <w:p w14:paraId="69E00BB5" w14:textId="77777777" w:rsidR="002333CB" w:rsidRDefault="002333CB" w:rsidP="009146CF"/>
        </w:tc>
      </w:tr>
    </w:tbl>
    <w:p w14:paraId="268406EF" w14:textId="77777777" w:rsidR="00CB278D" w:rsidRDefault="00CB278D" w:rsidP="00CB278D">
      <w:pPr>
        <w:outlineLvl w:val="0"/>
        <w:rPr>
          <w:b/>
          <w:bCs/>
        </w:rPr>
      </w:pPr>
    </w:p>
    <w:p w14:paraId="320ACDCD"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0833A45"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385F62E"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5423235"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78CD984"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1819AFB"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4237D1B" w14:textId="77777777" w:rsidR="00CB278D" w:rsidRDefault="00CB278D" w:rsidP="00CB278D">
            <w:pPr>
              <w:pStyle w:val="NoSpacing"/>
              <w:rPr>
                <w:b/>
              </w:rPr>
            </w:pPr>
            <w:r>
              <w:rPr>
                <w:b/>
              </w:rPr>
              <w:t>Reply from author</w:t>
            </w:r>
            <w:r w:rsidRPr="00CB278D">
              <w:rPr>
                <w:b/>
              </w:rPr>
              <w:br/>
              <w:t>(correction / reject,  …)</w:t>
            </w:r>
          </w:p>
        </w:tc>
      </w:tr>
      <w:tr w:rsidR="00CB278D" w14:paraId="76C14C50"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355F2B27" w14:textId="77777777" w:rsidR="00CB278D" w:rsidRPr="006B641C"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1F0758F4" w14:textId="5CEE4171" w:rsidR="00CB278D" w:rsidRPr="006B641C" w:rsidRDefault="006B641C" w:rsidP="00CB278D">
            <w:pPr>
              <w:pStyle w:val="NoSpacing"/>
            </w:pPr>
            <w:r w:rsidRPr="006B641C">
              <w:t>5</w:t>
            </w:r>
          </w:p>
        </w:tc>
        <w:tc>
          <w:tcPr>
            <w:tcW w:w="850" w:type="dxa"/>
            <w:tcBorders>
              <w:top w:val="single" w:sz="6" w:space="0" w:color="auto"/>
              <w:left w:val="single" w:sz="6" w:space="0" w:color="auto"/>
              <w:bottom w:val="single" w:sz="6" w:space="0" w:color="auto"/>
              <w:right w:val="single" w:sz="6" w:space="0" w:color="auto"/>
            </w:tcBorders>
          </w:tcPr>
          <w:p w14:paraId="77EC3DB0" w14:textId="68B2E2D2" w:rsidR="00CB278D" w:rsidRPr="006B641C" w:rsidRDefault="006B641C" w:rsidP="00CB278D">
            <w:pPr>
              <w:pStyle w:val="NoSpacing"/>
            </w:pPr>
            <w:r w:rsidRPr="006B641C">
              <w:t>Ex summary</w:t>
            </w:r>
          </w:p>
        </w:tc>
        <w:tc>
          <w:tcPr>
            <w:tcW w:w="4961" w:type="dxa"/>
            <w:tcBorders>
              <w:top w:val="single" w:sz="6" w:space="0" w:color="auto"/>
              <w:left w:val="single" w:sz="6" w:space="0" w:color="auto"/>
              <w:bottom w:val="single" w:sz="6" w:space="0" w:color="auto"/>
              <w:right w:val="single" w:sz="6" w:space="0" w:color="auto"/>
            </w:tcBorders>
          </w:tcPr>
          <w:p w14:paraId="3D0779DB" w14:textId="4EDEEB21" w:rsidR="00CB278D" w:rsidRPr="006B641C" w:rsidRDefault="006B641C" w:rsidP="00CB278D">
            <w:pPr>
              <w:pStyle w:val="NoSpacing"/>
            </w:pPr>
            <w:r w:rsidRPr="006B641C">
              <w:t>Ex. Summary it’s really short. It ends with “a proposal of a procedure to migrate VMs is identified” but with no more information about the procedure. At least specify which type of migration is ultimately analized.</w:t>
            </w:r>
          </w:p>
        </w:tc>
        <w:tc>
          <w:tcPr>
            <w:tcW w:w="2835" w:type="dxa"/>
            <w:tcBorders>
              <w:top w:val="single" w:sz="6" w:space="0" w:color="auto"/>
              <w:bottom w:val="single" w:sz="6" w:space="0" w:color="auto"/>
              <w:right w:val="single" w:sz="6" w:space="0" w:color="auto"/>
            </w:tcBorders>
          </w:tcPr>
          <w:p w14:paraId="62DA9635" w14:textId="77777777" w:rsidR="00CB278D" w:rsidRPr="00CB278D" w:rsidRDefault="00CB278D" w:rsidP="00CB278D">
            <w:pPr>
              <w:pStyle w:val="NoSpacing"/>
              <w:rPr>
                <w:b/>
              </w:rPr>
            </w:pPr>
          </w:p>
        </w:tc>
      </w:tr>
      <w:tr w:rsidR="00CB278D" w14:paraId="1FF819CE"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709989D4" w14:textId="77777777" w:rsidR="00CB278D" w:rsidRPr="006B641C"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4D497217" w14:textId="42A41201" w:rsidR="00CB278D" w:rsidRPr="006B641C" w:rsidRDefault="006B641C" w:rsidP="00CB278D">
            <w:pPr>
              <w:pStyle w:val="NoSpacing"/>
            </w:pPr>
            <w:r w:rsidRPr="006B641C">
              <w:t>1</w:t>
            </w:r>
            <w:r>
              <w:t>4</w:t>
            </w:r>
          </w:p>
        </w:tc>
        <w:tc>
          <w:tcPr>
            <w:tcW w:w="850" w:type="dxa"/>
            <w:tcBorders>
              <w:top w:val="single" w:sz="6" w:space="0" w:color="auto"/>
              <w:left w:val="single" w:sz="6" w:space="0" w:color="auto"/>
              <w:bottom w:val="single" w:sz="6" w:space="0" w:color="auto"/>
              <w:right w:val="single" w:sz="6" w:space="0" w:color="auto"/>
            </w:tcBorders>
          </w:tcPr>
          <w:p w14:paraId="15AAC1BD" w14:textId="2B538BDA" w:rsidR="00CB278D" w:rsidRPr="006B641C" w:rsidRDefault="006B641C" w:rsidP="00CB278D">
            <w:pPr>
              <w:pStyle w:val="NoSpacing"/>
            </w:pPr>
            <w:r>
              <w:t>2.2</w:t>
            </w:r>
          </w:p>
        </w:tc>
        <w:tc>
          <w:tcPr>
            <w:tcW w:w="4961" w:type="dxa"/>
            <w:tcBorders>
              <w:top w:val="single" w:sz="6" w:space="0" w:color="auto"/>
              <w:left w:val="single" w:sz="6" w:space="0" w:color="auto"/>
              <w:bottom w:val="single" w:sz="6" w:space="0" w:color="auto"/>
              <w:right w:val="single" w:sz="6" w:space="0" w:color="auto"/>
            </w:tcBorders>
          </w:tcPr>
          <w:p w14:paraId="52D719EB" w14:textId="10C96BFC" w:rsidR="00CB278D" w:rsidRPr="006B641C" w:rsidRDefault="006B641C" w:rsidP="00CB278D">
            <w:pPr>
              <w:pStyle w:val="NoSpacing"/>
            </w:pPr>
            <w:r>
              <w:t>Just before 2.3, “live migration will not be considered” it seems like also warm migration is not considered.</w:t>
            </w:r>
          </w:p>
        </w:tc>
        <w:tc>
          <w:tcPr>
            <w:tcW w:w="2835" w:type="dxa"/>
            <w:tcBorders>
              <w:top w:val="single" w:sz="6" w:space="0" w:color="auto"/>
              <w:bottom w:val="single" w:sz="6" w:space="0" w:color="auto"/>
              <w:right w:val="single" w:sz="6" w:space="0" w:color="auto"/>
            </w:tcBorders>
          </w:tcPr>
          <w:p w14:paraId="210A374C" w14:textId="77777777" w:rsidR="00CB278D" w:rsidRPr="006B641C" w:rsidRDefault="00CB278D" w:rsidP="00CB278D">
            <w:pPr>
              <w:pStyle w:val="NoSpacing"/>
            </w:pPr>
          </w:p>
        </w:tc>
      </w:tr>
      <w:tr w:rsidR="00CB278D" w14:paraId="4C85FC4D"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0C02BA59" w14:textId="77777777" w:rsidR="00CB278D" w:rsidRPr="006B641C"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5FB398E2" w14:textId="5D2CBFB1" w:rsidR="00CB278D" w:rsidRPr="006B641C" w:rsidRDefault="006B641C" w:rsidP="00CB278D">
            <w:pPr>
              <w:pStyle w:val="NoSpacing"/>
            </w:pPr>
            <w:r>
              <w:t>17</w:t>
            </w:r>
          </w:p>
        </w:tc>
        <w:tc>
          <w:tcPr>
            <w:tcW w:w="850" w:type="dxa"/>
            <w:tcBorders>
              <w:top w:val="single" w:sz="6" w:space="0" w:color="auto"/>
              <w:left w:val="single" w:sz="6" w:space="0" w:color="auto"/>
              <w:bottom w:val="single" w:sz="6" w:space="0" w:color="auto"/>
              <w:right w:val="single" w:sz="6" w:space="0" w:color="auto"/>
            </w:tcBorders>
          </w:tcPr>
          <w:p w14:paraId="07FD0AEB" w14:textId="18C2E370" w:rsidR="00CB278D" w:rsidRPr="006B641C" w:rsidRDefault="006B641C" w:rsidP="00CB278D">
            <w:pPr>
              <w:pStyle w:val="NoSpacing"/>
            </w:pPr>
            <w:r>
              <w:t>3</w:t>
            </w:r>
          </w:p>
        </w:tc>
        <w:tc>
          <w:tcPr>
            <w:tcW w:w="4961" w:type="dxa"/>
            <w:tcBorders>
              <w:top w:val="single" w:sz="6" w:space="0" w:color="auto"/>
              <w:left w:val="single" w:sz="6" w:space="0" w:color="auto"/>
              <w:bottom w:val="single" w:sz="6" w:space="0" w:color="auto"/>
              <w:right w:val="single" w:sz="6" w:space="0" w:color="auto"/>
            </w:tcBorders>
          </w:tcPr>
          <w:p w14:paraId="119893AB" w14:textId="30CBF7A6" w:rsidR="00CB278D" w:rsidRPr="006B641C" w:rsidRDefault="006B641C" w:rsidP="00B423FD">
            <w:pPr>
              <w:pStyle w:val="NoSpacing"/>
            </w:pPr>
            <w:r>
              <w:t xml:space="preserve">I think that the “migration to prevent redeployment of software” is quite a weak use cases, since it is more about taking snapshots and making them available for re-instantiation. </w:t>
            </w:r>
            <w:r w:rsidR="00B423FD">
              <w:t>This use case would be more clear if the paragraph mentioned a site-downtime, for example, which requires a fast migration of the VM.</w:t>
            </w:r>
          </w:p>
        </w:tc>
        <w:tc>
          <w:tcPr>
            <w:tcW w:w="2835" w:type="dxa"/>
            <w:tcBorders>
              <w:top w:val="single" w:sz="6" w:space="0" w:color="auto"/>
              <w:bottom w:val="single" w:sz="6" w:space="0" w:color="auto"/>
              <w:right w:val="single" w:sz="6" w:space="0" w:color="auto"/>
            </w:tcBorders>
          </w:tcPr>
          <w:p w14:paraId="2565C6BD" w14:textId="77777777" w:rsidR="00CB278D" w:rsidRPr="006B641C" w:rsidRDefault="00CB278D" w:rsidP="00CB278D">
            <w:pPr>
              <w:pStyle w:val="NoSpacing"/>
            </w:pPr>
          </w:p>
        </w:tc>
      </w:tr>
      <w:tr w:rsidR="00CB278D" w14:paraId="1D492080"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4B2D064A" w14:textId="77777777" w:rsidR="00CB278D" w:rsidRPr="006B641C"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19572970" w14:textId="1BE86736" w:rsidR="00CB278D" w:rsidRPr="006B641C" w:rsidRDefault="00B423FD" w:rsidP="00CB278D">
            <w:pPr>
              <w:pStyle w:val="NoSpacing"/>
            </w:pPr>
            <w:r>
              <w:t>19</w:t>
            </w:r>
          </w:p>
        </w:tc>
        <w:tc>
          <w:tcPr>
            <w:tcW w:w="850" w:type="dxa"/>
            <w:tcBorders>
              <w:top w:val="single" w:sz="6" w:space="0" w:color="auto"/>
              <w:left w:val="single" w:sz="6" w:space="0" w:color="auto"/>
              <w:bottom w:val="single" w:sz="6" w:space="0" w:color="auto"/>
              <w:right w:val="single" w:sz="6" w:space="0" w:color="auto"/>
            </w:tcBorders>
          </w:tcPr>
          <w:p w14:paraId="3FDD7E63" w14:textId="3DCC362B" w:rsidR="00CB278D" w:rsidRPr="006B641C" w:rsidRDefault="00B423FD" w:rsidP="00CB278D">
            <w:pPr>
              <w:pStyle w:val="NoSpacing"/>
            </w:pPr>
            <w:r>
              <w:t>4</w:t>
            </w:r>
          </w:p>
        </w:tc>
        <w:tc>
          <w:tcPr>
            <w:tcW w:w="4961" w:type="dxa"/>
            <w:tcBorders>
              <w:top w:val="single" w:sz="6" w:space="0" w:color="auto"/>
              <w:left w:val="single" w:sz="6" w:space="0" w:color="auto"/>
              <w:bottom w:val="single" w:sz="6" w:space="0" w:color="auto"/>
              <w:right w:val="single" w:sz="6" w:space="0" w:color="auto"/>
            </w:tcBorders>
          </w:tcPr>
          <w:p w14:paraId="2F46677E" w14:textId="1CF7B907" w:rsidR="00CB278D" w:rsidRPr="006B641C" w:rsidRDefault="00B423FD" w:rsidP="00CB278D">
            <w:pPr>
              <w:pStyle w:val="NoSpacing"/>
            </w:pPr>
            <w:r>
              <w:t xml:space="preserve">“As described previously, this section will focus on the migration of stateless VMs” it was honestly not completely clear – so far – that the warm migration was ruled out. Make it a more clear here or earlier in the document, with stronger arguments. </w:t>
            </w:r>
          </w:p>
        </w:tc>
        <w:tc>
          <w:tcPr>
            <w:tcW w:w="2835" w:type="dxa"/>
            <w:tcBorders>
              <w:top w:val="single" w:sz="6" w:space="0" w:color="auto"/>
              <w:bottom w:val="single" w:sz="6" w:space="0" w:color="auto"/>
              <w:right w:val="single" w:sz="6" w:space="0" w:color="auto"/>
            </w:tcBorders>
          </w:tcPr>
          <w:p w14:paraId="3AFD2A36" w14:textId="77777777" w:rsidR="00CB278D" w:rsidRPr="006B641C" w:rsidRDefault="00CB278D" w:rsidP="00CB278D">
            <w:pPr>
              <w:pStyle w:val="NoSpacing"/>
            </w:pPr>
          </w:p>
        </w:tc>
      </w:tr>
      <w:tr w:rsidR="00CB278D" w14:paraId="560F3798"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1970A1E6" w14:textId="77777777" w:rsidR="00CB278D" w:rsidRPr="006B641C"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10FFAE67" w14:textId="66820A4C" w:rsidR="00CB278D" w:rsidRPr="006B641C" w:rsidRDefault="00B423FD" w:rsidP="00CB278D">
            <w:pPr>
              <w:pStyle w:val="NoSpacing"/>
            </w:pPr>
            <w:r>
              <w:t>20</w:t>
            </w:r>
          </w:p>
        </w:tc>
        <w:tc>
          <w:tcPr>
            <w:tcW w:w="850" w:type="dxa"/>
            <w:tcBorders>
              <w:top w:val="single" w:sz="6" w:space="0" w:color="auto"/>
              <w:left w:val="single" w:sz="6" w:space="0" w:color="auto"/>
              <w:bottom w:val="single" w:sz="6" w:space="0" w:color="auto"/>
              <w:right w:val="single" w:sz="6" w:space="0" w:color="auto"/>
            </w:tcBorders>
          </w:tcPr>
          <w:p w14:paraId="3BD26196" w14:textId="35EAE649" w:rsidR="00CB278D" w:rsidRPr="006B641C" w:rsidRDefault="00B423FD" w:rsidP="00CB278D">
            <w:pPr>
              <w:pStyle w:val="NoSpacing"/>
            </w:pPr>
            <w:r>
              <w:t>Figure</w:t>
            </w:r>
          </w:p>
        </w:tc>
        <w:tc>
          <w:tcPr>
            <w:tcW w:w="4961" w:type="dxa"/>
            <w:tcBorders>
              <w:top w:val="single" w:sz="6" w:space="0" w:color="auto"/>
              <w:left w:val="single" w:sz="6" w:space="0" w:color="auto"/>
              <w:bottom w:val="single" w:sz="6" w:space="0" w:color="auto"/>
              <w:right w:val="single" w:sz="6" w:space="0" w:color="auto"/>
            </w:tcBorders>
          </w:tcPr>
          <w:p w14:paraId="10F68BDD" w14:textId="0F914794" w:rsidR="00CB278D" w:rsidRPr="006B641C" w:rsidRDefault="00B423FD" w:rsidP="00CB278D">
            <w:pPr>
              <w:pStyle w:val="NoSpacing"/>
            </w:pPr>
            <w:r>
              <w:t>Does the REST call hang until the migration is complete?</w:t>
            </w:r>
          </w:p>
        </w:tc>
        <w:tc>
          <w:tcPr>
            <w:tcW w:w="2835" w:type="dxa"/>
            <w:tcBorders>
              <w:top w:val="single" w:sz="6" w:space="0" w:color="auto"/>
              <w:bottom w:val="single" w:sz="6" w:space="0" w:color="auto"/>
              <w:right w:val="single" w:sz="6" w:space="0" w:color="auto"/>
            </w:tcBorders>
          </w:tcPr>
          <w:p w14:paraId="5D6064FD" w14:textId="77777777" w:rsidR="00CB278D" w:rsidRPr="006B641C" w:rsidRDefault="00CB278D" w:rsidP="00CB278D">
            <w:pPr>
              <w:pStyle w:val="NoSpacing"/>
            </w:pPr>
          </w:p>
        </w:tc>
      </w:tr>
      <w:tr w:rsidR="00CB278D" w14:paraId="02CB5BA5"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20D49B76" w14:textId="77777777" w:rsidR="00CB278D" w:rsidRPr="006B641C" w:rsidRDefault="00CB278D"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175CBE29" w14:textId="5373BB87" w:rsidR="00CB278D" w:rsidRPr="006B641C" w:rsidRDefault="00B423FD" w:rsidP="00CB278D">
            <w:pPr>
              <w:pStyle w:val="NoSpacing"/>
            </w:pPr>
            <w:r>
              <w:t>27</w:t>
            </w:r>
          </w:p>
        </w:tc>
        <w:tc>
          <w:tcPr>
            <w:tcW w:w="850" w:type="dxa"/>
            <w:tcBorders>
              <w:top w:val="single" w:sz="6" w:space="0" w:color="auto"/>
              <w:left w:val="single" w:sz="6" w:space="0" w:color="auto"/>
              <w:bottom w:val="single" w:sz="6" w:space="0" w:color="auto"/>
              <w:right w:val="single" w:sz="6" w:space="0" w:color="auto"/>
            </w:tcBorders>
          </w:tcPr>
          <w:p w14:paraId="5BF7D886" w14:textId="19EDFDD1" w:rsidR="00CB278D" w:rsidRPr="006B641C" w:rsidRDefault="00B423FD" w:rsidP="00CB278D">
            <w:pPr>
              <w:pStyle w:val="NoSpacing"/>
            </w:pPr>
            <w:r>
              <w:t>5.1</w:t>
            </w:r>
          </w:p>
        </w:tc>
        <w:tc>
          <w:tcPr>
            <w:tcW w:w="4961" w:type="dxa"/>
            <w:tcBorders>
              <w:top w:val="single" w:sz="6" w:space="0" w:color="auto"/>
              <w:left w:val="single" w:sz="6" w:space="0" w:color="auto"/>
              <w:bottom w:val="single" w:sz="6" w:space="0" w:color="auto"/>
              <w:right w:val="single" w:sz="6" w:space="0" w:color="auto"/>
            </w:tcBorders>
          </w:tcPr>
          <w:p w14:paraId="4E3A7E45" w14:textId="5A2EF13F" w:rsidR="00CB278D" w:rsidRPr="006B641C" w:rsidRDefault="00B423FD" w:rsidP="00CB278D">
            <w:pPr>
              <w:pStyle w:val="NoSpacing"/>
            </w:pPr>
            <w:r>
              <w:t>The source site invokes an OCCI command to the destination site to start the machine. How is delegation going to be handled in this case? The VM must run on behalf of the user.</w:t>
            </w:r>
          </w:p>
        </w:tc>
        <w:tc>
          <w:tcPr>
            <w:tcW w:w="2835" w:type="dxa"/>
            <w:tcBorders>
              <w:top w:val="single" w:sz="6" w:space="0" w:color="auto"/>
              <w:bottom w:val="single" w:sz="6" w:space="0" w:color="auto"/>
              <w:right w:val="single" w:sz="6" w:space="0" w:color="auto"/>
            </w:tcBorders>
          </w:tcPr>
          <w:p w14:paraId="350B04FE" w14:textId="77777777" w:rsidR="00CB278D" w:rsidRPr="006B641C" w:rsidRDefault="00CB278D" w:rsidP="00CB278D">
            <w:pPr>
              <w:pStyle w:val="NoSpacing"/>
            </w:pPr>
          </w:p>
        </w:tc>
      </w:tr>
      <w:tr w:rsidR="009146CF" w14:paraId="33E7CEA8"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65F60E50" w14:textId="77777777" w:rsidR="009146CF" w:rsidRPr="006B641C" w:rsidRDefault="009146CF"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2B900F4C" w14:textId="62B8BA55" w:rsidR="009146CF" w:rsidRDefault="009146CF" w:rsidP="00CB278D">
            <w:pPr>
              <w:pStyle w:val="NoSpacing"/>
            </w:pPr>
            <w:r>
              <w:t>2</w:t>
            </w:r>
            <w:r w:rsidR="0094079E">
              <w:t>4</w:t>
            </w:r>
          </w:p>
        </w:tc>
        <w:tc>
          <w:tcPr>
            <w:tcW w:w="850" w:type="dxa"/>
            <w:tcBorders>
              <w:top w:val="single" w:sz="6" w:space="0" w:color="auto"/>
              <w:left w:val="single" w:sz="6" w:space="0" w:color="auto"/>
              <w:bottom w:val="single" w:sz="6" w:space="0" w:color="auto"/>
              <w:right w:val="single" w:sz="6" w:space="0" w:color="auto"/>
            </w:tcBorders>
          </w:tcPr>
          <w:p w14:paraId="50A7903B" w14:textId="63D13202" w:rsidR="009146CF" w:rsidRDefault="0094079E" w:rsidP="00CB278D">
            <w:pPr>
              <w:pStyle w:val="NoSpacing"/>
            </w:pPr>
            <w:r>
              <w:t>4.1.2</w:t>
            </w:r>
          </w:p>
        </w:tc>
        <w:tc>
          <w:tcPr>
            <w:tcW w:w="4961" w:type="dxa"/>
            <w:tcBorders>
              <w:top w:val="single" w:sz="6" w:space="0" w:color="auto"/>
              <w:left w:val="single" w:sz="6" w:space="0" w:color="auto"/>
              <w:bottom w:val="single" w:sz="6" w:space="0" w:color="auto"/>
              <w:right w:val="single" w:sz="6" w:space="0" w:color="auto"/>
            </w:tcBorders>
          </w:tcPr>
          <w:p w14:paraId="4754F50F" w14:textId="36E041A0" w:rsidR="009146CF" w:rsidRDefault="0094079E" w:rsidP="0094079E">
            <w:pPr>
              <w:pStyle w:val="NoSpacing"/>
            </w:pPr>
            <w:r>
              <w:t xml:space="preserve">Capacity leasing can be a showstopper, would it be possible to extend the migration command with a flag that returns error when resources are not available (the current “resources not available” error is different I understand)? So user can look for another site. </w:t>
            </w:r>
          </w:p>
        </w:tc>
        <w:tc>
          <w:tcPr>
            <w:tcW w:w="2835" w:type="dxa"/>
            <w:tcBorders>
              <w:top w:val="single" w:sz="6" w:space="0" w:color="auto"/>
              <w:bottom w:val="single" w:sz="6" w:space="0" w:color="auto"/>
              <w:right w:val="single" w:sz="6" w:space="0" w:color="auto"/>
            </w:tcBorders>
          </w:tcPr>
          <w:p w14:paraId="214A212F" w14:textId="77777777" w:rsidR="009146CF" w:rsidRPr="006B641C" w:rsidRDefault="009146CF" w:rsidP="00CB278D">
            <w:pPr>
              <w:pStyle w:val="NoSpacing"/>
            </w:pPr>
          </w:p>
        </w:tc>
      </w:tr>
      <w:tr w:rsidR="009146CF" w14:paraId="5135A5E9" w14:textId="77777777" w:rsidTr="009146CF">
        <w:trPr>
          <w:cantSplit/>
          <w:trHeight w:val="480"/>
        </w:trPr>
        <w:tc>
          <w:tcPr>
            <w:tcW w:w="426" w:type="dxa"/>
            <w:tcBorders>
              <w:top w:val="single" w:sz="6" w:space="0" w:color="auto"/>
              <w:left w:val="single" w:sz="6" w:space="0" w:color="auto"/>
              <w:bottom w:val="single" w:sz="6" w:space="0" w:color="auto"/>
              <w:right w:val="single" w:sz="6" w:space="0" w:color="auto"/>
            </w:tcBorders>
          </w:tcPr>
          <w:p w14:paraId="6BC35066" w14:textId="77777777" w:rsidR="009146CF" w:rsidRPr="006B641C" w:rsidRDefault="009146CF" w:rsidP="00CB278D">
            <w:pPr>
              <w:pStyle w:val="NoSpacing"/>
            </w:pPr>
          </w:p>
        </w:tc>
        <w:tc>
          <w:tcPr>
            <w:tcW w:w="567" w:type="dxa"/>
            <w:tcBorders>
              <w:top w:val="single" w:sz="6" w:space="0" w:color="auto"/>
              <w:left w:val="single" w:sz="6" w:space="0" w:color="auto"/>
              <w:bottom w:val="single" w:sz="6" w:space="0" w:color="auto"/>
              <w:right w:val="single" w:sz="6" w:space="0" w:color="auto"/>
            </w:tcBorders>
          </w:tcPr>
          <w:p w14:paraId="3EF0525D" w14:textId="54426FFD" w:rsidR="009146CF" w:rsidRDefault="0094079E" w:rsidP="00CB278D">
            <w:pPr>
              <w:pStyle w:val="NoSpacing"/>
            </w:pPr>
            <w:r>
              <w:t>29</w:t>
            </w:r>
          </w:p>
        </w:tc>
        <w:tc>
          <w:tcPr>
            <w:tcW w:w="850" w:type="dxa"/>
            <w:tcBorders>
              <w:top w:val="single" w:sz="6" w:space="0" w:color="auto"/>
              <w:left w:val="single" w:sz="6" w:space="0" w:color="auto"/>
              <w:bottom w:val="single" w:sz="6" w:space="0" w:color="auto"/>
              <w:right w:val="single" w:sz="6" w:space="0" w:color="auto"/>
            </w:tcBorders>
          </w:tcPr>
          <w:p w14:paraId="249496A0" w14:textId="13CF2716" w:rsidR="009146CF" w:rsidRDefault="0094079E" w:rsidP="00CB278D">
            <w:pPr>
              <w:pStyle w:val="NoSpacing"/>
            </w:pPr>
            <w:r>
              <w:t>Conclusions</w:t>
            </w:r>
          </w:p>
        </w:tc>
        <w:tc>
          <w:tcPr>
            <w:tcW w:w="4961" w:type="dxa"/>
            <w:tcBorders>
              <w:top w:val="single" w:sz="6" w:space="0" w:color="auto"/>
              <w:left w:val="single" w:sz="6" w:space="0" w:color="auto"/>
              <w:bottom w:val="single" w:sz="6" w:space="0" w:color="auto"/>
              <w:right w:val="single" w:sz="6" w:space="0" w:color="auto"/>
            </w:tcBorders>
          </w:tcPr>
          <w:p w14:paraId="73632D9F" w14:textId="0D1B393B" w:rsidR="009146CF" w:rsidRDefault="0094079E" w:rsidP="00CB278D">
            <w:pPr>
              <w:pStyle w:val="NoSpacing"/>
            </w:pPr>
            <w:r>
              <w:t>What is the workflow/timeline for the final definition of the capability, and the implementation of the interfaces? An estimation is needed.</w:t>
            </w:r>
          </w:p>
        </w:tc>
        <w:tc>
          <w:tcPr>
            <w:tcW w:w="2835" w:type="dxa"/>
            <w:tcBorders>
              <w:top w:val="single" w:sz="6" w:space="0" w:color="auto"/>
              <w:bottom w:val="single" w:sz="6" w:space="0" w:color="auto"/>
              <w:right w:val="single" w:sz="6" w:space="0" w:color="auto"/>
            </w:tcBorders>
          </w:tcPr>
          <w:p w14:paraId="3EDA2120" w14:textId="77777777" w:rsidR="009146CF" w:rsidRPr="006B641C" w:rsidRDefault="009146CF" w:rsidP="00CB278D">
            <w:pPr>
              <w:pStyle w:val="NoSpacing"/>
            </w:pPr>
          </w:p>
        </w:tc>
      </w:tr>
    </w:tbl>
    <w:p w14:paraId="4E877479" w14:textId="77777777" w:rsidR="00CB278D" w:rsidRDefault="00CB278D" w:rsidP="00CB278D"/>
    <w:p w14:paraId="3D8C3441" w14:textId="77777777" w:rsidR="00CB278D" w:rsidRPr="0079377B" w:rsidRDefault="00CB278D" w:rsidP="00CB278D">
      <w:pPr>
        <w:outlineLvl w:val="0"/>
        <w:rPr>
          <w:b/>
          <w:bCs/>
          <w:sz w:val="24"/>
        </w:rPr>
      </w:pPr>
      <w:r w:rsidRPr="0079377B">
        <w:rPr>
          <w:b/>
          <w:bCs/>
          <w:sz w:val="24"/>
        </w:rPr>
        <w:t>English and other corrections:</w:t>
      </w:r>
    </w:p>
    <w:p w14:paraId="46BD7A7A"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E10847E" w14:textId="227771D6" w:rsidR="00835E24" w:rsidRDefault="0083265D" w:rsidP="00835E24">
      <w:r>
        <w:t>Pg 8, “Serious circumstances” I suggest “case of incidents in the current sites”</w:t>
      </w:r>
    </w:p>
    <w:p w14:paraId="0AB7BE60" w14:textId="533459F3" w:rsidR="004D249B" w:rsidRDefault="0083265D" w:rsidP="00CB278D">
      <w:pPr>
        <w:spacing w:after="200"/>
        <w:jc w:val="left"/>
      </w:pPr>
      <w:r>
        <w:t>Pg 18, “Notice that the application” -&gt; “Note that the application”</w:t>
      </w:r>
    </w:p>
    <w:p w14:paraId="1A6B9C1E" w14:textId="77777777" w:rsidR="0083265D" w:rsidRPr="004D249B" w:rsidRDefault="0083265D" w:rsidP="00CB278D">
      <w:pPr>
        <w:spacing w:after="200"/>
        <w:jc w:val="left"/>
      </w:pPr>
      <w:bookmarkStart w:id="0" w:name="_GoBack"/>
      <w:bookmarkEnd w:id="0"/>
    </w:p>
    <w:p w14:paraId="460F323B" w14:textId="77777777" w:rsidR="004D249B" w:rsidRPr="004D249B" w:rsidRDefault="004D249B" w:rsidP="004D249B"/>
    <w:p w14:paraId="5006D49A" w14:textId="77777777" w:rsidR="00D95F48" w:rsidRDefault="00D95F48" w:rsidP="00D95F48"/>
    <w:p w14:paraId="3117099D" w14:textId="77777777" w:rsidR="004338C6" w:rsidRDefault="004338C6" w:rsidP="004338C6"/>
    <w:p w14:paraId="5BD89490"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3BF6A" w14:textId="77777777" w:rsidR="009146CF" w:rsidRDefault="009146CF" w:rsidP="00835E24">
      <w:pPr>
        <w:spacing w:after="0" w:line="240" w:lineRule="auto"/>
      </w:pPr>
      <w:r>
        <w:separator/>
      </w:r>
    </w:p>
  </w:endnote>
  <w:endnote w:type="continuationSeparator" w:id="0">
    <w:p w14:paraId="39FB216F" w14:textId="77777777" w:rsidR="009146CF" w:rsidRDefault="009146C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62D4" w14:textId="77777777" w:rsidR="009146CF" w:rsidRDefault="009146C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146CF" w14:paraId="7B825DFE" w14:textId="77777777" w:rsidTr="00D065EF">
      <w:trPr>
        <w:trHeight w:val="857"/>
      </w:trPr>
      <w:tc>
        <w:tcPr>
          <w:tcW w:w="3060" w:type="dxa"/>
          <w:vAlign w:val="bottom"/>
        </w:tcPr>
        <w:p w14:paraId="3259266C" w14:textId="77777777" w:rsidR="009146CF" w:rsidRDefault="009146CF" w:rsidP="00D065EF">
          <w:pPr>
            <w:pStyle w:val="Header"/>
            <w:jc w:val="left"/>
          </w:pPr>
          <w:r>
            <w:rPr>
              <w:noProof/>
              <w:lang w:val="en-US"/>
            </w:rPr>
            <w:drawing>
              <wp:inline distT="0" distB="0" distL="0" distR="0" wp14:anchorId="69D9504A" wp14:editId="50EA090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123DB0C" w14:textId="77777777" w:rsidR="009146CF" w:rsidRDefault="009146CF" w:rsidP="009146CF">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265D">
                <w:rPr>
                  <w:noProof/>
                </w:rPr>
                <w:t>3</w:t>
              </w:r>
              <w:r>
                <w:rPr>
                  <w:noProof/>
                </w:rPr>
                <w:fldChar w:fldCharType="end"/>
              </w:r>
            </w:sdtContent>
          </w:sdt>
        </w:p>
      </w:tc>
      <w:tc>
        <w:tcPr>
          <w:tcW w:w="3060" w:type="dxa"/>
          <w:vAlign w:val="bottom"/>
        </w:tcPr>
        <w:p w14:paraId="77971EB8" w14:textId="77777777" w:rsidR="009146CF" w:rsidRDefault="009146CF" w:rsidP="009146CF">
          <w:pPr>
            <w:pStyle w:val="Header"/>
            <w:jc w:val="right"/>
          </w:pPr>
          <w:r>
            <w:rPr>
              <w:noProof/>
              <w:lang w:val="en-US"/>
            </w:rPr>
            <w:drawing>
              <wp:inline distT="0" distB="0" distL="0" distR="0" wp14:anchorId="3D699C86" wp14:editId="17A69CFE">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35CE1DE" w14:textId="77777777" w:rsidR="009146CF" w:rsidRDefault="009146C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146CF" w:rsidRPr="00962667" w14:paraId="3850FFD7" w14:textId="77777777" w:rsidTr="00962667">
      <w:tc>
        <w:tcPr>
          <w:tcW w:w="1242" w:type="dxa"/>
          <w:vAlign w:val="center"/>
        </w:tcPr>
        <w:p w14:paraId="3921934A" w14:textId="77777777" w:rsidR="009146CF" w:rsidRPr="00962667" w:rsidRDefault="009146CF" w:rsidP="00962667">
          <w:pPr>
            <w:pStyle w:val="Footer"/>
            <w:jc w:val="center"/>
            <w:rPr>
              <w:sz w:val="20"/>
            </w:rPr>
          </w:pPr>
          <w:r w:rsidRPr="00962667">
            <w:rPr>
              <w:noProof/>
              <w:sz w:val="20"/>
              <w:lang w:val="en-US"/>
            </w:rPr>
            <w:drawing>
              <wp:inline distT="0" distB="0" distL="0" distR="0" wp14:anchorId="6DE18DB8" wp14:editId="0106B6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81C4B95" w14:textId="77777777" w:rsidR="009146CF" w:rsidRPr="00962667" w:rsidRDefault="009146CF"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08C7AD4" w14:textId="77777777" w:rsidR="009146CF" w:rsidRPr="00962667" w:rsidRDefault="009146CF"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1673B95E" w14:textId="77777777" w:rsidR="009146CF" w:rsidRPr="00962667" w:rsidRDefault="009146CF">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31A23" w14:textId="77777777" w:rsidR="009146CF" w:rsidRDefault="009146CF" w:rsidP="00835E24">
      <w:pPr>
        <w:spacing w:after="0" w:line="240" w:lineRule="auto"/>
      </w:pPr>
      <w:r>
        <w:separator/>
      </w:r>
    </w:p>
  </w:footnote>
  <w:footnote w:type="continuationSeparator" w:id="0">
    <w:p w14:paraId="48B7A5FE" w14:textId="77777777" w:rsidR="009146CF" w:rsidRDefault="009146CF"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146CF" w14:paraId="77A86D37" w14:textId="77777777" w:rsidTr="00D065EF">
      <w:tc>
        <w:tcPr>
          <w:tcW w:w="4621" w:type="dxa"/>
        </w:tcPr>
        <w:p w14:paraId="61F48F57" w14:textId="77777777" w:rsidR="009146CF" w:rsidRDefault="009146CF" w:rsidP="00163455"/>
      </w:tc>
      <w:tc>
        <w:tcPr>
          <w:tcW w:w="4621" w:type="dxa"/>
        </w:tcPr>
        <w:p w14:paraId="7E2BF6CF" w14:textId="77777777" w:rsidR="009146CF" w:rsidRDefault="009146CF" w:rsidP="00D065EF">
          <w:pPr>
            <w:jc w:val="right"/>
          </w:pPr>
          <w:r>
            <w:t>EGI-Engage</w:t>
          </w:r>
        </w:p>
      </w:tc>
    </w:tr>
  </w:tbl>
  <w:p w14:paraId="1372C74D" w14:textId="77777777" w:rsidR="009146CF" w:rsidRDefault="009146CF">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31912"/>
    <w:rsid w:val="006669E7"/>
    <w:rsid w:val="0067009D"/>
    <w:rsid w:val="006971E0"/>
    <w:rsid w:val="006B641C"/>
    <w:rsid w:val="006D527C"/>
    <w:rsid w:val="006F735A"/>
    <w:rsid w:val="006F7556"/>
    <w:rsid w:val="0072045A"/>
    <w:rsid w:val="00733386"/>
    <w:rsid w:val="00782A92"/>
    <w:rsid w:val="0079377B"/>
    <w:rsid w:val="007C78CA"/>
    <w:rsid w:val="00813ED4"/>
    <w:rsid w:val="00823F4B"/>
    <w:rsid w:val="0083265D"/>
    <w:rsid w:val="00835E24"/>
    <w:rsid w:val="00840515"/>
    <w:rsid w:val="008B1E35"/>
    <w:rsid w:val="008B2F11"/>
    <w:rsid w:val="008C7F9E"/>
    <w:rsid w:val="008D1EC3"/>
    <w:rsid w:val="009138D4"/>
    <w:rsid w:val="009146CF"/>
    <w:rsid w:val="00931656"/>
    <w:rsid w:val="0094079E"/>
    <w:rsid w:val="00947A45"/>
    <w:rsid w:val="00962667"/>
    <w:rsid w:val="00976A73"/>
    <w:rsid w:val="0098016B"/>
    <w:rsid w:val="009E130B"/>
    <w:rsid w:val="009F1E23"/>
    <w:rsid w:val="00A312B2"/>
    <w:rsid w:val="00A5267D"/>
    <w:rsid w:val="00A67816"/>
    <w:rsid w:val="00A940FF"/>
    <w:rsid w:val="00B107DD"/>
    <w:rsid w:val="00B127E5"/>
    <w:rsid w:val="00B423FD"/>
    <w:rsid w:val="00B60F00"/>
    <w:rsid w:val="00B735EB"/>
    <w:rsid w:val="00B80FB4"/>
    <w:rsid w:val="00B85B70"/>
    <w:rsid w:val="00C40D39"/>
    <w:rsid w:val="00C82428"/>
    <w:rsid w:val="00C96C8F"/>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362E7"/>
    <w:rsid w:val="00E74002"/>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65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8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A552-4D27-5B46-975B-330BAFFB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466</Words>
  <Characters>2661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cp:lastModifiedBy>
  <cp:revision>7</cp:revision>
  <dcterms:created xsi:type="dcterms:W3CDTF">2016-02-21T18:26:00Z</dcterms:created>
  <dcterms:modified xsi:type="dcterms:W3CDTF">2016-02-21T19:04:00Z</dcterms:modified>
</cp:coreProperties>
</file>