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footer2.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4.png" ContentType="image/png"/>
  <Override PartName="/word/media/image3.png" ContentType="image/png"/>
  <Override PartName="/word/media/image2.gif" ContentType="image/gif"/>
  <Override PartName="/word/media/image1.png" ContentType="image/png"/>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2042160" cy="162242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042160" cy="1622425"/>
                    </a:xfrm>
                    <a:prstGeom prst="rect">
                      <a:avLst/>
                    </a:prstGeom>
                  </pic:spPr>
                </pic:pic>
              </a:graphicData>
            </a:graphic>
          </wp:inline>
        </w:drawing>
      </w:r>
    </w:p>
    <w:p>
      <w:pPr>
        <w:pStyle w:val="Normal"/>
        <w:jc w:val="center"/>
        <w:rPr>
          <w:b/>
          <w:b/>
          <w:color w:val="0067B1"/>
          <w:sz w:val="56"/>
        </w:rPr>
      </w:pPr>
      <w:r>
        <w:rPr>
          <w:b/>
          <w:color w:val="0067B1"/>
          <w:sz w:val="56"/>
        </w:rPr>
        <w:t>EGI-Engage</w:t>
      </w:r>
    </w:p>
    <w:p>
      <w:pPr>
        <w:pStyle w:val="Normal"/>
        <w:rPr/>
      </w:pPr>
      <w:r>
        <w:rPr/>
      </w:r>
    </w:p>
    <w:p>
      <w:pPr>
        <w:pStyle w:val="Title"/>
        <w:rPr>
          <w:i w:val="false"/>
          <w:i w:val="false"/>
        </w:rPr>
      </w:pPr>
      <w:r>
        <w:rPr>
          <w:i w:val="false"/>
        </w:rPr>
        <w:t>Deliverable/Milestone review form</w:t>
      </w:r>
    </w:p>
    <w:p>
      <w:pPr>
        <w:pStyle w:val="Normal"/>
        <w:rPr/>
      </w:pPr>
      <w:r>
        <w:rPr/>
      </w:r>
    </w:p>
    <w:tbl>
      <w:tblPr>
        <w:tblW w:w="9640" w:type="dxa"/>
        <w:jc w:val="left"/>
        <w:tblInd w:w="-6" w:type="dxa"/>
        <w:tblBorders>
          <w:top w:val="single" w:sz="6" w:space="0" w:color="00000A"/>
          <w:left w:val="single" w:sz="6" w:space="0" w:color="00000A"/>
          <w:bottom w:val="double" w:sz="6" w:space="0" w:color="00000A"/>
          <w:right w:val="single" w:sz="6" w:space="0" w:color="00000A"/>
          <w:insideH w:val="double" w:sz="6" w:space="0" w:color="00000A"/>
          <w:insideV w:val="single" w:sz="6" w:space="0" w:color="00000A"/>
        </w:tblBorders>
        <w:tblCellMar>
          <w:top w:w="0" w:type="dxa"/>
          <w:left w:w="-7" w:type="dxa"/>
          <w:bottom w:w="0" w:type="dxa"/>
          <w:right w:w="0" w:type="dxa"/>
        </w:tblCellMar>
        <w:tblLook w:val="0000" w:noVBand="0" w:noHBand="0" w:lastColumn="0" w:firstColumn="0" w:lastRow="0" w:firstRow="0"/>
      </w:tblPr>
      <w:tblGrid>
        <w:gridCol w:w="1271"/>
        <w:gridCol w:w="3330"/>
        <w:gridCol w:w="2227"/>
        <w:gridCol w:w="2811"/>
      </w:tblGrid>
      <w:tr>
        <w:trPr>
          <w:cantSplit w:val="true"/>
        </w:trPr>
        <w:tc>
          <w:tcPr>
            <w:tcW w:w="9639" w:type="dxa"/>
            <w:gridSpan w:val="4"/>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tcPr>
          <w:p>
            <w:pPr>
              <w:pStyle w:val="Annotationtext"/>
              <w:spacing w:before="0" w:after="120"/>
              <w:jc w:val="center"/>
              <w:rPr>
                <w:b/>
                <w:b/>
                <w:szCs w:val="22"/>
              </w:rPr>
            </w:pPr>
            <w:r>
              <w:rPr>
                <w:b/>
                <w:szCs w:val="22"/>
              </w:rPr>
              <w:t>Details of the document being reviewed</w:t>
            </w:r>
          </w:p>
        </w:tc>
      </w:tr>
      <w:tr>
        <w:trPr>
          <w:cantSplit w:val="true"/>
        </w:trPr>
        <w:tc>
          <w:tcPr>
            <w:tcW w:w="1271" w:type="dxa"/>
            <w:tcBorders>
              <w:top w:val="doub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rmal"/>
              <w:spacing w:before="0" w:after="120"/>
              <w:ind w:left="113" w:right="113" w:hanging="0"/>
              <w:rPr>
                <w:i/>
                <w:i/>
              </w:rPr>
            </w:pPr>
            <w:r>
              <w:rPr>
                <w:i/>
              </w:rPr>
              <w:t>Title:</w:t>
            </w:r>
          </w:p>
        </w:tc>
        <w:tc>
          <w:tcPr>
            <w:tcW w:w="3330" w:type="dxa"/>
            <w:tcBorders>
              <w:top w:val="doub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rmal"/>
              <w:spacing w:before="0" w:after="120"/>
              <w:ind w:left="113" w:right="113" w:hanging="0"/>
              <w:jc w:val="left"/>
              <w:rPr>
                <w:b/>
                <w:b/>
              </w:rPr>
            </w:pPr>
            <w:r>
              <w:rPr>
                <w:b/>
              </w:rPr>
              <w:t>Relocating VM instances between providers, final specification</w:t>
            </w:r>
          </w:p>
        </w:tc>
        <w:tc>
          <w:tcPr>
            <w:tcW w:w="2227" w:type="dxa"/>
            <w:tcBorders>
              <w:top w:val="doub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rmal"/>
              <w:spacing w:before="0" w:after="120"/>
              <w:ind w:left="113" w:right="113" w:hanging="0"/>
              <w:rPr>
                <w:i/>
                <w:i/>
              </w:rPr>
            </w:pPr>
            <w:r>
              <w:rPr>
                <w:i/>
              </w:rPr>
              <w:t>Document identifier:</w:t>
            </w:r>
          </w:p>
        </w:tc>
        <w:tc>
          <w:tcPr>
            <w:tcW w:w="2811" w:type="dxa"/>
            <w:tcBorders>
              <w:top w:val="doub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rmal"/>
              <w:spacing w:before="0" w:after="120"/>
              <w:ind w:right="113" w:hanging="0"/>
              <w:jc w:val="left"/>
              <w:rPr>
                <w:b/>
                <w:b/>
                <w:highlight w:val="yellow"/>
              </w:rPr>
            </w:pPr>
            <w:r>
              <w:rPr/>
              <w:t>EGI-doc-2680</w:t>
            </w:r>
          </w:p>
        </w:tc>
      </w:tr>
      <w:tr>
        <w:trPr>
          <w:cantSplit w:val="true"/>
        </w:trPr>
        <w:tc>
          <w:tcPr>
            <w:tcW w:w="12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rmal"/>
              <w:spacing w:before="0" w:after="120"/>
              <w:ind w:left="113" w:right="113" w:hanging="0"/>
              <w:rPr>
                <w:i/>
                <w:i/>
              </w:rPr>
            </w:pPr>
            <w:r>
              <w:rPr>
                <w:i/>
              </w:rPr>
              <w:t>Project:</w:t>
            </w:r>
          </w:p>
        </w:tc>
        <w:tc>
          <w:tcPr>
            <w:tcW w:w="333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rmal"/>
              <w:spacing w:before="0" w:after="120"/>
              <w:ind w:left="113" w:right="113" w:hanging="0"/>
              <w:jc w:val="left"/>
              <w:rPr>
                <w:b/>
                <w:b/>
              </w:rPr>
            </w:pPr>
            <w:r>
              <w:rPr>
                <w:b/>
              </w:rPr>
              <w:t>EGI-Engage</w:t>
            </w:r>
          </w:p>
        </w:tc>
        <w:tc>
          <w:tcPr>
            <w:tcW w:w="222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rmal"/>
              <w:spacing w:before="0" w:after="120"/>
              <w:ind w:left="113" w:right="113" w:hanging="0"/>
              <w:rPr>
                <w:b/>
                <w:b/>
              </w:rPr>
            </w:pPr>
            <w:r>
              <w:rPr>
                <w:i/>
              </w:rPr>
              <w:t>Document url:</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rmal"/>
              <w:spacing w:before="0" w:after="120"/>
              <w:ind w:right="113" w:hanging="0"/>
              <w:jc w:val="left"/>
              <w:rPr/>
            </w:pPr>
            <w:hyperlink r:id="rId3">
              <w:r>
                <w:rPr>
                  <w:rStyle w:val="InternetLink"/>
                  <w:sz w:val="15"/>
                  <w:szCs w:val="15"/>
                </w:rPr>
                <w:t>https://documents.egi.eu/document/2680</w:t>
              </w:r>
            </w:hyperlink>
          </w:p>
        </w:tc>
      </w:tr>
      <w:tr>
        <w:trPr>
          <w:cantSplit w:val="true"/>
        </w:trPr>
        <w:tc>
          <w:tcPr>
            <w:tcW w:w="12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rmal"/>
              <w:spacing w:before="0" w:after="120"/>
              <w:ind w:left="113" w:right="113" w:hanging="0"/>
              <w:rPr>
                <w:i/>
                <w:i/>
              </w:rPr>
            </w:pPr>
            <w:r>
              <w:rPr>
                <w:i/>
              </w:rPr>
              <w:t>Author(s):</w:t>
            </w:r>
          </w:p>
        </w:tc>
        <w:tc>
          <w:tcPr>
            <w:tcW w:w="333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rmal"/>
              <w:spacing w:before="0" w:after="120"/>
              <w:ind w:left="113" w:right="113" w:hanging="0"/>
              <w:jc w:val="left"/>
              <w:rPr>
                <w:b/>
                <w:b/>
              </w:rPr>
            </w:pPr>
            <w:r>
              <w:rPr>
                <w:b/>
              </w:rPr>
              <w:t>Alvaro López García</w:t>
            </w:r>
          </w:p>
        </w:tc>
        <w:tc>
          <w:tcPr>
            <w:tcW w:w="222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rmal"/>
              <w:spacing w:before="0" w:after="120"/>
              <w:ind w:left="113" w:right="113" w:hanging="0"/>
              <w:rPr>
                <w:b/>
                <w:b/>
              </w:rPr>
            </w:pPr>
            <w:r>
              <w:rPr>
                <w:i/>
              </w:rPr>
              <w:t>Date:</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rmal"/>
              <w:spacing w:before="0" w:after="120"/>
              <w:ind w:right="113" w:hanging="0"/>
              <w:jc w:val="left"/>
              <w:rPr>
                <w:b/>
                <w:b/>
                <w:highlight w:val="yellow"/>
              </w:rPr>
            </w:pPr>
            <w:r>
              <w:rPr>
                <w:b/>
                <w:highlight w:val="yellow"/>
              </w:rPr>
              <w:t>21 Feb 2016</w:t>
            </w:r>
          </w:p>
        </w:tc>
      </w:tr>
    </w:tbl>
    <w:p>
      <w:pPr>
        <w:pStyle w:val="Normal"/>
        <w:rPr/>
      </w:pPr>
      <w:r>
        <w:rPr/>
      </w:r>
    </w:p>
    <w:tbl>
      <w:tblPr>
        <w:tblW w:w="9638" w:type="dxa"/>
        <w:jc w:val="lef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0" w:type="dxa"/>
        </w:tblCellMar>
        <w:tblLook w:val="0000" w:noVBand="0" w:noHBand="0" w:lastColumn="0" w:firstColumn="0" w:lastRow="0" w:firstRow="0"/>
      </w:tblPr>
      <w:tblGrid>
        <w:gridCol w:w="1416"/>
        <w:gridCol w:w="3262"/>
        <w:gridCol w:w="1132"/>
        <w:gridCol w:w="3827"/>
      </w:tblGrid>
      <w:tr>
        <w:trPr>
          <w:cantSplit w:val="true"/>
        </w:trPr>
        <w:tc>
          <w:tcPr>
            <w:tcW w:w="96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5" w:type="dxa"/>
            </w:tcMar>
          </w:tcPr>
          <w:p>
            <w:pPr>
              <w:pStyle w:val="Annotationtext"/>
              <w:spacing w:before="0" w:after="120"/>
              <w:jc w:val="center"/>
              <w:rPr>
                <w:b/>
                <w:b/>
                <w:szCs w:val="22"/>
              </w:rPr>
            </w:pPr>
            <w:r>
              <w:rPr>
                <w:b/>
                <w:szCs w:val="22"/>
              </w:rPr>
              <w:t>Identification of the reviewer</w:t>
            </w:r>
          </w:p>
        </w:tc>
      </w:tr>
      <w:tr>
        <w:trPr>
          <w:cantSplit w:val="true"/>
        </w:trPr>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before="0" w:after="120"/>
              <w:ind w:left="113" w:right="113" w:hanging="0"/>
              <w:rPr>
                <w:i/>
                <w:i/>
              </w:rPr>
            </w:pPr>
            <w:r>
              <w:rPr>
                <w:i/>
              </w:rPr>
              <w:t>Reviewer:</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before="0" w:after="120"/>
              <w:ind w:left="113" w:right="113" w:hanging="0"/>
              <w:jc w:val="left"/>
              <w:rPr>
                <w:b/>
                <w:b/>
              </w:rPr>
            </w:pPr>
            <w:r>
              <w:rPr>
                <w:b/>
              </w:rPr>
              <w:t>Peter Solagna</w:t>
            </w:r>
          </w:p>
        </w:tc>
        <w:tc>
          <w:tcPr>
            <w:tcW w:w="11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before="0" w:after="120"/>
              <w:ind w:left="113" w:right="113" w:hanging="0"/>
              <w:rPr>
                <w:b/>
                <w:b/>
              </w:rPr>
            </w:pPr>
            <w:r>
              <w:rPr>
                <w:i/>
              </w:rPr>
              <w:t>Activity:</w:t>
            </w:r>
          </w:p>
        </w:tc>
        <w:tc>
          <w:tcPr>
            <w:tcW w:w="38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before="0" w:after="120"/>
              <w:ind w:right="113" w:hanging="0"/>
              <w:rPr>
                <w:b/>
                <w:b/>
                <w:bCs/>
                <w:iCs/>
              </w:rPr>
            </w:pPr>
            <w:r>
              <w:rPr>
                <w:b/>
                <w:highlight w:val="yellow"/>
              </w:rPr>
              <w:t>[please fill in]</w:t>
            </w:r>
          </w:p>
        </w:tc>
      </w:tr>
    </w:tbl>
    <w:p>
      <w:pPr>
        <w:pStyle w:val="Normal"/>
        <w:rPr>
          <w:b/>
          <w:b/>
          <w:bCs/>
        </w:rPr>
      </w:pPr>
      <w:r>
        <w:rPr>
          <w:b/>
          <w:bCs/>
        </w:rPr>
      </w:r>
    </w:p>
    <w:p>
      <w:pPr>
        <w:pStyle w:val="Normal"/>
        <w:numPr>
          <w:ilvl w:val="0"/>
          <w:numId w:val="0"/>
        </w:numPr>
        <w:outlineLvl w:val="0"/>
        <w:rPr>
          <w:b/>
          <w:b/>
          <w:bCs/>
          <w:sz w:val="24"/>
        </w:rPr>
      </w:pPr>
      <w:r>
        <w:rPr>
          <w:b/>
          <w:bCs/>
          <w:sz w:val="24"/>
        </w:rPr>
        <w:t>General comments on the content</w:t>
      </w:r>
    </w:p>
    <w:tbl>
      <w:tblPr>
        <w:tblW w:w="9622" w:type="dxa"/>
        <w:jc w:val="left"/>
        <w:tblInd w:w="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0" w:type="dxa"/>
          <w:bottom w:w="0" w:type="dxa"/>
          <w:right w:w="70" w:type="dxa"/>
        </w:tblCellMar>
        <w:tblLook w:val="0000" w:noVBand="0" w:noHBand="0" w:lastColumn="0" w:firstColumn="0" w:lastRow="0" w:firstRow="0"/>
      </w:tblPr>
      <w:tblGrid>
        <w:gridCol w:w="9622"/>
      </w:tblGrid>
      <w:tr>
        <w:trPr>
          <w:trHeight w:val="333"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60" w:type="dxa"/>
            </w:tcMar>
          </w:tcPr>
          <w:p>
            <w:pPr>
              <w:pStyle w:val="Normal"/>
              <w:widowControl/>
              <w:bidi w:val="0"/>
              <w:spacing w:before="0" w:after="120"/>
              <w:jc w:val="both"/>
              <w:rPr/>
            </w:pPr>
            <w:r>
              <w:rPr>
                <w:b/>
                <w:bCs/>
              </w:rPr>
              <w:t>Comments from Reviewer:</w:t>
            </w:r>
          </w:p>
        </w:tc>
      </w:tr>
      <w:tr>
        <w:trPr>
          <w:trHeight w:val="900"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0" w:type="dxa"/>
            </w:tcMar>
          </w:tcPr>
          <w:p>
            <w:pPr>
              <w:pStyle w:val="Normal"/>
              <w:widowControl/>
              <w:bidi w:val="0"/>
              <w:spacing w:before="0" w:after="120"/>
              <w:jc w:val="both"/>
              <w:rPr/>
            </w:pPr>
            <w:r>
              <w:rPr/>
              <w:t xml:space="preserve">The document is clear, it includes a good overview of the existing works about vm migration, and rightly highlights the peculiarities of the federated cloud of EGI. Although motivated in the document, I think that the decision of focusing on cold migration could be a strong limitation, at least it should foresee some activities in the future to investigate warm migration. The extension proposed is clear, as initial draft, but I think it needs more discussions. </w:t>
            </w:r>
          </w:p>
        </w:tc>
      </w:tr>
      <w:tr>
        <w:trPr>
          <w:trHeight w:val="358"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60" w:type="dxa"/>
            </w:tcMar>
          </w:tcPr>
          <w:p>
            <w:pPr>
              <w:pStyle w:val="Normal"/>
              <w:widowControl/>
              <w:bidi w:val="0"/>
              <w:spacing w:before="0" w:after="120"/>
              <w:jc w:val="both"/>
              <w:rPr>
                <w:b/>
                <w:b/>
                <w:bCs/>
              </w:rPr>
            </w:pPr>
            <w:r>
              <w:rPr>
                <w:b/>
                <w:bCs/>
              </w:rPr>
              <w:t xml:space="preserve">Response from Author: </w:t>
            </w:r>
          </w:p>
        </w:tc>
      </w:tr>
      <w:tr>
        <w:trPr>
          <w:trHeight w:val="914"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0" w:type="dxa"/>
            </w:tcMar>
          </w:tcPr>
          <w:p>
            <w:pPr>
              <w:pStyle w:val="Normal"/>
              <w:widowControl/>
              <w:bidi w:val="0"/>
              <w:spacing w:before="0" w:after="120"/>
              <w:jc w:val="both"/>
              <w:rPr/>
            </w:pPr>
            <w:r>
              <w:rPr/>
            </w:r>
          </w:p>
        </w:tc>
      </w:tr>
    </w:tbl>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sz w:val="24"/>
        </w:rPr>
      </w:pPr>
      <w:r>
        <w:rPr>
          <w:b/>
          <w:bCs/>
          <w:sz w:val="24"/>
        </w:rPr>
        <w:t xml:space="preserve">Additional comments </w:t>
      </w:r>
    </w:p>
    <w:p>
      <w:pPr>
        <w:pStyle w:val="Normal"/>
        <w:rPr>
          <w:i/>
          <w:i/>
        </w:rPr>
      </w:pPr>
      <w:r>
        <w:rPr>
          <w:bCs/>
          <w:i/>
        </w:rPr>
        <w:t>(not affecting the document content e.g.  recommendations for the future</w:t>
      </w:r>
      <w:r>
        <w:rPr>
          <w:i/>
        </w:rPr>
        <w:t>)</w:t>
      </w:r>
    </w:p>
    <w:tbl>
      <w:tblPr>
        <w:tblW w:w="9622" w:type="dxa"/>
        <w:jc w:val="left"/>
        <w:tblInd w:w="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0" w:type="dxa"/>
          <w:bottom w:w="0" w:type="dxa"/>
          <w:right w:w="70" w:type="dxa"/>
        </w:tblCellMar>
        <w:tblLook w:val="0000" w:noVBand="0" w:noHBand="0" w:lastColumn="0" w:firstColumn="0" w:lastRow="0" w:firstRow="0"/>
      </w:tblPr>
      <w:tblGrid>
        <w:gridCol w:w="9622"/>
      </w:tblGrid>
      <w:tr>
        <w:trPr>
          <w:trHeight w:val="370"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60" w:type="dxa"/>
            </w:tcMar>
          </w:tcPr>
          <w:p>
            <w:pPr>
              <w:pStyle w:val="Normal"/>
              <w:widowControl/>
              <w:bidi w:val="0"/>
              <w:spacing w:before="0" w:after="120"/>
              <w:jc w:val="both"/>
              <w:rPr>
                <w:b/>
                <w:b/>
                <w:bCs/>
              </w:rPr>
            </w:pPr>
            <w:r>
              <w:rPr>
                <w:b/>
                <w:bCs/>
              </w:rPr>
              <w:t>From reviewer:</w:t>
            </w:r>
          </w:p>
        </w:tc>
      </w:tr>
      <w:tr>
        <w:trPr>
          <w:trHeight w:val="1265"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0" w:type="dxa"/>
            </w:tcMar>
          </w:tcPr>
          <w:p>
            <w:pPr>
              <w:pStyle w:val="Normal"/>
              <w:widowControl/>
              <w:bidi w:val="0"/>
              <w:spacing w:before="0" w:after="120"/>
              <w:jc w:val="both"/>
              <w:rPr/>
            </w:pPr>
            <w:r>
              <w:rPr/>
            </w:r>
          </w:p>
        </w:tc>
      </w:tr>
    </w:tbl>
    <w:p>
      <w:pPr>
        <w:pStyle w:val="Normal"/>
        <w:numPr>
          <w:ilvl w:val="0"/>
          <w:numId w:val="0"/>
        </w:numPr>
        <w:outlineLvl w:val="0"/>
        <w:rPr>
          <w:b/>
          <w:b/>
          <w:bCs/>
        </w:rPr>
      </w:pPr>
      <w:r>
        <w:rPr>
          <w:b/>
          <w:bCs/>
        </w:rPr>
      </w:r>
    </w:p>
    <w:p>
      <w:pPr>
        <w:pStyle w:val="Normal"/>
        <w:numPr>
          <w:ilvl w:val="0"/>
          <w:numId w:val="0"/>
        </w:numPr>
        <w:outlineLvl w:val="0"/>
        <w:rPr>
          <w:b/>
          <w:b/>
          <w:bCs/>
          <w:sz w:val="24"/>
        </w:rPr>
      </w:pPr>
      <w:r>
        <w:rPr>
          <w:b/>
          <w:bCs/>
          <w:sz w:val="24"/>
        </w:rPr>
        <w:t>Detailed comments on the content</w:t>
      </w:r>
    </w:p>
    <w:tbl>
      <w:tblPr>
        <w:tblW w:w="9639" w:type="dxa"/>
        <w:jc w:val="left"/>
        <w:tblInd w:w="-6" w:type="dxa"/>
        <w:tblBorders>
          <w:top w:val="single" w:sz="6" w:space="0" w:color="00000A"/>
          <w:left w:val="single" w:sz="6" w:space="0" w:color="00000A"/>
          <w:bottom w:val="double" w:sz="6" w:space="0" w:color="00000A"/>
          <w:right w:val="single" w:sz="6" w:space="0" w:color="00000A"/>
          <w:insideH w:val="double" w:sz="6" w:space="0" w:color="00000A"/>
          <w:insideV w:val="single" w:sz="6" w:space="0" w:color="00000A"/>
        </w:tblBorders>
        <w:tblCellMar>
          <w:top w:w="0" w:type="dxa"/>
          <w:left w:w="-7" w:type="dxa"/>
          <w:bottom w:w="0" w:type="dxa"/>
          <w:right w:w="0" w:type="dxa"/>
        </w:tblCellMar>
        <w:tblLook w:val="0000" w:noVBand="0" w:noHBand="0" w:lastColumn="0" w:firstColumn="0" w:lastRow="0" w:firstRow="0"/>
      </w:tblPr>
      <w:tblGrid>
        <w:gridCol w:w="417"/>
        <w:gridCol w:w="561"/>
        <w:gridCol w:w="1100"/>
        <w:gridCol w:w="4796"/>
        <w:gridCol w:w="2765"/>
      </w:tblGrid>
      <w:tr>
        <w:trPr>
          <w:tblHeader w:val="true"/>
          <w:cantSplit w:val="true"/>
        </w:trPr>
        <w:tc>
          <w:tcPr>
            <w:tcW w:w="417"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N°</w:t>
            </w:r>
          </w:p>
        </w:tc>
        <w:tc>
          <w:tcPr>
            <w:tcW w:w="561"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Page</w:t>
            </w:r>
          </w:p>
        </w:tc>
        <w:tc>
          <w:tcPr>
            <w:tcW w:w="1100"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w:t>
            </w:r>
          </w:p>
        </w:tc>
        <w:tc>
          <w:tcPr>
            <w:tcW w:w="4796"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Observations</w:t>
            </w:r>
          </w:p>
        </w:tc>
        <w:tc>
          <w:tcPr>
            <w:tcW w:w="2765"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Reply from author</w:t>
              <w:br/>
              <w:t>(correction / reject,  …)</w:t>
            </w:r>
          </w:p>
        </w:tc>
      </w:tr>
      <w:tr>
        <w:trPr>
          <w:trHeight w:val="480" w:hRule="atLeast"/>
          <w:cantSplit w:val="true"/>
        </w:trPr>
        <w:tc>
          <w:tcPr>
            <w:tcW w:w="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r>
          </w:p>
        </w:tc>
        <w:tc>
          <w:tcPr>
            <w:tcW w:w="5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5</w:t>
            </w:r>
          </w:p>
        </w:tc>
        <w:tc>
          <w:tcPr>
            <w:tcW w:w="11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Ex summary</w:t>
            </w:r>
          </w:p>
        </w:tc>
        <w:tc>
          <w:tcPr>
            <w:tcW w:w="47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Ex. Summary it’s really short. It ends with “a proposal of a procedure to migrate VMs is identified” but with no more information about the procedure. At least specify which type of migration is ultimately analized.</w:t>
            </w:r>
          </w:p>
        </w:tc>
        <w:tc>
          <w:tcPr>
            <w:tcW w:w="27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Spacing"/>
              <w:rPr/>
            </w:pPr>
            <w:r>
              <w:rPr/>
              <w:t>The executive summary has been extended.</w:t>
            </w:r>
          </w:p>
        </w:tc>
      </w:tr>
      <w:tr>
        <w:trPr>
          <w:trHeight w:val="480" w:hRule="atLeast"/>
          <w:cantSplit w:val="true"/>
        </w:trPr>
        <w:tc>
          <w:tcPr>
            <w:tcW w:w="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r>
          </w:p>
        </w:tc>
        <w:tc>
          <w:tcPr>
            <w:tcW w:w="5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14</w:t>
            </w:r>
          </w:p>
        </w:tc>
        <w:tc>
          <w:tcPr>
            <w:tcW w:w="11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2.2</w:t>
            </w:r>
          </w:p>
        </w:tc>
        <w:tc>
          <w:tcPr>
            <w:tcW w:w="47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Just before 2.3, “live migration will not be considered” it seems like also warm migration is not considered.</w:t>
            </w:r>
          </w:p>
        </w:tc>
        <w:tc>
          <w:tcPr>
            <w:tcW w:w="27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Spacing"/>
              <w:rPr/>
            </w:pPr>
            <w:r>
              <w:rPr/>
              <w:t>Corrected</w:t>
            </w:r>
          </w:p>
        </w:tc>
      </w:tr>
      <w:tr>
        <w:trPr>
          <w:trHeight w:val="480" w:hRule="atLeast"/>
          <w:cantSplit w:val="true"/>
        </w:trPr>
        <w:tc>
          <w:tcPr>
            <w:tcW w:w="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r>
          </w:p>
        </w:tc>
        <w:tc>
          <w:tcPr>
            <w:tcW w:w="5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17</w:t>
            </w:r>
          </w:p>
        </w:tc>
        <w:tc>
          <w:tcPr>
            <w:tcW w:w="11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3</w:t>
            </w:r>
          </w:p>
        </w:tc>
        <w:tc>
          <w:tcPr>
            <w:tcW w:w="47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I think that the “migration to prevent redeployment of software” is quite a weak use cases, since it is more about taking snapshots and making them available for re-instantiation. This use case would be more clear if the paragraph mentioned a site-downtime, for example, which requires a fast migration of the VM.</w:t>
            </w:r>
          </w:p>
        </w:tc>
        <w:tc>
          <w:tcPr>
            <w:tcW w:w="27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Spacing"/>
              <w:rPr/>
            </w:pPr>
            <w:r>
              <w:rPr/>
              <w:t>I've clarified this in the text.</w:t>
            </w:r>
          </w:p>
        </w:tc>
      </w:tr>
      <w:tr>
        <w:trPr>
          <w:trHeight w:val="480" w:hRule="atLeast"/>
          <w:cantSplit w:val="true"/>
        </w:trPr>
        <w:tc>
          <w:tcPr>
            <w:tcW w:w="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r>
          </w:p>
        </w:tc>
        <w:tc>
          <w:tcPr>
            <w:tcW w:w="5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19</w:t>
            </w:r>
          </w:p>
        </w:tc>
        <w:tc>
          <w:tcPr>
            <w:tcW w:w="11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4</w:t>
            </w:r>
          </w:p>
        </w:tc>
        <w:tc>
          <w:tcPr>
            <w:tcW w:w="47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w:t>
            </w:r>
            <w:r>
              <w:rPr/>
              <w:t xml:space="preserve">As described previously, this section will focus on the migration of stateless VMs” it was honestly not completely clear – so far – that the warm migration was ruled out. Make it a more clear here or earlier in the document, with stronger arguments. </w:t>
            </w:r>
          </w:p>
        </w:tc>
        <w:tc>
          <w:tcPr>
            <w:tcW w:w="27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Spacing"/>
              <w:rPr/>
            </w:pPr>
            <w:r>
              <w:rPr/>
              <w:t>This has been clarified in the text.</w:t>
            </w:r>
          </w:p>
        </w:tc>
      </w:tr>
      <w:tr>
        <w:trPr>
          <w:trHeight w:val="480" w:hRule="atLeast"/>
          <w:cantSplit w:val="true"/>
        </w:trPr>
        <w:tc>
          <w:tcPr>
            <w:tcW w:w="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r>
          </w:p>
        </w:tc>
        <w:tc>
          <w:tcPr>
            <w:tcW w:w="5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20</w:t>
            </w:r>
          </w:p>
        </w:tc>
        <w:tc>
          <w:tcPr>
            <w:tcW w:w="11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Figure</w:t>
            </w:r>
          </w:p>
        </w:tc>
        <w:tc>
          <w:tcPr>
            <w:tcW w:w="47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Does the REST call hang until the migration is complete?</w:t>
            </w:r>
          </w:p>
        </w:tc>
        <w:tc>
          <w:tcPr>
            <w:tcW w:w="27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Spacing"/>
              <w:rPr/>
            </w:pPr>
            <w:bookmarkStart w:id="0" w:name="_GoBack"/>
            <w:bookmarkEnd w:id="0"/>
            <w:r>
              <w:rPr/>
              <w:t>It could be asynchronously managed by the OCCI Server returning an identifier for the status of the migration to be checked by the OCCI client. Clarified in the text.</w:t>
            </w:r>
          </w:p>
        </w:tc>
      </w:tr>
      <w:tr>
        <w:trPr>
          <w:trHeight w:val="480" w:hRule="atLeast"/>
          <w:cantSplit w:val="true"/>
        </w:trPr>
        <w:tc>
          <w:tcPr>
            <w:tcW w:w="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r>
          </w:p>
        </w:tc>
        <w:tc>
          <w:tcPr>
            <w:tcW w:w="5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27</w:t>
            </w:r>
          </w:p>
        </w:tc>
        <w:tc>
          <w:tcPr>
            <w:tcW w:w="11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5.1</w:t>
            </w:r>
          </w:p>
        </w:tc>
        <w:tc>
          <w:tcPr>
            <w:tcW w:w="47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The source site invokes an OCCI command to the destination site to start the machine. How is delegation going to be handled in this case? The VM must run on behalf of the user.</w:t>
            </w:r>
          </w:p>
        </w:tc>
        <w:tc>
          <w:tcPr>
            <w:tcW w:w="27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Spacing"/>
              <w:rPr/>
            </w:pPr>
            <w:r>
              <w:rPr/>
              <w:t xml:space="preserve">This has not been considered at the moment, although it has been discussed with the CMF and OCCI developers. Trust must be configured between endpoints so that this operation can take place, but this needs further discussion. </w:t>
            </w:r>
          </w:p>
        </w:tc>
      </w:tr>
      <w:tr>
        <w:trPr>
          <w:trHeight w:val="480" w:hRule="atLeast"/>
          <w:cantSplit w:val="true"/>
        </w:trPr>
        <w:tc>
          <w:tcPr>
            <w:tcW w:w="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r>
          </w:p>
        </w:tc>
        <w:tc>
          <w:tcPr>
            <w:tcW w:w="5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24</w:t>
            </w:r>
          </w:p>
        </w:tc>
        <w:tc>
          <w:tcPr>
            <w:tcW w:w="11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4.1.2</w:t>
            </w:r>
          </w:p>
        </w:tc>
        <w:tc>
          <w:tcPr>
            <w:tcW w:w="47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 xml:space="preserve">Capacity leasing can be a showstopper, would it be possible to extend the migration command with a flag that returns error when resources are not available (the current “resources not available” error is different I understand)? So user can look for another site. </w:t>
            </w:r>
          </w:p>
        </w:tc>
        <w:tc>
          <w:tcPr>
            <w:tcW w:w="27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Spacing"/>
              <w:rPr/>
            </w:pPr>
            <w:r>
              <w:rPr/>
              <w:t>Another error state has been added, so as to reflect whenever the destination site does not have enough resources. This way the user can rollback the migration.</w:t>
            </w:r>
          </w:p>
        </w:tc>
      </w:tr>
      <w:tr>
        <w:trPr>
          <w:trHeight w:val="480" w:hRule="atLeast"/>
          <w:cantSplit w:val="true"/>
        </w:trPr>
        <w:tc>
          <w:tcPr>
            <w:tcW w:w="4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r>
          </w:p>
        </w:tc>
        <w:tc>
          <w:tcPr>
            <w:tcW w:w="5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29</w:t>
            </w:r>
          </w:p>
        </w:tc>
        <w:tc>
          <w:tcPr>
            <w:tcW w:w="11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Conclusions</w:t>
            </w:r>
          </w:p>
        </w:tc>
        <w:tc>
          <w:tcPr>
            <w:tcW w:w="47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pPr>
            <w:r>
              <w:rPr/>
              <w:t>What is the workflow/timeline for the final definition of the capability, and the implementation of the interfaces? An estimation is needed.</w:t>
            </w:r>
          </w:p>
        </w:tc>
        <w:tc>
          <w:tcPr>
            <w:tcW w:w="27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Spacing"/>
              <w:rPr/>
            </w:pPr>
            <w:r>
              <w:rPr/>
              <w:t>I do agree, but this needs to be further discussed with the developers. I will check with them and submit a new version whenever I collect the information.</w:t>
            </w:r>
          </w:p>
        </w:tc>
      </w:tr>
    </w:tbl>
    <w:p>
      <w:pPr>
        <w:pStyle w:val="Normal"/>
        <w:rPr/>
      </w:pPr>
      <w:r>
        <w:rPr/>
      </w:r>
    </w:p>
    <w:p>
      <w:pPr>
        <w:pStyle w:val="Normal"/>
        <w:numPr>
          <w:ilvl w:val="0"/>
          <w:numId w:val="0"/>
        </w:numPr>
        <w:outlineLvl w:val="0"/>
        <w:rPr>
          <w:b/>
          <w:b/>
          <w:bCs/>
          <w:sz w:val="24"/>
        </w:rPr>
      </w:pPr>
      <w:r>
        <w:rPr>
          <w:b/>
          <w:bCs/>
          <w:sz w:val="24"/>
        </w:rPr>
        <w:t>English and other corrections:</w:t>
      </w:r>
    </w:p>
    <w:p>
      <w:pPr>
        <w:pStyle w:val="Normal"/>
        <w:rPr/>
      </w:pPr>
      <w:r>
        <w:rPr/>
        <w:t>Note: English and typo corrections can be made directly in the document as comments.</w:t>
      </w:r>
    </w:p>
    <w:p>
      <w:pPr>
        <w:pStyle w:val="Normal"/>
        <w:rPr/>
      </w:pPr>
      <w:r>
        <w:rPr/>
        <w:t>Pg 8, “Serious circumstances” I suggest “case of incidents in the current sites”</w:t>
      </w:r>
    </w:p>
    <w:p>
      <w:pPr>
        <w:pStyle w:val="Normal"/>
        <w:spacing w:before="0" w:after="200"/>
        <w:jc w:val="left"/>
        <w:rPr/>
      </w:pPr>
      <w:r>
        <w:rPr/>
        <w:t>Pg 18, “Notice that the application” -&gt; “Note that the application”</w:t>
      </w:r>
    </w:p>
    <w:p>
      <w:pPr>
        <w:pStyle w:val="Normal"/>
        <w:spacing w:before="0" w:after="200"/>
        <w:jc w:val="left"/>
        <w:rPr/>
      </w:pPr>
      <w:r>
        <w:rPr/>
      </w:r>
    </w:p>
    <w:p>
      <w:pPr>
        <w:pStyle w:val="Normal"/>
        <w:rPr/>
      </w:pPr>
      <w:r>
        <w:rPr/>
      </w:r>
    </w:p>
    <w:p>
      <w:pPr>
        <w:pStyle w:val="Normal"/>
        <w:rPr/>
      </w:pPr>
      <w:r>
        <w:rPr/>
      </w:r>
    </w:p>
    <w:p>
      <w:pPr>
        <w:pStyle w:val="Normal"/>
        <w:rPr/>
      </w:pPr>
      <w:r>
        <w:rPr/>
      </w:r>
    </w:p>
    <w:p>
      <w:pPr>
        <w:pStyle w:val="Normal"/>
        <w:widowControl/>
        <w:bidi w:val="0"/>
        <w:spacing w:before="0" w:after="120"/>
        <w:jc w:val="both"/>
        <w:rPr/>
      </w:pPr>
      <w:r>
        <w:rPr/>
      </w:r>
    </w:p>
    <w:sectPr>
      <w:headerReference w:type="default" r:id="rId4"/>
      <w:footerReference w:type="default" r:id="rId5"/>
      <w:footerReference w:type="first" r:id="rId6"/>
      <w:type w:val="nextPage"/>
      <w:pgSz w:w="11906" w:h="16838"/>
      <w:pgMar w:left="1440" w:right="1440" w:header="993" w:top="1985" w:footer="844" w:bottom="1440"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Open Sans">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Spacing"/>
      <w:rPr/>
    </w:pPr>
    <w:r>
      <w:rPr/>
    </w:r>
  </w:p>
  <w:tbl>
    <w:tblPr>
      <w:tblStyle w:val="Tablaconcuadrcula"/>
      <w:tblW w:w="9181" w:type="dxa"/>
      <w:jc w:val="left"/>
      <w:tblInd w:w="0" w:type="dxa"/>
      <w:tblCellMar>
        <w:top w:w="0" w:type="dxa"/>
        <w:left w:w="118" w:type="dxa"/>
        <w:bottom w:w="0" w:type="dxa"/>
        <w:right w:w="108" w:type="dxa"/>
      </w:tblCellMar>
      <w:tblLook w:val="04a0" w:noVBand="1" w:noHBand="0" w:firstRow="1" w:lastRow="0" w:firstColumn="1" w:lastColumn="0"/>
    </w:tblPr>
    <w:tblGrid>
      <w:gridCol w:w="3060"/>
      <w:gridCol w:w="3060"/>
      <w:gridCol w:w="3061"/>
    </w:tblGrid>
    <w:tr>
      <w:trPr>
        <w:trHeight w:val="857" w:hRule="atLeast"/>
      </w:trPr>
      <w:tc>
        <w:tcPr>
          <w:tcW w:w="3060" w:type="dxa"/>
          <w:tcBorders>
            <w:left w:val="nil"/>
            <w:bottom w:val="nil"/>
            <w:right w:val="nil"/>
            <w:insideH w:val="nil"/>
            <w:insideV w:val="nil"/>
          </w:tcBorders>
          <w:shd w:color="auto" w:fill="auto" w:val="clear"/>
          <w:vAlign w:val="bottom"/>
        </w:tcPr>
        <w:p>
          <w:pPr>
            <w:pStyle w:val="Header"/>
            <w:spacing w:lineRule="auto" w:line="240"/>
            <w:jc w:val="left"/>
            <w:rPr/>
          </w:pPr>
          <w:r>
            <w:rPr/>
            <w:drawing>
              <wp:inline distT="0" distB="0" distL="0" distR="0">
                <wp:extent cx="765810" cy="431800"/>
                <wp:effectExtent l="0" t="0" r="0" b="0"/>
                <wp:docPr id="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insideH w:val="nil"/>
            <w:insideV w:val="nil"/>
          </w:tcBorders>
          <w:shd w:color="auto" w:fill="auto" w:val="clear"/>
          <w:vAlign w:val="bottom"/>
        </w:tcPr>
        <w:sdt>
          <w:sdtPr>
            <w:docPartObj>
              <w:docPartGallery w:val="Page Numbers (Bottom of Page)"/>
              <w:docPartUnique w:val="true"/>
            </w:docPartObj>
            <w:id w:val="1147366144"/>
          </w:sdtPr>
          <w:sdtContent>
            <w:p>
              <w:pPr>
                <w:pStyle w:val="Header"/>
                <w:spacing w:lineRule="auto" w:line="240"/>
                <w:jc w:val="center"/>
                <w:rPr/>
              </w:pPr>
              <w:r>
                <w:rPr/>
                <w:fldChar w:fldCharType="begin"/>
              </w:r>
              <w:r>
                <w:instrText> PAGE </w:instrText>
              </w:r>
              <w:r>
                <w:fldChar w:fldCharType="separate"/>
              </w:r>
              <w:r>
                <w:t>3</w:t>
              </w:r>
              <w:r>
                <w:fldChar w:fldCharType="end"/>
              </w:r>
            </w:p>
          </w:sdtContent>
        </w:sdt>
      </w:tc>
      <w:tc>
        <w:tcPr>
          <w:tcW w:w="3061" w:type="dxa"/>
          <w:tcBorders>
            <w:left w:val="nil"/>
            <w:bottom w:val="nil"/>
            <w:right w:val="nil"/>
            <w:insideH w:val="nil"/>
            <w:insideV w:val="nil"/>
          </w:tcBorders>
          <w:shd w:color="auto" w:fill="auto" w:val="clear"/>
          <w:vAlign w:val="bottom"/>
        </w:tcPr>
        <w:p>
          <w:pPr>
            <w:pStyle w:val="Header"/>
            <w:spacing w:lineRule="auto" w:line="240"/>
            <w:jc w:val="right"/>
            <w:rPr/>
          </w:pPr>
          <w:r>
            <w:rPr/>
            <w:drawing>
              <wp:inline distT="0" distB="0" distL="0" distR="0">
                <wp:extent cx="539750" cy="360045"/>
                <wp:effectExtent l="0" t="0" r="0" b="0"/>
                <wp:docPr id="3"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pPr>
      <w:pStyle w:val="NoSpacing"/>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9242" w:type="dxa"/>
      <w:jc w:val="left"/>
      <w:tblInd w:w="0" w:type="dxa"/>
      <w:tblCellMar>
        <w:top w:w="0" w:type="dxa"/>
        <w:left w:w="118" w:type="dxa"/>
        <w:bottom w:w="0" w:type="dxa"/>
        <w:right w:w="108" w:type="dxa"/>
      </w:tblCellMar>
      <w:tblLook w:val="04a0" w:noVBand="1" w:noHBand="0" w:firstRow="1" w:lastRow="0" w:firstColumn="1" w:lastColumn="0"/>
    </w:tblPr>
    <w:tblGrid>
      <w:gridCol w:w="1242"/>
      <w:gridCol w:w="7999"/>
    </w:tblGrid>
    <w:tr>
      <w:trPr/>
      <w:tc>
        <w:tcPr>
          <w:tcW w:w="1242" w:type="dxa"/>
          <w:tcBorders>
            <w:top w:val="nil"/>
            <w:left w:val="nil"/>
            <w:bottom w:val="nil"/>
            <w:right w:val="nil"/>
            <w:insideH w:val="nil"/>
            <w:insideV w:val="nil"/>
          </w:tcBorders>
          <w:shd w:color="auto" w:fill="auto" w:val="clear"/>
          <w:vAlign w:val="center"/>
        </w:tcPr>
        <w:p>
          <w:pPr>
            <w:pStyle w:val="Footer"/>
            <w:spacing w:lineRule="auto" w:line="240"/>
            <w:jc w:val="center"/>
            <w:rPr>
              <w:sz w:val="20"/>
            </w:rPr>
          </w:pPr>
          <w:r>
            <w:rPr/>
            <w:drawing>
              <wp:inline distT="0" distB="0" distL="0" distR="0">
                <wp:extent cx="647700" cy="431800"/>
                <wp:effectExtent l="0" t="0" r="0" b="0"/>
                <wp:docPr id="4"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99" w:type="dxa"/>
          <w:tcBorders>
            <w:top w:val="nil"/>
            <w:left w:val="nil"/>
            <w:bottom w:val="nil"/>
            <w:right w:val="nil"/>
            <w:insideH w:val="nil"/>
            <w:insideV w:val="nil"/>
          </w:tcBorders>
          <w:shd w:color="auto" w:fill="auto" w:val="clear"/>
          <w:vAlign w:val="center"/>
        </w:tcPr>
        <w:p>
          <w:pPr>
            <w:pStyle w:val="Footer"/>
            <w:spacing w:lineRule="auto" w:line="240"/>
            <w:jc w:val="left"/>
            <w:rPr/>
          </w:pPr>
          <w:r>
            <w:rPr>
              <w:sz w:val="20"/>
            </w:rPr>
            <w:t xml:space="preserve">This material by Parties of the EGI-Engage Consortium is licensed under a </w:t>
          </w:r>
          <w:hyperlink r:id="rId2">
            <w:r>
              <w:rPr>
                <w:rStyle w:val="InternetLink"/>
                <w:sz w:val="20"/>
              </w:rPr>
              <w:t>Creative Commons Attribution 4.0 International License</w:t>
            </w:r>
          </w:hyperlink>
          <w:r>
            <w:rPr>
              <w:sz w:val="20"/>
            </w:rPr>
            <w:t xml:space="preserve">. </w:t>
          </w:r>
        </w:p>
        <w:p>
          <w:pPr>
            <w:pStyle w:val="Footer"/>
            <w:spacing w:lineRule="auto" w:line="240"/>
            <w:jc w:val="left"/>
            <w:rPr/>
          </w:pPr>
          <w:r>
            <w:rPr>
              <w:sz w:val="20"/>
            </w:rPr>
            <w:t xml:space="preserve">The EGI-Engage project is co-funded by the European Union (EU) Horizon 2020 program under Grant number 654142 </w:t>
          </w:r>
          <w:hyperlink r:id="rId3">
            <w:r>
              <w:rPr>
                <w:rStyle w:val="InternetLink"/>
                <w:sz w:val="20"/>
              </w:rPr>
              <w:t>http://go.egi.eu/eng</w:t>
            </w:r>
          </w:hyperlink>
        </w:p>
      </w:tc>
    </w:tr>
  </w:tbl>
  <w:p>
    <w:pPr>
      <w:pStyle w:val="Footer"/>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9242" w:type="dxa"/>
      <w:jc w:val="left"/>
      <w:tblInd w:w="0" w:type="dxa"/>
      <w:tblCellMar>
        <w:top w:w="0" w:type="dxa"/>
        <w:left w:w="118" w:type="dxa"/>
        <w:bottom w:w="0" w:type="dxa"/>
        <w:right w:w="108" w:type="dxa"/>
      </w:tblCellMar>
      <w:tblLook w:val="04a0" w:noVBand="1" w:noHBand="0" w:firstRow="1" w:lastRow="0" w:firstColumn="1" w:lastColumn="0"/>
    </w:tblPr>
    <w:tblGrid>
      <w:gridCol w:w="4621"/>
      <w:gridCol w:w="4620"/>
    </w:tblGrid>
    <w:tr>
      <w:trPr/>
      <w:tc>
        <w:tcPr>
          <w:tcW w:w="4621" w:type="dxa"/>
          <w:tcBorders>
            <w:top w:val="nil"/>
            <w:left w:val="nil"/>
            <w:bottom w:val="nil"/>
            <w:right w:val="nil"/>
            <w:insideH w:val="nil"/>
            <w:insideV w:val="nil"/>
          </w:tcBorders>
          <w:shd w:color="auto"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color="auto" w:fill="auto" w:val="clear"/>
        </w:tcPr>
        <w:p>
          <w:pPr>
            <w:pStyle w:val="Normal"/>
            <w:spacing w:lineRule="auto" w:line="240" w:before="0" w:after="0"/>
            <w:jc w:val="right"/>
            <w:rPr/>
          </w:pPr>
          <w:r>
            <w:rPr/>
            <w:t>EGI-Engage</w:t>
          </w:r>
        </w:p>
      </w:tc>
    </w:tr>
  </w:tbl>
  <w:p>
    <w:pPr>
      <w:pStyle w:val="Header"/>
      <w:rPr/>
    </w:pPr>
    <w:r>
      <w:rPr/>
      <w:fldChar w:fldCharType="begin"/>
    </w:r>
    <w:r>
      <w:instrText> TITLE </w:instrText>
    </w:r>
    <w:r>
      <w:fldChar w:fldCharType="separate"/>
    </w:r>
    <w:r>
      <w:t>Title of the Document / Number if required</w:t>
    </w:r>
    <w:r>
      <w:fldChar w:fldCharType="end"/>
    </w:r>
  </w:p>
</w:hdr>
</file>

<file path=word/settings.xml><?xml version="1.0" encoding="utf-8"?>
<w:settings xmlns:w="http://schemas.openxmlformats.org/wordprocessingml/2006/main">
  <w:zoom w:percent="150"/>
  <w:trackRevision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pacing w:lineRule="auto" w:line="276"/>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a7241"/>
    <w:pPr>
      <w:widowControl/>
      <w:bidi w:val="0"/>
      <w:spacing w:lineRule="auto" w:line="276" w:before="0" w:after="120"/>
      <w:jc w:val="both"/>
    </w:pPr>
    <w:rPr>
      <w:rFonts w:ascii="Calibri" w:hAnsi="Calibri" w:eastAsia="Calibri" w:cs="" w:asciiTheme="minorHAnsi" w:cstheme="minorBidi" w:eastAsiaTheme="minorHAnsi" w:hAnsiTheme="minorHAnsi"/>
      <w:color w:val="00000A"/>
      <w:spacing w:val="2"/>
      <w:sz w:val="22"/>
      <w:szCs w:val="22"/>
      <w:lang w:val="en-GB" w:eastAsia="en-US" w:bidi="ar-SA"/>
    </w:rPr>
  </w:style>
  <w:style w:type="paragraph" w:styleId="Heading1" w:customStyle="1">
    <w:name w:val="Heading 1"/>
    <w:basedOn w:val="Normal"/>
    <w:next w:val="Normal"/>
    <w:link w:val="Heading1Char"/>
    <w:autoRedefine/>
    <w:uiPriority w:val="9"/>
    <w:qFormat/>
    <w:rsid w:val="004d249b"/>
    <w:pPr>
      <w:keepNext/>
      <w:keepLines/>
      <w:pageBreakBefore/>
      <w:spacing w:before="480" w:after="120"/>
      <w:ind w:left="431" w:hanging="431"/>
      <w:outlineLvl w:val="0"/>
    </w:pPr>
    <w:rPr>
      <w:rFonts w:eastAsia="ＭＳ ゴシック" w:cs="" w:cstheme="majorBidi" w:eastAsiaTheme="majorEastAsia"/>
      <w:b/>
      <w:bCs/>
      <w:color w:val="0063AA"/>
      <w:spacing w:val="0"/>
      <w:sz w:val="40"/>
      <w:szCs w:val="28"/>
    </w:rPr>
  </w:style>
  <w:style w:type="paragraph" w:styleId="Heading2" w:customStyle="1">
    <w:name w:val="Heading 2"/>
    <w:basedOn w:val="Normal"/>
    <w:next w:val="Normal"/>
    <w:link w:val="Heading2Char"/>
    <w:autoRedefine/>
    <w:uiPriority w:val="9"/>
    <w:unhideWhenUsed/>
    <w:qFormat/>
    <w:rsid w:val="00d065ef"/>
    <w:pPr>
      <w:keepNext/>
      <w:keepLines/>
      <w:spacing w:before="200" w:after="120"/>
      <w:outlineLvl w:val="1"/>
    </w:pPr>
    <w:rPr>
      <w:rFonts w:eastAsia="ＭＳ ゴシック" w:cs="" w:cstheme="majorBidi" w:eastAsiaTheme="majorEastAsia"/>
      <w:bCs/>
      <w:color w:val="0063AA"/>
      <w:sz w:val="32"/>
      <w:szCs w:val="26"/>
    </w:rPr>
  </w:style>
  <w:style w:type="paragraph" w:styleId="Heading3" w:customStyle="1">
    <w:name w:val="Heading 3"/>
    <w:basedOn w:val="Normal"/>
    <w:next w:val="Normal"/>
    <w:link w:val="Heading3Char"/>
    <w:autoRedefine/>
    <w:uiPriority w:val="9"/>
    <w:unhideWhenUsed/>
    <w:qFormat/>
    <w:rsid w:val="000502d5"/>
    <w:pPr>
      <w:keepNext/>
      <w:keepLines/>
      <w:spacing w:before="200" w:after="120"/>
      <w:outlineLvl w:val="2"/>
    </w:pPr>
    <w:rPr>
      <w:rFonts w:eastAsia="ＭＳ ゴシック" w:cs="" w:cstheme="majorBidi" w:eastAsiaTheme="majorEastAsia"/>
      <w:b/>
      <w:bCs/>
      <w:color w:val="0063AA"/>
      <w:spacing w:val="0"/>
      <w:sz w:val="24"/>
    </w:rPr>
  </w:style>
  <w:style w:type="paragraph" w:styleId="Heading4" w:customStyle="1">
    <w:name w:val="Heading 4"/>
    <w:basedOn w:val="Normal"/>
    <w:next w:val="Normal"/>
    <w:link w:val="Heading4Char"/>
    <w:uiPriority w:val="9"/>
    <w:unhideWhenUsed/>
    <w:qFormat/>
    <w:rsid w:val="00d95f48"/>
    <w:pPr>
      <w:keepNext/>
      <w:keepLines/>
      <w:spacing w:before="200" w:after="120"/>
      <w:outlineLvl w:val="3"/>
    </w:pPr>
    <w:rPr>
      <w:rFonts w:eastAsia="ＭＳ ゴシック" w:cs="" w:cstheme="majorBidi" w:eastAsiaTheme="majorEastAsia"/>
      <w:bCs/>
      <w:i/>
      <w:iCs/>
      <w:color w:val="0063AA"/>
      <w:spacing w:val="0"/>
    </w:rPr>
  </w:style>
  <w:style w:type="paragraph" w:styleId="Heading5" w:customStyle="1">
    <w:name w:val="Heading 5"/>
    <w:basedOn w:val="Normal"/>
    <w:next w:val="Normal"/>
    <w:link w:val="Heading5Char"/>
    <w:uiPriority w:val="9"/>
    <w:unhideWhenUsed/>
    <w:qFormat/>
    <w:rsid w:val="00d95f48"/>
    <w:pPr>
      <w:keepNext/>
      <w:keepLines/>
      <w:spacing w:before="200" w:after="120"/>
      <w:outlineLvl w:val="4"/>
    </w:pPr>
    <w:rPr>
      <w:rFonts w:eastAsia="ＭＳ ゴシック" w:cs="" w:cstheme="majorBidi" w:eastAsiaTheme="majorEastAsia"/>
      <w:color w:val="0063AA"/>
      <w:spacing w:val="0"/>
    </w:rPr>
  </w:style>
  <w:style w:type="paragraph" w:styleId="Heading6" w:customStyle="1">
    <w:name w:val="Heading 6"/>
    <w:basedOn w:val="Heading5"/>
    <w:next w:val="Normal"/>
    <w:link w:val="Heading6Char"/>
    <w:uiPriority w:val="9"/>
    <w:unhideWhenUsed/>
    <w:qFormat/>
    <w:rsid w:val="006d527c"/>
    <w:pPr>
      <w:outlineLvl w:val="5"/>
    </w:pPr>
    <w:rPr/>
  </w:style>
  <w:style w:type="paragraph" w:styleId="Heading7" w:customStyle="1">
    <w:name w:val="Heading 7"/>
    <w:basedOn w:val="Normal"/>
    <w:next w:val="Normal"/>
    <w:link w:val="Heading7Char"/>
    <w:uiPriority w:val="9"/>
    <w:semiHidden/>
    <w:unhideWhenUsed/>
    <w:qFormat/>
    <w:rsid w:val="000502d5"/>
    <w:pPr>
      <w:keepNext/>
      <w:keepLines/>
      <w:spacing w:before="200" w:after="120"/>
      <w:outlineLvl w:val="6"/>
    </w:pPr>
    <w:rPr>
      <w:rFonts w:ascii="Cambria" w:hAnsi="Cambria" w:eastAsia="ＭＳ ゴシック" w:cs="" w:asciiTheme="majorHAnsi" w:cstheme="majorBidi" w:eastAsiaTheme="majorEastAsia" w:hAnsiTheme="majorHAnsi"/>
      <w:i/>
      <w:iCs/>
      <w:color w:val="404040" w:themeColor="text1" w:themeTint="bf"/>
      <w:spacing w:val="0"/>
    </w:rPr>
  </w:style>
  <w:style w:type="paragraph" w:styleId="Heading8" w:customStyle="1">
    <w:name w:val="Heading 8"/>
    <w:basedOn w:val="Normal"/>
    <w:next w:val="Normal"/>
    <w:link w:val="Heading8Char"/>
    <w:uiPriority w:val="9"/>
    <w:semiHidden/>
    <w:unhideWhenUsed/>
    <w:qFormat/>
    <w:rsid w:val="000502d5"/>
    <w:pPr>
      <w:keepNext/>
      <w:keepLines/>
      <w:spacing w:before="200" w:after="120"/>
      <w:outlineLvl w:val="7"/>
    </w:pPr>
    <w:rPr>
      <w:rFonts w:ascii="Cambria" w:hAnsi="Cambria" w:eastAsia="ＭＳ ゴシック" w:cs="" w:asciiTheme="majorHAnsi" w:cstheme="majorBidi" w:eastAsiaTheme="majorEastAsia" w:hAnsiTheme="majorHAnsi"/>
      <w:color w:val="404040" w:themeColor="text1" w:themeTint="bf"/>
      <w:spacing w:val="0"/>
      <w:szCs w:val="20"/>
    </w:rPr>
  </w:style>
  <w:style w:type="paragraph" w:styleId="Heading9" w:customStyle="1">
    <w:name w:val="Heading 9"/>
    <w:basedOn w:val="Normal"/>
    <w:next w:val="Normal"/>
    <w:link w:val="Heading9Char"/>
    <w:uiPriority w:val="9"/>
    <w:semiHidden/>
    <w:unhideWhenUsed/>
    <w:qFormat/>
    <w:rsid w:val="000502d5"/>
    <w:pPr>
      <w:keepNext/>
      <w:keepLines/>
      <w:spacing w:before="200" w:after="120"/>
      <w:outlineLvl w:val="8"/>
    </w:pPr>
    <w:rPr>
      <w:rFonts w:ascii="Cambria" w:hAnsi="Cambria" w:eastAsia="ＭＳ ゴシック" w:cs="" w:asciiTheme="majorHAnsi" w:cstheme="majorBidi" w:eastAsiaTheme="majorEastAsia" w:hAnsiTheme="majorHAnsi"/>
      <w:i/>
      <w:iCs/>
      <w:color w:val="404040" w:themeColor="text1" w:themeTint="bf"/>
      <w:spacing w:val="0"/>
      <w:szCs w:val="20"/>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uiPriority w:val="9"/>
    <w:qFormat/>
    <w:rsid w:val="000502d5"/>
    <w:rPr>
      <w:rFonts w:ascii="Calibri" w:hAnsi="Calibri" w:eastAsia="ＭＳ ゴシック" w:cs="" w:cstheme="majorBidi" w:eastAsiaTheme="majorEastAsia"/>
      <w:b/>
      <w:bCs/>
      <w:color w:val="0063AA"/>
      <w:sz w:val="24"/>
    </w:rPr>
  </w:style>
  <w:style w:type="character" w:styleId="Heading1Char" w:customStyle="1">
    <w:name w:val="Heading 1 Char"/>
    <w:basedOn w:val="DefaultParagraphFont"/>
    <w:link w:val="Heading1"/>
    <w:uiPriority w:val="9"/>
    <w:qFormat/>
    <w:rsid w:val="004d249b"/>
    <w:rPr>
      <w:rFonts w:ascii="Calibri" w:hAnsi="Calibri" w:eastAsia="ＭＳ ゴシック" w:cs="" w:cstheme="majorBidi" w:eastAsiaTheme="majorEastAsia"/>
      <w:b/>
      <w:bCs/>
      <w:color w:val="0063AA"/>
      <w:sz w:val="40"/>
      <w:szCs w:val="28"/>
    </w:rPr>
  </w:style>
  <w:style w:type="character" w:styleId="Heading2Char" w:customStyle="1">
    <w:name w:val="Heading 2 Char"/>
    <w:basedOn w:val="DefaultParagraphFont"/>
    <w:link w:val="Heading2"/>
    <w:uiPriority w:val="9"/>
    <w:qFormat/>
    <w:rsid w:val="00d065ef"/>
    <w:rPr>
      <w:rFonts w:ascii="Calibri" w:hAnsi="Calibri" w:eastAsia="ＭＳ ゴシック" w:cs="" w:cstheme="majorBidi" w:eastAsiaTheme="majorEastAsia"/>
      <w:bCs/>
      <w:color w:val="0063AA"/>
      <w:spacing w:val="2"/>
      <w:sz w:val="32"/>
      <w:szCs w:val="26"/>
    </w:rPr>
  </w:style>
  <w:style w:type="character" w:styleId="Heading4Char" w:customStyle="1">
    <w:name w:val="Heading 4 Char"/>
    <w:basedOn w:val="DefaultParagraphFont"/>
    <w:link w:val="Heading4"/>
    <w:uiPriority w:val="9"/>
    <w:qFormat/>
    <w:rsid w:val="00d95f48"/>
    <w:rPr>
      <w:rFonts w:ascii="Calibri" w:hAnsi="Calibri" w:eastAsia="ＭＳ ゴシック" w:cs="" w:cstheme="majorBidi" w:eastAsiaTheme="majorEastAsia"/>
      <w:bCs/>
      <w:i/>
      <w:iCs/>
      <w:color w:val="0063AA"/>
    </w:rPr>
  </w:style>
  <w:style w:type="character" w:styleId="Heading5Char" w:customStyle="1">
    <w:name w:val="Heading 5 Char"/>
    <w:basedOn w:val="DefaultParagraphFont"/>
    <w:link w:val="Heading5"/>
    <w:uiPriority w:val="9"/>
    <w:qFormat/>
    <w:rsid w:val="00d95f48"/>
    <w:rPr>
      <w:rFonts w:ascii="Calibri" w:hAnsi="Calibri" w:eastAsia="ＭＳ ゴシック" w:cs="" w:cstheme="majorBidi" w:eastAsiaTheme="majorEastAsia"/>
      <w:color w:val="0063AA"/>
    </w:rPr>
  </w:style>
  <w:style w:type="character" w:styleId="Heading6Char" w:customStyle="1">
    <w:name w:val="Heading 6 Char"/>
    <w:basedOn w:val="DefaultParagraphFont"/>
    <w:link w:val="Heading6"/>
    <w:uiPriority w:val="9"/>
    <w:qFormat/>
    <w:rsid w:val="006d527c"/>
    <w:rPr>
      <w:rFonts w:ascii="Calibri" w:hAnsi="Calibri" w:eastAsia="ＭＳ ゴシック" w:cs="" w:cstheme="majorBidi" w:eastAsiaTheme="majorEastAsia"/>
      <w:color w:val="0063AA"/>
    </w:rPr>
  </w:style>
  <w:style w:type="character" w:styleId="Heading7Char" w:customStyle="1">
    <w:name w:val="Heading 7 Char"/>
    <w:basedOn w:val="DefaultParagraphFont"/>
    <w:link w:val="Heading7"/>
    <w:uiPriority w:val="9"/>
    <w:semiHidden/>
    <w:qFormat/>
    <w:rsid w:val="000502d5"/>
    <w:rPr>
      <w:rFonts w:ascii="Cambria" w:hAnsi="Cambria"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0502d5"/>
    <w:rPr>
      <w:rFonts w:ascii="Cambria" w:hAnsi="Cambria" w:eastAsia="ＭＳ ゴシック" w:cs="" w:asciiTheme="majorHAnsi" w:cstheme="majorBidi" w:eastAsiaTheme="majorEastAsia" w:hAnsiTheme="majorHAnsi"/>
      <w:color w:val="404040" w:themeColor="text1" w:themeTint="bf"/>
      <w:szCs w:val="20"/>
    </w:rPr>
  </w:style>
  <w:style w:type="character" w:styleId="Heading9Char" w:customStyle="1">
    <w:name w:val="Heading 9 Char"/>
    <w:basedOn w:val="DefaultParagraphFont"/>
    <w:link w:val="Heading9"/>
    <w:uiPriority w:val="9"/>
    <w:semiHidden/>
    <w:qFormat/>
    <w:rsid w:val="000502d5"/>
    <w:rPr>
      <w:rFonts w:ascii="Cambria" w:hAnsi="Cambria" w:eastAsia="ＭＳ ゴシック" w:cs="" w:asciiTheme="majorHAnsi" w:cstheme="majorBidi" w:eastAsiaTheme="majorEastAsia" w:hAnsiTheme="majorHAnsi"/>
      <w:i/>
      <w:iCs/>
      <w:color w:val="404040" w:themeColor="text1" w:themeTint="bf"/>
      <w:szCs w:val="20"/>
    </w:rPr>
  </w:style>
  <w:style w:type="character" w:styleId="TtuloCar" w:customStyle="1">
    <w:name w:val="Título Car"/>
    <w:basedOn w:val="DefaultParagraphFont"/>
    <w:link w:val="Ttulo"/>
    <w:uiPriority w:val="10"/>
    <w:qFormat/>
    <w:rsid w:val="000502d5"/>
    <w:rPr>
      <w:rFonts w:ascii="Open Sans" w:hAnsi="Open Sans"/>
      <w:b/>
      <w:i/>
      <w:spacing w:val="2"/>
      <w:sz w:val="44"/>
    </w:rPr>
  </w:style>
  <w:style w:type="character" w:styleId="SubttuloCar" w:customStyle="1">
    <w:name w:val="Subtítulo Car"/>
    <w:basedOn w:val="DefaultParagraphFont"/>
    <w:link w:val="Subttulo"/>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rPr/>
  </w:style>
  <w:style w:type="character" w:styleId="CitaCar" w:customStyle="1">
    <w:name w:val="Cita Car"/>
    <w:basedOn w:val="DefaultParagraphFont"/>
    <w:link w:val="Cita"/>
    <w:uiPriority w:val="29"/>
    <w:qFormat/>
    <w:rsid w:val="000502d5"/>
    <w:rPr>
      <w:rFonts w:ascii="Open Sans" w:hAnsi="Open Sans"/>
      <w:i/>
      <w:iCs/>
      <w:color w:val="000000" w:themeColor="text1"/>
      <w:spacing w:val="2"/>
      <w:sz w:val="20"/>
    </w:rPr>
  </w:style>
  <w:style w:type="character" w:styleId="CitaintensaCar" w:customStyle="1">
    <w:name w:val="Cita intensa Car"/>
    <w:basedOn w:val="DefaultParagraphFont"/>
    <w:link w:val="Citaintensa"/>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styleId="AuthorChar" w:customStyle="1">
    <w:name w:val="author Char"/>
    <w:basedOn w:val="SubttuloCar"/>
    <w:qFormat/>
    <w:rsid w:val="000e00d2"/>
    <w:rPr>
      <w:rFonts w:ascii="Open Sans" w:hAnsi="Open Sans"/>
      <w:b w:val="false"/>
      <w:i/>
      <w:color w:val="0067B1"/>
      <w:spacing w:val="10"/>
      <w:sz w:val="20"/>
    </w:rPr>
  </w:style>
  <w:style w:type="character" w:styleId="CaptionChar" w:customStyle="1">
    <w:name w:val="caption Char"/>
    <w:basedOn w:val="SubttuloCar"/>
    <w:link w:val="Caption1"/>
    <w:qFormat/>
    <w:rsid w:val="004d249b"/>
    <w:rPr>
      <w:rFonts w:ascii="Calibri" w:hAnsi="Calibri"/>
      <w:b/>
      <w:i/>
      <w:color w:val="0067B1"/>
      <w:spacing w:val="2"/>
      <w:sz w:val="26"/>
    </w:rPr>
  </w:style>
  <w:style w:type="character" w:styleId="CorrespondingChar" w:customStyle="1">
    <w:name w:val="corresponding Char"/>
    <w:basedOn w:val="SubttuloCar"/>
    <w:qFormat/>
    <w:rsid w:val="000502d5"/>
    <w:rPr>
      <w:rFonts w:ascii="Open Sans" w:hAnsi="Open Sans"/>
      <w:b/>
      <w:spacing w:val="2"/>
      <w:sz w:val="20"/>
    </w:rPr>
  </w:style>
  <w:style w:type="character" w:styleId="PrrafodelistaCar" w:customStyle="1">
    <w:name w:val="Párrafo de lista Car"/>
    <w:link w:val="Prrafodelista"/>
    <w:uiPriority w:val="34"/>
    <w:qFormat/>
    <w:rsid w:val="000502d5"/>
    <w:rPr>
      <w:rFonts w:ascii="Open Sans" w:hAnsi="Open Sans"/>
      <w:sz w:val="20"/>
    </w:rPr>
  </w:style>
  <w:style w:type="character" w:styleId="TextodegloboCar" w:customStyle="1">
    <w:name w:val="Texto de globo Car"/>
    <w:basedOn w:val="DefaultParagraphFont"/>
    <w:link w:val="Textodeglobo"/>
    <w:uiPriority w:val="99"/>
    <w:semiHidden/>
    <w:qFormat/>
    <w:rsid w:val="000502d5"/>
    <w:rPr>
      <w:rFonts w:ascii="Tahoma" w:hAnsi="Tahoma" w:cs="Tahoma"/>
      <w:spacing w:val="2"/>
      <w:sz w:val="16"/>
      <w:szCs w:val="16"/>
    </w:rPr>
  </w:style>
  <w:style w:type="character" w:styleId="HeaderChar" w:customStyle="1">
    <w:name w:val="Header Char"/>
    <w:basedOn w:val="DefaultParagraphFont"/>
    <w:link w:val="Header"/>
    <w:uiPriority w:val="99"/>
    <w:qFormat/>
    <w:rsid w:val="00835e24"/>
    <w:rPr>
      <w:rFonts w:ascii="Open Sans" w:hAnsi="Open Sans"/>
      <w:spacing w:val="2"/>
      <w:sz w:val="20"/>
    </w:rPr>
  </w:style>
  <w:style w:type="character" w:styleId="FooterChar" w:customStyle="1">
    <w:name w:val="Footer Char"/>
    <w:basedOn w:val="DefaultParagraphFont"/>
    <w:link w:val="Footer"/>
    <w:uiPriority w:val="99"/>
    <w:qFormat/>
    <w:rsid w:val="00835e24"/>
    <w:rPr>
      <w:rFonts w:ascii="Open Sans" w:hAnsi="Open Sans"/>
      <w:spacing w:val="2"/>
      <w:sz w:val="20"/>
    </w:rPr>
  </w:style>
  <w:style w:type="character" w:styleId="InternetLink" w:customStyle="1">
    <w:name w:val="Internet Link"/>
    <w:basedOn w:val="DefaultParagraphFont"/>
    <w:uiPriority w:val="99"/>
    <w:unhideWhenUsed/>
    <w:rsid w:val="00d95f48"/>
    <w:rPr>
      <w:color w:val="0000FF" w:themeColor="hyperlink"/>
      <w:u w:val="single"/>
    </w:rPr>
  </w:style>
  <w:style w:type="character" w:styleId="Annotationreference">
    <w:name w:val="annotation reference"/>
    <w:basedOn w:val="DefaultParagraphFont"/>
    <w:uiPriority w:val="99"/>
    <w:semiHidden/>
    <w:unhideWhenUsed/>
    <w:qFormat/>
    <w:rsid w:val="00ea73f8"/>
    <w:rPr>
      <w:sz w:val="16"/>
      <w:szCs w:val="16"/>
    </w:rPr>
  </w:style>
  <w:style w:type="character" w:styleId="TextocomentarioCar" w:customStyle="1">
    <w:name w:val="Texto comentario Car"/>
    <w:basedOn w:val="DefaultParagraphFont"/>
    <w:link w:val="Textocomentario"/>
    <w:uiPriority w:val="99"/>
    <w:qFormat/>
    <w:rsid w:val="00ea73f8"/>
    <w:rPr>
      <w:rFonts w:ascii="Open Sans" w:hAnsi="Open Sans"/>
      <w:spacing w:val="2"/>
      <w:sz w:val="20"/>
      <w:szCs w:val="20"/>
    </w:rPr>
  </w:style>
  <w:style w:type="character" w:styleId="AsuntodelcomentarioCar" w:customStyle="1">
    <w:name w:val="Asunto del comentario Car"/>
    <w:basedOn w:val="TextocomentarioCar"/>
    <w:link w:val="Asuntodelcomentario"/>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styleId="AppendixChar" w:customStyle="1">
    <w:name w:val="Appendix Char"/>
    <w:basedOn w:val="PrrafodelistaCar"/>
    <w:link w:val="Appendix"/>
    <w:qFormat/>
    <w:rsid w:val="002a7241"/>
    <w:rPr>
      <w:rFonts w:ascii="Calibri" w:hAnsi="Calibri" w:eastAsia="ＭＳ ゴシック" w:cs="" w:cstheme="majorBidi" w:eastAsiaTheme="majorEastAsia"/>
      <w:b/>
      <w:bCs/>
      <w:color w:val="0070C0"/>
      <w:sz w:val="40"/>
      <w:szCs w:val="40"/>
    </w:rPr>
  </w:style>
  <w:style w:type="character" w:styleId="Watchtitle" w:customStyle="1">
    <w:name w:val="watch-title"/>
    <w:basedOn w:val="DefaultParagraphFont"/>
    <w:qFormat/>
    <w:rsid w:val="006971e0"/>
    <w:rPr/>
  </w:style>
  <w:style w:type="character" w:styleId="ListLabel1" w:customStyle="1">
    <w:name w:val="ListLabel 1"/>
    <w:qFormat/>
    <w:rPr>
      <w:rFonts w:cs="Courier New"/>
    </w:rPr>
  </w:style>
  <w:style w:type="character" w:styleId="ListLabel2" w:customStyle="1">
    <w:name w:val="ListLabel 2"/>
    <w:qFormat/>
    <w:rPr>
      <w:rFonts w:cs="Times New Roman"/>
    </w:rPr>
  </w:style>
  <w:style w:type="character" w:styleId="ListLabel3" w:customStyle="1">
    <w:name w:val="ListLabel 3"/>
    <w:qFormat/>
    <w:rPr>
      <w:rFonts w:cs="Times New Roman"/>
      <w:b w:val="false"/>
      <w:bCs w:val="false"/>
      <w:i w:val="false"/>
      <w:iCs w:val="false"/>
      <w:caps w:val="false"/>
      <w:smallCaps w:val="false"/>
      <w:strike w:val="false"/>
      <w:dstrike w:val="false"/>
      <w:outline w:val="false"/>
      <w:shadow w:val="false"/>
      <w:emboss w:val="false"/>
      <w:imprint w:val="false"/>
      <w:vanish w:val="false"/>
      <w:color w:val="000000"/>
      <w:spacing w:val="0"/>
      <w:w w:val="0"/>
      <w:position w:val="0"/>
      <w:sz w:val="0"/>
      <w:sz w:val="0"/>
      <w:szCs w:val="0"/>
      <w:highlight w:val="black"/>
      <w:u w:val="none" w:color="000000"/>
      <w:effect w:val="none"/>
      <w:vertAlign w:val="baseline"/>
      <w:em w:val="none"/>
      <w:lang w:val="x-none" w:eastAsia="x-none" w:bidi="x-none"/>
    </w:rPr>
  </w:style>
  <w:style w:type="paragraph" w:styleId="Heading" w:customStyle="1">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FreeSans"/>
    </w:rPr>
  </w:style>
  <w:style w:type="paragraph" w:styleId="Caption" w:customStyle="1">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Title">
    <w:name w:val="Title"/>
    <w:basedOn w:val="Normal"/>
    <w:next w:val="Normal"/>
    <w:link w:val="TtuloCar"/>
    <w:uiPriority w:val="10"/>
    <w:qFormat/>
    <w:rsid w:val="000502d5"/>
    <w:pPr>
      <w:jc w:val="center"/>
    </w:pPr>
    <w:rPr>
      <w:b/>
      <w:i/>
      <w:sz w:val="44"/>
    </w:rPr>
  </w:style>
  <w:style w:type="paragraph" w:styleId="Subtitle">
    <w:name w:val="Subtitle"/>
    <w:basedOn w:val="Normal"/>
    <w:next w:val="Normal"/>
    <w:link w:val="SubttuloCar"/>
    <w:autoRedefine/>
    <w:uiPriority w:val="11"/>
    <w:qFormat/>
    <w:rsid w:val="00ea73f8"/>
    <w:pPr>
      <w:jc w:val="center"/>
    </w:pPr>
    <w:rPr>
      <w:b/>
      <w:sz w:val="26"/>
    </w:rPr>
  </w:style>
  <w:style w:type="paragraph" w:styleId="NoSpacing">
    <w:name w:val="No Spacing"/>
    <w:basedOn w:val="Normal"/>
    <w:uiPriority w:val="1"/>
    <w:qFormat/>
    <w:rsid w:val="000502d5"/>
    <w:pPr>
      <w:spacing w:lineRule="auto" w:line="240" w:before="0" w:after="0"/>
    </w:pPr>
    <w:rPr/>
  </w:style>
  <w:style w:type="paragraph" w:styleId="ListParagraph">
    <w:name w:val="List Paragraph"/>
    <w:basedOn w:val="Normal"/>
    <w:link w:val="PrrafodelistaCar"/>
    <w:uiPriority w:val="34"/>
    <w:qFormat/>
    <w:rsid w:val="000502d5"/>
    <w:pPr>
      <w:spacing w:before="0" w:after="120"/>
      <w:ind w:left="720" w:hanging="0"/>
      <w:contextualSpacing/>
    </w:pPr>
    <w:rPr>
      <w:spacing w:val="0"/>
    </w:rPr>
  </w:style>
  <w:style w:type="paragraph" w:styleId="Quote">
    <w:name w:val="Quote"/>
    <w:basedOn w:val="Normal"/>
    <w:next w:val="Normal"/>
    <w:link w:val="CitaCar"/>
    <w:uiPriority w:val="29"/>
    <w:qFormat/>
    <w:rsid w:val="000502d5"/>
    <w:pPr/>
    <w:rPr>
      <w:i/>
      <w:iCs/>
      <w:color w:val="000000" w:themeColor="text1"/>
    </w:rPr>
  </w:style>
  <w:style w:type="paragraph" w:styleId="IntenseQuote">
    <w:name w:val="Intense Quote"/>
    <w:basedOn w:val="Normal"/>
    <w:next w:val="Normal"/>
    <w:link w:val="CitaintensaCar"/>
    <w:uiPriority w:val="30"/>
    <w:qFormat/>
    <w:rsid w:val="000502d5"/>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0502d5"/>
    <w:pPr>
      <w:ind w:left="431" w:hanging="431"/>
    </w:pPr>
    <w:rPr>
      <w:rFonts w:ascii="Cambria" w:hAnsi="Cambria" w:asciiTheme="majorHAnsi" w:hAnsiTheme="majorHAnsi"/>
      <w:color w:val="365F91" w:themeColor="accent1" w:themeShade="bf"/>
      <w:spacing w:val="2"/>
      <w:sz w:val="28"/>
    </w:rPr>
  </w:style>
  <w:style w:type="paragraph" w:styleId="Author" w:customStyle="1">
    <w:name w:val="author"/>
    <w:basedOn w:val="Subtitle"/>
    <w:next w:val="Normal"/>
    <w:autoRedefine/>
    <w:qFormat/>
    <w:rsid w:val="000e00d2"/>
    <w:pPr/>
    <w:rPr>
      <w:b w:val="false"/>
      <w:i/>
      <w:color w:val="0067B1"/>
      <w:spacing w:val="10"/>
      <w:sz w:val="20"/>
    </w:rPr>
  </w:style>
  <w:style w:type="paragraph" w:styleId="Caption1" w:customStyle="1">
    <w:name w:val="Caption1"/>
    <w:basedOn w:val="Normal"/>
    <w:next w:val="Normal"/>
    <w:link w:val="captionChar"/>
    <w:qFormat/>
    <w:rsid w:val="004d249b"/>
    <w:pPr>
      <w:keepNext/>
      <w:spacing w:before="0" w:after="240"/>
      <w:jc w:val="center"/>
    </w:pPr>
    <w:rPr>
      <w:b/>
      <w:i/>
      <w:color w:val="0067B1"/>
    </w:rPr>
  </w:style>
  <w:style w:type="paragraph" w:styleId="Corresponding" w:customStyle="1">
    <w:name w:val="corresponding"/>
    <w:basedOn w:val="Author"/>
    <w:next w:val="Normal"/>
    <w:qFormat/>
    <w:rsid w:val="000502d5"/>
    <w:pPr/>
    <w:rPr>
      <w:spacing w:val="15"/>
    </w:rPr>
  </w:style>
  <w:style w:type="paragraph" w:styleId="Caption2">
    <w:name w:val="caption"/>
    <w:basedOn w:val="Normal"/>
    <w:next w:val="Normal"/>
    <w:uiPriority w:val="35"/>
    <w:semiHidden/>
    <w:unhideWhenUsed/>
    <w:qFormat/>
    <w:rsid w:val="000502d5"/>
    <w:pPr>
      <w:spacing w:lineRule="auto" w:line="240" w:before="0" w:after="240"/>
    </w:pPr>
    <w:rPr>
      <w:b/>
      <w:bCs/>
      <w:color w:val="4F81BD" w:themeColor="accent1"/>
      <w:sz w:val="18"/>
      <w:szCs w:val="18"/>
    </w:rPr>
  </w:style>
  <w:style w:type="paragraph" w:styleId="BalloonText">
    <w:name w:val="Balloon Text"/>
    <w:basedOn w:val="Normal"/>
    <w:link w:val="TextodegloboCar"/>
    <w:uiPriority w:val="99"/>
    <w:semiHidden/>
    <w:unhideWhenUsed/>
    <w:qFormat/>
    <w:rsid w:val="000502d5"/>
    <w:pPr>
      <w:spacing w:lineRule="auto" w:line="240" w:before="0" w:after="0"/>
    </w:pPr>
    <w:rPr>
      <w:rFonts w:ascii="Tahoma" w:hAnsi="Tahoma" w:cs="Tahoma"/>
      <w:sz w:val="16"/>
      <w:szCs w:val="16"/>
    </w:rPr>
  </w:style>
  <w:style w:type="paragraph" w:styleId="Header" w:customStyle="1">
    <w:name w:val="Header"/>
    <w:basedOn w:val="Normal"/>
    <w:link w:val="HeaderChar"/>
    <w:uiPriority w:val="99"/>
    <w:unhideWhenUsed/>
    <w:rsid w:val="00835e24"/>
    <w:pPr>
      <w:tabs>
        <w:tab w:val="center" w:pos="4513" w:leader="none"/>
        <w:tab w:val="right" w:pos="9026" w:leader="none"/>
      </w:tabs>
      <w:spacing w:lineRule="auto" w:line="240" w:before="0" w:after="0"/>
    </w:pPr>
    <w:rPr/>
  </w:style>
  <w:style w:type="paragraph" w:styleId="Footer" w:customStyle="1">
    <w:name w:val="Footer"/>
    <w:basedOn w:val="Normal"/>
    <w:link w:val="FooterChar"/>
    <w:uiPriority w:val="99"/>
    <w:unhideWhenUsed/>
    <w:rsid w:val="00835e24"/>
    <w:pPr>
      <w:tabs>
        <w:tab w:val="center" w:pos="4513" w:leader="none"/>
        <w:tab w:val="right" w:pos="9026" w:leader="none"/>
      </w:tabs>
      <w:spacing w:lineRule="auto" w:line="240" w:before="0" w:after="0"/>
    </w:pPr>
    <w:rPr/>
  </w:style>
  <w:style w:type="paragraph" w:styleId="Contents1" w:customStyle="1">
    <w:name w:val="Contents 1"/>
    <w:basedOn w:val="Normal"/>
    <w:next w:val="Normal"/>
    <w:autoRedefine/>
    <w:uiPriority w:val="39"/>
    <w:unhideWhenUsed/>
    <w:rsid w:val="00d95f48"/>
    <w:pPr>
      <w:spacing w:before="0" w:after="100"/>
    </w:pPr>
    <w:rPr/>
  </w:style>
  <w:style w:type="paragraph" w:styleId="Contents2" w:customStyle="1">
    <w:name w:val="Contents 2"/>
    <w:basedOn w:val="Normal"/>
    <w:next w:val="Normal"/>
    <w:autoRedefine/>
    <w:uiPriority w:val="39"/>
    <w:unhideWhenUsed/>
    <w:rsid w:val="00d95f48"/>
    <w:pPr>
      <w:spacing w:before="0" w:after="100"/>
      <w:ind w:left="200" w:hanging="0"/>
    </w:pPr>
    <w:rPr/>
  </w:style>
  <w:style w:type="paragraph" w:styleId="Contents3" w:customStyle="1">
    <w:name w:val="Contents 3"/>
    <w:basedOn w:val="Normal"/>
    <w:next w:val="Normal"/>
    <w:autoRedefine/>
    <w:uiPriority w:val="39"/>
    <w:unhideWhenUsed/>
    <w:rsid w:val="00d95f48"/>
    <w:pPr>
      <w:spacing w:before="0" w:after="100"/>
      <w:ind w:left="400" w:hanging="0"/>
    </w:pPr>
    <w:rPr/>
  </w:style>
  <w:style w:type="paragraph" w:styleId="Annotationtext">
    <w:name w:val="annotation text"/>
    <w:basedOn w:val="Normal"/>
    <w:link w:val="TextocomentarioCar"/>
    <w:unhideWhenUsed/>
    <w:qFormat/>
    <w:rsid w:val="00ea73f8"/>
    <w:pPr>
      <w:spacing w:lineRule="auto" w:line="240"/>
    </w:pPr>
    <w:rPr>
      <w:szCs w:val="20"/>
    </w:rPr>
  </w:style>
  <w:style w:type="paragraph" w:styleId="Annotationsubject">
    <w:name w:val="annotation subject"/>
    <w:basedOn w:val="Annotationtext"/>
    <w:link w:val="AsuntodelcomentarioCar"/>
    <w:uiPriority w:val="99"/>
    <w:semiHidden/>
    <w:unhideWhenUsed/>
    <w:qFormat/>
    <w:rsid w:val="00ea73f8"/>
    <w:pPr/>
    <w:rPr>
      <w:b/>
      <w:bCs/>
    </w:rPr>
  </w:style>
  <w:style w:type="paragraph" w:styleId="Appendix" w:customStyle="1">
    <w:name w:val="Appendix"/>
    <w:basedOn w:val="Heading1"/>
    <w:next w:val="Normal"/>
    <w:link w:val="AppendixChar"/>
    <w:qFormat/>
    <w:rsid w:val="002a7241"/>
    <w:pPr>
      <w:ind w:left="431" w:hanging="431"/>
    </w:pPr>
    <w:rPr>
      <w:color w:val="0070C0"/>
      <w:szCs w:val="40"/>
    </w:rPr>
  </w:style>
  <w:style w:type="numbering" w:styleId="NoList" w:default="1">
    <w:name w:val="No List"/>
    <w:uiPriority w:val="99"/>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0502d5"/>
    <w:pPr>
      <w:spacing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ocuments.egi.eu/document/2680"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
</Relationships>
</file>

<file path=word/_rels/footer2.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D991D-618D-FC42-919A-6B83AA11E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LibreOffice/5.0.5.2$Linux_X86_64 LibreOffice_project/00m0$Build-2</Application>
  <Paragraphs>78</Paragraphs>
  <Company>Universitat Politècnica de València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2016-02-26T11:21:00Z</dcterms:created>
  <dc:creator>S C</dc:creator>
  <dc:language>en-US</dc:language>
  <cp:lastModifiedBy>Alvaro Lopez Garcia</cp:lastModifiedBy>
  <dcterms:modified xsi:type="dcterms:W3CDTF">2016-03-04T16:10:20Z</dcterms:modified>
  <cp:revision>5</cp:revision>
  <dc:title>Title of the Document / Number if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Universitat Politècnica de València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