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AF4919" w14:textId="77777777" w:rsidR="004B04FF" w:rsidRPr="005B5FA2" w:rsidRDefault="000502D5" w:rsidP="00CF1E31">
      <w:pPr>
        <w:jc w:val="center"/>
        <w:rPr>
          <w:rFonts w:asciiTheme="minorHAnsi" w:hAnsiTheme="minorHAnsi"/>
        </w:rPr>
      </w:pPr>
      <w:r w:rsidRPr="005B5FA2">
        <w:rPr>
          <w:rFonts w:asciiTheme="minorHAnsi" w:hAnsiTheme="minorHAnsi"/>
          <w:noProof/>
          <w:lang w:eastAsia="en-GB"/>
        </w:rPr>
        <w:drawing>
          <wp:inline distT="0" distB="0" distL="0" distR="0" wp14:anchorId="48D04DA7" wp14:editId="7A3FE844">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519400D9" w14:textId="77777777" w:rsidR="000502D5" w:rsidRPr="005B5FA2" w:rsidRDefault="000502D5" w:rsidP="000502D5">
      <w:pPr>
        <w:jc w:val="center"/>
        <w:rPr>
          <w:rFonts w:asciiTheme="minorHAnsi" w:hAnsiTheme="minorHAnsi"/>
          <w:b/>
          <w:color w:val="0067B1"/>
          <w:sz w:val="56"/>
        </w:rPr>
      </w:pPr>
      <w:r w:rsidRPr="005B5FA2">
        <w:rPr>
          <w:rFonts w:asciiTheme="minorHAnsi" w:hAnsiTheme="minorHAnsi"/>
          <w:b/>
          <w:color w:val="0067B1"/>
          <w:sz w:val="56"/>
        </w:rPr>
        <w:t>EGI-Engage</w:t>
      </w:r>
    </w:p>
    <w:p w14:paraId="35F16A96" w14:textId="77777777" w:rsidR="001C5D2E" w:rsidRPr="005B5FA2" w:rsidRDefault="001C5D2E" w:rsidP="00E04C11">
      <w:pPr>
        <w:rPr>
          <w:rFonts w:asciiTheme="minorHAnsi" w:hAnsiTheme="minorHAnsi"/>
        </w:rPr>
      </w:pPr>
    </w:p>
    <w:p w14:paraId="0992C999" w14:textId="77777777" w:rsidR="00CB28A9" w:rsidRPr="005B5FA2" w:rsidRDefault="00CB28A9" w:rsidP="000502D5">
      <w:pPr>
        <w:pStyle w:val="Title"/>
        <w:rPr>
          <w:rFonts w:asciiTheme="minorHAnsi" w:hAnsiTheme="minorHAnsi"/>
          <w:i w:val="0"/>
        </w:rPr>
      </w:pPr>
      <w:r w:rsidRPr="005B5FA2">
        <w:rPr>
          <w:rFonts w:asciiTheme="minorHAnsi" w:hAnsiTheme="minorHAnsi"/>
          <w:i w:val="0"/>
        </w:rPr>
        <w:t xml:space="preserve">Service Delivery Model </w:t>
      </w:r>
    </w:p>
    <w:p w14:paraId="5F4CA289" w14:textId="77777777" w:rsidR="000502D5" w:rsidRPr="005B5FA2" w:rsidRDefault="00CB28A9" w:rsidP="000502D5">
      <w:pPr>
        <w:pStyle w:val="Title"/>
        <w:rPr>
          <w:rFonts w:asciiTheme="minorHAnsi" w:hAnsiTheme="minorHAnsi"/>
          <w:i w:val="0"/>
        </w:rPr>
      </w:pPr>
      <w:proofErr w:type="gramStart"/>
      <w:r w:rsidRPr="005B5FA2">
        <w:rPr>
          <w:rFonts w:asciiTheme="minorHAnsi" w:hAnsiTheme="minorHAnsi"/>
          <w:i w:val="0"/>
        </w:rPr>
        <w:t>from</w:t>
      </w:r>
      <w:proofErr w:type="gramEnd"/>
      <w:r w:rsidRPr="005B5FA2">
        <w:rPr>
          <w:rFonts w:asciiTheme="minorHAnsi" w:hAnsiTheme="minorHAnsi"/>
          <w:i w:val="0"/>
        </w:rPr>
        <w:t xml:space="preserve"> datacentre to community</w:t>
      </w:r>
    </w:p>
    <w:p w14:paraId="1A044534" w14:textId="77777777" w:rsidR="006669E7" w:rsidRPr="005B5FA2" w:rsidRDefault="006669E7" w:rsidP="006669E7">
      <w:pPr>
        <w:rPr>
          <w:rFonts w:asciiTheme="minorHAnsi" w:hAnsiTheme="minorHAnsi"/>
        </w:rPr>
      </w:pPr>
    </w:p>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5B5FA2" w14:paraId="3E905F9A" w14:textId="77777777" w:rsidTr="00835E24">
        <w:tc>
          <w:tcPr>
            <w:tcW w:w="2835" w:type="dxa"/>
          </w:tcPr>
          <w:p w14:paraId="30DF90CB" w14:textId="77777777" w:rsidR="000502D5" w:rsidRPr="005B5FA2" w:rsidRDefault="000502D5" w:rsidP="00CF1E31">
            <w:pPr>
              <w:pStyle w:val="NoSpacing"/>
              <w:rPr>
                <w:rFonts w:asciiTheme="minorHAnsi" w:hAnsiTheme="minorHAnsi"/>
                <w:b/>
              </w:rPr>
            </w:pPr>
            <w:r w:rsidRPr="005B5FA2">
              <w:rPr>
                <w:rFonts w:asciiTheme="minorHAnsi" w:hAnsiTheme="minorHAnsi"/>
                <w:b/>
              </w:rPr>
              <w:t>Date</w:t>
            </w:r>
          </w:p>
        </w:tc>
        <w:tc>
          <w:tcPr>
            <w:tcW w:w="5103" w:type="dxa"/>
          </w:tcPr>
          <w:p w14:paraId="0BC2785E" w14:textId="5BDB0285" w:rsidR="000502D5" w:rsidRPr="005B5FA2" w:rsidRDefault="006E664E" w:rsidP="00FD2513">
            <w:pPr>
              <w:pStyle w:val="NoSpacing"/>
              <w:rPr>
                <w:rFonts w:asciiTheme="minorHAnsi" w:hAnsiTheme="minorHAnsi"/>
              </w:rPr>
            </w:pPr>
            <w:r w:rsidRPr="005B5FA2">
              <w:rPr>
                <w:rFonts w:asciiTheme="minorHAnsi" w:hAnsiTheme="minorHAnsi"/>
              </w:rPr>
              <w:fldChar w:fldCharType="begin"/>
            </w:r>
            <w:r w:rsidRPr="005B5FA2">
              <w:rPr>
                <w:rFonts w:asciiTheme="minorHAnsi" w:hAnsiTheme="minorHAnsi"/>
              </w:rPr>
              <w:instrText xml:space="preserve"> SAVEDATE  \@ "dd MMMM yyyy"  \* MERGEFORMAT </w:instrText>
            </w:r>
            <w:r w:rsidRPr="005B5FA2">
              <w:rPr>
                <w:rFonts w:asciiTheme="minorHAnsi" w:hAnsiTheme="minorHAnsi"/>
              </w:rPr>
              <w:fldChar w:fldCharType="separate"/>
            </w:r>
            <w:r w:rsidR="000C7FDA">
              <w:rPr>
                <w:rFonts w:asciiTheme="minorHAnsi" w:hAnsiTheme="minorHAnsi"/>
                <w:noProof/>
              </w:rPr>
              <w:t>19 October 2017</w:t>
            </w:r>
            <w:r w:rsidRPr="005B5FA2">
              <w:rPr>
                <w:rFonts w:asciiTheme="minorHAnsi" w:hAnsiTheme="minorHAnsi"/>
              </w:rPr>
              <w:fldChar w:fldCharType="end"/>
            </w:r>
          </w:p>
        </w:tc>
      </w:tr>
      <w:tr w:rsidR="000502D5" w:rsidRPr="005B5FA2" w14:paraId="7917AE3F" w14:textId="77777777" w:rsidTr="00835E24">
        <w:tc>
          <w:tcPr>
            <w:tcW w:w="2835" w:type="dxa"/>
          </w:tcPr>
          <w:p w14:paraId="43B06C4A" w14:textId="77777777" w:rsidR="000502D5" w:rsidRPr="005B5FA2" w:rsidRDefault="000502D5" w:rsidP="00CF1E31">
            <w:pPr>
              <w:pStyle w:val="NoSpacing"/>
              <w:rPr>
                <w:rFonts w:asciiTheme="minorHAnsi" w:hAnsiTheme="minorHAnsi"/>
                <w:b/>
              </w:rPr>
            </w:pPr>
            <w:r w:rsidRPr="005B5FA2">
              <w:rPr>
                <w:rFonts w:asciiTheme="minorHAnsi" w:hAnsiTheme="minorHAnsi"/>
                <w:b/>
              </w:rPr>
              <w:t>Activity</w:t>
            </w:r>
          </w:p>
        </w:tc>
        <w:tc>
          <w:tcPr>
            <w:tcW w:w="5103" w:type="dxa"/>
          </w:tcPr>
          <w:p w14:paraId="62372873" w14:textId="3F410BE9" w:rsidR="000502D5" w:rsidRPr="005B5FA2" w:rsidRDefault="00BE0280" w:rsidP="0049700B">
            <w:pPr>
              <w:pStyle w:val="NoSpacing"/>
              <w:rPr>
                <w:rFonts w:asciiTheme="minorHAnsi" w:hAnsiTheme="minorHAnsi"/>
              </w:rPr>
            </w:pPr>
            <w:r>
              <w:rPr>
                <w:rFonts w:asciiTheme="minorHAnsi" w:hAnsiTheme="minorHAnsi"/>
              </w:rPr>
              <w:t>WP2</w:t>
            </w:r>
          </w:p>
        </w:tc>
      </w:tr>
      <w:tr w:rsidR="000502D5" w:rsidRPr="005B5FA2" w14:paraId="542E4CB3" w14:textId="77777777" w:rsidTr="00835E24">
        <w:tc>
          <w:tcPr>
            <w:tcW w:w="2835" w:type="dxa"/>
          </w:tcPr>
          <w:p w14:paraId="1C84AB5D" w14:textId="77777777" w:rsidR="000502D5" w:rsidRPr="005B5FA2" w:rsidRDefault="00835E24" w:rsidP="00CF1E31">
            <w:pPr>
              <w:pStyle w:val="NoSpacing"/>
              <w:rPr>
                <w:rFonts w:asciiTheme="minorHAnsi" w:hAnsiTheme="minorHAnsi"/>
                <w:b/>
              </w:rPr>
            </w:pPr>
            <w:r w:rsidRPr="005B5FA2">
              <w:rPr>
                <w:rFonts w:asciiTheme="minorHAnsi" w:hAnsiTheme="minorHAnsi"/>
                <w:b/>
              </w:rPr>
              <w:t>Lead Partner</w:t>
            </w:r>
          </w:p>
        </w:tc>
        <w:tc>
          <w:tcPr>
            <w:tcW w:w="5103" w:type="dxa"/>
          </w:tcPr>
          <w:p w14:paraId="28AEC7A8" w14:textId="0558728B" w:rsidR="000502D5" w:rsidRPr="005B5FA2" w:rsidRDefault="0049700B" w:rsidP="0049700B">
            <w:pPr>
              <w:pStyle w:val="NoSpacing"/>
              <w:rPr>
                <w:rFonts w:asciiTheme="minorHAnsi" w:hAnsiTheme="minorHAnsi"/>
              </w:rPr>
            </w:pPr>
            <w:r w:rsidRPr="005B5FA2">
              <w:rPr>
                <w:rFonts w:asciiTheme="minorHAnsi" w:hAnsiTheme="minorHAnsi"/>
              </w:rPr>
              <w:t>EGI-Engage</w:t>
            </w:r>
          </w:p>
        </w:tc>
      </w:tr>
      <w:tr w:rsidR="000502D5" w:rsidRPr="005B5FA2" w14:paraId="36466EF7" w14:textId="77777777" w:rsidTr="00835E24">
        <w:tc>
          <w:tcPr>
            <w:tcW w:w="2835" w:type="dxa"/>
          </w:tcPr>
          <w:p w14:paraId="0F41529C" w14:textId="77777777" w:rsidR="000502D5" w:rsidRPr="005B5FA2" w:rsidRDefault="00835E24" w:rsidP="00CF1E31">
            <w:pPr>
              <w:pStyle w:val="NoSpacing"/>
              <w:rPr>
                <w:rFonts w:asciiTheme="minorHAnsi" w:hAnsiTheme="minorHAnsi"/>
                <w:b/>
              </w:rPr>
            </w:pPr>
            <w:r w:rsidRPr="005B5FA2">
              <w:rPr>
                <w:rFonts w:asciiTheme="minorHAnsi" w:hAnsiTheme="minorHAnsi"/>
                <w:b/>
              </w:rPr>
              <w:t>Document Status</w:t>
            </w:r>
          </w:p>
        </w:tc>
        <w:tc>
          <w:tcPr>
            <w:tcW w:w="5103" w:type="dxa"/>
          </w:tcPr>
          <w:p w14:paraId="580AED82" w14:textId="575B1881" w:rsidR="000502D5" w:rsidRPr="005B5FA2" w:rsidRDefault="0049700B" w:rsidP="00BE0280">
            <w:pPr>
              <w:pStyle w:val="NoSpacing"/>
              <w:rPr>
                <w:rFonts w:asciiTheme="minorHAnsi" w:hAnsiTheme="minorHAnsi"/>
              </w:rPr>
            </w:pPr>
            <w:r w:rsidRPr="005B5FA2">
              <w:rPr>
                <w:rFonts w:asciiTheme="minorHAnsi" w:hAnsiTheme="minorHAnsi"/>
              </w:rPr>
              <w:t xml:space="preserve">FINAL </w:t>
            </w:r>
          </w:p>
        </w:tc>
      </w:tr>
      <w:tr w:rsidR="000502D5" w:rsidRPr="005B5FA2" w14:paraId="17216C5E" w14:textId="77777777" w:rsidTr="00835E24">
        <w:tc>
          <w:tcPr>
            <w:tcW w:w="2835" w:type="dxa"/>
          </w:tcPr>
          <w:p w14:paraId="471BD24C" w14:textId="77777777" w:rsidR="000502D5" w:rsidRPr="005B5FA2" w:rsidRDefault="00835E24" w:rsidP="00CF1E31">
            <w:pPr>
              <w:pStyle w:val="NoSpacing"/>
              <w:rPr>
                <w:rFonts w:asciiTheme="minorHAnsi" w:hAnsiTheme="minorHAnsi"/>
                <w:b/>
              </w:rPr>
            </w:pPr>
            <w:r w:rsidRPr="005B5FA2">
              <w:rPr>
                <w:rFonts w:asciiTheme="minorHAnsi" w:hAnsiTheme="minorHAnsi"/>
                <w:b/>
              </w:rPr>
              <w:t>Document Link</w:t>
            </w:r>
          </w:p>
        </w:tc>
        <w:tc>
          <w:tcPr>
            <w:tcW w:w="5103" w:type="dxa"/>
          </w:tcPr>
          <w:p w14:paraId="115F7BEA" w14:textId="14EAAE6C" w:rsidR="000502D5" w:rsidRPr="005B5FA2" w:rsidRDefault="00BE0280" w:rsidP="00CF1E31">
            <w:pPr>
              <w:pStyle w:val="NoSpacing"/>
              <w:rPr>
                <w:rFonts w:asciiTheme="minorHAnsi" w:hAnsiTheme="minorHAnsi"/>
              </w:rPr>
            </w:pPr>
            <w:hyperlink r:id="rId10" w:history="1">
              <w:r w:rsidRPr="00B82EE8">
                <w:rPr>
                  <w:rStyle w:val="Hyperlink"/>
                  <w:rFonts w:asciiTheme="minorHAnsi" w:hAnsiTheme="minorHAnsi"/>
                </w:rPr>
                <w:t>https://documents.egi.eu/document/2699</w:t>
              </w:r>
            </w:hyperlink>
            <w:r>
              <w:rPr>
                <w:rFonts w:asciiTheme="minorHAnsi" w:hAnsiTheme="minorHAnsi"/>
              </w:rPr>
              <w:t xml:space="preserve"> </w:t>
            </w:r>
          </w:p>
        </w:tc>
      </w:tr>
    </w:tbl>
    <w:p w14:paraId="78471A00" w14:textId="77777777" w:rsidR="004A3ECF" w:rsidRPr="005B5FA2" w:rsidRDefault="004A3ECF" w:rsidP="00835E24">
      <w:pPr>
        <w:rPr>
          <w:rFonts w:asciiTheme="minorHAnsi" w:hAnsiTheme="minorHAnsi"/>
        </w:rPr>
      </w:pPr>
    </w:p>
    <w:p w14:paraId="5ABD799E" w14:textId="77777777" w:rsidR="00835E24" w:rsidRPr="005B5FA2" w:rsidRDefault="00835E24" w:rsidP="00835E24">
      <w:pPr>
        <w:rPr>
          <w:rFonts w:asciiTheme="minorHAnsi" w:hAnsiTheme="minorHAnsi"/>
        </w:rPr>
      </w:pPr>
    </w:p>
    <w:p w14:paraId="31EF99E9" w14:textId="77777777" w:rsidR="00835E24" w:rsidRPr="005B5FA2" w:rsidRDefault="00835E24">
      <w:pPr>
        <w:spacing w:after="200"/>
        <w:jc w:val="left"/>
        <w:rPr>
          <w:rFonts w:asciiTheme="minorHAnsi" w:hAnsiTheme="minorHAnsi"/>
        </w:rPr>
      </w:pPr>
      <w:r w:rsidRPr="005B5FA2">
        <w:rPr>
          <w:rFonts w:asciiTheme="minorHAnsi" w:hAnsiTheme="minorHAnsi"/>
        </w:rPr>
        <w:br w:type="page"/>
      </w:r>
    </w:p>
    <w:p w14:paraId="4FF04E9E" w14:textId="77777777" w:rsidR="00E8128D" w:rsidRPr="005B5FA2" w:rsidRDefault="00E8128D" w:rsidP="00E8128D">
      <w:pPr>
        <w:rPr>
          <w:rFonts w:asciiTheme="minorHAnsi" w:hAnsiTheme="minorHAnsi"/>
          <w:b/>
          <w:color w:val="4F81BD" w:themeColor="accent1"/>
        </w:rPr>
      </w:pPr>
      <w:r w:rsidRPr="005B5FA2">
        <w:rPr>
          <w:rFonts w:asciiTheme="minorHAnsi" w:hAnsiTheme="minorHAnsi"/>
          <w:b/>
          <w:color w:val="4F81BD" w:themeColor="accent1"/>
        </w:rPr>
        <w:lastRenderedPageBreak/>
        <w:t xml:space="preserve">COPYRIGHT NOTICE </w:t>
      </w:r>
    </w:p>
    <w:p w14:paraId="5104EE78" w14:textId="77777777" w:rsidR="00B60F00" w:rsidRPr="005B5FA2" w:rsidRDefault="00B60F00" w:rsidP="00B60F00">
      <w:pPr>
        <w:rPr>
          <w:rFonts w:asciiTheme="minorHAnsi" w:hAnsiTheme="minorHAnsi"/>
        </w:rPr>
      </w:pPr>
      <w:r w:rsidRPr="005B5FA2">
        <w:rPr>
          <w:rFonts w:asciiTheme="minorHAnsi" w:hAnsiTheme="minorHAnsi"/>
          <w:noProof/>
          <w:lang w:eastAsia="en-GB"/>
        </w:rPr>
        <w:drawing>
          <wp:inline distT="0" distB="0" distL="0" distR="0" wp14:anchorId="00BE686D" wp14:editId="23B8CA7B">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453D6116" w14:textId="77777777" w:rsidR="00B60F00" w:rsidRPr="005B5FA2" w:rsidRDefault="00B60F00" w:rsidP="00B60F00">
      <w:pPr>
        <w:rPr>
          <w:rFonts w:asciiTheme="minorHAnsi" w:hAnsiTheme="minorHAnsi"/>
        </w:rPr>
      </w:pPr>
      <w:r w:rsidRPr="005B5FA2">
        <w:rPr>
          <w:rFonts w:asciiTheme="minorHAnsi" w:hAnsiTheme="minorHAnsi"/>
        </w:rPr>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5EC26D9F" w14:textId="77777777" w:rsidR="002E5F1F" w:rsidRPr="005B5FA2" w:rsidRDefault="002E5F1F" w:rsidP="00E8128D">
      <w:pPr>
        <w:rPr>
          <w:rFonts w:asciiTheme="minorHAnsi" w:hAnsiTheme="minorHAnsi"/>
          <w:b/>
          <w:color w:val="4F81BD" w:themeColor="accent1"/>
        </w:rPr>
      </w:pPr>
      <w:r w:rsidRPr="005B5FA2">
        <w:rPr>
          <w:rFonts w:asciiTheme="minorHAnsi" w:hAnsiTheme="minorHAnsi"/>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5B5FA2" w14:paraId="533182B9" w14:textId="77777777" w:rsidTr="00E04C11">
        <w:tc>
          <w:tcPr>
            <w:tcW w:w="2310" w:type="dxa"/>
            <w:shd w:val="clear" w:color="auto" w:fill="B8CCE4" w:themeFill="accent1" w:themeFillTint="66"/>
          </w:tcPr>
          <w:p w14:paraId="63F4446D" w14:textId="77777777" w:rsidR="002E5F1F" w:rsidRPr="005B5FA2" w:rsidRDefault="002E5F1F" w:rsidP="002E5F1F">
            <w:pPr>
              <w:pStyle w:val="NoSpacing"/>
              <w:rPr>
                <w:rFonts w:asciiTheme="minorHAnsi" w:hAnsiTheme="minorHAnsi"/>
                <w:b/>
              </w:rPr>
            </w:pPr>
          </w:p>
        </w:tc>
        <w:tc>
          <w:tcPr>
            <w:tcW w:w="3610" w:type="dxa"/>
            <w:shd w:val="clear" w:color="auto" w:fill="B8CCE4" w:themeFill="accent1" w:themeFillTint="66"/>
          </w:tcPr>
          <w:p w14:paraId="2CF1F75E" w14:textId="77777777" w:rsidR="002E5F1F" w:rsidRPr="005B5FA2" w:rsidRDefault="002E5F1F" w:rsidP="002E5F1F">
            <w:pPr>
              <w:pStyle w:val="NoSpacing"/>
              <w:rPr>
                <w:rFonts w:asciiTheme="minorHAnsi" w:hAnsiTheme="minorHAnsi"/>
                <w:b/>
                <w:i/>
              </w:rPr>
            </w:pPr>
            <w:r w:rsidRPr="005B5FA2">
              <w:rPr>
                <w:rFonts w:asciiTheme="minorHAnsi" w:hAnsiTheme="minorHAnsi"/>
                <w:b/>
                <w:i/>
              </w:rPr>
              <w:t>Name</w:t>
            </w:r>
          </w:p>
        </w:tc>
        <w:tc>
          <w:tcPr>
            <w:tcW w:w="1843" w:type="dxa"/>
            <w:shd w:val="clear" w:color="auto" w:fill="B8CCE4" w:themeFill="accent1" w:themeFillTint="66"/>
          </w:tcPr>
          <w:p w14:paraId="59ABAEF5" w14:textId="77777777" w:rsidR="002E5F1F" w:rsidRPr="005B5FA2" w:rsidRDefault="002E5F1F" w:rsidP="002E5F1F">
            <w:pPr>
              <w:pStyle w:val="NoSpacing"/>
              <w:rPr>
                <w:rFonts w:asciiTheme="minorHAnsi" w:hAnsiTheme="minorHAnsi"/>
                <w:b/>
                <w:i/>
              </w:rPr>
            </w:pPr>
            <w:r w:rsidRPr="005B5FA2">
              <w:rPr>
                <w:rFonts w:asciiTheme="minorHAnsi" w:hAnsiTheme="minorHAnsi"/>
                <w:b/>
                <w:i/>
              </w:rPr>
              <w:t>Partner/Activity</w:t>
            </w:r>
          </w:p>
        </w:tc>
        <w:tc>
          <w:tcPr>
            <w:tcW w:w="1479" w:type="dxa"/>
            <w:shd w:val="clear" w:color="auto" w:fill="B8CCE4" w:themeFill="accent1" w:themeFillTint="66"/>
          </w:tcPr>
          <w:p w14:paraId="2A63D6BB" w14:textId="77777777" w:rsidR="002E5F1F" w:rsidRPr="005B5FA2" w:rsidRDefault="002E5F1F" w:rsidP="002E5F1F">
            <w:pPr>
              <w:pStyle w:val="NoSpacing"/>
              <w:rPr>
                <w:rFonts w:asciiTheme="minorHAnsi" w:hAnsiTheme="minorHAnsi"/>
                <w:b/>
                <w:i/>
              </w:rPr>
            </w:pPr>
            <w:r w:rsidRPr="005B5FA2">
              <w:rPr>
                <w:rFonts w:asciiTheme="minorHAnsi" w:hAnsiTheme="minorHAnsi"/>
                <w:b/>
                <w:i/>
              </w:rPr>
              <w:t>Date</w:t>
            </w:r>
          </w:p>
        </w:tc>
      </w:tr>
      <w:tr w:rsidR="002E5F1F" w:rsidRPr="005B5FA2" w14:paraId="3C881416" w14:textId="77777777" w:rsidTr="00E04C11">
        <w:tc>
          <w:tcPr>
            <w:tcW w:w="2310" w:type="dxa"/>
            <w:shd w:val="clear" w:color="auto" w:fill="B8CCE4" w:themeFill="accent1" w:themeFillTint="66"/>
          </w:tcPr>
          <w:p w14:paraId="2D70D54A" w14:textId="77777777" w:rsidR="002E5F1F" w:rsidRPr="005B5FA2" w:rsidRDefault="002E5F1F" w:rsidP="002E5F1F">
            <w:pPr>
              <w:pStyle w:val="NoSpacing"/>
              <w:rPr>
                <w:rFonts w:asciiTheme="minorHAnsi" w:hAnsiTheme="minorHAnsi"/>
                <w:b/>
              </w:rPr>
            </w:pPr>
            <w:r w:rsidRPr="005B5FA2">
              <w:rPr>
                <w:rFonts w:asciiTheme="minorHAnsi" w:hAnsiTheme="minorHAnsi"/>
                <w:b/>
              </w:rPr>
              <w:t>From:</w:t>
            </w:r>
          </w:p>
        </w:tc>
        <w:tc>
          <w:tcPr>
            <w:tcW w:w="3610" w:type="dxa"/>
          </w:tcPr>
          <w:p w14:paraId="5CB348CE" w14:textId="77777777" w:rsidR="002E5F1F" w:rsidRPr="005B5FA2" w:rsidRDefault="00031CEA" w:rsidP="00031CEA">
            <w:pPr>
              <w:pStyle w:val="NoSpacing"/>
              <w:rPr>
                <w:rFonts w:asciiTheme="minorHAnsi" w:hAnsiTheme="minorHAnsi"/>
                <w:lang w:val="nl-NL"/>
              </w:rPr>
            </w:pPr>
            <w:r w:rsidRPr="005B5FA2">
              <w:rPr>
                <w:rFonts w:asciiTheme="minorHAnsi" w:hAnsiTheme="minorHAnsi"/>
                <w:lang w:val="nl-NL"/>
              </w:rPr>
              <w:t>E. van Maanen &amp; A. Ellenbroek</w:t>
            </w:r>
          </w:p>
        </w:tc>
        <w:tc>
          <w:tcPr>
            <w:tcW w:w="1843" w:type="dxa"/>
          </w:tcPr>
          <w:p w14:paraId="64FCE744" w14:textId="77777777" w:rsidR="002E5F1F" w:rsidRPr="005B5FA2" w:rsidRDefault="006E41E8" w:rsidP="002E5F1F">
            <w:pPr>
              <w:pStyle w:val="NoSpacing"/>
              <w:rPr>
                <w:rFonts w:asciiTheme="minorHAnsi" w:hAnsiTheme="minorHAnsi"/>
              </w:rPr>
            </w:pPr>
            <w:r w:rsidRPr="005B5FA2">
              <w:rPr>
                <w:rFonts w:asciiTheme="minorHAnsi" w:hAnsiTheme="minorHAnsi"/>
              </w:rPr>
              <w:t>FAO</w:t>
            </w:r>
          </w:p>
        </w:tc>
        <w:tc>
          <w:tcPr>
            <w:tcW w:w="1479" w:type="dxa"/>
          </w:tcPr>
          <w:p w14:paraId="55411323" w14:textId="2FEFA026" w:rsidR="002E5F1F" w:rsidRPr="005B5FA2" w:rsidRDefault="004A5273" w:rsidP="00031CEA">
            <w:pPr>
              <w:pStyle w:val="NoSpacing"/>
              <w:rPr>
                <w:rFonts w:asciiTheme="minorHAnsi" w:hAnsiTheme="minorHAnsi"/>
              </w:rPr>
            </w:pPr>
            <w:r w:rsidRPr="005B5FA2">
              <w:rPr>
                <w:rFonts w:asciiTheme="minorHAnsi" w:hAnsiTheme="minorHAnsi"/>
              </w:rPr>
              <w:t>31</w:t>
            </w:r>
            <w:r w:rsidR="006E41E8" w:rsidRPr="005B5FA2">
              <w:rPr>
                <w:rFonts w:asciiTheme="minorHAnsi" w:hAnsiTheme="minorHAnsi"/>
              </w:rPr>
              <w:t>-AUG-2017</w:t>
            </w:r>
          </w:p>
        </w:tc>
      </w:tr>
    </w:tbl>
    <w:p w14:paraId="649D7870" w14:textId="77777777" w:rsidR="002E5F1F" w:rsidRPr="005B5FA2" w:rsidRDefault="002E5F1F" w:rsidP="002E5F1F">
      <w:pPr>
        <w:rPr>
          <w:rFonts w:asciiTheme="minorHAnsi" w:hAnsiTheme="minorHAnsi"/>
        </w:rPr>
      </w:pPr>
    </w:p>
    <w:p w14:paraId="08226038" w14:textId="77777777" w:rsidR="002E5F1F" w:rsidRPr="005B5FA2" w:rsidRDefault="002E5F1F" w:rsidP="002E5F1F">
      <w:pPr>
        <w:rPr>
          <w:rFonts w:asciiTheme="minorHAnsi" w:hAnsiTheme="minorHAnsi"/>
          <w:b/>
          <w:color w:val="4F81BD" w:themeColor="accent1"/>
        </w:rPr>
      </w:pPr>
      <w:r w:rsidRPr="005B5FA2">
        <w:rPr>
          <w:rFonts w:asciiTheme="minorHAnsi" w:hAnsiTheme="minorHAnsi"/>
          <w:b/>
          <w:color w:val="4F81BD" w:themeColor="accent1"/>
        </w:rPr>
        <w:t>DOCUMENT LOG</w:t>
      </w:r>
    </w:p>
    <w:tbl>
      <w:tblPr>
        <w:tblStyle w:val="TableGrid"/>
        <w:tblW w:w="0" w:type="auto"/>
        <w:tblLook w:val="04A0" w:firstRow="1" w:lastRow="0" w:firstColumn="1" w:lastColumn="0" w:noHBand="0" w:noVBand="1"/>
      </w:tblPr>
      <w:tblGrid>
        <w:gridCol w:w="812"/>
        <w:gridCol w:w="1413"/>
        <w:gridCol w:w="3695"/>
        <w:gridCol w:w="3322"/>
      </w:tblGrid>
      <w:tr w:rsidR="002E5F1F" w:rsidRPr="005B5FA2" w14:paraId="57B99DCB" w14:textId="77777777" w:rsidTr="0019370A">
        <w:tc>
          <w:tcPr>
            <w:tcW w:w="812" w:type="dxa"/>
            <w:shd w:val="clear" w:color="auto" w:fill="B8CCE4" w:themeFill="accent1" w:themeFillTint="66"/>
          </w:tcPr>
          <w:p w14:paraId="29D1FDAA" w14:textId="77777777" w:rsidR="002E5F1F" w:rsidRPr="005B5FA2" w:rsidRDefault="002E5F1F" w:rsidP="00434968">
            <w:pPr>
              <w:pStyle w:val="NoSpacing"/>
              <w:rPr>
                <w:rFonts w:asciiTheme="minorHAnsi" w:hAnsiTheme="minorHAnsi"/>
                <w:b/>
                <w:i/>
              </w:rPr>
            </w:pPr>
            <w:r w:rsidRPr="005B5FA2">
              <w:rPr>
                <w:rFonts w:asciiTheme="minorHAnsi" w:hAnsiTheme="minorHAnsi"/>
                <w:b/>
                <w:i/>
              </w:rPr>
              <w:t>Issue</w:t>
            </w:r>
          </w:p>
        </w:tc>
        <w:tc>
          <w:tcPr>
            <w:tcW w:w="1413" w:type="dxa"/>
            <w:shd w:val="clear" w:color="auto" w:fill="B8CCE4" w:themeFill="accent1" w:themeFillTint="66"/>
          </w:tcPr>
          <w:p w14:paraId="77FD3ADF" w14:textId="77777777" w:rsidR="002E5F1F" w:rsidRPr="005B5FA2" w:rsidRDefault="002E5F1F" w:rsidP="00434968">
            <w:pPr>
              <w:pStyle w:val="NoSpacing"/>
              <w:rPr>
                <w:rFonts w:asciiTheme="minorHAnsi" w:hAnsiTheme="minorHAnsi"/>
                <w:b/>
                <w:i/>
              </w:rPr>
            </w:pPr>
            <w:r w:rsidRPr="005B5FA2">
              <w:rPr>
                <w:rFonts w:asciiTheme="minorHAnsi" w:hAnsiTheme="minorHAnsi"/>
                <w:b/>
                <w:i/>
              </w:rPr>
              <w:t>Date</w:t>
            </w:r>
          </w:p>
        </w:tc>
        <w:tc>
          <w:tcPr>
            <w:tcW w:w="3695" w:type="dxa"/>
            <w:shd w:val="clear" w:color="auto" w:fill="B8CCE4" w:themeFill="accent1" w:themeFillTint="66"/>
          </w:tcPr>
          <w:p w14:paraId="48C86E3A" w14:textId="77777777" w:rsidR="002E5F1F" w:rsidRPr="005B5FA2" w:rsidRDefault="002E5F1F" w:rsidP="00434968">
            <w:pPr>
              <w:pStyle w:val="NoSpacing"/>
              <w:rPr>
                <w:rFonts w:asciiTheme="minorHAnsi" w:hAnsiTheme="minorHAnsi"/>
                <w:b/>
                <w:i/>
              </w:rPr>
            </w:pPr>
            <w:r w:rsidRPr="005B5FA2">
              <w:rPr>
                <w:rFonts w:asciiTheme="minorHAnsi" w:hAnsiTheme="minorHAnsi"/>
                <w:b/>
                <w:i/>
              </w:rPr>
              <w:t>Comment</w:t>
            </w:r>
          </w:p>
        </w:tc>
        <w:tc>
          <w:tcPr>
            <w:tcW w:w="3322" w:type="dxa"/>
            <w:shd w:val="clear" w:color="auto" w:fill="B8CCE4" w:themeFill="accent1" w:themeFillTint="66"/>
          </w:tcPr>
          <w:p w14:paraId="4C399298" w14:textId="77777777" w:rsidR="002E5F1F" w:rsidRPr="005B5FA2" w:rsidRDefault="002E5F1F" w:rsidP="00434968">
            <w:pPr>
              <w:pStyle w:val="NoSpacing"/>
              <w:rPr>
                <w:rFonts w:asciiTheme="minorHAnsi" w:hAnsiTheme="minorHAnsi"/>
                <w:b/>
                <w:i/>
              </w:rPr>
            </w:pPr>
            <w:r w:rsidRPr="005B5FA2">
              <w:rPr>
                <w:rFonts w:asciiTheme="minorHAnsi" w:hAnsiTheme="minorHAnsi"/>
                <w:b/>
                <w:i/>
              </w:rPr>
              <w:t>Author/Partner</w:t>
            </w:r>
          </w:p>
        </w:tc>
      </w:tr>
      <w:tr w:rsidR="000F017D" w:rsidRPr="00E37AEB" w14:paraId="725EF352" w14:textId="77777777" w:rsidTr="0019370A">
        <w:tc>
          <w:tcPr>
            <w:tcW w:w="812" w:type="dxa"/>
            <w:shd w:val="clear" w:color="auto" w:fill="auto"/>
          </w:tcPr>
          <w:p w14:paraId="06E76704" w14:textId="77777777" w:rsidR="000F017D" w:rsidRPr="005B5FA2" w:rsidRDefault="000F017D" w:rsidP="00434968">
            <w:pPr>
              <w:pStyle w:val="NoSpacing"/>
              <w:rPr>
                <w:rFonts w:asciiTheme="minorHAnsi" w:hAnsiTheme="minorHAnsi"/>
                <w:b/>
              </w:rPr>
            </w:pPr>
            <w:r w:rsidRPr="005B5FA2">
              <w:rPr>
                <w:rFonts w:asciiTheme="minorHAnsi" w:hAnsiTheme="minorHAnsi"/>
                <w:b/>
              </w:rPr>
              <w:t>v.0</w:t>
            </w:r>
          </w:p>
        </w:tc>
        <w:tc>
          <w:tcPr>
            <w:tcW w:w="1413" w:type="dxa"/>
            <w:shd w:val="clear" w:color="auto" w:fill="auto"/>
          </w:tcPr>
          <w:p w14:paraId="7667B800" w14:textId="77777777" w:rsidR="000F017D" w:rsidRPr="005B5FA2" w:rsidRDefault="000F017D" w:rsidP="00434968">
            <w:pPr>
              <w:pStyle w:val="NoSpacing"/>
              <w:rPr>
                <w:rFonts w:asciiTheme="minorHAnsi" w:hAnsiTheme="minorHAnsi"/>
              </w:rPr>
            </w:pPr>
            <w:r w:rsidRPr="005B5FA2">
              <w:rPr>
                <w:rFonts w:asciiTheme="minorHAnsi" w:hAnsiTheme="minorHAnsi"/>
              </w:rPr>
              <w:t>13/07/2017</w:t>
            </w:r>
          </w:p>
        </w:tc>
        <w:tc>
          <w:tcPr>
            <w:tcW w:w="3695" w:type="dxa"/>
            <w:shd w:val="clear" w:color="auto" w:fill="auto"/>
          </w:tcPr>
          <w:p w14:paraId="040AD702" w14:textId="77777777" w:rsidR="000F017D" w:rsidRPr="005B5FA2" w:rsidRDefault="000F017D" w:rsidP="0019370A">
            <w:pPr>
              <w:pStyle w:val="NoSpacing"/>
              <w:jc w:val="left"/>
              <w:rPr>
                <w:rFonts w:asciiTheme="minorHAnsi" w:hAnsiTheme="minorHAnsi"/>
                <w:lang w:val="nl-NL"/>
              </w:rPr>
            </w:pPr>
            <w:r w:rsidRPr="005B5FA2">
              <w:rPr>
                <w:rFonts w:asciiTheme="minorHAnsi" w:hAnsiTheme="minorHAnsi"/>
                <w:lang w:val="nl-NL"/>
              </w:rPr>
              <w:t xml:space="preserve">E. van Maanen &amp; A. Ellenbroek </w:t>
            </w:r>
          </w:p>
        </w:tc>
        <w:tc>
          <w:tcPr>
            <w:tcW w:w="3322" w:type="dxa"/>
            <w:shd w:val="clear" w:color="auto" w:fill="auto"/>
          </w:tcPr>
          <w:p w14:paraId="2EE716B5" w14:textId="77777777" w:rsidR="000F017D" w:rsidRPr="005B5FA2" w:rsidRDefault="000F017D" w:rsidP="00434968">
            <w:pPr>
              <w:pStyle w:val="NoSpacing"/>
              <w:rPr>
                <w:rFonts w:asciiTheme="minorHAnsi" w:hAnsiTheme="minorHAnsi"/>
                <w:lang w:val="nl-NL"/>
              </w:rPr>
            </w:pPr>
            <w:r w:rsidRPr="005B5FA2">
              <w:rPr>
                <w:rFonts w:asciiTheme="minorHAnsi" w:hAnsiTheme="minorHAnsi"/>
                <w:lang w:val="nl-NL"/>
              </w:rPr>
              <w:t>E. van Maanen &amp; A. Ellenbroek</w:t>
            </w:r>
          </w:p>
        </w:tc>
      </w:tr>
      <w:tr w:rsidR="000F017D" w:rsidRPr="00E37AEB" w14:paraId="42F23742" w14:textId="77777777" w:rsidTr="0019370A">
        <w:tc>
          <w:tcPr>
            <w:tcW w:w="812" w:type="dxa"/>
            <w:shd w:val="clear" w:color="auto" w:fill="auto"/>
          </w:tcPr>
          <w:p w14:paraId="3FA97B43" w14:textId="77777777" w:rsidR="000F017D" w:rsidRPr="005B5FA2" w:rsidRDefault="000F017D" w:rsidP="00434968">
            <w:pPr>
              <w:pStyle w:val="NoSpacing"/>
              <w:rPr>
                <w:rFonts w:asciiTheme="minorHAnsi" w:hAnsiTheme="minorHAnsi"/>
                <w:b/>
              </w:rPr>
            </w:pPr>
            <w:r w:rsidRPr="005B5FA2">
              <w:rPr>
                <w:rFonts w:asciiTheme="minorHAnsi" w:hAnsiTheme="minorHAnsi"/>
                <w:b/>
              </w:rPr>
              <w:t>v.0.1</w:t>
            </w:r>
          </w:p>
        </w:tc>
        <w:tc>
          <w:tcPr>
            <w:tcW w:w="1413" w:type="dxa"/>
            <w:shd w:val="clear" w:color="auto" w:fill="auto"/>
          </w:tcPr>
          <w:p w14:paraId="63EA9786" w14:textId="77777777" w:rsidR="000F017D" w:rsidRPr="005B5FA2" w:rsidRDefault="000F017D" w:rsidP="00434968">
            <w:pPr>
              <w:pStyle w:val="NoSpacing"/>
              <w:rPr>
                <w:rFonts w:asciiTheme="minorHAnsi" w:hAnsiTheme="minorHAnsi"/>
              </w:rPr>
            </w:pPr>
            <w:r w:rsidRPr="005B5FA2">
              <w:rPr>
                <w:rFonts w:asciiTheme="minorHAnsi" w:hAnsiTheme="minorHAnsi"/>
              </w:rPr>
              <w:t>15/07/2017</w:t>
            </w:r>
          </w:p>
        </w:tc>
        <w:tc>
          <w:tcPr>
            <w:tcW w:w="3695" w:type="dxa"/>
            <w:shd w:val="clear" w:color="auto" w:fill="auto"/>
          </w:tcPr>
          <w:p w14:paraId="39C3D5E2" w14:textId="77777777" w:rsidR="000F017D" w:rsidRPr="005B5FA2" w:rsidRDefault="000F017D" w:rsidP="0019370A">
            <w:pPr>
              <w:pStyle w:val="NoSpacing"/>
              <w:jc w:val="left"/>
              <w:rPr>
                <w:rFonts w:asciiTheme="minorHAnsi" w:hAnsiTheme="minorHAnsi"/>
              </w:rPr>
            </w:pPr>
            <w:r w:rsidRPr="005B5FA2">
              <w:rPr>
                <w:rFonts w:asciiTheme="minorHAnsi" w:hAnsiTheme="minorHAnsi"/>
              </w:rPr>
              <w:t>Review Pasquale Pagano, processed comments</w:t>
            </w:r>
          </w:p>
        </w:tc>
        <w:tc>
          <w:tcPr>
            <w:tcW w:w="3322" w:type="dxa"/>
            <w:shd w:val="clear" w:color="auto" w:fill="auto"/>
          </w:tcPr>
          <w:p w14:paraId="28F10FA7" w14:textId="77777777" w:rsidR="000F017D" w:rsidRPr="005B5FA2" w:rsidRDefault="000F017D" w:rsidP="00434968">
            <w:pPr>
              <w:pStyle w:val="NoSpacing"/>
              <w:rPr>
                <w:rFonts w:asciiTheme="minorHAnsi" w:hAnsiTheme="minorHAnsi"/>
                <w:lang w:val="nl-NL"/>
              </w:rPr>
            </w:pPr>
            <w:r w:rsidRPr="005B5FA2">
              <w:rPr>
                <w:rFonts w:asciiTheme="minorHAnsi" w:hAnsiTheme="minorHAnsi"/>
                <w:lang w:val="nl-NL"/>
              </w:rPr>
              <w:t>E. van Maanen &amp; A. Ellenbroek</w:t>
            </w:r>
          </w:p>
        </w:tc>
      </w:tr>
      <w:tr w:rsidR="000F017D" w:rsidRPr="00E37AEB" w14:paraId="72CA34A0" w14:textId="77777777" w:rsidTr="0019370A">
        <w:tc>
          <w:tcPr>
            <w:tcW w:w="812" w:type="dxa"/>
            <w:shd w:val="clear" w:color="auto" w:fill="auto"/>
          </w:tcPr>
          <w:p w14:paraId="613EC4A7" w14:textId="77777777" w:rsidR="000F017D" w:rsidRPr="005B5FA2" w:rsidRDefault="000F017D" w:rsidP="00434968">
            <w:pPr>
              <w:pStyle w:val="NoSpacing"/>
              <w:rPr>
                <w:rFonts w:asciiTheme="minorHAnsi" w:hAnsiTheme="minorHAnsi"/>
                <w:b/>
              </w:rPr>
            </w:pPr>
            <w:r w:rsidRPr="005B5FA2">
              <w:rPr>
                <w:rFonts w:asciiTheme="minorHAnsi" w:hAnsiTheme="minorHAnsi"/>
                <w:b/>
              </w:rPr>
              <w:t>v.0.5</w:t>
            </w:r>
          </w:p>
        </w:tc>
        <w:tc>
          <w:tcPr>
            <w:tcW w:w="1413" w:type="dxa"/>
            <w:shd w:val="clear" w:color="auto" w:fill="auto"/>
          </w:tcPr>
          <w:p w14:paraId="400B272A" w14:textId="77777777" w:rsidR="000F017D" w:rsidRPr="005B5FA2" w:rsidRDefault="000F017D" w:rsidP="00434968">
            <w:pPr>
              <w:pStyle w:val="NoSpacing"/>
              <w:rPr>
                <w:rFonts w:asciiTheme="minorHAnsi" w:hAnsiTheme="minorHAnsi"/>
              </w:rPr>
            </w:pPr>
            <w:r w:rsidRPr="005B5FA2">
              <w:rPr>
                <w:rFonts w:asciiTheme="minorHAnsi" w:hAnsiTheme="minorHAnsi"/>
              </w:rPr>
              <w:t>21/07/2017</w:t>
            </w:r>
          </w:p>
        </w:tc>
        <w:tc>
          <w:tcPr>
            <w:tcW w:w="3695" w:type="dxa"/>
            <w:shd w:val="clear" w:color="auto" w:fill="auto"/>
          </w:tcPr>
          <w:p w14:paraId="06EA50B3" w14:textId="77777777" w:rsidR="000F017D" w:rsidRPr="005B5FA2" w:rsidRDefault="000F017D" w:rsidP="0019370A">
            <w:pPr>
              <w:pStyle w:val="NoSpacing"/>
              <w:jc w:val="left"/>
              <w:rPr>
                <w:rFonts w:asciiTheme="minorHAnsi" w:hAnsiTheme="minorHAnsi"/>
              </w:rPr>
            </w:pPr>
            <w:r w:rsidRPr="005B5FA2">
              <w:rPr>
                <w:rFonts w:asciiTheme="minorHAnsi" w:hAnsiTheme="minorHAnsi"/>
              </w:rPr>
              <w:t xml:space="preserve">Review </w:t>
            </w:r>
            <w:proofErr w:type="spellStart"/>
            <w:r w:rsidRPr="005B5FA2">
              <w:rPr>
                <w:rFonts w:asciiTheme="minorHAnsi" w:hAnsiTheme="minorHAnsi"/>
              </w:rPr>
              <w:t>Sy</w:t>
            </w:r>
            <w:proofErr w:type="spellEnd"/>
            <w:r w:rsidRPr="005B5FA2">
              <w:rPr>
                <w:rFonts w:asciiTheme="minorHAnsi" w:hAnsiTheme="minorHAnsi"/>
              </w:rPr>
              <w:t xml:space="preserve"> </w:t>
            </w:r>
            <w:proofErr w:type="spellStart"/>
            <w:r w:rsidRPr="005B5FA2">
              <w:rPr>
                <w:rFonts w:asciiTheme="minorHAnsi" w:hAnsiTheme="minorHAnsi"/>
              </w:rPr>
              <w:t>Holsinger</w:t>
            </w:r>
            <w:proofErr w:type="spellEnd"/>
            <w:r w:rsidRPr="005B5FA2">
              <w:rPr>
                <w:rFonts w:asciiTheme="minorHAnsi" w:hAnsiTheme="minorHAnsi"/>
              </w:rPr>
              <w:t>, processed comments</w:t>
            </w:r>
          </w:p>
        </w:tc>
        <w:tc>
          <w:tcPr>
            <w:tcW w:w="3322" w:type="dxa"/>
            <w:shd w:val="clear" w:color="auto" w:fill="auto"/>
          </w:tcPr>
          <w:p w14:paraId="66269FB8" w14:textId="77777777" w:rsidR="000F017D" w:rsidRPr="005B5FA2" w:rsidRDefault="000F017D" w:rsidP="00434968">
            <w:pPr>
              <w:pStyle w:val="NoSpacing"/>
              <w:rPr>
                <w:rFonts w:asciiTheme="minorHAnsi" w:hAnsiTheme="minorHAnsi"/>
                <w:lang w:val="nl-NL"/>
              </w:rPr>
            </w:pPr>
            <w:r w:rsidRPr="005B5FA2">
              <w:rPr>
                <w:rFonts w:asciiTheme="minorHAnsi" w:hAnsiTheme="minorHAnsi"/>
                <w:lang w:val="nl-NL"/>
              </w:rPr>
              <w:t>E. van Maanen &amp; A. Ellenbroek</w:t>
            </w:r>
          </w:p>
        </w:tc>
      </w:tr>
      <w:tr w:rsidR="000F017D" w:rsidRPr="00E37AEB" w14:paraId="1FDDDDD8" w14:textId="77777777" w:rsidTr="0019370A">
        <w:tc>
          <w:tcPr>
            <w:tcW w:w="812" w:type="dxa"/>
            <w:shd w:val="clear" w:color="auto" w:fill="auto"/>
          </w:tcPr>
          <w:p w14:paraId="5251D5B6" w14:textId="77777777" w:rsidR="000F017D" w:rsidRPr="005B5FA2" w:rsidRDefault="000F017D" w:rsidP="00434968">
            <w:pPr>
              <w:pStyle w:val="NoSpacing"/>
              <w:rPr>
                <w:rFonts w:asciiTheme="minorHAnsi" w:hAnsiTheme="minorHAnsi"/>
                <w:b/>
              </w:rPr>
            </w:pPr>
            <w:r w:rsidRPr="005B5FA2">
              <w:rPr>
                <w:rFonts w:asciiTheme="minorHAnsi" w:hAnsiTheme="minorHAnsi"/>
                <w:b/>
              </w:rPr>
              <w:t>v.0.9</w:t>
            </w:r>
          </w:p>
        </w:tc>
        <w:tc>
          <w:tcPr>
            <w:tcW w:w="1413" w:type="dxa"/>
            <w:shd w:val="clear" w:color="auto" w:fill="auto"/>
          </w:tcPr>
          <w:p w14:paraId="28807D10" w14:textId="77777777" w:rsidR="000F017D" w:rsidRPr="005B5FA2" w:rsidRDefault="000F017D" w:rsidP="00434968">
            <w:pPr>
              <w:pStyle w:val="NoSpacing"/>
              <w:rPr>
                <w:rFonts w:asciiTheme="minorHAnsi" w:hAnsiTheme="minorHAnsi"/>
              </w:rPr>
            </w:pPr>
            <w:r w:rsidRPr="005B5FA2">
              <w:rPr>
                <w:rFonts w:asciiTheme="minorHAnsi" w:hAnsiTheme="minorHAnsi"/>
              </w:rPr>
              <w:t>16/08/2017</w:t>
            </w:r>
          </w:p>
        </w:tc>
        <w:tc>
          <w:tcPr>
            <w:tcW w:w="3695" w:type="dxa"/>
            <w:shd w:val="clear" w:color="auto" w:fill="auto"/>
          </w:tcPr>
          <w:p w14:paraId="644A8F66" w14:textId="0AFC57FC" w:rsidR="000F017D" w:rsidRPr="005B5FA2" w:rsidRDefault="0019370A" w:rsidP="0019370A">
            <w:pPr>
              <w:pStyle w:val="NoSpacing"/>
              <w:jc w:val="left"/>
              <w:rPr>
                <w:rFonts w:asciiTheme="minorHAnsi" w:hAnsiTheme="minorHAnsi"/>
              </w:rPr>
            </w:pPr>
            <w:r w:rsidRPr="005B5FA2">
              <w:rPr>
                <w:rFonts w:asciiTheme="minorHAnsi" w:hAnsiTheme="minorHAnsi"/>
              </w:rPr>
              <w:t xml:space="preserve">Review Yannick </w:t>
            </w:r>
            <w:proofErr w:type="spellStart"/>
            <w:r w:rsidRPr="005B5FA2">
              <w:rPr>
                <w:rFonts w:asciiTheme="minorHAnsi" w:hAnsiTheme="minorHAnsi"/>
              </w:rPr>
              <w:t>Legré</w:t>
            </w:r>
            <w:proofErr w:type="spellEnd"/>
            <w:r w:rsidRPr="005B5FA2">
              <w:rPr>
                <w:rFonts w:asciiTheme="minorHAnsi" w:hAnsiTheme="minorHAnsi"/>
              </w:rPr>
              <w:t xml:space="preserve"> </w:t>
            </w:r>
            <w:r w:rsidR="000F017D" w:rsidRPr="005B5FA2">
              <w:rPr>
                <w:rFonts w:asciiTheme="minorHAnsi" w:hAnsiTheme="minorHAnsi"/>
              </w:rPr>
              <w:t>processed comments</w:t>
            </w:r>
          </w:p>
        </w:tc>
        <w:tc>
          <w:tcPr>
            <w:tcW w:w="3322" w:type="dxa"/>
            <w:shd w:val="clear" w:color="auto" w:fill="auto"/>
          </w:tcPr>
          <w:p w14:paraId="1B6C2BED" w14:textId="77777777" w:rsidR="000F017D" w:rsidRPr="005B5FA2" w:rsidRDefault="000F017D" w:rsidP="00434968">
            <w:pPr>
              <w:pStyle w:val="NoSpacing"/>
              <w:rPr>
                <w:rFonts w:asciiTheme="minorHAnsi" w:hAnsiTheme="minorHAnsi"/>
                <w:lang w:val="nl-NL"/>
              </w:rPr>
            </w:pPr>
            <w:r w:rsidRPr="005B5FA2">
              <w:rPr>
                <w:rFonts w:asciiTheme="minorHAnsi" w:hAnsiTheme="minorHAnsi"/>
                <w:lang w:val="nl-NL"/>
              </w:rPr>
              <w:t>E. van Maanen &amp; A. Ellenbroek</w:t>
            </w:r>
          </w:p>
        </w:tc>
      </w:tr>
      <w:tr w:rsidR="000F017D" w:rsidRPr="00E37AEB" w14:paraId="60F8E904" w14:textId="77777777" w:rsidTr="0019370A">
        <w:tc>
          <w:tcPr>
            <w:tcW w:w="812" w:type="dxa"/>
            <w:shd w:val="clear" w:color="auto" w:fill="auto"/>
          </w:tcPr>
          <w:p w14:paraId="1D946A88" w14:textId="77777777" w:rsidR="000F017D" w:rsidRPr="005B5FA2" w:rsidRDefault="000F017D" w:rsidP="00434968">
            <w:pPr>
              <w:pStyle w:val="NoSpacing"/>
              <w:rPr>
                <w:rFonts w:asciiTheme="minorHAnsi" w:hAnsiTheme="minorHAnsi"/>
                <w:b/>
              </w:rPr>
            </w:pPr>
            <w:r w:rsidRPr="005B5FA2">
              <w:rPr>
                <w:rFonts w:asciiTheme="minorHAnsi" w:hAnsiTheme="minorHAnsi"/>
                <w:b/>
              </w:rPr>
              <w:t>v.1</w:t>
            </w:r>
          </w:p>
        </w:tc>
        <w:tc>
          <w:tcPr>
            <w:tcW w:w="1413" w:type="dxa"/>
            <w:shd w:val="clear" w:color="auto" w:fill="auto"/>
          </w:tcPr>
          <w:p w14:paraId="61C7ACAF" w14:textId="77777777" w:rsidR="000F017D" w:rsidRPr="005B5FA2" w:rsidRDefault="000F017D" w:rsidP="00434968">
            <w:pPr>
              <w:pStyle w:val="NoSpacing"/>
              <w:rPr>
                <w:rFonts w:asciiTheme="minorHAnsi" w:hAnsiTheme="minorHAnsi"/>
              </w:rPr>
            </w:pPr>
            <w:r w:rsidRPr="005B5FA2">
              <w:rPr>
                <w:rFonts w:asciiTheme="minorHAnsi" w:hAnsiTheme="minorHAnsi"/>
              </w:rPr>
              <w:t>28/08/2017</w:t>
            </w:r>
          </w:p>
        </w:tc>
        <w:tc>
          <w:tcPr>
            <w:tcW w:w="3695" w:type="dxa"/>
            <w:shd w:val="clear" w:color="auto" w:fill="auto"/>
          </w:tcPr>
          <w:p w14:paraId="4438A824" w14:textId="77777777" w:rsidR="000F017D" w:rsidRPr="005B5FA2" w:rsidRDefault="000F017D" w:rsidP="0019370A">
            <w:pPr>
              <w:pStyle w:val="NoSpacing"/>
              <w:jc w:val="left"/>
              <w:rPr>
                <w:rFonts w:asciiTheme="minorHAnsi" w:hAnsiTheme="minorHAnsi"/>
                <w:lang w:val="nl-NL"/>
              </w:rPr>
            </w:pPr>
            <w:r w:rsidRPr="005B5FA2">
              <w:rPr>
                <w:rFonts w:asciiTheme="minorHAnsi" w:hAnsiTheme="minorHAnsi"/>
                <w:lang w:val="nl-NL"/>
              </w:rPr>
              <w:t>E. van Maanen &amp; A. Ellenbroek</w:t>
            </w:r>
          </w:p>
        </w:tc>
        <w:tc>
          <w:tcPr>
            <w:tcW w:w="3322" w:type="dxa"/>
            <w:shd w:val="clear" w:color="auto" w:fill="auto"/>
          </w:tcPr>
          <w:p w14:paraId="4C973C80" w14:textId="77777777" w:rsidR="000F017D" w:rsidRPr="005B5FA2" w:rsidRDefault="000F017D" w:rsidP="00434968">
            <w:pPr>
              <w:pStyle w:val="NoSpacing"/>
              <w:rPr>
                <w:rFonts w:asciiTheme="minorHAnsi" w:hAnsiTheme="minorHAnsi"/>
                <w:lang w:val="nl-NL"/>
              </w:rPr>
            </w:pPr>
            <w:r w:rsidRPr="005B5FA2">
              <w:rPr>
                <w:rFonts w:asciiTheme="minorHAnsi" w:hAnsiTheme="minorHAnsi"/>
                <w:lang w:val="nl-NL"/>
              </w:rPr>
              <w:t>E. van Maanen &amp; A. Ellenbroek</w:t>
            </w:r>
          </w:p>
        </w:tc>
      </w:tr>
      <w:tr w:rsidR="000F017D" w:rsidRPr="00E37AEB" w14:paraId="580A8FB9" w14:textId="77777777" w:rsidTr="0019370A">
        <w:tc>
          <w:tcPr>
            <w:tcW w:w="812" w:type="dxa"/>
            <w:shd w:val="clear" w:color="auto" w:fill="auto"/>
          </w:tcPr>
          <w:p w14:paraId="48103B95" w14:textId="2D2EE3E3" w:rsidR="000F017D" w:rsidRPr="005B5FA2" w:rsidRDefault="000F017D" w:rsidP="00434968">
            <w:pPr>
              <w:pStyle w:val="NoSpacing"/>
              <w:rPr>
                <w:rFonts w:asciiTheme="minorHAnsi" w:hAnsiTheme="minorHAnsi"/>
                <w:b/>
              </w:rPr>
            </w:pPr>
            <w:r w:rsidRPr="005B5FA2">
              <w:rPr>
                <w:rFonts w:asciiTheme="minorHAnsi" w:hAnsiTheme="minorHAnsi"/>
                <w:b/>
              </w:rPr>
              <w:t>v.1</w:t>
            </w:r>
          </w:p>
        </w:tc>
        <w:tc>
          <w:tcPr>
            <w:tcW w:w="1413" w:type="dxa"/>
            <w:shd w:val="clear" w:color="auto" w:fill="auto"/>
          </w:tcPr>
          <w:p w14:paraId="31CAAA02" w14:textId="77777777" w:rsidR="000F017D" w:rsidRPr="005B5FA2" w:rsidRDefault="000F017D" w:rsidP="00434968">
            <w:pPr>
              <w:pStyle w:val="NoSpacing"/>
              <w:rPr>
                <w:rFonts w:asciiTheme="minorHAnsi" w:hAnsiTheme="minorHAnsi"/>
              </w:rPr>
            </w:pPr>
            <w:r w:rsidRPr="005B5FA2">
              <w:rPr>
                <w:rFonts w:asciiTheme="minorHAnsi" w:hAnsiTheme="minorHAnsi"/>
              </w:rPr>
              <w:t>29/08/2017</w:t>
            </w:r>
          </w:p>
        </w:tc>
        <w:tc>
          <w:tcPr>
            <w:tcW w:w="3695" w:type="dxa"/>
            <w:shd w:val="clear" w:color="auto" w:fill="auto"/>
          </w:tcPr>
          <w:p w14:paraId="46E8D143" w14:textId="77777777" w:rsidR="000F017D" w:rsidRPr="005B5FA2" w:rsidRDefault="000F017D" w:rsidP="0019370A">
            <w:pPr>
              <w:pStyle w:val="NoSpacing"/>
              <w:jc w:val="left"/>
              <w:rPr>
                <w:rFonts w:asciiTheme="minorHAnsi" w:hAnsiTheme="minorHAnsi"/>
              </w:rPr>
            </w:pPr>
            <w:r w:rsidRPr="005B5FA2">
              <w:rPr>
                <w:rFonts w:asciiTheme="minorHAnsi" w:hAnsiTheme="minorHAnsi"/>
              </w:rPr>
              <w:t xml:space="preserve">Review </w:t>
            </w:r>
            <w:proofErr w:type="spellStart"/>
            <w:r w:rsidRPr="005B5FA2">
              <w:rPr>
                <w:rFonts w:asciiTheme="minorHAnsi" w:hAnsiTheme="minorHAnsi"/>
              </w:rPr>
              <w:t>Vivi</w:t>
            </w:r>
            <w:proofErr w:type="spellEnd"/>
            <w:r w:rsidRPr="005B5FA2">
              <w:rPr>
                <w:rFonts w:asciiTheme="minorHAnsi" w:hAnsiTheme="minorHAnsi"/>
              </w:rPr>
              <w:t xml:space="preserve"> </w:t>
            </w:r>
            <w:proofErr w:type="spellStart"/>
            <w:r w:rsidRPr="005B5FA2">
              <w:rPr>
                <w:rFonts w:asciiTheme="minorHAnsi" w:hAnsiTheme="minorHAnsi"/>
              </w:rPr>
              <w:t>Katifori</w:t>
            </w:r>
            <w:proofErr w:type="spellEnd"/>
            <w:r w:rsidRPr="005B5FA2">
              <w:rPr>
                <w:rFonts w:asciiTheme="minorHAnsi" w:hAnsiTheme="minorHAnsi"/>
              </w:rPr>
              <w:t xml:space="preserve"> (</w:t>
            </w:r>
            <w:proofErr w:type="spellStart"/>
            <w:r w:rsidRPr="005B5FA2">
              <w:rPr>
                <w:rFonts w:asciiTheme="minorHAnsi" w:hAnsiTheme="minorHAnsi"/>
              </w:rPr>
              <w:t>Agroknow</w:t>
            </w:r>
            <w:proofErr w:type="spellEnd"/>
            <w:r w:rsidRPr="005B5FA2">
              <w:rPr>
                <w:rFonts w:asciiTheme="minorHAnsi" w:hAnsiTheme="minorHAnsi"/>
              </w:rPr>
              <w:t>), processed comments</w:t>
            </w:r>
          </w:p>
        </w:tc>
        <w:tc>
          <w:tcPr>
            <w:tcW w:w="3322" w:type="dxa"/>
            <w:shd w:val="clear" w:color="auto" w:fill="auto"/>
          </w:tcPr>
          <w:p w14:paraId="6CB0DC91" w14:textId="77777777" w:rsidR="000F017D" w:rsidRPr="005B5FA2" w:rsidRDefault="000F017D" w:rsidP="00434968">
            <w:pPr>
              <w:pStyle w:val="NoSpacing"/>
              <w:rPr>
                <w:rFonts w:asciiTheme="minorHAnsi" w:hAnsiTheme="minorHAnsi"/>
                <w:lang w:val="nl-NL"/>
              </w:rPr>
            </w:pPr>
            <w:r w:rsidRPr="005B5FA2">
              <w:rPr>
                <w:rFonts w:asciiTheme="minorHAnsi" w:hAnsiTheme="minorHAnsi"/>
                <w:lang w:val="nl-NL"/>
              </w:rPr>
              <w:t>E. van Maanen &amp; A. Ellenbroek</w:t>
            </w:r>
          </w:p>
        </w:tc>
      </w:tr>
      <w:tr w:rsidR="00591785" w:rsidRPr="00E37AEB" w14:paraId="69869BF3" w14:textId="77777777" w:rsidTr="0019370A">
        <w:tc>
          <w:tcPr>
            <w:tcW w:w="812" w:type="dxa"/>
          </w:tcPr>
          <w:p w14:paraId="28389F86" w14:textId="77777777" w:rsidR="00591785" w:rsidRPr="005B5FA2" w:rsidRDefault="00591785" w:rsidP="00A234F1">
            <w:pPr>
              <w:pStyle w:val="NoSpacing"/>
              <w:rPr>
                <w:rFonts w:asciiTheme="minorHAnsi" w:hAnsiTheme="minorHAnsi"/>
                <w:b/>
              </w:rPr>
            </w:pPr>
            <w:r w:rsidRPr="005B5FA2">
              <w:rPr>
                <w:rFonts w:asciiTheme="minorHAnsi" w:hAnsiTheme="minorHAnsi"/>
                <w:b/>
              </w:rPr>
              <w:t>v.2</w:t>
            </w:r>
          </w:p>
        </w:tc>
        <w:tc>
          <w:tcPr>
            <w:tcW w:w="1413" w:type="dxa"/>
          </w:tcPr>
          <w:p w14:paraId="1F4CA010" w14:textId="77777777" w:rsidR="00591785" w:rsidRPr="005B5FA2" w:rsidRDefault="00591785" w:rsidP="00A234F1">
            <w:pPr>
              <w:pStyle w:val="NoSpacing"/>
              <w:rPr>
                <w:rFonts w:asciiTheme="minorHAnsi" w:hAnsiTheme="minorHAnsi"/>
              </w:rPr>
            </w:pPr>
            <w:r w:rsidRPr="005B5FA2">
              <w:rPr>
                <w:rFonts w:asciiTheme="minorHAnsi" w:hAnsiTheme="minorHAnsi"/>
              </w:rPr>
              <w:t>31/08/2017</w:t>
            </w:r>
          </w:p>
        </w:tc>
        <w:tc>
          <w:tcPr>
            <w:tcW w:w="3695" w:type="dxa"/>
          </w:tcPr>
          <w:p w14:paraId="59A54B1F" w14:textId="14CB2D90" w:rsidR="00591785" w:rsidRPr="005B5FA2" w:rsidRDefault="001F6AE5" w:rsidP="0019370A">
            <w:pPr>
              <w:pStyle w:val="NoSpacing"/>
              <w:jc w:val="left"/>
              <w:rPr>
                <w:rFonts w:asciiTheme="minorHAnsi" w:hAnsiTheme="minorHAnsi"/>
              </w:rPr>
            </w:pPr>
            <w:r w:rsidRPr="005B5FA2">
              <w:rPr>
                <w:rFonts w:asciiTheme="minorHAnsi" w:hAnsiTheme="minorHAnsi"/>
              </w:rPr>
              <w:t>Final version</w:t>
            </w:r>
          </w:p>
        </w:tc>
        <w:tc>
          <w:tcPr>
            <w:tcW w:w="3322" w:type="dxa"/>
          </w:tcPr>
          <w:p w14:paraId="353FBEC7" w14:textId="77777777" w:rsidR="00591785" w:rsidRPr="005B5FA2" w:rsidRDefault="00591785" w:rsidP="00A234F1">
            <w:pPr>
              <w:pStyle w:val="NoSpacing"/>
              <w:rPr>
                <w:rFonts w:asciiTheme="minorHAnsi" w:hAnsiTheme="minorHAnsi"/>
                <w:lang w:val="nl-NL"/>
              </w:rPr>
            </w:pPr>
            <w:r w:rsidRPr="005B5FA2">
              <w:rPr>
                <w:rFonts w:asciiTheme="minorHAnsi" w:hAnsiTheme="minorHAnsi"/>
                <w:lang w:val="nl-NL"/>
              </w:rPr>
              <w:t>E. van Maanen &amp; A. Ellenbroek</w:t>
            </w:r>
          </w:p>
        </w:tc>
      </w:tr>
    </w:tbl>
    <w:p w14:paraId="6C19BA4D" w14:textId="77777777" w:rsidR="000502D5" w:rsidRPr="005B5FA2" w:rsidRDefault="000502D5" w:rsidP="002E5F1F">
      <w:pPr>
        <w:rPr>
          <w:rFonts w:asciiTheme="minorHAnsi" w:hAnsiTheme="minorHAnsi"/>
          <w:lang w:val="nl-NL"/>
        </w:rPr>
      </w:pPr>
    </w:p>
    <w:p w14:paraId="320D13EF" w14:textId="77777777" w:rsidR="005D14DF" w:rsidRPr="005B5FA2" w:rsidRDefault="005D14DF" w:rsidP="005D14DF">
      <w:pPr>
        <w:rPr>
          <w:rFonts w:asciiTheme="minorHAnsi" w:hAnsiTheme="minorHAnsi"/>
          <w:b/>
          <w:color w:val="4F81BD" w:themeColor="accent1"/>
        </w:rPr>
      </w:pPr>
      <w:r w:rsidRPr="005B5FA2">
        <w:rPr>
          <w:rFonts w:asciiTheme="minorHAnsi" w:hAnsiTheme="minorHAnsi"/>
          <w:b/>
          <w:color w:val="4F81BD" w:themeColor="accent1"/>
        </w:rPr>
        <w:t>TERMINOLOGY</w:t>
      </w:r>
    </w:p>
    <w:p w14:paraId="3AC28A52" w14:textId="77777777" w:rsidR="002375B5" w:rsidRPr="005B5FA2" w:rsidRDefault="005D14DF" w:rsidP="005D14DF">
      <w:pPr>
        <w:rPr>
          <w:rFonts w:asciiTheme="minorHAnsi" w:hAnsiTheme="minorHAnsi"/>
        </w:rPr>
      </w:pPr>
      <w:r w:rsidRPr="005B5FA2">
        <w:rPr>
          <w:rFonts w:asciiTheme="minorHAnsi" w:hAnsiTheme="minorHAnsi"/>
        </w:rPr>
        <w:t xml:space="preserve">A complete project glossary </w:t>
      </w:r>
      <w:r w:rsidR="002375B5" w:rsidRPr="005B5FA2">
        <w:rPr>
          <w:rFonts w:asciiTheme="minorHAnsi" w:hAnsiTheme="minorHAnsi"/>
        </w:rPr>
        <w:t>and acronyms are</w:t>
      </w:r>
      <w:r w:rsidRPr="005B5FA2">
        <w:rPr>
          <w:rFonts w:asciiTheme="minorHAnsi" w:hAnsiTheme="minorHAnsi"/>
        </w:rPr>
        <w:t xml:space="preserve"> provided at the following page</w:t>
      </w:r>
      <w:r w:rsidR="002375B5" w:rsidRPr="005B5FA2">
        <w:rPr>
          <w:rFonts w:asciiTheme="minorHAnsi" w:hAnsiTheme="minorHAnsi"/>
        </w:rPr>
        <w:t>s</w:t>
      </w:r>
      <w:r w:rsidRPr="005B5FA2">
        <w:rPr>
          <w:rFonts w:asciiTheme="minorHAnsi" w:hAnsiTheme="minorHAnsi"/>
        </w:rPr>
        <w:t xml:space="preserve">: </w:t>
      </w:r>
    </w:p>
    <w:p w14:paraId="5441451A" w14:textId="77777777" w:rsidR="003A6B81" w:rsidRPr="005B5FA2" w:rsidRDefault="004E3EA8" w:rsidP="002375B5">
      <w:pPr>
        <w:pStyle w:val="ListParagraph"/>
        <w:numPr>
          <w:ilvl w:val="0"/>
          <w:numId w:val="17"/>
        </w:numPr>
        <w:rPr>
          <w:rFonts w:asciiTheme="minorHAnsi" w:hAnsiTheme="minorHAnsi"/>
        </w:rPr>
      </w:pPr>
      <w:hyperlink r:id="rId12" w:history="1">
        <w:r w:rsidR="003A6B81" w:rsidRPr="005B5FA2">
          <w:rPr>
            <w:rStyle w:val="Hyperlink"/>
            <w:rFonts w:asciiTheme="minorHAnsi" w:hAnsiTheme="minorHAnsi"/>
          </w:rPr>
          <w:t>https://wiki.egi.eu/wiki/Glossary</w:t>
        </w:r>
      </w:hyperlink>
      <w:r w:rsidR="003A6B81" w:rsidRPr="005B5FA2">
        <w:rPr>
          <w:rFonts w:asciiTheme="minorHAnsi" w:hAnsiTheme="minorHAnsi"/>
        </w:rPr>
        <w:t xml:space="preserve"> </w:t>
      </w:r>
    </w:p>
    <w:p w14:paraId="6704E410" w14:textId="77777777" w:rsidR="002375B5" w:rsidRPr="005B5FA2" w:rsidRDefault="004E3EA8" w:rsidP="002375B5">
      <w:pPr>
        <w:pStyle w:val="ListParagraph"/>
        <w:numPr>
          <w:ilvl w:val="0"/>
          <w:numId w:val="17"/>
        </w:numPr>
        <w:rPr>
          <w:rFonts w:asciiTheme="minorHAnsi" w:hAnsiTheme="minorHAnsi"/>
        </w:rPr>
      </w:pPr>
      <w:hyperlink r:id="rId13" w:history="1">
        <w:r w:rsidR="002375B5" w:rsidRPr="005B5FA2">
          <w:rPr>
            <w:rStyle w:val="Hyperlink"/>
            <w:rFonts w:asciiTheme="minorHAnsi" w:hAnsiTheme="minorHAnsi"/>
          </w:rPr>
          <w:t>https://wiki.egi.eu/wiki/Acronyms</w:t>
        </w:r>
      </w:hyperlink>
      <w:r w:rsidR="002375B5" w:rsidRPr="005B5FA2">
        <w:rPr>
          <w:rFonts w:asciiTheme="minorHAnsi" w:hAnsiTheme="minorHAnsi"/>
        </w:rPr>
        <w:t xml:space="preserve"> </w:t>
      </w:r>
    </w:p>
    <w:p w14:paraId="41AE300D" w14:textId="77777777" w:rsidR="005D14DF" w:rsidRPr="005B5FA2" w:rsidRDefault="005D14DF" w:rsidP="005D14DF">
      <w:pPr>
        <w:rPr>
          <w:rFonts w:asciiTheme="minorHAnsi" w:hAnsiTheme="minorHAnsi"/>
        </w:rPr>
      </w:pPr>
      <w:r w:rsidRPr="005B5FA2">
        <w:rPr>
          <w:rFonts w:asciiTheme="minorHAnsi" w:hAnsiTheme="minorHAnsi"/>
        </w:rPr>
        <w:t xml:space="preserve">   </w:t>
      </w:r>
    </w:p>
    <w:p w14:paraId="52762E53" w14:textId="77777777" w:rsidR="00227F47" w:rsidRPr="005B5FA2" w:rsidRDefault="00227F47" w:rsidP="000502D5">
      <w:pPr>
        <w:rPr>
          <w:rFonts w:asciiTheme="minorHAnsi" w:hAnsiTheme="minorHAnsi"/>
        </w:rPr>
      </w:pPr>
      <w:r w:rsidRPr="005B5FA2">
        <w:rPr>
          <w:rFonts w:asciiTheme="minorHAnsi" w:hAnsiTheme="minorHAnsi"/>
        </w:rPr>
        <w:br w:type="page"/>
      </w:r>
    </w:p>
    <w:sdt>
      <w:sdtPr>
        <w:rPr>
          <w:rFonts w:asciiTheme="minorHAnsi" w:hAnsiTheme="minorHAnsi"/>
          <w:b/>
          <w:color w:val="0067B1"/>
          <w:sz w:val="40"/>
        </w:rPr>
        <w:id w:val="-1545511109"/>
        <w:docPartObj>
          <w:docPartGallery w:val="Table of Contents"/>
          <w:docPartUnique/>
        </w:docPartObj>
      </w:sdtPr>
      <w:sdtEndPr>
        <w:rPr>
          <w:bCs/>
          <w:noProof/>
          <w:color w:val="auto"/>
          <w:sz w:val="22"/>
        </w:rPr>
      </w:sdtEndPr>
      <w:sdtContent>
        <w:p w14:paraId="1ADC0A8F" w14:textId="77777777" w:rsidR="00227F47" w:rsidRPr="005B5FA2" w:rsidRDefault="00227F47" w:rsidP="00227F47">
          <w:pPr>
            <w:rPr>
              <w:rFonts w:asciiTheme="minorHAnsi" w:hAnsiTheme="minorHAnsi"/>
              <w:b/>
              <w:color w:val="0067B1"/>
              <w:sz w:val="40"/>
            </w:rPr>
          </w:pPr>
          <w:r w:rsidRPr="005B5FA2">
            <w:rPr>
              <w:rFonts w:asciiTheme="minorHAnsi" w:hAnsiTheme="minorHAnsi"/>
              <w:b/>
              <w:color w:val="0067B1"/>
              <w:sz w:val="40"/>
            </w:rPr>
            <w:t>Contents</w:t>
          </w:r>
        </w:p>
        <w:bookmarkStart w:id="0" w:name="_GoBack"/>
        <w:bookmarkEnd w:id="0"/>
        <w:p w14:paraId="4A9410AF" w14:textId="77777777" w:rsidR="000C7FDA" w:rsidRDefault="00227F47">
          <w:pPr>
            <w:pStyle w:val="TOC1"/>
            <w:tabs>
              <w:tab w:val="left" w:pos="440"/>
              <w:tab w:val="right" w:leader="dot" w:pos="9016"/>
            </w:tabs>
            <w:rPr>
              <w:rFonts w:asciiTheme="minorHAnsi" w:eastAsiaTheme="minorEastAsia" w:hAnsiTheme="minorHAnsi"/>
              <w:b w:val="0"/>
              <w:noProof/>
              <w:color w:val="auto"/>
              <w:spacing w:val="0"/>
              <w:sz w:val="22"/>
              <w:szCs w:val="22"/>
              <w:lang w:eastAsia="en-GB"/>
            </w:rPr>
          </w:pPr>
          <w:r w:rsidRPr="005B5FA2">
            <w:rPr>
              <w:rFonts w:asciiTheme="minorHAnsi" w:hAnsiTheme="minorHAnsi"/>
              <w:b w:val="0"/>
              <w:color w:val="17365D" w:themeColor="text2" w:themeShade="BF"/>
            </w:rPr>
            <w:fldChar w:fldCharType="begin"/>
          </w:r>
          <w:r w:rsidRPr="005B5FA2">
            <w:rPr>
              <w:rFonts w:asciiTheme="minorHAnsi" w:hAnsiTheme="minorHAnsi"/>
              <w:b w:val="0"/>
              <w:color w:val="17365D" w:themeColor="text2" w:themeShade="BF"/>
            </w:rPr>
            <w:instrText xml:space="preserve"> TOC \o "1-3" \h \z \u </w:instrText>
          </w:r>
          <w:r w:rsidRPr="005B5FA2">
            <w:rPr>
              <w:rFonts w:asciiTheme="minorHAnsi" w:hAnsiTheme="minorHAnsi"/>
              <w:b w:val="0"/>
              <w:color w:val="17365D" w:themeColor="text2" w:themeShade="BF"/>
            </w:rPr>
            <w:fldChar w:fldCharType="separate"/>
          </w:r>
          <w:hyperlink w:anchor="_Toc496179586" w:history="1">
            <w:r w:rsidR="000C7FDA" w:rsidRPr="001326E3">
              <w:rPr>
                <w:rStyle w:val="Hyperlink"/>
                <w:noProof/>
              </w:rPr>
              <w:t>1</w:t>
            </w:r>
            <w:r w:rsidR="000C7FDA">
              <w:rPr>
                <w:rFonts w:asciiTheme="minorHAnsi" w:eastAsiaTheme="minorEastAsia" w:hAnsiTheme="minorHAnsi"/>
                <w:b w:val="0"/>
                <w:noProof/>
                <w:color w:val="auto"/>
                <w:spacing w:val="0"/>
                <w:sz w:val="22"/>
                <w:szCs w:val="22"/>
                <w:lang w:eastAsia="en-GB"/>
              </w:rPr>
              <w:tab/>
            </w:r>
            <w:r w:rsidR="000C7FDA" w:rsidRPr="001326E3">
              <w:rPr>
                <w:rStyle w:val="Hyperlink"/>
                <w:noProof/>
              </w:rPr>
              <w:t>Introduction</w:t>
            </w:r>
            <w:r w:rsidR="000C7FDA">
              <w:rPr>
                <w:noProof/>
                <w:webHidden/>
              </w:rPr>
              <w:tab/>
            </w:r>
            <w:r w:rsidR="000C7FDA">
              <w:rPr>
                <w:noProof/>
                <w:webHidden/>
              </w:rPr>
              <w:fldChar w:fldCharType="begin"/>
            </w:r>
            <w:r w:rsidR="000C7FDA">
              <w:rPr>
                <w:noProof/>
                <w:webHidden/>
              </w:rPr>
              <w:instrText xml:space="preserve"> PAGEREF _Toc496179586 \h </w:instrText>
            </w:r>
            <w:r w:rsidR="000C7FDA">
              <w:rPr>
                <w:noProof/>
                <w:webHidden/>
              </w:rPr>
            </w:r>
            <w:r w:rsidR="000C7FDA">
              <w:rPr>
                <w:noProof/>
                <w:webHidden/>
              </w:rPr>
              <w:fldChar w:fldCharType="separate"/>
            </w:r>
            <w:r w:rsidR="000C7FDA">
              <w:rPr>
                <w:noProof/>
                <w:webHidden/>
              </w:rPr>
              <w:t>6</w:t>
            </w:r>
            <w:r w:rsidR="000C7FDA">
              <w:rPr>
                <w:noProof/>
                <w:webHidden/>
              </w:rPr>
              <w:fldChar w:fldCharType="end"/>
            </w:r>
          </w:hyperlink>
        </w:p>
        <w:p w14:paraId="2D50DCBF" w14:textId="77777777" w:rsidR="000C7FDA" w:rsidRDefault="000C7FDA">
          <w:pPr>
            <w:pStyle w:val="TOC1"/>
            <w:tabs>
              <w:tab w:val="left" w:pos="440"/>
              <w:tab w:val="right" w:leader="dot" w:pos="9016"/>
            </w:tabs>
            <w:rPr>
              <w:rFonts w:asciiTheme="minorHAnsi" w:eastAsiaTheme="minorEastAsia" w:hAnsiTheme="minorHAnsi"/>
              <w:b w:val="0"/>
              <w:noProof/>
              <w:color w:val="auto"/>
              <w:spacing w:val="0"/>
              <w:sz w:val="22"/>
              <w:szCs w:val="22"/>
              <w:lang w:eastAsia="en-GB"/>
            </w:rPr>
          </w:pPr>
          <w:hyperlink w:anchor="_Toc496179587" w:history="1">
            <w:r w:rsidRPr="001326E3">
              <w:rPr>
                <w:rStyle w:val="Hyperlink"/>
                <w:noProof/>
              </w:rPr>
              <w:t>2</w:t>
            </w:r>
            <w:r>
              <w:rPr>
                <w:rFonts w:asciiTheme="minorHAnsi" w:eastAsiaTheme="minorEastAsia" w:hAnsiTheme="minorHAnsi"/>
                <w:b w:val="0"/>
                <w:noProof/>
                <w:color w:val="auto"/>
                <w:spacing w:val="0"/>
                <w:sz w:val="22"/>
                <w:szCs w:val="22"/>
                <w:lang w:eastAsia="en-GB"/>
              </w:rPr>
              <w:tab/>
            </w:r>
            <w:r w:rsidRPr="001326E3">
              <w:rPr>
                <w:rStyle w:val="Hyperlink"/>
                <w:noProof/>
              </w:rPr>
              <w:t>The Service Delivery Model</w:t>
            </w:r>
            <w:r>
              <w:rPr>
                <w:noProof/>
                <w:webHidden/>
              </w:rPr>
              <w:tab/>
            </w:r>
            <w:r>
              <w:rPr>
                <w:noProof/>
                <w:webHidden/>
              </w:rPr>
              <w:fldChar w:fldCharType="begin"/>
            </w:r>
            <w:r>
              <w:rPr>
                <w:noProof/>
                <w:webHidden/>
              </w:rPr>
              <w:instrText xml:space="preserve"> PAGEREF _Toc496179587 \h </w:instrText>
            </w:r>
            <w:r>
              <w:rPr>
                <w:noProof/>
                <w:webHidden/>
              </w:rPr>
            </w:r>
            <w:r>
              <w:rPr>
                <w:noProof/>
                <w:webHidden/>
              </w:rPr>
              <w:fldChar w:fldCharType="separate"/>
            </w:r>
            <w:r>
              <w:rPr>
                <w:noProof/>
                <w:webHidden/>
              </w:rPr>
              <w:t>7</w:t>
            </w:r>
            <w:r>
              <w:rPr>
                <w:noProof/>
                <w:webHidden/>
              </w:rPr>
              <w:fldChar w:fldCharType="end"/>
            </w:r>
          </w:hyperlink>
        </w:p>
        <w:p w14:paraId="123156B1" w14:textId="77777777" w:rsidR="000C7FDA" w:rsidRDefault="000C7FDA">
          <w:pPr>
            <w:pStyle w:val="TOC1"/>
            <w:tabs>
              <w:tab w:val="left" w:pos="440"/>
              <w:tab w:val="right" w:leader="dot" w:pos="9016"/>
            </w:tabs>
            <w:rPr>
              <w:rFonts w:asciiTheme="minorHAnsi" w:eastAsiaTheme="minorEastAsia" w:hAnsiTheme="minorHAnsi"/>
              <w:b w:val="0"/>
              <w:noProof/>
              <w:color w:val="auto"/>
              <w:spacing w:val="0"/>
              <w:sz w:val="22"/>
              <w:szCs w:val="22"/>
              <w:lang w:eastAsia="en-GB"/>
            </w:rPr>
          </w:pPr>
          <w:hyperlink w:anchor="_Toc496179588" w:history="1">
            <w:r w:rsidRPr="001326E3">
              <w:rPr>
                <w:rStyle w:val="Hyperlink"/>
                <w:noProof/>
              </w:rPr>
              <w:t>3</w:t>
            </w:r>
            <w:r>
              <w:rPr>
                <w:rFonts w:asciiTheme="minorHAnsi" w:eastAsiaTheme="minorEastAsia" w:hAnsiTheme="minorHAnsi"/>
                <w:b w:val="0"/>
                <w:noProof/>
                <w:color w:val="auto"/>
                <w:spacing w:val="0"/>
                <w:sz w:val="22"/>
                <w:szCs w:val="22"/>
                <w:lang w:eastAsia="en-GB"/>
              </w:rPr>
              <w:tab/>
            </w:r>
            <w:r w:rsidRPr="001326E3">
              <w:rPr>
                <w:rStyle w:val="Hyperlink"/>
                <w:noProof/>
              </w:rPr>
              <w:t>Application of Service Delivery Model in FAO use case</w:t>
            </w:r>
            <w:r>
              <w:rPr>
                <w:noProof/>
                <w:webHidden/>
              </w:rPr>
              <w:tab/>
            </w:r>
            <w:r>
              <w:rPr>
                <w:noProof/>
                <w:webHidden/>
              </w:rPr>
              <w:fldChar w:fldCharType="begin"/>
            </w:r>
            <w:r>
              <w:rPr>
                <w:noProof/>
                <w:webHidden/>
              </w:rPr>
              <w:instrText xml:space="preserve"> PAGEREF _Toc496179588 \h </w:instrText>
            </w:r>
            <w:r>
              <w:rPr>
                <w:noProof/>
                <w:webHidden/>
              </w:rPr>
            </w:r>
            <w:r>
              <w:rPr>
                <w:noProof/>
                <w:webHidden/>
              </w:rPr>
              <w:fldChar w:fldCharType="separate"/>
            </w:r>
            <w:r>
              <w:rPr>
                <w:noProof/>
                <w:webHidden/>
              </w:rPr>
              <w:t>9</w:t>
            </w:r>
            <w:r>
              <w:rPr>
                <w:noProof/>
                <w:webHidden/>
              </w:rPr>
              <w:fldChar w:fldCharType="end"/>
            </w:r>
          </w:hyperlink>
        </w:p>
        <w:p w14:paraId="09D78CD6" w14:textId="77777777" w:rsidR="000C7FDA" w:rsidRDefault="000C7FDA">
          <w:pPr>
            <w:pStyle w:val="TOC1"/>
            <w:tabs>
              <w:tab w:val="left" w:pos="440"/>
              <w:tab w:val="right" w:leader="dot" w:pos="9016"/>
            </w:tabs>
            <w:rPr>
              <w:rFonts w:asciiTheme="minorHAnsi" w:eastAsiaTheme="minorEastAsia" w:hAnsiTheme="minorHAnsi"/>
              <w:b w:val="0"/>
              <w:noProof/>
              <w:color w:val="auto"/>
              <w:spacing w:val="0"/>
              <w:sz w:val="22"/>
              <w:szCs w:val="22"/>
              <w:lang w:eastAsia="en-GB"/>
            </w:rPr>
          </w:pPr>
          <w:hyperlink w:anchor="_Toc496179589" w:history="1">
            <w:r w:rsidRPr="001326E3">
              <w:rPr>
                <w:rStyle w:val="Hyperlink"/>
                <w:noProof/>
              </w:rPr>
              <w:t>4</w:t>
            </w:r>
            <w:r>
              <w:rPr>
                <w:rFonts w:asciiTheme="minorHAnsi" w:eastAsiaTheme="minorEastAsia" w:hAnsiTheme="minorHAnsi"/>
                <w:b w:val="0"/>
                <w:noProof/>
                <w:color w:val="auto"/>
                <w:spacing w:val="0"/>
                <w:sz w:val="22"/>
                <w:szCs w:val="22"/>
                <w:lang w:eastAsia="en-GB"/>
              </w:rPr>
              <w:tab/>
            </w:r>
            <w:r w:rsidRPr="001326E3">
              <w:rPr>
                <w:rStyle w:val="Hyperlink"/>
                <w:noProof/>
              </w:rPr>
              <w:t>General recommendations for data management</w:t>
            </w:r>
            <w:r>
              <w:rPr>
                <w:noProof/>
                <w:webHidden/>
              </w:rPr>
              <w:tab/>
            </w:r>
            <w:r>
              <w:rPr>
                <w:noProof/>
                <w:webHidden/>
              </w:rPr>
              <w:fldChar w:fldCharType="begin"/>
            </w:r>
            <w:r>
              <w:rPr>
                <w:noProof/>
                <w:webHidden/>
              </w:rPr>
              <w:instrText xml:space="preserve"> PAGEREF _Toc496179589 \h </w:instrText>
            </w:r>
            <w:r>
              <w:rPr>
                <w:noProof/>
                <w:webHidden/>
              </w:rPr>
            </w:r>
            <w:r>
              <w:rPr>
                <w:noProof/>
                <w:webHidden/>
              </w:rPr>
              <w:fldChar w:fldCharType="separate"/>
            </w:r>
            <w:r>
              <w:rPr>
                <w:noProof/>
                <w:webHidden/>
              </w:rPr>
              <w:t>13</w:t>
            </w:r>
            <w:r>
              <w:rPr>
                <w:noProof/>
                <w:webHidden/>
              </w:rPr>
              <w:fldChar w:fldCharType="end"/>
            </w:r>
          </w:hyperlink>
        </w:p>
        <w:p w14:paraId="2D429AA0" w14:textId="77777777" w:rsidR="000C7FDA" w:rsidRDefault="000C7FDA">
          <w:pPr>
            <w:pStyle w:val="TOC1"/>
            <w:tabs>
              <w:tab w:val="left" w:pos="440"/>
              <w:tab w:val="right" w:leader="dot" w:pos="9016"/>
            </w:tabs>
            <w:rPr>
              <w:rFonts w:asciiTheme="minorHAnsi" w:eastAsiaTheme="minorEastAsia" w:hAnsiTheme="minorHAnsi"/>
              <w:b w:val="0"/>
              <w:noProof/>
              <w:color w:val="auto"/>
              <w:spacing w:val="0"/>
              <w:sz w:val="22"/>
              <w:szCs w:val="22"/>
              <w:lang w:eastAsia="en-GB"/>
            </w:rPr>
          </w:pPr>
          <w:hyperlink w:anchor="_Toc496179590" w:history="1">
            <w:r w:rsidRPr="001326E3">
              <w:rPr>
                <w:rStyle w:val="Hyperlink"/>
                <w:noProof/>
              </w:rPr>
              <w:t>5</w:t>
            </w:r>
            <w:r>
              <w:rPr>
                <w:rFonts w:asciiTheme="minorHAnsi" w:eastAsiaTheme="minorEastAsia" w:hAnsiTheme="minorHAnsi"/>
                <w:b w:val="0"/>
                <w:noProof/>
                <w:color w:val="auto"/>
                <w:spacing w:val="0"/>
                <w:sz w:val="22"/>
                <w:szCs w:val="22"/>
                <w:lang w:eastAsia="en-GB"/>
              </w:rPr>
              <w:tab/>
            </w:r>
            <w:r w:rsidRPr="001326E3">
              <w:rPr>
                <w:rStyle w:val="Hyperlink"/>
                <w:noProof/>
              </w:rPr>
              <w:t>Conclusion</w:t>
            </w:r>
            <w:r>
              <w:rPr>
                <w:noProof/>
                <w:webHidden/>
              </w:rPr>
              <w:tab/>
            </w:r>
            <w:r>
              <w:rPr>
                <w:noProof/>
                <w:webHidden/>
              </w:rPr>
              <w:fldChar w:fldCharType="begin"/>
            </w:r>
            <w:r>
              <w:rPr>
                <w:noProof/>
                <w:webHidden/>
              </w:rPr>
              <w:instrText xml:space="preserve"> PAGEREF _Toc496179590 \h </w:instrText>
            </w:r>
            <w:r>
              <w:rPr>
                <w:noProof/>
                <w:webHidden/>
              </w:rPr>
            </w:r>
            <w:r>
              <w:rPr>
                <w:noProof/>
                <w:webHidden/>
              </w:rPr>
              <w:fldChar w:fldCharType="separate"/>
            </w:r>
            <w:r>
              <w:rPr>
                <w:noProof/>
                <w:webHidden/>
              </w:rPr>
              <w:t>17</w:t>
            </w:r>
            <w:r>
              <w:rPr>
                <w:noProof/>
                <w:webHidden/>
              </w:rPr>
              <w:fldChar w:fldCharType="end"/>
            </w:r>
          </w:hyperlink>
        </w:p>
        <w:p w14:paraId="6F32BE65" w14:textId="77777777" w:rsidR="000C7FDA" w:rsidRDefault="000C7FDA">
          <w:pPr>
            <w:pStyle w:val="TOC1"/>
            <w:tabs>
              <w:tab w:val="left" w:pos="440"/>
              <w:tab w:val="right" w:leader="dot" w:pos="9016"/>
            </w:tabs>
            <w:rPr>
              <w:rFonts w:asciiTheme="minorHAnsi" w:eastAsiaTheme="minorEastAsia" w:hAnsiTheme="minorHAnsi"/>
              <w:b w:val="0"/>
              <w:noProof/>
              <w:color w:val="auto"/>
              <w:spacing w:val="0"/>
              <w:sz w:val="22"/>
              <w:szCs w:val="22"/>
              <w:lang w:eastAsia="en-GB"/>
            </w:rPr>
          </w:pPr>
          <w:hyperlink w:anchor="_Toc496179591" w:history="1">
            <w:r w:rsidRPr="001326E3">
              <w:rPr>
                <w:rStyle w:val="Hyperlink"/>
                <w:noProof/>
              </w:rPr>
              <w:t>6</w:t>
            </w:r>
            <w:r>
              <w:rPr>
                <w:rFonts w:asciiTheme="minorHAnsi" w:eastAsiaTheme="minorEastAsia" w:hAnsiTheme="minorHAnsi"/>
                <w:b w:val="0"/>
                <w:noProof/>
                <w:color w:val="auto"/>
                <w:spacing w:val="0"/>
                <w:sz w:val="22"/>
                <w:szCs w:val="22"/>
                <w:lang w:eastAsia="en-GB"/>
              </w:rPr>
              <w:tab/>
            </w:r>
            <w:r w:rsidRPr="001326E3">
              <w:rPr>
                <w:rStyle w:val="Hyperlink"/>
                <w:noProof/>
              </w:rPr>
              <w:t>Bibliography</w:t>
            </w:r>
            <w:r>
              <w:rPr>
                <w:noProof/>
                <w:webHidden/>
              </w:rPr>
              <w:tab/>
            </w:r>
            <w:r>
              <w:rPr>
                <w:noProof/>
                <w:webHidden/>
              </w:rPr>
              <w:fldChar w:fldCharType="begin"/>
            </w:r>
            <w:r>
              <w:rPr>
                <w:noProof/>
                <w:webHidden/>
              </w:rPr>
              <w:instrText xml:space="preserve"> PAGEREF _Toc496179591 \h </w:instrText>
            </w:r>
            <w:r>
              <w:rPr>
                <w:noProof/>
                <w:webHidden/>
              </w:rPr>
            </w:r>
            <w:r>
              <w:rPr>
                <w:noProof/>
                <w:webHidden/>
              </w:rPr>
              <w:fldChar w:fldCharType="separate"/>
            </w:r>
            <w:r>
              <w:rPr>
                <w:noProof/>
                <w:webHidden/>
              </w:rPr>
              <w:t>18</w:t>
            </w:r>
            <w:r>
              <w:rPr>
                <w:noProof/>
                <w:webHidden/>
              </w:rPr>
              <w:fldChar w:fldCharType="end"/>
            </w:r>
          </w:hyperlink>
        </w:p>
        <w:p w14:paraId="08BF1378" w14:textId="77777777" w:rsidR="000C7FDA" w:rsidRDefault="000C7FDA">
          <w:pPr>
            <w:pStyle w:val="TOC1"/>
            <w:tabs>
              <w:tab w:val="left" w:pos="440"/>
              <w:tab w:val="right" w:leader="dot" w:pos="9016"/>
            </w:tabs>
            <w:rPr>
              <w:rFonts w:asciiTheme="minorHAnsi" w:eastAsiaTheme="minorEastAsia" w:hAnsiTheme="minorHAnsi"/>
              <w:b w:val="0"/>
              <w:noProof/>
              <w:color w:val="auto"/>
              <w:spacing w:val="0"/>
              <w:sz w:val="22"/>
              <w:szCs w:val="22"/>
              <w:lang w:eastAsia="en-GB"/>
            </w:rPr>
          </w:pPr>
          <w:hyperlink w:anchor="_Toc496179592" w:history="1">
            <w:r w:rsidRPr="001326E3">
              <w:rPr>
                <w:rStyle w:val="Hyperlink"/>
                <w:noProof/>
              </w:rPr>
              <w:t>7</w:t>
            </w:r>
            <w:r>
              <w:rPr>
                <w:rFonts w:asciiTheme="minorHAnsi" w:eastAsiaTheme="minorEastAsia" w:hAnsiTheme="minorHAnsi"/>
                <w:b w:val="0"/>
                <w:noProof/>
                <w:color w:val="auto"/>
                <w:spacing w:val="0"/>
                <w:sz w:val="22"/>
                <w:szCs w:val="22"/>
                <w:lang w:eastAsia="en-GB"/>
              </w:rPr>
              <w:tab/>
            </w:r>
            <w:r w:rsidRPr="001326E3">
              <w:rPr>
                <w:rStyle w:val="Hyperlink"/>
                <w:noProof/>
              </w:rPr>
              <w:t>Annex</w:t>
            </w:r>
            <w:r>
              <w:rPr>
                <w:noProof/>
                <w:webHidden/>
              </w:rPr>
              <w:tab/>
            </w:r>
            <w:r>
              <w:rPr>
                <w:noProof/>
                <w:webHidden/>
              </w:rPr>
              <w:fldChar w:fldCharType="begin"/>
            </w:r>
            <w:r>
              <w:rPr>
                <w:noProof/>
                <w:webHidden/>
              </w:rPr>
              <w:instrText xml:space="preserve"> PAGEREF _Toc496179592 \h </w:instrText>
            </w:r>
            <w:r>
              <w:rPr>
                <w:noProof/>
                <w:webHidden/>
              </w:rPr>
            </w:r>
            <w:r>
              <w:rPr>
                <w:noProof/>
                <w:webHidden/>
              </w:rPr>
              <w:fldChar w:fldCharType="separate"/>
            </w:r>
            <w:r>
              <w:rPr>
                <w:noProof/>
                <w:webHidden/>
              </w:rPr>
              <w:t>19</w:t>
            </w:r>
            <w:r>
              <w:rPr>
                <w:noProof/>
                <w:webHidden/>
              </w:rPr>
              <w:fldChar w:fldCharType="end"/>
            </w:r>
          </w:hyperlink>
        </w:p>
        <w:p w14:paraId="789623C1" w14:textId="77777777" w:rsidR="00227F47" w:rsidRPr="005B5FA2" w:rsidRDefault="00227F47">
          <w:pPr>
            <w:rPr>
              <w:rFonts w:asciiTheme="minorHAnsi" w:hAnsiTheme="minorHAnsi"/>
            </w:rPr>
          </w:pPr>
          <w:r w:rsidRPr="005B5FA2">
            <w:rPr>
              <w:rFonts w:asciiTheme="minorHAnsi" w:hAnsiTheme="minorHAnsi"/>
              <w:bCs/>
              <w:noProof/>
              <w:color w:val="17365D" w:themeColor="text2" w:themeShade="BF"/>
            </w:rPr>
            <w:fldChar w:fldCharType="end"/>
          </w:r>
        </w:p>
      </w:sdtContent>
    </w:sdt>
    <w:p w14:paraId="32E68A11" w14:textId="77777777" w:rsidR="002539A4" w:rsidRPr="005B5FA2" w:rsidRDefault="002539A4" w:rsidP="000502D5">
      <w:pPr>
        <w:rPr>
          <w:rFonts w:asciiTheme="minorHAnsi" w:hAnsiTheme="minorHAnsi"/>
        </w:rPr>
      </w:pPr>
    </w:p>
    <w:p w14:paraId="514B77D4" w14:textId="77777777" w:rsidR="002539A4" w:rsidRPr="005B5FA2" w:rsidRDefault="002539A4" w:rsidP="000502D5">
      <w:pPr>
        <w:rPr>
          <w:rFonts w:asciiTheme="minorHAnsi" w:hAnsiTheme="minorHAnsi"/>
        </w:rPr>
      </w:pPr>
    </w:p>
    <w:p w14:paraId="5740EF0F" w14:textId="77777777" w:rsidR="00227F47" w:rsidRPr="005B5FA2" w:rsidRDefault="00227F47" w:rsidP="000502D5">
      <w:pPr>
        <w:rPr>
          <w:rFonts w:asciiTheme="minorHAnsi" w:hAnsiTheme="minorHAnsi"/>
        </w:rPr>
      </w:pPr>
    </w:p>
    <w:p w14:paraId="711FF3A1" w14:textId="77777777" w:rsidR="00227F47" w:rsidRPr="005B5FA2" w:rsidRDefault="00227F47" w:rsidP="000502D5">
      <w:pPr>
        <w:rPr>
          <w:rFonts w:asciiTheme="minorHAnsi" w:hAnsiTheme="minorHAnsi"/>
        </w:rPr>
      </w:pPr>
      <w:r w:rsidRPr="005B5FA2">
        <w:rPr>
          <w:rFonts w:asciiTheme="minorHAnsi" w:hAnsiTheme="minorHAnsi"/>
        </w:rPr>
        <w:br w:type="page"/>
      </w:r>
    </w:p>
    <w:p w14:paraId="71D257E1" w14:textId="77777777" w:rsidR="002815D7" w:rsidRPr="005B5FA2" w:rsidRDefault="002815D7" w:rsidP="002815D7">
      <w:pPr>
        <w:rPr>
          <w:rFonts w:asciiTheme="minorHAnsi" w:hAnsiTheme="minorHAnsi"/>
          <w:b/>
          <w:color w:val="365F91" w:themeColor="accent1" w:themeShade="BF"/>
          <w:sz w:val="40"/>
          <w:szCs w:val="40"/>
        </w:rPr>
      </w:pPr>
      <w:r w:rsidRPr="005B5FA2">
        <w:rPr>
          <w:rFonts w:asciiTheme="minorHAnsi" w:hAnsiTheme="minorHAnsi"/>
          <w:b/>
          <w:color w:val="365F91" w:themeColor="accent1" w:themeShade="BF"/>
          <w:sz w:val="40"/>
          <w:szCs w:val="40"/>
        </w:rPr>
        <w:lastRenderedPageBreak/>
        <w:t>Executive summary</w:t>
      </w:r>
    </w:p>
    <w:p w14:paraId="2D823E43" w14:textId="77777777" w:rsidR="00252005" w:rsidRPr="005B5FA2" w:rsidRDefault="00252005" w:rsidP="00252005">
      <w:pPr>
        <w:rPr>
          <w:rFonts w:asciiTheme="minorHAnsi" w:hAnsiTheme="minorHAnsi"/>
        </w:rPr>
      </w:pPr>
      <w:r w:rsidRPr="005B5FA2">
        <w:rPr>
          <w:rFonts w:asciiTheme="minorHAnsi" w:hAnsiTheme="minorHAnsi"/>
        </w:rPr>
        <w:t xml:space="preserve">Data managed in the fishery and marine sciences sector is growing exponentially in both size and frequency, and it is expected to keep this pace in future years. This exponential growth brings forth a variety of data challenges including interoperability when sharing, using and reusing data. </w:t>
      </w:r>
    </w:p>
    <w:p w14:paraId="789B5CFD" w14:textId="77777777" w:rsidR="00252005" w:rsidRPr="005B5FA2" w:rsidRDefault="00252005" w:rsidP="00252005">
      <w:pPr>
        <w:rPr>
          <w:rFonts w:asciiTheme="minorHAnsi" w:hAnsiTheme="minorHAnsi"/>
        </w:rPr>
      </w:pPr>
      <w:r w:rsidRPr="005B5FA2">
        <w:rPr>
          <w:rFonts w:asciiTheme="minorHAnsi" w:hAnsiTheme="minorHAnsi"/>
        </w:rPr>
        <w:t>An important finding related to interoperability is the need to clearly segment the roles and responsibilities of different actors in a service delivery across infrastructures. With the aim to support this need, we propose to develop a Service Delivery Model (SDM) that facilitates the community process to describe a multi-stakeholder and cross-infrastructure service delivery through a layered infrastructure.</w:t>
      </w:r>
    </w:p>
    <w:p w14:paraId="7B4B4F24" w14:textId="77777777" w:rsidR="00252005" w:rsidRPr="005B5FA2" w:rsidRDefault="00252005" w:rsidP="00252005">
      <w:pPr>
        <w:rPr>
          <w:rFonts w:asciiTheme="minorHAnsi" w:hAnsiTheme="minorHAnsi"/>
        </w:rPr>
      </w:pPr>
      <w:r w:rsidRPr="005B5FA2">
        <w:rPr>
          <w:rFonts w:asciiTheme="minorHAnsi" w:hAnsiTheme="minorHAnsi"/>
        </w:rPr>
        <w:t xml:space="preserve">This SDM consists of four layers: (inter) national datacentre, infrastructure mediator, service mediator and the research community. </w:t>
      </w:r>
    </w:p>
    <w:p w14:paraId="13281463" w14:textId="77777777" w:rsidR="00252005" w:rsidRPr="005B5FA2" w:rsidRDefault="00252005" w:rsidP="00252005">
      <w:pPr>
        <w:rPr>
          <w:rFonts w:asciiTheme="minorHAnsi" w:hAnsiTheme="minorHAnsi"/>
        </w:rPr>
      </w:pPr>
      <w:r w:rsidRPr="005B5FA2">
        <w:rPr>
          <w:rFonts w:asciiTheme="minorHAnsi" w:hAnsiTheme="minorHAnsi"/>
        </w:rPr>
        <w:t>The first layer is at the (Inter</w:t>
      </w:r>
      <w:proofErr w:type="gramStart"/>
      <w:r w:rsidRPr="005B5FA2">
        <w:rPr>
          <w:rFonts w:asciiTheme="minorHAnsi" w:hAnsiTheme="minorHAnsi"/>
        </w:rPr>
        <w:t>)National</w:t>
      </w:r>
      <w:proofErr w:type="gramEnd"/>
      <w:r w:rsidRPr="005B5FA2">
        <w:rPr>
          <w:rFonts w:asciiTheme="minorHAnsi" w:hAnsiTheme="minorHAnsi"/>
        </w:rPr>
        <w:t xml:space="preserve"> </w:t>
      </w:r>
      <w:proofErr w:type="spellStart"/>
      <w:r w:rsidRPr="005B5FA2">
        <w:rPr>
          <w:rFonts w:asciiTheme="minorHAnsi" w:hAnsiTheme="minorHAnsi"/>
        </w:rPr>
        <w:t>Datacenter</w:t>
      </w:r>
      <w:proofErr w:type="spellEnd"/>
      <w:r w:rsidRPr="005B5FA2">
        <w:rPr>
          <w:rFonts w:asciiTheme="minorHAnsi" w:hAnsiTheme="minorHAnsi"/>
        </w:rPr>
        <w:t xml:space="preserve"> where data and metadata are stored and processed. The </w:t>
      </w:r>
      <w:proofErr w:type="spellStart"/>
      <w:r w:rsidRPr="005B5FA2">
        <w:rPr>
          <w:rFonts w:asciiTheme="minorHAnsi" w:hAnsiTheme="minorHAnsi"/>
        </w:rPr>
        <w:t>Datacenter</w:t>
      </w:r>
      <w:proofErr w:type="spellEnd"/>
      <w:r w:rsidRPr="005B5FA2">
        <w:rPr>
          <w:rFonts w:asciiTheme="minorHAnsi" w:hAnsiTheme="minorHAnsi"/>
        </w:rPr>
        <w:t xml:space="preserve"> exchanges data with an Infrastructure Mediator to enable collaboration. An Operational Level Agreement, which defines the responsibility of parties, provision and support of the defined services, supports this exchange of data. </w:t>
      </w:r>
    </w:p>
    <w:p w14:paraId="03A2DAA2" w14:textId="2C2351D0" w:rsidR="00252005" w:rsidRPr="005B5FA2" w:rsidRDefault="00252005" w:rsidP="00252005">
      <w:pPr>
        <w:rPr>
          <w:rFonts w:asciiTheme="minorHAnsi" w:hAnsiTheme="minorHAnsi"/>
        </w:rPr>
      </w:pPr>
      <w:r w:rsidRPr="005B5FA2">
        <w:rPr>
          <w:rFonts w:asciiTheme="minorHAnsi" w:hAnsiTheme="minorHAnsi"/>
        </w:rPr>
        <w:t>The Infrastructure Mediator exchanges data with the Service Mediator where data are processed, organized, structured or presented in a given context. Within this step data becomes information ready-to-use for analyses.  A Service Level Agreement covers the IT Services, IPRs, service level targets and responsibilities of the Service Provider and the customer.</w:t>
      </w:r>
    </w:p>
    <w:p w14:paraId="19AA22F7" w14:textId="77777777" w:rsidR="00252005" w:rsidRPr="005B5FA2" w:rsidRDefault="00252005" w:rsidP="00252005">
      <w:pPr>
        <w:rPr>
          <w:rFonts w:asciiTheme="minorHAnsi" w:hAnsiTheme="minorHAnsi"/>
        </w:rPr>
      </w:pPr>
      <w:r w:rsidRPr="005B5FA2">
        <w:rPr>
          <w:rFonts w:asciiTheme="minorHAnsi" w:hAnsiTheme="minorHAnsi"/>
        </w:rPr>
        <w:t>The Service Mediator is responsible for data transfer to the Research Community where information is transformed and modelled with the goal of discovering useful information, suggesting conclusions, and supporting decision-making. The transfer of data is covered by Terms of Use and Privacy Policy that gives definitions, user rights and responsibilities and the (ownership of) IPRs of (various parts of) the content. If necessary, a Memorandum of Understanding can be used to express a convergence of will between relevant parties and intended common line of action and direction.</w:t>
      </w:r>
    </w:p>
    <w:p w14:paraId="2F0C145B" w14:textId="77777777" w:rsidR="00252005" w:rsidRPr="005B5FA2" w:rsidRDefault="00252005" w:rsidP="00252005">
      <w:pPr>
        <w:rPr>
          <w:rFonts w:asciiTheme="minorHAnsi" w:hAnsiTheme="minorHAnsi"/>
        </w:rPr>
      </w:pPr>
      <w:r w:rsidRPr="005B5FA2">
        <w:rPr>
          <w:rFonts w:asciiTheme="minorHAnsi" w:hAnsiTheme="minorHAnsi"/>
        </w:rPr>
        <w:t>The application of the proposed SDM on a use case with FAO, EGI and CNR revealed several flaws that need improvement: (</w:t>
      </w:r>
      <w:proofErr w:type="spellStart"/>
      <w:r w:rsidRPr="005B5FA2">
        <w:rPr>
          <w:rFonts w:asciiTheme="minorHAnsi" w:hAnsiTheme="minorHAnsi"/>
        </w:rPr>
        <w:t>i</w:t>
      </w:r>
      <w:proofErr w:type="spellEnd"/>
      <w:r w:rsidRPr="005B5FA2">
        <w:rPr>
          <w:rFonts w:asciiTheme="minorHAnsi" w:hAnsiTheme="minorHAnsi"/>
        </w:rPr>
        <w:t>) there are no concrete legal terms on relevant fields such as ownership of IPRs, (ii) there is a lack of concrete consequences when the Provider does not meet the service level targets, (iii) lack of clear legal definition of terms such as ‘Intellectual Property Rights’, and (iv) no mention of options and consequences to distribute data to third parties.</w:t>
      </w:r>
    </w:p>
    <w:p w14:paraId="7D75AA7E" w14:textId="794754AD" w:rsidR="001100E5" w:rsidRPr="005B5FA2" w:rsidRDefault="00252005" w:rsidP="001100E5">
      <w:pPr>
        <w:rPr>
          <w:rFonts w:asciiTheme="minorHAnsi" w:hAnsiTheme="minorHAnsi"/>
        </w:rPr>
      </w:pPr>
      <w:r w:rsidRPr="005B5FA2">
        <w:rPr>
          <w:rFonts w:asciiTheme="minorHAnsi" w:hAnsiTheme="minorHAnsi"/>
        </w:rPr>
        <w:t>After consulting various stakeholders, other recommendations and guidelines for further development of this SDM were proposed: (</w:t>
      </w:r>
      <w:proofErr w:type="spellStart"/>
      <w:r w:rsidRPr="005B5FA2">
        <w:rPr>
          <w:rFonts w:asciiTheme="minorHAnsi" w:hAnsiTheme="minorHAnsi"/>
        </w:rPr>
        <w:t>i</w:t>
      </w:r>
      <w:proofErr w:type="spellEnd"/>
      <w:r w:rsidRPr="005B5FA2">
        <w:rPr>
          <w:rFonts w:asciiTheme="minorHAnsi" w:hAnsiTheme="minorHAnsi"/>
        </w:rPr>
        <w:t xml:space="preserve">) define data, (ii) define data ownership, and (iii) define citation, attribution and credit, (iii) clarify citation of compound datasets, and </w:t>
      </w:r>
      <w:proofErr w:type="gramStart"/>
      <w:r w:rsidRPr="005B5FA2">
        <w:rPr>
          <w:rFonts w:asciiTheme="minorHAnsi" w:hAnsiTheme="minorHAnsi"/>
        </w:rPr>
        <w:t>(iv) prevent</w:t>
      </w:r>
      <w:proofErr w:type="gramEnd"/>
      <w:r w:rsidRPr="005B5FA2">
        <w:rPr>
          <w:rFonts w:asciiTheme="minorHAnsi" w:hAnsiTheme="minorHAnsi"/>
        </w:rPr>
        <w:t xml:space="preserve"> long tail research data. The development of a more refined SDM will facilitate the formulation of exploitation plans and data policies across data</w:t>
      </w:r>
      <w:r w:rsidR="00411D91" w:rsidRPr="005B5FA2">
        <w:rPr>
          <w:rFonts w:asciiTheme="minorHAnsi" w:hAnsiTheme="minorHAnsi"/>
        </w:rPr>
        <w:t>-</w:t>
      </w:r>
      <w:r w:rsidRPr="005B5FA2">
        <w:rPr>
          <w:rFonts w:asciiTheme="minorHAnsi" w:hAnsiTheme="minorHAnsi"/>
        </w:rPr>
        <w:t xml:space="preserve">platforms, and will contribute to build trust and confidence in research communities that need to exploit these platforms.  </w:t>
      </w:r>
    </w:p>
    <w:p w14:paraId="34E486C2" w14:textId="6759E536" w:rsidR="00C75579" w:rsidRPr="005B5FA2" w:rsidRDefault="00C45A2E" w:rsidP="001100E5">
      <w:pPr>
        <w:rPr>
          <w:rFonts w:asciiTheme="minorHAnsi" w:hAnsiTheme="minorHAnsi"/>
        </w:rPr>
      </w:pPr>
      <w:r w:rsidRPr="005B5FA2">
        <w:rPr>
          <w:rFonts w:asciiTheme="minorHAnsi" w:hAnsiTheme="minorHAnsi"/>
        </w:rPr>
        <w:lastRenderedPageBreak/>
        <w:t>EGI is in the position to support organizations with the development of data policies by co-developing a clear and ready-to-implement SDM. The SDM will help the communities to understand and formulate technical support in data management. This study proposed an SDM, and tested this in a FAO use case. EGI can use this study by elaborating these recommendations into a next version of the proposed SDM.</w:t>
      </w:r>
    </w:p>
    <w:p w14:paraId="261A8FE6" w14:textId="77777777" w:rsidR="001100E5" w:rsidRPr="005B5FA2" w:rsidRDefault="001100E5" w:rsidP="001100E5">
      <w:pPr>
        <w:pStyle w:val="Heading1"/>
        <w:rPr>
          <w:rFonts w:asciiTheme="minorHAnsi" w:hAnsiTheme="minorHAnsi"/>
        </w:rPr>
      </w:pPr>
      <w:bookmarkStart w:id="1" w:name="_Toc496179586"/>
      <w:r w:rsidRPr="005B5FA2">
        <w:rPr>
          <w:rFonts w:asciiTheme="minorHAnsi" w:hAnsiTheme="minorHAnsi"/>
        </w:rPr>
        <w:lastRenderedPageBreak/>
        <w:t>Introduction</w:t>
      </w:r>
      <w:bookmarkEnd w:id="1"/>
    </w:p>
    <w:p w14:paraId="640F2239" w14:textId="77777777" w:rsidR="00EB1D9D" w:rsidRPr="005B5FA2" w:rsidRDefault="00EB1D9D" w:rsidP="00EB1D9D">
      <w:pPr>
        <w:spacing w:after="0" w:line="240" w:lineRule="auto"/>
        <w:rPr>
          <w:rFonts w:asciiTheme="minorHAnsi" w:hAnsiTheme="minorHAnsi"/>
        </w:rPr>
      </w:pPr>
      <w:r w:rsidRPr="005B5FA2">
        <w:rPr>
          <w:rFonts w:asciiTheme="minorHAnsi" w:hAnsiTheme="minorHAnsi"/>
        </w:rPr>
        <w:t>The data managed in the fishery and marine sciences sector is growing exponentially in both size and frequency, and it is expected to keep this pace in future years. Technological innovations, such as mobile phones and satellites (to e.g. monitor and detect illegal fishing activities</w:t>
      </w:r>
      <w:r w:rsidR="006E1E43" w:rsidRPr="005B5FA2">
        <w:rPr>
          <w:rStyle w:val="FootnoteReference"/>
          <w:rFonts w:asciiTheme="minorHAnsi" w:hAnsiTheme="minorHAnsi"/>
        </w:rPr>
        <w:footnoteReference w:id="1"/>
      </w:r>
      <w:r w:rsidRPr="005B5FA2">
        <w:rPr>
          <w:rFonts w:asciiTheme="minorHAnsi" w:hAnsiTheme="minorHAnsi"/>
        </w:rPr>
        <w:t xml:space="preserve">), require Big Data collection, management and processing, and interoperability across current institutional and infrastructure boundaries. </w:t>
      </w:r>
    </w:p>
    <w:p w14:paraId="33A0E356" w14:textId="77777777" w:rsidR="00EB1D9D" w:rsidRPr="005B5FA2" w:rsidRDefault="00EB1D9D" w:rsidP="00EB1D9D">
      <w:pPr>
        <w:spacing w:after="0" w:line="240" w:lineRule="auto"/>
        <w:rPr>
          <w:rFonts w:asciiTheme="minorHAnsi" w:hAnsiTheme="minorHAnsi"/>
        </w:rPr>
      </w:pPr>
    </w:p>
    <w:p w14:paraId="3E3E3308" w14:textId="77777777" w:rsidR="00EB1D9D" w:rsidRPr="005B5FA2" w:rsidRDefault="00EB1D9D" w:rsidP="00EB1D9D">
      <w:pPr>
        <w:spacing w:after="0" w:line="240" w:lineRule="auto"/>
        <w:rPr>
          <w:rFonts w:asciiTheme="minorHAnsi" w:hAnsiTheme="minorHAnsi"/>
        </w:rPr>
      </w:pPr>
      <w:r w:rsidRPr="005B5FA2">
        <w:rPr>
          <w:rFonts w:asciiTheme="minorHAnsi" w:hAnsiTheme="minorHAnsi"/>
        </w:rPr>
        <w:t>To optimize the effective and efficient use of Big Data, it is important that these are available in the correct format, accessible, well organized and properly annotated. This practical challenge requires the availability of a technical infrastructure and skills to process large amounts of data in analytical services and feed these into decision-making tools, among others. Interoperability of data is required to reliably combine data from multiple data services. Interoperability can be categorized in organizational, semantic, technical and legal interoperability as explained by the European Interoperability Framework</w:t>
      </w:r>
      <w:r w:rsidR="006E1E43" w:rsidRPr="005B5FA2">
        <w:rPr>
          <w:rStyle w:val="FootnoteReference"/>
          <w:rFonts w:asciiTheme="minorHAnsi" w:hAnsiTheme="minorHAnsi"/>
        </w:rPr>
        <w:footnoteReference w:id="2"/>
      </w:r>
      <w:r w:rsidRPr="005B5FA2">
        <w:rPr>
          <w:rFonts w:asciiTheme="minorHAnsi" w:hAnsiTheme="minorHAnsi"/>
        </w:rPr>
        <w:t xml:space="preserve">. </w:t>
      </w:r>
    </w:p>
    <w:p w14:paraId="73389D1C" w14:textId="77777777" w:rsidR="00EB1D9D" w:rsidRPr="005B5FA2" w:rsidRDefault="00EB1D9D" w:rsidP="00BE6EA7">
      <w:pPr>
        <w:spacing w:after="0" w:line="240" w:lineRule="auto"/>
        <w:rPr>
          <w:rFonts w:asciiTheme="minorHAnsi" w:hAnsiTheme="minorHAnsi"/>
        </w:rPr>
      </w:pPr>
    </w:p>
    <w:p w14:paraId="5DF027E4" w14:textId="77777777" w:rsidR="00EB1D9D" w:rsidRPr="005B5FA2" w:rsidRDefault="00EB1D9D" w:rsidP="00EB1D9D">
      <w:pPr>
        <w:spacing w:after="0" w:line="240" w:lineRule="auto"/>
        <w:rPr>
          <w:rFonts w:asciiTheme="minorHAnsi" w:hAnsiTheme="minorHAnsi"/>
        </w:rPr>
      </w:pPr>
      <w:r w:rsidRPr="005B5FA2">
        <w:rPr>
          <w:rFonts w:asciiTheme="minorHAnsi" w:hAnsiTheme="minorHAnsi"/>
        </w:rPr>
        <w:t>All types of interoperability are important</w:t>
      </w:r>
      <w:r w:rsidR="008B3DB5" w:rsidRPr="005B5FA2">
        <w:rPr>
          <w:rFonts w:asciiTheme="minorHAnsi" w:hAnsiTheme="minorHAnsi"/>
        </w:rPr>
        <w:t>,</w:t>
      </w:r>
      <w:r w:rsidR="00BE6EA7" w:rsidRPr="005B5FA2">
        <w:rPr>
          <w:rFonts w:asciiTheme="minorHAnsi" w:hAnsiTheme="minorHAnsi"/>
        </w:rPr>
        <w:t xml:space="preserve"> </w:t>
      </w:r>
      <w:r w:rsidR="008B3DB5" w:rsidRPr="005B5FA2">
        <w:rPr>
          <w:rFonts w:asciiTheme="minorHAnsi" w:hAnsiTheme="minorHAnsi"/>
        </w:rPr>
        <w:t xml:space="preserve">but </w:t>
      </w:r>
      <w:r w:rsidR="00BE6EA7" w:rsidRPr="005B5FA2">
        <w:rPr>
          <w:rFonts w:asciiTheme="minorHAnsi" w:hAnsiTheme="minorHAnsi"/>
        </w:rPr>
        <w:t xml:space="preserve">this report </w:t>
      </w:r>
      <w:r w:rsidR="008B3DB5" w:rsidRPr="005B5FA2">
        <w:rPr>
          <w:rFonts w:asciiTheme="minorHAnsi" w:hAnsiTheme="minorHAnsi"/>
        </w:rPr>
        <w:t>relates to EGI-Engage Deliverable 2.6</w:t>
      </w:r>
      <w:r w:rsidR="006E1E43" w:rsidRPr="005B5FA2">
        <w:rPr>
          <w:rStyle w:val="FootnoteReference"/>
          <w:rFonts w:asciiTheme="minorHAnsi" w:hAnsiTheme="minorHAnsi"/>
        </w:rPr>
        <w:footnoteReference w:id="3"/>
      </w:r>
      <w:r w:rsidR="008B3DB5" w:rsidRPr="005B5FA2">
        <w:rPr>
          <w:rFonts w:asciiTheme="minorHAnsi" w:hAnsiTheme="minorHAnsi"/>
        </w:rPr>
        <w:t xml:space="preserve"> on legal interoperability, and thus </w:t>
      </w:r>
      <w:r w:rsidR="00BE6EA7" w:rsidRPr="005B5FA2">
        <w:rPr>
          <w:rFonts w:asciiTheme="minorHAnsi" w:hAnsiTheme="minorHAnsi"/>
        </w:rPr>
        <w:t xml:space="preserve">considers only </w:t>
      </w:r>
      <w:r w:rsidRPr="005B5FA2">
        <w:rPr>
          <w:rFonts w:asciiTheme="minorHAnsi" w:hAnsiTheme="minorHAnsi"/>
        </w:rPr>
        <w:t xml:space="preserve">legal interoperability. </w:t>
      </w:r>
      <w:r w:rsidR="00BE6EA7" w:rsidRPr="005B5FA2">
        <w:rPr>
          <w:rFonts w:asciiTheme="minorHAnsi" w:hAnsiTheme="minorHAnsi"/>
        </w:rPr>
        <w:t>Based on feedback received on that Deliverable, t</w:t>
      </w:r>
      <w:r w:rsidRPr="005B5FA2">
        <w:rPr>
          <w:rFonts w:asciiTheme="minorHAnsi" w:hAnsiTheme="minorHAnsi"/>
        </w:rPr>
        <w:t xml:space="preserve">he </w:t>
      </w:r>
      <w:r w:rsidR="00BE6EA7" w:rsidRPr="005B5FA2">
        <w:rPr>
          <w:rFonts w:asciiTheme="minorHAnsi" w:hAnsiTheme="minorHAnsi"/>
        </w:rPr>
        <w:t xml:space="preserve">community </w:t>
      </w:r>
      <w:r w:rsidRPr="005B5FA2">
        <w:rPr>
          <w:rFonts w:asciiTheme="minorHAnsi" w:hAnsiTheme="minorHAnsi"/>
        </w:rPr>
        <w:t xml:space="preserve">objective was to </w:t>
      </w:r>
      <w:r w:rsidR="00BE6EA7" w:rsidRPr="005B5FA2">
        <w:rPr>
          <w:rFonts w:asciiTheme="minorHAnsi" w:hAnsiTheme="minorHAnsi"/>
        </w:rPr>
        <w:t xml:space="preserve">further </w:t>
      </w:r>
      <w:r w:rsidRPr="005B5FA2">
        <w:rPr>
          <w:rFonts w:asciiTheme="minorHAnsi" w:hAnsiTheme="minorHAnsi"/>
        </w:rPr>
        <w:t xml:space="preserve">investigate options to establish a legal interoperability framework. This document </w:t>
      </w:r>
      <w:r w:rsidR="00BE6EA7" w:rsidRPr="005B5FA2">
        <w:rPr>
          <w:rFonts w:asciiTheme="minorHAnsi" w:hAnsiTheme="minorHAnsi"/>
        </w:rPr>
        <w:t>can be considered as an Annex to the original Deliverable</w:t>
      </w:r>
      <w:r w:rsidRPr="005B5FA2">
        <w:rPr>
          <w:rFonts w:asciiTheme="minorHAnsi" w:hAnsiTheme="minorHAnsi"/>
        </w:rPr>
        <w:t xml:space="preserve">; it includes feedback from EGI Engage members, reflects changes in interoperability technical support </w:t>
      </w:r>
      <w:r w:rsidR="00BE6EA7" w:rsidRPr="005B5FA2">
        <w:rPr>
          <w:rFonts w:asciiTheme="minorHAnsi" w:hAnsiTheme="minorHAnsi"/>
        </w:rPr>
        <w:t xml:space="preserve">for </w:t>
      </w:r>
      <w:r w:rsidRPr="005B5FA2">
        <w:rPr>
          <w:rFonts w:asciiTheme="minorHAnsi" w:hAnsiTheme="minorHAnsi"/>
        </w:rPr>
        <w:t>specific use cases</w:t>
      </w:r>
      <w:r w:rsidR="00BE6EA7" w:rsidRPr="005B5FA2">
        <w:rPr>
          <w:rFonts w:asciiTheme="minorHAnsi" w:hAnsiTheme="minorHAnsi"/>
        </w:rPr>
        <w:t xml:space="preserve"> </w:t>
      </w:r>
      <w:r w:rsidR="008B3DB5" w:rsidRPr="005B5FA2">
        <w:rPr>
          <w:rFonts w:asciiTheme="minorHAnsi" w:hAnsiTheme="minorHAnsi"/>
        </w:rPr>
        <w:t>in</w:t>
      </w:r>
      <w:r w:rsidR="00BE6EA7" w:rsidRPr="005B5FA2">
        <w:rPr>
          <w:rFonts w:asciiTheme="minorHAnsi" w:hAnsiTheme="minorHAnsi"/>
        </w:rPr>
        <w:t xml:space="preserve"> an established collaboration with CNR</w:t>
      </w:r>
      <w:r w:rsidRPr="005B5FA2">
        <w:rPr>
          <w:rFonts w:asciiTheme="minorHAnsi" w:hAnsiTheme="minorHAnsi"/>
        </w:rPr>
        <w:t>, and collects progress in and feedback from the FAO community</w:t>
      </w:r>
      <w:r w:rsidR="00BE6EA7" w:rsidRPr="005B5FA2">
        <w:rPr>
          <w:rFonts w:asciiTheme="minorHAnsi" w:hAnsiTheme="minorHAnsi"/>
        </w:rPr>
        <w:t xml:space="preserve"> in establishing a comprehensive data policy</w:t>
      </w:r>
      <w:r w:rsidRPr="005B5FA2">
        <w:rPr>
          <w:rFonts w:asciiTheme="minorHAnsi" w:hAnsiTheme="minorHAnsi"/>
        </w:rPr>
        <w:t>.  </w:t>
      </w:r>
    </w:p>
    <w:p w14:paraId="6137453F" w14:textId="77777777" w:rsidR="00EB1D9D" w:rsidRPr="005B5FA2" w:rsidRDefault="00EB1D9D" w:rsidP="00BE6EA7">
      <w:pPr>
        <w:spacing w:after="0" w:line="240" w:lineRule="auto"/>
        <w:rPr>
          <w:rFonts w:asciiTheme="minorHAnsi" w:hAnsiTheme="minorHAnsi"/>
        </w:rPr>
      </w:pPr>
    </w:p>
    <w:p w14:paraId="20685F8D" w14:textId="77777777" w:rsidR="00EB1D9D" w:rsidRPr="005B5FA2" w:rsidRDefault="00EB1D9D" w:rsidP="00EB1D9D">
      <w:pPr>
        <w:spacing w:after="0" w:line="240" w:lineRule="auto"/>
        <w:rPr>
          <w:rFonts w:asciiTheme="minorHAnsi" w:hAnsiTheme="minorHAnsi"/>
        </w:rPr>
      </w:pPr>
      <w:r w:rsidRPr="005B5FA2">
        <w:rPr>
          <w:rFonts w:asciiTheme="minorHAnsi" w:hAnsiTheme="minorHAnsi"/>
        </w:rPr>
        <w:t xml:space="preserve">An important </w:t>
      </w:r>
      <w:r w:rsidR="008B3DB5" w:rsidRPr="005B5FA2">
        <w:rPr>
          <w:rFonts w:asciiTheme="minorHAnsi" w:hAnsiTheme="minorHAnsi"/>
        </w:rPr>
        <w:t xml:space="preserve">community </w:t>
      </w:r>
      <w:r w:rsidRPr="005B5FA2">
        <w:rPr>
          <w:rFonts w:asciiTheme="minorHAnsi" w:hAnsiTheme="minorHAnsi"/>
        </w:rPr>
        <w:t xml:space="preserve">finding </w:t>
      </w:r>
      <w:r w:rsidR="008B3DB5" w:rsidRPr="005B5FA2">
        <w:rPr>
          <w:rFonts w:asciiTheme="minorHAnsi" w:hAnsiTheme="minorHAnsi"/>
        </w:rPr>
        <w:t xml:space="preserve">was </w:t>
      </w:r>
      <w:r w:rsidRPr="005B5FA2">
        <w:rPr>
          <w:rFonts w:asciiTheme="minorHAnsi" w:hAnsiTheme="minorHAnsi"/>
        </w:rPr>
        <w:t>the need to clearly segment roles and responsibilities of different actors in a service delivery across infrastructures</w:t>
      </w:r>
      <w:r w:rsidR="008B3DB5" w:rsidRPr="005B5FA2">
        <w:rPr>
          <w:rFonts w:asciiTheme="minorHAnsi" w:hAnsiTheme="minorHAnsi"/>
        </w:rPr>
        <w:t xml:space="preserve">. We used that recommendation to develop and </w:t>
      </w:r>
      <w:r w:rsidRPr="005B5FA2">
        <w:rPr>
          <w:rFonts w:asciiTheme="minorHAnsi" w:hAnsiTheme="minorHAnsi"/>
        </w:rPr>
        <w:t>propose</w:t>
      </w:r>
      <w:r w:rsidR="008B3DB5" w:rsidRPr="005B5FA2">
        <w:rPr>
          <w:rFonts w:asciiTheme="minorHAnsi" w:hAnsiTheme="minorHAnsi"/>
        </w:rPr>
        <w:t xml:space="preserve"> </w:t>
      </w:r>
      <w:r w:rsidRPr="005B5FA2">
        <w:rPr>
          <w:rFonts w:asciiTheme="minorHAnsi" w:hAnsiTheme="minorHAnsi"/>
        </w:rPr>
        <w:t>a Service Delivery Model</w:t>
      </w:r>
      <w:r w:rsidR="000D1DF2" w:rsidRPr="005B5FA2">
        <w:rPr>
          <w:rFonts w:asciiTheme="minorHAnsi" w:hAnsiTheme="minorHAnsi"/>
        </w:rPr>
        <w:t xml:space="preserve"> (SDM)</w:t>
      </w:r>
      <w:r w:rsidRPr="005B5FA2">
        <w:rPr>
          <w:rFonts w:asciiTheme="minorHAnsi" w:hAnsiTheme="minorHAnsi"/>
        </w:rPr>
        <w:t xml:space="preserve"> to the community to </w:t>
      </w:r>
      <w:r w:rsidR="004C00EF" w:rsidRPr="005B5FA2">
        <w:rPr>
          <w:rFonts w:asciiTheme="minorHAnsi" w:hAnsiTheme="minorHAnsi"/>
        </w:rPr>
        <w:t xml:space="preserve">examine </w:t>
      </w:r>
      <w:r w:rsidRPr="005B5FA2">
        <w:rPr>
          <w:rFonts w:asciiTheme="minorHAnsi" w:hAnsiTheme="minorHAnsi"/>
        </w:rPr>
        <w:t xml:space="preserve">if that presented a viable method to describe a multi-stakeholder and cross-infrastructure service delivery. </w:t>
      </w:r>
      <w:r w:rsidR="008B3DB5" w:rsidRPr="005B5FA2">
        <w:rPr>
          <w:rFonts w:asciiTheme="minorHAnsi" w:hAnsiTheme="minorHAnsi"/>
        </w:rPr>
        <w:t xml:space="preserve">This document contains both the SDM and the comments from the community </w:t>
      </w:r>
      <w:proofErr w:type="gramStart"/>
      <w:r w:rsidR="008B3DB5" w:rsidRPr="005B5FA2">
        <w:rPr>
          <w:rFonts w:asciiTheme="minorHAnsi" w:hAnsiTheme="minorHAnsi"/>
        </w:rPr>
        <w:t>on an abstract use-cases</w:t>
      </w:r>
      <w:proofErr w:type="gramEnd"/>
      <w:r w:rsidR="008B3DB5" w:rsidRPr="005B5FA2">
        <w:rPr>
          <w:rFonts w:asciiTheme="minorHAnsi" w:hAnsiTheme="minorHAnsi"/>
        </w:rPr>
        <w:t xml:space="preserve"> defined around it. </w:t>
      </w:r>
    </w:p>
    <w:p w14:paraId="5F2659A5" w14:textId="77777777" w:rsidR="00EB1D9D" w:rsidRPr="005B5FA2" w:rsidRDefault="00EB1D9D" w:rsidP="00EB1D9D">
      <w:pPr>
        <w:spacing w:after="0" w:line="240" w:lineRule="auto"/>
        <w:rPr>
          <w:rFonts w:asciiTheme="minorHAnsi" w:hAnsiTheme="minorHAnsi"/>
        </w:rPr>
      </w:pPr>
    </w:p>
    <w:p w14:paraId="5D49FC56" w14:textId="77777777" w:rsidR="006D527C" w:rsidRPr="005B5FA2" w:rsidRDefault="009A72EA" w:rsidP="00F43D75">
      <w:pPr>
        <w:spacing w:after="0" w:line="240" w:lineRule="auto"/>
        <w:rPr>
          <w:rFonts w:asciiTheme="minorHAnsi" w:hAnsiTheme="minorHAnsi"/>
        </w:rPr>
      </w:pPr>
      <w:r w:rsidRPr="005B5FA2">
        <w:rPr>
          <w:rFonts w:asciiTheme="minorHAnsi" w:hAnsiTheme="minorHAnsi"/>
        </w:rPr>
        <w:t>Chapter 2 presents an outline of the proposed Service Delivery Model and all associated (legal) documents. Chapter 3 tests the proposed SDM with a use case between FAO as end customer (research community), through D4Science (</w:t>
      </w:r>
      <w:proofErr w:type="spellStart"/>
      <w:r w:rsidRPr="005B5FA2">
        <w:rPr>
          <w:rFonts w:asciiTheme="minorHAnsi" w:hAnsiTheme="minorHAnsi"/>
        </w:rPr>
        <w:t>BlueB</w:t>
      </w:r>
      <w:r w:rsidR="00252005" w:rsidRPr="005B5FA2">
        <w:rPr>
          <w:rFonts w:asciiTheme="minorHAnsi" w:hAnsiTheme="minorHAnsi"/>
        </w:rPr>
        <w:t>RIDGE</w:t>
      </w:r>
      <w:proofErr w:type="spellEnd"/>
      <w:r w:rsidRPr="005B5FA2">
        <w:rPr>
          <w:rFonts w:asciiTheme="minorHAnsi" w:hAnsiTheme="minorHAnsi"/>
        </w:rPr>
        <w:t xml:space="preserve"> and </w:t>
      </w:r>
      <w:proofErr w:type="spellStart"/>
      <w:r w:rsidRPr="005B5FA2">
        <w:rPr>
          <w:rFonts w:asciiTheme="minorHAnsi" w:hAnsiTheme="minorHAnsi"/>
        </w:rPr>
        <w:t>iMarine</w:t>
      </w:r>
      <w:proofErr w:type="spellEnd"/>
      <w:r w:rsidRPr="005B5FA2">
        <w:rPr>
          <w:rFonts w:asciiTheme="minorHAnsi" w:hAnsiTheme="minorHAnsi"/>
        </w:rPr>
        <w:t xml:space="preserve"> data services) as service mediator and EGI as the infrastructure mediator. </w:t>
      </w:r>
      <w:r w:rsidR="000D1DF2" w:rsidRPr="005B5FA2">
        <w:rPr>
          <w:rFonts w:asciiTheme="minorHAnsi" w:hAnsiTheme="minorHAnsi"/>
        </w:rPr>
        <w:t>However,</w:t>
      </w:r>
      <w:r w:rsidR="0041074C" w:rsidRPr="005B5FA2">
        <w:rPr>
          <w:rFonts w:asciiTheme="minorHAnsi" w:hAnsiTheme="minorHAnsi"/>
        </w:rPr>
        <w:t xml:space="preserve"> this SDM </w:t>
      </w:r>
      <w:r w:rsidR="004C00EF" w:rsidRPr="005B5FA2">
        <w:rPr>
          <w:rFonts w:asciiTheme="minorHAnsi" w:hAnsiTheme="minorHAnsi"/>
        </w:rPr>
        <w:t>can be generalized to ensure its</w:t>
      </w:r>
      <w:r w:rsidR="0041074C" w:rsidRPr="005B5FA2">
        <w:rPr>
          <w:rFonts w:asciiTheme="minorHAnsi" w:hAnsiTheme="minorHAnsi"/>
        </w:rPr>
        <w:t xml:space="preserve"> generic application in </w:t>
      </w:r>
      <w:r w:rsidR="004C00EF" w:rsidRPr="005B5FA2">
        <w:rPr>
          <w:rFonts w:asciiTheme="minorHAnsi" w:hAnsiTheme="minorHAnsi"/>
        </w:rPr>
        <w:t>different</w:t>
      </w:r>
      <w:r w:rsidR="0041074C" w:rsidRPr="005B5FA2">
        <w:rPr>
          <w:rFonts w:asciiTheme="minorHAnsi" w:hAnsiTheme="minorHAnsi"/>
        </w:rPr>
        <w:t xml:space="preserve"> sectors</w:t>
      </w:r>
      <w:r w:rsidR="000D1DF2" w:rsidRPr="005B5FA2">
        <w:rPr>
          <w:rFonts w:asciiTheme="minorHAnsi" w:hAnsiTheme="minorHAnsi"/>
        </w:rPr>
        <w:t xml:space="preserve">. </w:t>
      </w:r>
      <w:r w:rsidRPr="005B5FA2">
        <w:rPr>
          <w:rFonts w:asciiTheme="minorHAnsi" w:hAnsiTheme="minorHAnsi"/>
        </w:rPr>
        <w:t>Chapter 4</w:t>
      </w:r>
      <w:r w:rsidR="00D61B40" w:rsidRPr="005B5FA2">
        <w:rPr>
          <w:rFonts w:asciiTheme="minorHAnsi" w:hAnsiTheme="minorHAnsi"/>
        </w:rPr>
        <w:t xml:space="preserve"> </w:t>
      </w:r>
      <w:r w:rsidRPr="005B5FA2">
        <w:rPr>
          <w:rFonts w:asciiTheme="minorHAnsi" w:hAnsiTheme="minorHAnsi"/>
        </w:rPr>
        <w:t xml:space="preserve">tests </w:t>
      </w:r>
      <w:r w:rsidR="008B3DB5" w:rsidRPr="005B5FA2">
        <w:rPr>
          <w:rFonts w:asciiTheme="minorHAnsi" w:hAnsiTheme="minorHAnsi"/>
        </w:rPr>
        <w:t xml:space="preserve">the overall applicability of the SDM model to gauge if the proposed SDM is understandable for representatives of a research community. The focus is on developing a framework, rather than to test specific </w:t>
      </w:r>
      <w:r w:rsidR="00E25230" w:rsidRPr="005B5FA2">
        <w:rPr>
          <w:rFonts w:asciiTheme="minorHAnsi" w:hAnsiTheme="minorHAnsi"/>
        </w:rPr>
        <w:t>services delivery mechanisms.</w:t>
      </w:r>
    </w:p>
    <w:p w14:paraId="7A625092" w14:textId="77777777" w:rsidR="008B614C" w:rsidRPr="005B5FA2" w:rsidRDefault="008B614C" w:rsidP="008802A9">
      <w:pPr>
        <w:pStyle w:val="Heading1"/>
        <w:rPr>
          <w:rFonts w:asciiTheme="minorHAnsi" w:hAnsiTheme="minorHAnsi"/>
        </w:rPr>
      </w:pPr>
      <w:bookmarkStart w:id="2" w:name="_Toc465951150"/>
      <w:bookmarkStart w:id="3" w:name="_Toc496179587"/>
      <w:r w:rsidRPr="005B5FA2">
        <w:rPr>
          <w:rFonts w:asciiTheme="minorHAnsi" w:hAnsiTheme="minorHAnsi"/>
        </w:rPr>
        <w:lastRenderedPageBreak/>
        <w:t>The Service Delivery Model</w:t>
      </w:r>
      <w:bookmarkEnd w:id="3"/>
    </w:p>
    <w:p w14:paraId="28B9EF5F" w14:textId="77777777" w:rsidR="003354C5" w:rsidRPr="005B5FA2" w:rsidRDefault="003354C5" w:rsidP="003354C5">
      <w:pPr>
        <w:rPr>
          <w:rFonts w:asciiTheme="minorHAnsi" w:hAnsiTheme="minorHAnsi"/>
        </w:rPr>
      </w:pPr>
      <w:r w:rsidRPr="005B5FA2">
        <w:rPr>
          <w:rFonts w:asciiTheme="minorHAnsi" w:hAnsiTheme="minorHAnsi"/>
        </w:rPr>
        <w:t>The figure below presents the S</w:t>
      </w:r>
      <w:r w:rsidR="00466A6B" w:rsidRPr="005B5FA2">
        <w:rPr>
          <w:rFonts w:asciiTheme="minorHAnsi" w:hAnsiTheme="minorHAnsi"/>
        </w:rPr>
        <w:t xml:space="preserve">ervice </w:t>
      </w:r>
      <w:r w:rsidRPr="005B5FA2">
        <w:rPr>
          <w:rFonts w:asciiTheme="minorHAnsi" w:hAnsiTheme="minorHAnsi"/>
        </w:rPr>
        <w:t>D</w:t>
      </w:r>
      <w:r w:rsidR="00466A6B" w:rsidRPr="005B5FA2">
        <w:rPr>
          <w:rFonts w:asciiTheme="minorHAnsi" w:hAnsiTheme="minorHAnsi"/>
        </w:rPr>
        <w:t xml:space="preserve">elivery </w:t>
      </w:r>
      <w:r w:rsidRPr="005B5FA2">
        <w:rPr>
          <w:rFonts w:asciiTheme="minorHAnsi" w:hAnsiTheme="minorHAnsi"/>
        </w:rPr>
        <w:t>M</w:t>
      </w:r>
      <w:r w:rsidR="00466A6B" w:rsidRPr="005B5FA2">
        <w:rPr>
          <w:rFonts w:asciiTheme="minorHAnsi" w:hAnsiTheme="minorHAnsi"/>
        </w:rPr>
        <w:t>odel (SDM)</w:t>
      </w:r>
      <w:r w:rsidRPr="005B5FA2">
        <w:rPr>
          <w:rFonts w:asciiTheme="minorHAnsi" w:hAnsiTheme="minorHAnsi"/>
        </w:rPr>
        <w:t xml:space="preserve"> w</w:t>
      </w:r>
      <w:r w:rsidR="00F30B26" w:rsidRPr="005B5FA2">
        <w:rPr>
          <w:rFonts w:asciiTheme="minorHAnsi" w:hAnsiTheme="minorHAnsi"/>
        </w:rPr>
        <w:t xml:space="preserve">ith for each step in the research lifecycle </w:t>
      </w:r>
      <w:r w:rsidRPr="005B5FA2">
        <w:rPr>
          <w:rFonts w:asciiTheme="minorHAnsi" w:hAnsiTheme="minorHAnsi"/>
        </w:rPr>
        <w:t>the minimum required agreement along with a brief description.</w:t>
      </w:r>
    </w:p>
    <w:p w14:paraId="0020CC95" w14:textId="77777777" w:rsidR="003354C5" w:rsidRPr="005B5FA2" w:rsidRDefault="003354C5" w:rsidP="0038721F">
      <w:pPr>
        <w:rPr>
          <w:rFonts w:asciiTheme="minorHAnsi" w:hAnsiTheme="minorHAnsi"/>
        </w:rPr>
      </w:pPr>
      <w:r w:rsidRPr="005B5FA2">
        <w:rPr>
          <w:rFonts w:asciiTheme="minorHAnsi" w:hAnsiTheme="minorHAnsi"/>
          <w:noProof/>
          <w:lang w:eastAsia="en-GB"/>
        </w:rPr>
        <w:drawing>
          <wp:inline distT="0" distB="0" distL="0" distR="0" wp14:anchorId="033CA2F6" wp14:editId="484460EA">
            <wp:extent cx="5911902" cy="4319465"/>
            <wp:effectExtent l="0" t="0" r="0" b="0"/>
            <wp:docPr id="6" name="Picture 6" descr="https://lh5.googleusercontent.com/wOr0cKTbvjj-GkXk2B0azHJ7BjBIPRA_4erTIC6ltef5YKtqqx4bdbGPvxd4oypSrJAB4HP_ZiXTH0E9JcZswumfUWZsbwfK68BjPpL8ThTO13ZXypyU0i3X0aVXO50ZDSJarau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5.googleusercontent.com/wOr0cKTbvjj-GkXk2B0azHJ7BjBIPRA_4erTIC6ltef5YKtqqx4bdbGPvxd4oypSrJAB4HP_ZiXTH0E9JcZswumfUWZsbwfK68BjPpL8ThTO13ZXypyU0i3X0aVXO50ZDSJarauQ"/>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11902" cy="4319465"/>
                    </a:xfrm>
                    <a:prstGeom prst="rect">
                      <a:avLst/>
                    </a:prstGeom>
                    <a:noFill/>
                    <a:ln>
                      <a:noFill/>
                    </a:ln>
                  </pic:spPr>
                </pic:pic>
              </a:graphicData>
            </a:graphic>
          </wp:inline>
        </w:drawing>
      </w:r>
    </w:p>
    <w:p w14:paraId="2E7A6087" w14:textId="62066F41" w:rsidR="003354C5" w:rsidRPr="005B5FA2" w:rsidRDefault="003354C5" w:rsidP="008023B4">
      <w:pPr>
        <w:pStyle w:val="Caption"/>
        <w:jc w:val="center"/>
        <w:rPr>
          <w:rFonts w:asciiTheme="minorHAnsi" w:hAnsiTheme="minorHAnsi"/>
        </w:rPr>
      </w:pPr>
      <w:r w:rsidRPr="005B5FA2">
        <w:rPr>
          <w:rFonts w:asciiTheme="minorHAnsi" w:hAnsiTheme="minorHAnsi"/>
        </w:rPr>
        <w:t xml:space="preserve">Figure </w:t>
      </w:r>
      <w:r w:rsidR="00CC3673" w:rsidRPr="005B5FA2">
        <w:rPr>
          <w:rFonts w:asciiTheme="minorHAnsi" w:hAnsiTheme="minorHAnsi"/>
        </w:rPr>
        <w:fldChar w:fldCharType="begin"/>
      </w:r>
      <w:r w:rsidR="00CC3673" w:rsidRPr="005B5FA2">
        <w:rPr>
          <w:rFonts w:asciiTheme="minorHAnsi" w:hAnsiTheme="minorHAnsi"/>
          <w:b w:val="0"/>
          <w:bCs w:val="0"/>
        </w:rPr>
        <w:instrText xml:space="preserve"> SEQ Figure \* ARABIC </w:instrText>
      </w:r>
      <w:r w:rsidR="00CC3673" w:rsidRPr="005B5FA2">
        <w:rPr>
          <w:rFonts w:asciiTheme="minorHAnsi" w:hAnsiTheme="minorHAnsi"/>
        </w:rPr>
        <w:fldChar w:fldCharType="separate"/>
      </w:r>
      <w:r w:rsidR="000C7FDA">
        <w:rPr>
          <w:rFonts w:asciiTheme="minorHAnsi" w:hAnsiTheme="minorHAnsi"/>
          <w:b w:val="0"/>
          <w:bCs w:val="0"/>
          <w:noProof/>
        </w:rPr>
        <w:t>1</w:t>
      </w:r>
      <w:r w:rsidR="00CC3673" w:rsidRPr="005B5FA2">
        <w:rPr>
          <w:rFonts w:asciiTheme="minorHAnsi" w:hAnsiTheme="minorHAnsi"/>
          <w:noProof/>
        </w:rPr>
        <w:fldChar w:fldCharType="end"/>
      </w:r>
      <w:r w:rsidRPr="005B5FA2">
        <w:rPr>
          <w:rFonts w:asciiTheme="minorHAnsi" w:hAnsiTheme="minorHAnsi"/>
        </w:rPr>
        <w:t xml:space="preserve"> Overview of the Service Delivery Model</w:t>
      </w:r>
    </w:p>
    <w:p w14:paraId="27D5DADF" w14:textId="77777777" w:rsidR="003354C5" w:rsidRPr="005B5FA2" w:rsidRDefault="003354C5" w:rsidP="003354C5">
      <w:pPr>
        <w:rPr>
          <w:rFonts w:asciiTheme="minorHAnsi" w:hAnsiTheme="minorHAnsi"/>
        </w:rPr>
      </w:pPr>
      <w:r w:rsidRPr="005B5FA2">
        <w:rPr>
          <w:rFonts w:asciiTheme="minorHAnsi" w:hAnsiTheme="minorHAnsi"/>
        </w:rPr>
        <w:t>The first layer is at the (Inter</w:t>
      </w:r>
      <w:proofErr w:type="gramStart"/>
      <w:r w:rsidRPr="005B5FA2">
        <w:rPr>
          <w:rFonts w:asciiTheme="minorHAnsi" w:hAnsiTheme="minorHAnsi"/>
        </w:rPr>
        <w:t>)National</w:t>
      </w:r>
      <w:proofErr w:type="gramEnd"/>
      <w:r w:rsidRPr="005B5FA2">
        <w:rPr>
          <w:rFonts w:asciiTheme="minorHAnsi" w:hAnsiTheme="minorHAnsi"/>
        </w:rPr>
        <w:t xml:space="preserve"> </w:t>
      </w:r>
      <w:proofErr w:type="spellStart"/>
      <w:r w:rsidRPr="005B5FA2">
        <w:rPr>
          <w:rFonts w:asciiTheme="minorHAnsi" w:hAnsiTheme="minorHAnsi"/>
        </w:rPr>
        <w:t>Datacenter</w:t>
      </w:r>
      <w:proofErr w:type="spellEnd"/>
      <w:r w:rsidRPr="005B5FA2">
        <w:rPr>
          <w:rFonts w:asciiTheme="minorHAnsi" w:hAnsiTheme="minorHAnsi"/>
        </w:rPr>
        <w:t xml:space="preserve"> </w:t>
      </w:r>
      <w:r w:rsidR="001B6C45" w:rsidRPr="005B5FA2">
        <w:rPr>
          <w:rFonts w:asciiTheme="minorHAnsi" w:hAnsiTheme="minorHAnsi"/>
        </w:rPr>
        <w:t xml:space="preserve">level </w:t>
      </w:r>
      <w:r w:rsidRPr="005B5FA2">
        <w:rPr>
          <w:rFonts w:asciiTheme="minorHAnsi" w:hAnsiTheme="minorHAnsi"/>
        </w:rPr>
        <w:t xml:space="preserve">where data and metadata are stored and processed. Metadata is structured data about data, of any sort in any </w:t>
      </w:r>
      <w:r w:rsidR="006E2C22" w:rsidRPr="005B5FA2">
        <w:rPr>
          <w:rFonts w:asciiTheme="minorHAnsi" w:hAnsiTheme="minorHAnsi"/>
        </w:rPr>
        <w:t>media, which</w:t>
      </w:r>
      <w:r w:rsidRPr="005B5FA2">
        <w:rPr>
          <w:rFonts w:asciiTheme="minorHAnsi" w:hAnsiTheme="minorHAnsi"/>
        </w:rPr>
        <w:t xml:space="preserve"> imposes order on a disordered data or information. In database management systems, metadata are index files and data dictionaries that store administrative information, while for textual, image and geospatial information metadata records can be stored as metadata headers or as independent data.</w:t>
      </w:r>
    </w:p>
    <w:p w14:paraId="523A56AB" w14:textId="77777777" w:rsidR="003354C5" w:rsidRPr="005B5FA2" w:rsidRDefault="003354C5" w:rsidP="003354C5">
      <w:pPr>
        <w:rPr>
          <w:rFonts w:asciiTheme="minorHAnsi" w:hAnsiTheme="minorHAnsi"/>
        </w:rPr>
      </w:pPr>
      <w:r w:rsidRPr="005B5FA2">
        <w:rPr>
          <w:rFonts w:asciiTheme="minorHAnsi" w:hAnsiTheme="minorHAnsi"/>
        </w:rPr>
        <w:t xml:space="preserve">The </w:t>
      </w:r>
      <w:proofErr w:type="spellStart"/>
      <w:r w:rsidRPr="005B5FA2">
        <w:rPr>
          <w:rFonts w:asciiTheme="minorHAnsi" w:hAnsiTheme="minorHAnsi"/>
        </w:rPr>
        <w:t>Datacenter</w:t>
      </w:r>
      <w:proofErr w:type="spellEnd"/>
      <w:r w:rsidRPr="005B5FA2">
        <w:rPr>
          <w:rFonts w:asciiTheme="minorHAnsi" w:hAnsiTheme="minorHAnsi"/>
        </w:rPr>
        <w:t xml:space="preserve"> exchanges data with an Infrastructure Mediator to enable collaboration on shared resources to encompass the sharing needs of research activities. Examples of such Infrastructure Mediators are EGI and EUDAT. The data policy is captured by means of an Operational Service Agreement (OLA) which defines the goods or (data) services to be provided, (ownership of) </w:t>
      </w:r>
      <w:r w:rsidRPr="005B5FA2">
        <w:rPr>
          <w:rFonts w:asciiTheme="minorHAnsi" w:hAnsiTheme="minorHAnsi"/>
        </w:rPr>
        <w:lastRenderedPageBreak/>
        <w:t>Intellectual Property Rights (IPRs) of (various parts of) the content and the responsibilities</w:t>
      </w:r>
      <w:r w:rsidR="00361D4F" w:rsidRPr="005B5FA2">
        <w:rPr>
          <w:rStyle w:val="FootnoteReference"/>
          <w:rFonts w:asciiTheme="minorHAnsi" w:hAnsiTheme="minorHAnsi"/>
        </w:rPr>
        <w:footnoteReference w:id="4"/>
      </w:r>
      <w:r w:rsidRPr="005B5FA2">
        <w:rPr>
          <w:rFonts w:asciiTheme="minorHAnsi" w:hAnsiTheme="minorHAnsi"/>
        </w:rPr>
        <w:t xml:space="preserve"> of the parties involved in this agreement.</w:t>
      </w:r>
    </w:p>
    <w:p w14:paraId="231BC26A" w14:textId="77777777" w:rsidR="003354C5" w:rsidRPr="005B5FA2" w:rsidRDefault="003354C5" w:rsidP="003354C5">
      <w:pPr>
        <w:rPr>
          <w:rFonts w:asciiTheme="minorHAnsi" w:hAnsiTheme="minorHAnsi"/>
        </w:rPr>
      </w:pPr>
      <w:r w:rsidRPr="005B5FA2">
        <w:rPr>
          <w:rFonts w:asciiTheme="minorHAnsi" w:hAnsiTheme="minorHAnsi"/>
        </w:rPr>
        <w:t>The Infrastructure Mediator exchanges data with the Service Mediator where data are processed, organized, structured or presented in a given context that makes the data useful. Within this step data becomes information</w:t>
      </w:r>
      <w:r w:rsidR="00361D4F" w:rsidRPr="005B5FA2">
        <w:rPr>
          <w:rStyle w:val="FootnoteReference"/>
          <w:rFonts w:asciiTheme="minorHAnsi" w:hAnsiTheme="minorHAnsi"/>
        </w:rPr>
        <w:footnoteReference w:id="5"/>
      </w:r>
      <w:r w:rsidRPr="005B5FA2">
        <w:rPr>
          <w:rFonts w:asciiTheme="minorHAnsi" w:hAnsiTheme="minorHAnsi"/>
        </w:rPr>
        <w:t xml:space="preserve"> ready-to-use for analyses. Examples of such Service Mediators are D4Science, Global Biodiversity Information Facility (GBIF) and Copernicus Marine Environment Service. The exchange of data is carried out by means of a Service Level Agreement (SLA) which describes the IT Service, (ownership of) IPRs of (various parts of) the content, service level targets and responsibilities of the Service Provider and the customer</w:t>
      </w:r>
      <w:r w:rsidR="00361D4F" w:rsidRPr="005B5FA2">
        <w:rPr>
          <w:rStyle w:val="FootnoteReference"/>
          <w:rFonts w:asciiTheme="minorHAnsi" w:hAnsiTheme="minorHAnsi"/>
        </w:rPr>
        <w:footnoteReference w:id="6"/>
      </w:r>
      <w:r w:rsidRPr="005B5FA2">
        <w:rPr>
          <w:rFonts w:asciiTheme="minorHAnsi" w:hAnsiTheme="minorHAnsi"/>
        </w:rPr>
        <w:t>.</w:t>
      </w:r>
    </w:p>
    <w:p w14:paraId="7AFE2808" w14:textId="77777777" w:rsidR="003354C5" w:rsidRPr="005B5FA2" w:rsidRDefault="003354C5" w:rsidP="003354C5">
      <w:pPr>
        <w:rPr>
          <w:rFonts w:asciiTheme="minorHAnsi" w:hAnsiTheme="minorHAnsi"/>
        </w:rPr>
      </w:pPr>
      <w:r w:rsidRPr="005B5FA2">
        <w:rPr>
          <w:rFonts w:asciiTheme="minorHAnsi" w:hAnsiTheme="minorHAnsi"/>
        </w:rPr>
        <w:t xml:space="preserve">The Service Mediator is responsible for data transfer to the Research Community where information is transformed and modelled with the goal of discovering useful information, suggesting conclusions, and supporting decision-making. The transfer of data is carried out by means of Terms of Use and Privacy Policy which gives definitions, user rights and responsibilities and the (ownership of) IPRs of (various parts of) the content. If necessary, a Memorandum of Understanding can be used to express a convergence of will between relevant parties and intended common line of action and direction. This document is not binding unless it meets the four criteria of contracts: offer and acceptance, consideration and intention to be legally bound. Due to the complexity of this system it appeared to be beneficial to bundle in each layer all conditions and terms set in the lower layers. In this way the complexity of lower layers are ‘hidden’ in upper layers. For example, the Terms of Use reflect all underlying conditions and terms set in both the SLA and OLA. </w:t>
      </w:r>
    </w:p>
    <w:p w14:paraId="0352BEB6" w14:textId="77777777" w:rsidR="003354C5" w:rsidRPr="005B5FA2" w:rsidRDefault="005F55F3" w:rsidP="003354C5">
      <w:pPr>
        <w:pStyle w:val="Heading1"/>
        <w:rPr>
          <w:rFonts w:asciiTheme="minorHAnsi" w:hAnsiTheme="minorHAnsi"/>
        </w:rPr>
      </w:pPr>
      <w:bookmarkStart w:id="4" w:name="_Toc496179588"/>
      <w:r w:rsidRPr="005B5FA2">
        <w:rPr>
          <w:rFonts w:asciiTheme="minorHAnsi" w:hAnsiTheme="minorHAnsi"/>
        </w:rPr>
        <w:lastRenderedPageBreak/>
        <w:t>Application of S</w:t>
      </w:r>
      <w:r w:rsidR="00BB6672" w:rsidRPr="005B5FA2">
        <w:rPr>
          <w:rFonts w:asciiTheme="minorHAnsi" w:hAnsiTheme="minorHAnsi"/>
        </w:rPr>
        <w:t xml:space="preserve">ervice </w:t>
      </w:r>
      <w:r w:rsidRPr="005B5FA2">
        <w:rPr>
          <w:rFonts w:asciiTheme="minorHAnsi" w:hAnsiTheme="minorHAnsi"/>
        </w:rPr>
        <w:t>D</w:t>
      </w:r>
      <w:r w:rsidR="00BB6672" w:rsidRPr="005B5FA2">
        <w:rPr>
          <w:rFonts w:asciiTheme="minorHAnsi" w:hAnsiTheme="minorHAnsi"/>
        </w:rPr>
        <w:t xml:space="preserve">elivery </w:t>
      </w:r>
      <w:r w:rsidRPr="005B5FA2">
        <w:rPr>
          <w:rFonts w:asciiTheme="minorHAnsi" w:hAnsiTheme="minorHAnsi"/>
        </w:rPr>
        <w:t>M</w:t>
      </w:r>
      <w:r w:rsidR="00BB6672" w:rsidRPr="005B5FA2">
        <w:rPr>
          <w:rFonts w:asciiTheme="minorHAnsi" w:hAnsiTheme="minorHAnsi"/>
        </w:rPr>
        <w:t>odel</w:t>
      </w:r>
      <w:r w:rsidRPr="005B5FA2">
        <w:rPr>
          <w:rFonts w:asciiTheme="minorHAnsi" w:hAnsiTheme="minorHAnsi"/>
        </w:rPr>
        <w:t xml:space="preserve"> </w:t>
      </w:r>
      <w:r w:rsidR="003354C5" w:rsidRPr="005B5FA2">
        <w:rPr>
          <w:rFonts w:asciiTheme="minorHAnsi" w:hAnsiTheme="minorHAnsi"/>
        </w:rPr>
        <w:t>in FAO use case</w:t>
      </w:r>
      <w:bookmarkEnd w:id="4"/>
    </w:p>
    <w:p w14:paraId="186AECB7" w14:textId="77777777" w:rsidR="00A6789C" w:rsidRPr="005B5FA2" w:rsidRDefault="007677CF" w:rsidP="00A6789C">
      <w:pPr>
        <w:rPr>
          <w:rFonts w:asciiTheme="minorHAnsi" w:hAnsiTheme="minorHAnsi"/>
        </w:rPr>
      </w:pPr>
      <w:r w:rsidRPr="005B5FA2">
        <w:rPr>
          <w:rFonts w:asciiTheme="minorHAnsi" w:hAnsiTheme="minorHAnsi"/>
        </w:rPr>
        <w:t xml:space="preserve">The focus of chapter 2 was to develop a generic SDM to create an overview of the </w:t>
      </w:r>
      <w:r w:rsidR="00F30B26" w:rsidRPr="005B5FA2">
        <w:rPr>
          <w:rFonts w:asciiTheme="minorHAnsi" w:hAnsiTheme="minorHAnsi"/>
        </w:rPr>
        <w:t xml:space="preserve">research lifecycle </w:t>
      </w:r>
      <w:r w:rsidR="00A72CF7" w:rsidRPr="005B5FA2">
        <w:rPr>
          <w:rFonts w:asciiTheme="minorHAnsi" w:hAnsiTheme="minorHAnsi"/>
        </w:rPr>
        <w:t>and the required legal documents</w:t>
      </w:r>
      <w:r w:rsidRPr="005B5FA2">
        <w:rPr>
          <w:rFonts w:asciiTheme="minorHAnsi" w:hAnsiTheme="minorHAnsi"/>
        </w:rPr>
        <w:t xml:space="preserve">. </w:t>
      </w:r>
      <w:r w:rsidR="00A6789C" w:rsidRPr="005B5FA2">
        <w:rPr>
          <w:rFonts w:asciiTheme="minorHAnsi" w:hAnsiTheme="minorHAnsi"/>
        </w:rPr>
        <w:t xml:space="preserve">The Food and Agriculture Organization of the United Nations (FAO) participates to the EGI-Engage project to </w:t>
      </w:r>
      <w:r w:rsidR="004C00EF" w:rsidRPr="005B5FA2">
        <w:rPr>
          <w:rFonts w:asciiTheme="minorHAnsi" w:hAnsiTheme="minorHAnsi"/>
        </w:rPr>
        <w:t xml:space="preserve">support the creation and validation of </w:t>
      </w:r>
      <w:r w:rsidR="00A6789C" w:rsidRPr="005B5FA2">
        <w:rPr>
          <w:rFonts w:asciiTheme="minorHAnsi" w:hAnsiTheme="minorHAnsi"/>
        </w:rPr>
        <w:t>a potential</w:t>
      </w:r>
      <w:r w:rsidR="00822CAB" w:rsidRPr="005B5FA2">
        <w:rPr>
          <w:rFonts w:asciiTheme="minorHAnsi" w:hAnsiTheme="minorHAnsi"/>
        </w:rPr>
        <w:t xml:space="preserve"> SDM</w:t>
      </w:r>
      <w:r w:rsidR="00A6789C" w:rsidRPr="005B5FA2">
        <w:rPr>
          <w:rFonts w:asciiTheme="minorHAnsi" w:hAnsiTheme="minorHAnsi"/>
        </w:rPr>
        <w:t>.</w:t>
      </w:r>
      <w:r w:rsidR="00466A6B" w:rsidRPr="005B5FA2">
        <w:rPr>
          <w:rFonts w:asciiTheme="minorHAnsi" w:hAnsiTheme="minorHAnsi"/>
        </w:rPr>
        <w:t xml:space="preserve"> </w:t>
      </w:r>
      <w:r w:rsidR="00A6789C" w:rsidRPr="005B5FA2">
        <w:rPr>
          <w:rFonts w:asciiTheme="minorHAnsi" w:hAnsiTheme="minorHAnsi"/>
        </w:rPr>
        <w:t>The SDM</w:t>
      </w:r>
      <w:r w:rsidR="004C00EF" w:rsidRPr="005B5FA2">
        <w:rPr>
          <w:rFonts w:asciiTheme="minorHAnsi" w:hAnsiTheme="minorHAnsi"/>
        </w:rPr>
        <w:t xml:space="preserve"> in the FAO use case</w:t>
      </w:r>
      <w:r w:rsidR="00A6789C" w:rsidRPr="005B5FA2">
        <w:rPr>
          <w:rFonts w:asciiTheme="minorHAnsi" w:hAnsiTheme="minorHAnsi"/>
        </w:rPr>
        <w:t xml:space="preserve"> brings together:</w:t>
      </w:r>
    </w:p>
    <w:p w14:paraId="5907DC7B" w14:textId="77777777" w:rsidR="00A6789C" w:rsidRPr="005B5FA2" w:rsidRDefault="00A6789C" w:rsidP="00A6789C">
      <w:pPr>
        <w:numPr>
          <w:ilvl w:val="0"/>
          <w:numId w:val="20"/>
        </w:numPr>
        <w:rPr>
          <w:rFonts w:asciiTheme="minorHAnsi" w:hAnsiTheme="minorHAnsi"/>
        </w:rPr>
      </w:pPr>
      <w:r w:rsidRPr="005B5FA2">
        <w:rPr>
          <w:rFonts w:asciiTheme="minorHAnsi" w:hAnsiTheme="minorHAnsi"/>
        </w:rPr>
        <w:t>FAO as the end customer with the need for legal interoperability;</w:t>
      </w:r>
    </w:p>
    <w:p w14:paraId="1DA24DC7" w14:textId="77777777" w:rsidR="00A6789C" w:rsidRPr="005B5FA2" w:rsidRDefault="00A6789C" w:rsidP="00A6789C">
      <w:pPr>
        <w:numPr>
          <w:ilvl w:val="0"/>
          <w:numId w:val="20"/>
        </w:numPr>
        <w:rPr>
          <w:rFonts w:asciiTheme="minorHAnsi" w:hAnsiTheme="minorHAnsi"/>
        </w:rPr>
      </w:pPr>
      <w:r w:rsidRPr="005B5FA2">
        <w:rPr>
          <w:rFonts w:asciiTheme="minorHAnsi" w:hAnsiTheme="minorHAnsi"/>
        </w:rPr>
        <w:t>The D4Science infrastructure as a mediator for data services (developed i</w:t>
      </w:r>
      <w:r w:rsidR="00916652" w:rsidRPr="005B5FA2">
        <w:rPr>
          <w:rFonts w:asciiTheme="minorHAnsi" w:hAnsiTheme="minorHAnsi"/>
        </w:rPr>
        <w:t xml:space="preserve">n the </w:t>
      </w:r>
      <w:proofErr w:type="spellStart"/>
      <w:r w:rsidR="00916652" w:rsidRPr="005B5FA2">
        <w:rPr>
          <w:rFonts w:asciiTheme="minorHAnsi" w:hAnsiTheme="minorHAnsi"/>
        </w:rPr>
        <w:t>BlueBRIDGE</w:t>
      </w:r>
      <w:proofErr w:type="spellEnd"/>
      <w:r w:rsidR="00916652" w:rsidRPr="005B5FA2">
        <w:rPr>
          <w:rFonts w:asciiTheme="minorHAnsi" w:hAnsiTheme="minorHAnsi"/>
        </w:rPr>
        <w:t xml:space="preserve"> H2020 project);</w:t>
      </w:r>
      <w:r w:rsidRPr="005B5FA2">
        <w:rPr>
          <w:rFonts w:asciiTheme="minorHAnsi" w:hAnsiTheme="minorHAnsi"/>
        </w:rPr>
        <w:t xml:space="preserve"> and  </w:t>
      </w:r>
    </w:p>
    <w:p w14:paraId="768E7EC4" w14:textId="77777777" w:rsidR="00A6789C" w:rsidRPr="005B5FA2" w:rsidRDefault="00A6789C" w:rsidP="00A6789C">
      <w:pPr>
        <w:numPr>
          <w:ilvl w:val="0"/>
          <w:numId w:val="20"/>
        </w:numPr>
        <w:rPr>
          <w:rFonts w:asciiTheme="minorHAnsi" w:hAnsiTheme="minorHAnsi"/>
        </w:rPr>
      </w:pPr>
      <w:r w:rsidRPr="005B5FA2">
        <w:rPr>
          <w:rFonts w:asciiTheme="minorHAnsi" w:hAnsiTheme="minorHAnsi"/>
        </w:rPr>
        <w:t xml:space="preserve">EGI as the infrastructure and computational resource provider. </w:t>
      </w:r>
    </w:p>
    <w:p w14:paraId="53A21D3D" w14:textId="0763DD4E" w:rsidR="00A6789C" w:rsidRPr="005B5FA2" w:rsidRDefault="00A6789C" w:rsidP="00A6789C">
      <w:pPr>
        <w:rPr>
          <w:rFonts w:asciiTheme="minorHAnsi" w:hAnsiTheme="minorHAnsi"/>
        </w:rPr>
      </w:pPr>
      <w:r w:rsidRPr="005B5FA2">
        <w:rPr>
          <w:rFonts w:asciiTheme="minorHAnsi" w:hAnsiTheme="minorHAnsi"/>
        </w:rPr>
        <w:t xml:space="preserve">With the legal interoperability objective in mind FAO reviewed two agreements to identify potential gaps and to see whether current agreements can be modified or whether completely new agreements are required to fit with the SDM. </w:t>
      </w:r>
      <w:r w:rsidR="00B608D3" w:rsidRPr="005B5FA2">
        <w:rPr>
          <w:rFonts w:asciiTheme="minorHAnsi" w:hAnsiTheme="minorHAnsi"/>
        </w:rPr>
        <w:t xml:space="preserve">To test the proposed SDM and to find out where the gaps are in FAO’s current service delivery, five FAO officials were interviewed. These FAO officials were selected from different departments that are concerned with data </w:t>
      </w:r>
      <w:r w:rsidR="00252005" w:rsidRPr="005B5FA2">
        <w:rPr>
          <w:rFonts w:asciiTheme="minorHAnsi" w:hAnsiTheme="minorHAnsi"/>
        </w:rPr>
        <w:t xml:space="preserve">policies and </w:t>
      </w:r>
      <w:r w:rsidR="00B608D3" w:rsidRPr="005B5FA2">
        <w:rPr>
          <w:rFonts w:asciiTheme="minorHAnsi" w:hAnsiTheme="minorHAnsi"/>
        </w:rPr>
        <w:t xml:space="preserve">sharing but all </w:t>
      </w:r>
      <w:r w:rsidR="00252005" w:rsidRPr="005B5FA2">
        <w:rPr>
          <w:rFonts w:asciiTheme="minorHAnsi" w:hAnsiTheme="minorHAnsi"/>
        </w:rPr>
        <w:t xml:space="preserve">with </w:t>
      </w:r>
      <w:r w:rsidR="00B608D3" w:rsidRPr="005B5FA2">
        <w:rPr>
          <w:rFonts w:asciiTheme="minorHAnsi" w:hAnsiTheme="minorHAnsi"/>
        </w:rPr>
        <w:t xml:space="preserve">a different perspective. Officials from the following departments were interviewed: </w:t>
      </w:r>
      <w:r w:rsidR="0040108D" w:rsidRPr="005B5FA2">
        <w:rPr>
          <w:rFonts w:asciiTheme="minorHAnsi" w:hAnsiTheme="minorHAnsi"/>
        </w:rPr>
        <w:t xml:space="preserve">fisheries and aquaculture (FIAS), </w:t>
      </w:r>
      <w:r w:rsidR="00B608D3" w:rsidRPr="005B5FA2">
        <w:rPr>
          <w:rFonts w:asciiTheme="minorHAnsi" w:hAnsiTheme="minorHAnsi"/>
        </w:rPr>
        <w:t xml:space="preserve">communications (OCCI), </w:t>
      </w:r>
      <w:r w:rsidR="0040108D" w:rsidRPr="005B5FA2">
        <w:rPr>
          <w:rFonts w:asciiTheme="minorHAnsi" w:hAnsiTheme="minorHAnsi"/>
        </w:rPr>
        <w:t>legal (LEGN) and statistics (ESS)</w:t>
      </w:r>
      <w:r w:rsidR="00142039" w:rsidRPr="005B5FA2">
        <w:rPr>
          <w:rFonts w:asciiTheme="minorHAnsi" w:hAnsiTheme="minorHAnsi"/>
        </w:rPr>
        <w:t xml:space="preserve"> (please see </w:t>
      </w:r>
      <w:r w:rsidR="00411D91" w:rsidRPr="005B5FA2">
        <w:rPr>
          <w:rFonts w:asciiTheme="minorHAnsi" w:hAnsiTheme="minorHAnsi"/>
        </w:rPr>
        <w:t xml:space="preserve">the </w:t>
      </w:r>
      <w:r w:rsidR="00142039" w:rsidRPr="005B5FA2">
        <w:rPr>
          <w:rFonts w:asciiTheme="minorHAnsi" w:hAnsiTheme="minorHAnsi"/>
        </w:rPr>
        <w:t>Anne</w:t>
      </w:r>
      <w:r w:rsidR="00057573">
        <w:rPr>
          <w:rFonts w:asciiTheme="minorHAnsi" w:hAnsiTheme="minorHAnsi"/>
        </w:rPr>
        <w:t>x</w:t>
      </w:r>
      <w:r w:rsidR="00142039" w:rsidRPr="005B5FA2">
        <w:rPr>
          <w:rFonts w:asciiTheme="minorHAnsi" w:hAnsiTheme="minorHAnsi"/>
        </w:rPr>
        <w:t xml:space="preserve"> for a summary of the interviews)</w:t>
      </w:r>
      <w:r w:rsidR="0040108D" w:rsidRPr="005B5FA2">
        <w:rPr>
          <w:rFonts w:asciiTheme="minorHAnsi" w:hAnsiTheme="minorHAnsi"/>
        </w:rPr>
        <w:t>.</w:t>
      </w:r>
      <w:r w:rsidR="00B608D3" w:rsidRPr="005B5FA2">
        <w:rPr>
          <w:rFonts w:asciiTheme="minorHAnsi" w:hAnsiTheme="minorHAnsi"/>
        </w:rPr>
        <w:t xml:space="preserve"> </w:t>
      </w:r>
      <w:r w:rsidRPr="005B5FA2">
        <w:rPr>
          <w:rFonts w:asciiTheme="minorHAnsi" w:hAnsiTheme="minorHAnsi"/>
        </w:rPr>
        <w:t>It is important to note that while organizations like FAO</w:t>
      </w:r>
      <w:r w:rsidR="00F53C04" w:rsidRPr="005B5FA2">
        <w:rPr>
          <w:rFonts w:asciiTheme="minorHAnsi" w:hAnsiTheme="minorHAnsi"/>
        </w:rPr>
        <w:t xml:space="preserve"> highlight</w:t>
      </w:r>
      <w:r w:rsidRPr="005B5FA2">
        <w:rPr>
          <w:rFonts w:asciiTheme="minorHAnsi" w:hAnsiTheme="minorHAnsi"/>
        </w:rPr>
        <w:t xml:space="preserve"> the need for comprehensive data policies, few have implemented binding and formal policies. </w:t>
      </w:r>
    </w:p>
    <w:p w14:paraId="0D4886B4" w14:textId="77777777" w:rsidR="00A6789C" w:rsidRPr="005B5FA2" w:rsidRDefault="00A6789C" w:rsidP="00A6789C">
      <w:pPr>
        <w:rPr>
          <w:rFonts w:asciiTheme="minorHAnsi" w:hAnsiTheme="minorHAnsi"/>
        </w:rPr>
      </w:pPr>
      <w:r w:rsidRPr="005B5FA2">
        <w:rPr>
          <w:rFonts w:asciiTheme="minorHAnsi" w:hAnsiTheme="minorHAnsi"/>
        </w:rPr>
        <w:t>At first, it is important to consider what type of data is included in any SDM. There are three broad types of data</w:t>
      </w:r>
      <w:r w:rsidR="006F5563" w:rsidRPr="005B5FA2">
        <w:rPr>
          <w:rFonts w:asciiTheme="minorHAnsi" w:hAnsiTheme="minorHAnsi"/>
        </w:rPr>
        <w:t xml:space="preserve"> in research</w:t>
      </w:r>
      <w:r w:rsidRPr="005B5FA2">
        <w:rPr>
          <w:rFonts w:asciiTheme="minorHAnsi" w:hAnsiTheme="minorHAnsi"/>
        </w:rPr>
        <w:t>, which are all included:</w:t>
      </w:r>
    </w:p>
    <w:p w14:paraId="32645D31" w14:textId="77777777" w:rsidR="00A6789C" w:rsidRPr="005B5FA2" w:rsidRDefault="00A6789C" w:rsidP="00A6789C">
      <w:pPr>
        <w:numPr>
          <w:ilvl w:val="0"/>
          <w:numId w:val="21"/>
        </w:numPr>
        <w:rPr>
          <w:rFonts w:asciiTheme="minorHAnsi" w:hAnsiTheme="minorHAnsi"/>
        </w:rPr>
      </w:pPr>
      <w:r w:rsidRPr="005B5FA2">
        <w:rPr>
          <w:rFonts w:asciiTheme="minorHAnsi" w:hAnsiTheme="minorHAnsi"/>
        </w:rPr>
        <w:t>Primary/raw data: data coming directly from the source;</w:t>
      </w:r>
    </w:p>
    <w:p w14:paraId="4F57E450" w14:textId="77777777" w:rsidR="00A6789C" w:rsidRPr="005B5FA2" w:rsidRDefault="00A6789C" w:rsidP="00A6789C">
      <w:pPr>
        <w:numPr>
          <w:ilvl w:val="0"/>
          <w:numId w:val="21"/>
        </w:numPr>
        <w:rPr>
          <w:rFonts w:asciiTheme="minorHAnsi" w:hAnsiTheme="minorHAnsi"/>
        </w:rPr>
      </w:pPr>
      <w:r w:rsidRPr="005B5FA2">
        <w:rPr>
          <w:rFonts w:asciiTheme="minorHAnsi" w:hAnsiTheme="minorHAnsi"/>
        </w:rPr>
        <w:t>Aggregated data/statistics: data processed from primary/raw data; and</w:t>
      </w:r>
    </w:p>
    <w:p w14:paraId="79DE9DC9" w14:textId="77777777" w:rsidR="00A6789C" w:rsidRPr="005B5FA2" w:rsidRDefault="00A6789C" w:rsidP="00A6789C">
      <w:pPr>
        <w:numPr>
          <w:ilvl w:val="0"/>
          <w:numId w:val="21"/>
        </w:numPr>
        <w:rPr>
          <w:rFonts w:asciiTheme="minorHAnsi" w:hAnsiTheme="minorHAnsi"/>
        </w:rPr>
      </w:pPr>
      <w:r w:rsidRPr="005B5FA2">
        <w:rPr>
          <w:rFonts w:asciiTheme="minorHAnsi" w:hAnsiTheme="minorHAnsi"/>
        </w:rPr>
        <w:t xml:space="preserve">Metadata: reference data describing either the primary/raw data or aggregated data/statistics. </w:t>
      </w:r>
    </w:p>
    <w:p w14:paraId="6C582838" w14:textId="77777777" w:rsidR="00A6789C" w:rsidRPr="005B5FA2" w:rsidRDefault="00A6789C" w:rsidP="00A6789C">
      <w:pPr>
        <w:rPr>
          <w:rFonts w:asciiTheme="minorHAnsi" w:hAnsiTheme="minorHAnsi"/>
        </w:rPr>
      </w:pPr>
      <w:r w:rsidRPr="005B5FA2">
        <w:rPr>
          <w:rFonts w:asciiTheme="minorHAnsi" w:hAnsiTheme="minorHAnsi"/>
        </w:rPr>
        <w:t xml:space="preserve">In most data projects, there are likely to be two components. The first is the data collected, assembled, or generated, i.e. the raw content in the system (e.g. fish catch from a specific vessel or reported by a country, the readings of an instrument). The second component is the data system in which the data is stored and managed. The SDM </w:t>
      </w:r>
      <w:r w:rsidR="00E31E09" w:rsidRPr="005B5FA2">
        <w:rPr>
          <w:rFonts w:asciiTheme="minorHAnsi" w:hAnsiTheme="minorHAnsi"/>
        </w:rPr>
        <w:t>focuses on the policy and legal aspects of both components.</w:t>
      </w:r>
    </w:p>
    <w:p w14:paraId="0D0BE475" w14:textId="77777777" w:rsidR="00A6789C" w:rsidRPr="005B5FA2" w:rsidRDefault="00A6789C" w:rsidP="00A6789C">
      <w:pPr>
        <w:rPr>
          <w:rFonts w:asciiTheme="minorHAnsi" w:hAnsiTheme="minorHAnsi"/>
        </w:rPr>
      </w:pPr>
      <w:r w:rsidRPr="005B5FA2">
        <w:rPr>
          <w:rFonts w:asciiTheme="minorHAnsi" w:hAnsiTheme="minorHAnsi"/>
        </w:rPr>
        <w:t xml:space="preserve">We usually do not think of data content separate from the system in which it is stored, but the distinction is important in terms of IPRs. The question is what is protected by copyright. Factual </w:t>
      </w:r>
      <w:r w:rsidRPr="005B5FA2">
        <w:rPr>
          <w:rFonts w:asciiTheme="minorHAnsi" w:hAnsiTheme="minorHAnsi"/>
        </w:rPr>
        <w:lastRenderedPageBreak/>
        <w:t>data has no copyright protection since it does not meet the criterion of creativity; it is after all not possible to copyright facts (Carroll, 2015).</w:t>
      </w:r>
    </w:p>
    <w:p w14:paraId="1C481693" w14:textId="77777777" w:rsidR="00A6789C" w:rsidRPr="005B5FA2" w:rsidRDefault="00A6789C" w:rsidP="00A6789C">
      <w:pPr>
        <w:rPr>
          <w:rFonts w:asciiTheme="minorHAnsi" w:hAnsiTheme="minorHAnsi"/>
        </w:rPr>
      </w:pPr>
      <w:r w:rsidRPr="005B5FA2">
        <w:rPr>
          <w:rFonts w:asciiTheme="minorHAnsi" w:hAnsiTheme="minorHAnsi"/>
        </w:rPr>
        <w:t>Because of the different copyright status of databases and data content, different mechanisms are required to manage each. Copyright and Terms of Use can manage the use of databases and some data content (that which is itself original), but contract law, trademarks, and other type of management are required to regulate factual data.</w:t>
      </w:r>
      <w:r w:rsidR="00F1168E" w:rsidRPr="005B5FA2">
        <w:rPr>
          <w:rFonts w:asciiTheme="minorHAnsi" w:hAnsiTheme="minorHAnsi"/>
        </w:rPr>
        <w:t xml:space="preserve"> All FAO interviewees responded that to facilitate the use, reuse and sharing of data a uniform</w:t>
      </w:r>
      <w:r w:rsidR="00F2595F" w:rsidRPr="005B5FA2">
        <w:rPr>
          <w:rFonts w:asciiTheme="minorHAnsi" w:hAnsiTheme="minorHAnsi"/>
        </w:rPr>
        <w:t xml:space="preserve"> FAO</w:t>
      </w:r>
      <w:r w:rsidR="00F1168E" w:rsidRPr="005B5FA2">
        <w:rPr>
          <w:rFonts w:asciiTheme="minorHAnsi" w:hAnsiTheme="minorHAnsi"/>
        </w:rPr>
        <w:t xml:space="preserve"> data policy is required. FAO’s data policy currently depends on case-by-case assessments, which is highly time-intensive. The interviewees also </w:t>
      </w:r>
      <w:r w:rsidR="0083564B" w:rsidRPr="005B5FA2">
        <w:rPr>
          <w:rFonts w:asciiTheme="minorHAnsi" w:hAnsiTheme="minorHAnsi"/>
        </w:rPr>
        <w:t>agreed</w:t>
      </w:r>
      <w:r w:rsidR="00F1168E" w:rsidRPr="005B5FA2">
        <w:rPr>
          <w:rFonts w:asciiTheme="minorHAnsi" w:hAnsiTheme="minorHAnsi"/>
        </w:rPr>
        <w:t xml:space="preserve"> that </w:t>
      </w:r>
      <w:r w:rsidR="00F2595F" w:rsidRPr="005B5FA2">
        <w:rPr>
          <w:rFonts w:asciiTheme="minorHAnsi" w:hAnsiTheme="minorHAnsi"/>
        </w:rPr>
        <w:t>the awareness of the need for a FAO data policy is increasing, but nothing concrete has been established yet.</w:t>
      </w:r>
      <w:r w:rsidR="001941AC" w:rsidRPr="005B5FA2">
        <w:rPr>
          <w:rFonts w:asciiTheme="minorHAnsi" w:hAnsiTheme="minorHAnsi"/>
        </w:rPr>
        <w:t xml:space="preserve"> The proposed SDM can be a first step towards a uniform data policy</w:t>
      </w:r>
      <w:r w:rsidR="00104253" w:rsidRPr="005B5FA2">
        <w:rPr>
          <w:rFonts w:asciiTheme="minorHAnsi" w:hAnsiTheme="minorHAnsi"/>
        </w:rPr>
        <w:t>, facilitating the compatibility of aforementioned types of mechanisms.</w:t>
      </w:r>
    </w:p>
    <w:p w14:paraId="1496D67A" w14:textId="77777777" w:rsidR="00A6789C" w:rsidRPr="005B5FA2" w:rsidRDefault="00A6789C" w:rsidP="00A6789C">
      <w:pPr>
        <w:rPr>
          <w:rFonts w:asciiTheme="minorHAnsi" w:hAnsiTheme="minorHAnsi"/>
        </w:rPr>
      </w:pPr>
      <w:r w:rsidRPr="005B5FA2">
        <w:rPr>
          <w:rFonts w:asciiTheme="minorHAnsi" w:hAnsiTheme="minorHAnsi"/>
        </w:rPr>
        <w:t xml:space="preserve">As set forth in EGI-Engage D2.6, legal interoperability intends to provide clarity on the rules and rights for the use, reuse and sharing of data. After </w:t>
      </w:r>
      <w:r w:rsidR="00B73128" w:rsidRPr="005B5FA2">
        <w:rPr>
          <w:rFonts w:asciiTheme="minorHAnsi" w:hAnsiTheme="minorHAnsi"/>
        </w:rPr>
        <w:t>interviewing</w:t>
      </w:r>
      <w:r w:rsidR="00EF1461" w:rsidRPr="005B5FA2">
        <w:rPr>
          <w:rFonts w:asciiTheme="minorHAnsi" w:hAnsiTheme="minorHAnsi"/>
        </w:rPr>
        <w:t xml:space="preserve"> </w:t>
      </w:r>
      <w:r w:rsidRPr="005B5FA2">
        <w:rPr>
          <w:rFonts w:asciiTheme="minorHAnsi" w:hAnsiTheme="minorHAnsi"/>
        </w:rPr>
        <w:t>multiple experts varying from an IP lawyer to policymakers the following definition of legal interoperability was agreed upon:</w:t>
      </w:r>
      <w:r w:rsidRPr="005B5FA2">
        <w:rPr>
          <w:rFonts w:asciiTheme="minorHAnsi" w:hAnsiTheme="minorHAnsi"/>
          <w:i/>
          <w:iCs/>
        </w:rPr>
        <w:t xml:space="preserve"> ‘the compatibility of legal rights, terms, and conditions of databases from two or more sources so that the data may be combined and integrated by any user, without further permission and without compromising the legal rights of any of the data sources used’ </w:t>
      </w:r>
      <w:r w:rsidRPr="005B5FA2">
        <w:rPr>
          <w:rFonts w:asciiTheme="minorHAnsi" w:hAnsiTheme="minorHAnsi"/>
        </w:rPr>
        <w:t xml:space="preserve">(van </w:t>
      </w:r>
      <w:proofErr w:type="spellStart"/>
      <w:r w:rsidRPr="005B5FA2">
        <w:rPr>
          <w:rFonts w:asciiTheme="minorHAnsi" w:hAnsiTheme="minorHAnsi"/>
        </w:rPr>
        <w:t>Maanen</w:t>
      </w:r>
      <w:proofErr w:type="spellEnd"/>
      <w:r w:rsidRPr="005B5FA2">
        <w:rPr>
          <w:rFonts w:asciiTheme="minorHAnsi" w:hAnsiTheme="minorHAnsi"/>
        </w:rPr>
        <w:t xml:space="preserve"> &amp; </w:t>
      </w:r>
      <w:proofErr w:type="spellStart"/>
      <w:r w:rsidRPr="005B5FA2">
        <w:rPr>
          <w:rFonts w:asciiTheme="minorHAnsi" w:hAnsiTheme="minorHAnsi"/>
        </w:rPr>
        <w:t>Ellenbroek</w:t>
      </w:r>
      <w:proofErr w:type="spellEnd"/>
      <w:r w:rsidRPr="005B5FA2">
        <w:rPr>
          <w:rFonts w:asciiTheme="minorHAnsi" w:hAnsiTheme="minorHAnsi"/>
        </w:rPr>
        <w:t>, 2016)</w:t>
      </w:r>
      <w:r w:rsidRPr="005B5FA2">
        <w:rPr>
          <w:rFonts w:asciiTheme="minorHAnsi" w:hAnsiTheme="minorHAnsi"/>
          <w:i/>
          <w:iCs/>
        </w:rPr>
        <w:t xml:space="preserve">. </w:t>
      </w:r>
    </w:p>
    <w:p w14:paraId="79AECE53" w14:textId="77777777" w:rsidR="00A6789C" w:rsidRPr="005B5FA2" w:rsidRDefault="00A6789C" w:rsidP="00A6789C">
      <w:pPr>
        <w:rPr>
          <w:rFonts w:asciiTheme="minorHAnsi" w:hAnsiTheme="minorHAnsi"/>
        </w:rPr>
      </w:pPr>
      <w:r w:rsidRPr="005B5FA2">
        <w:rPr>
          <w:rFonts w:asciiTheme="minorHAnsi" w:hAnsiTheme="minorHAnsi"/>
        </w:rPr>
        <w:t>A SDM covers more than legal interoperability. It includes the creation, organisation, documentation, storage and share of data services delivery. A SDM takes into account issues such as data protection and confidentiality, data preservation and curation, and provides a framework that supports researchers and their data throughout the course of their research and beyond. There are various benefits of a complete and applied SDM such as: traceability of data, continuity if project staff leave or new researchers join, avoid unnecessary duplication (e.g. re-collecting or re-working data), maintain underlying publications of data, more collaboration in the research and data sector, easier to cite data for all data users and clarity on legal aspects of data sharing, access and reuse. It is worth mentioning that these benefits might require different types of SDMs. For example, the difference between publication</w:t>
      </w:r>
      <w:r w:rsidR="00CE3582" w:rsidRPr="005B5FA2">
        <w:rPr>
          <w:rStyle w:val="FootnoteReference"/>
          <w:rFonts w:asciiTheme="minorHAnsi" w:hAnsiTheme="minorHAnsi"/>
        </w:rPr>
        <w:footnoteReference w:id="7"/>
      </w:r>
      <w:r w:rsidRPr="005B5FA2">
        <w:rPr>
          <w:rFonts w:asciiTheme="minorHAnsi" w:hAnsiTheme="minorHAnsi"/>
        </w:rPr>
        <w:t xml:space="preserve"> and sharing</w:t>
      </w:r>
      <w:r w:rsidR="00CE3582" w:rsidRPr="005B5FA2">
        <w:rPr>
          <w:rStyle w:val="FootnoteReference"/>
          <w:rFonts w:asciiTheme="minorHAnsi" w:hAnsiTheme="minorHAnsi"/>
        </w:rPr>
        <w:footnoteReference w:id="8"/>
      </w:r>
      <w:r w:rsidRPr="005B5FA2">
        <w:rPr>
          <w:rFonts w:asciiTheme="minorHAnsi" w:hAnsiTheme="minorHAnsi"/>
        </w:rPr>
        <w:t xml:space="preserve"> of data require different licensing schemes and therefore </w:t>
      </w:r>
      <w:r w:rsidR="00D24716" w:rsidRPr="005B5FA2">
        <w:rPr>
          <w:rFonts w:asciiTheme="minorHAnsi" w:hAnsiTheme="minorHAnsi"/>
        </w:rPr>
        <w:t>types of</w:t>
      </w:r>
      <w:r w:rsidRPr="005B5FA2">
        <w:rPr>
          <w:rFonts w:asciiTheme="minorHAnsi" w:hAnsiTheme="minorHAnsi"/>
        </w:rPr>
        <w:t xml:space="preserve"> SDMs (DMP Edinburgh, 2015)</w:t>
      </w:r>
      <w:r w:rsidR="00CE3582" w:rsidRPr="005B5FA2">
        <w:rPr>
          <w:rStyle w:val="FootnoteReference"/>
          <w:rFonts w:asciiTheme="minorHAnsi" w:hAnsiTheme="minorHAnsi"/>
        </w:rPr>
        <w:footnoteReference w:id="9"/>
      </w:r>
      <w:r w:rsidRPr="005B5FA2">
        <w:rPr>
          <w:rFonts w:asciiTheme="minorHAnsi" w:hAnsiTheme="minorHAnsi"/>
        </w:rPr>
        <w:t>.</w:t>
      </w:r>
      <w:r w:rsidR="00D24716" w:rsidRPr="005B5FA2">
        <w:rPr>
          <w:rFonts w:asciiTheme="minorHAnsi" w:hAnsiTheme="minorHAnsi"/>
        </w:rPr>
        <w:t xml:space="preserve"> The overall structure of the SDM is developed in such a way that these different types do not require a different overall structure.</w:t>
      </w:r>
    </w:p>
    <w:p w14:paraId="422E3559" w14:textId="77777777" w:rsidR="00A6789C" w:rsidRPr="005B5FA2" w:rsidRDefault="00A6789C" w:rsidP="00A6789C">
      <w:pPr>
        <w:rPr>
          <w:rFonts w:asciiTheme="minorHAnsi" w:hAnsiTheme="minorHAnsi"/>
        </w:rPr>
      </w:pPr>
      <w:r w:rsidRPr="005B5FA2">
        <w:rPr>
          <w:rFonts w:asciiTheme="minorHAnsi" w:hAnsiTheme="minorHAnsi"/>
        </w:rPr>
        <w:t>The SDM was used to scrutinize agreements through interviews of several relevant parties:  </w:t>
      </w:r>
    </w:p>
    <w:p w14:paraId="01C16017" w14:textId="77777777" w:rsidR="00A6789C" w:rsidRPr="005B5FA2" w:rsidRDefault="00A6789C" w:rsidP="00A6789C">
      <w:pPr>
        <w:numPr>
          <w:ilvl w:val="0"/>
          <w:numId w:val="22"/>
        </w:numPr>
        <w:rPr>
          <w:rFonts w:asciiTheme="minorHAnsi" w:hAnsiTheme="minorHAnsi"/>
        </w:rPr>
      </w:pPr>
      <w:r w:rsidRPr="005B5FA2">
        <w:rPr>
          <w:rFonts w:asciiTheme="minorHAnsi" w:hAnsiTheme="minorHAnsi"/>
        </w:rPr>
        <w:t>the SLA</w:t>
      </w:r>
      <w:r w:rsidR="00EB7FFD" w:rsidRPr="005B5FA2">
        <w:rPr>
          <w:rStyle w:val="FootnoteReference"/>
          <w:rFonts w:asciiTheme="minorHAnsi" w:hAnsiTheme="minorHAnsi"/>
        </w:rPr>
        <w:footnoteReference w:id="10"/>
      </w:r>
      <w:r w:rsidRPr="005B5FA2">
        <w:rPr>
          <w:rFonts w:asciiTheme="minorHAnsi" w:hAnsiTheme="minorHAnsi"/>
        </w:rPr>
        <w:t xml:space="preserve"> between D4Science and the EGI Foundation on e-Infrastructure computing resource provisioning, and </w:t>
      </w:r>
    </w:p>
    <w:p w14:paraId="72901424" w14:textId="77777777" w:rsidR="00A6789C" w:rsidRPr="005B5FA2" w:rsidRDefault="00A6789C" w:rsidP="00A6789C">
      <w:pPr>
        <w:numPr>
          <w:ilvl w:val="0"/>
          <w:numId w:val="22"/>
        </w:numPr>
        <w:rPr>
          <w:rFonts w:asciiTheme="minorHAnsi" w:hAnsiTheme="minorHAnsi"/>
        </w:rPr>
      </w:pPr>
      <w:proofErr w:type="gramStart"/>
      <w:r w:rsidRPr="005B5FA2">
        <w:rPr>
          <w:rFonts w:asciiTheme="minorHAnsi" w:hAnsiTheme="minorHAnsi"/>
        </w:rPr>
        <w:lastRenderedPageBreak/>
        <w:t>the</w:t>
      </w:r>
      <w:proofErr w:type="gramEnd"/>
      <w:r w:rsidRPr="005B5FA2">
        <w:rPr>
          <w:rFonts w:asciiTheme="minorHAnsi" w:hAnsiTheme="minorHAnsi"/>
        </w:rPr>
        <w:t xml:space="preserve"> MoU</w:t>
      </w:r>
      <w:r w:rsidR="00EB7FFD" w:rsidRPr="005B5FA2">
        <w:rPr>
          <w:rStyle w:val="FootnoteReference"/>
          <w:rFonts w:asciiTheme="minorHAnsi" w:hAnsiTheme="minorHAnsi"/>
        </w:rPr>
        <w:footnoteReference w:id="11"/>
      </w:r>
      <w:r w:rsidRPr="005B5FA2">
        <w:rPr>
          <w:rFonts w:asciiTheme="minorHAnsi" w:hAnsiTheme="minorHAnsi"/>
        </w:rPr>
        <w:t xml:space="preserve"> between FAO and CNR to enable communities to exploit e-infrastructure services. These agreements in particular were selected due to their legal character. The SDM model provides a template against which these agreements can be assessed to identify gaps in the legal framework.  </w:t>
      </w:r>
    </w:p>
    <w:p w14:paraId="1C61955B" w14:textId="77777777" w:rsidR="00A6789C" w:rsidRPr="005B5FA2" w:rsidRDefault="00A6789C" w:rsidP="00A6789C">
      <w:pPr>
        <w:rPr>
          <w:rFonts w:asciiTheme="minorHAnsi" w:hAnsiTheme="minorHAnsi"/>
        </w:rPr>
      </w:pPr>
      <w:r w:rsidRPr="005B5FA2">
        <w:rPr>
          <w:rFonts w:asciiTheme="minorHAnsi" w:hAnsiTheme="minorHAnsi"/>
        </w:rPr>
        <w:t>Several gaps were identified.</w:t>
      </w:r>
    </w:p>
    <w:p w14:paraId="66AB7A3B" w14:textId="77777777" w:rsidR="00A6789C" w:rsidRPr="005B5FA2" w:rsidRDefault="00A6789C" w:rsidP="00A6789C">
      <w:pPr>
        <w:rPr>
          <w:rFonts w:asciiTheme="minorHAnsi" w:hAnsiTheme="minorHAnsi"/>
        </w:rPr>
      </w:pPr>
      <w:r w:rsidRPr="005B5FA2">
        <w:rPr>
          <w:rFonts w:asciiTheme="minorHAnsi" w:hAnsiTheme="minorHAnsi"/>
          <w:b/>
          <w:bCs/>
        </w:rPr>
        <w:t>Service Level Agreement (D4Science and EGI Foundation)</w:t>
      </w:r>
    </w:p>
    <w:p w14:paraId="5B7D0FC9" w14:textId="5E0DC718" w:rsidR="00A6789C" w:rsidRPr="005B5FA2" w:rsidRDefault="00A6789C" w:rsidP="00A6789C">
      <w:pPr>
        <w:numPr>
          <w:ilvl w:val="0"/>
          <w:numId w:val="23"/>
        </w:numPr>
        <w:rPr>
          <w:rFonts w:asciiTheme="minorHAnsi" w:hAnsiTheme="minorHAnsi"/>
        </w:rPr>
      </w:pPr>
      <w:r w:rsidRPr="005B5FA2">
        <w:rPr>
          <w:rFonts w:asciiTheme="minorHAnsi" w:hAnsiTheme="minorHAnsi"/>
        </w:rPr>
        <w:t>There are no concrete legal terms on relevant fields such as ownership of IPRs in both the document itself and the reference to EGI’s Policies and Procedures website, these should be secured from back-end to front-end</w:t>
      </w:r>
      <w:r w:rsidR="003B3135" w:rsidRPr="005B5FA2">
        <w:rPr>
          <w:rFonts w:asciiTheme="minorHAnsi" w:hAnsiTheme="minorHAnsi"/>
        </w:rPr>
        <w:t>, and</w:t>
      </w:r>
      <w:r w:rsidRPr="005B5FA2">
        <w:rPr>
          <w:rFonts w:asciiTheme="minorHAnsi" w:hAnsiTheme="minorHAnsi"/>
        </w:rPr>
        <w:t xml:space="preserve"> </w:t>
      </w:r>
    </w:p>
    <w:p w14:paraId="67D37081" w14:textId="77777777" w:rsidR="00A6789C" w:rsidRPr="005B5FA2" w:rsidRDefault="00A6789C" w:rsidP="00A6789C">
      <w:pPr>
        <w:numPr>
          <w:ilvl w:val="0"/>
          <w:numId w:val="23"/>
        </w:numPr>
        <w:rPr>
          <w:rFonts w:asciiTheme="minorHAnsi" w:hAnsiTheme="minorHAnsi"/>
        </w:rPr>
      </w:pPr>
      <w:r w:rsidRPr="005B5FA2">
        <w:rPr>
          <w:rFonts w:asciiTheme="minorHAnsi" w:hAnsiTheme="minorHAnsi"/>
        </w:rPr>
        <w:t>There is a lack of concrete consequences when the Provider does not meet the service level targets. A Service Level Agreement is not binding per se. It has to be appended to a contract to gain this capacity. The contract will then regulate the consequences of breaching the agreed SLA, which is usually a fraction of the cost paid per month, limited to this cost.</w:t>
      </w:r>
    </w:p>
    <w:p w14:paraId="358FE094" w14:textId="77777777" w:rsidR="00A6789C" w:rsidRPr="005B5FA2" w:rsidRDefault="00A6789C" w:rsidP="00A6789C">
      <w:pPr>
        <w:rPr>
          <w:rFonts w:asciiTheme="minorHAnsi" w:hAnsiTheme="minorHAnsi"/>
        </w:rPr>
      </w:pPr>
      <w:r w:rsidRPr="005B5FA2">
        <w:rPr>
          <w:rFonts w:asciiTheme="minorHAnsi" w:hAnsiTheme="minorHAnsi"/>
          <w:b/>
          <w:bCs/>
        </w:rPr>
        <w:t>Memorandum of Understanding (FAO and CNR)</w:t>
      </w:r>
    </w:p>
    <w:p w14:paraId="6BA74DD4" w14:textId="77777777" w:rsidR="00A6789C" w:rsidRPr="005B5FA2" w:rsidRDefault="00A6789C" w:rsidP="00A6789C">
      <w:pPr>
        <w:numPr>
          <w:ilvl w:val="0"/>
          <w:numId w:val="24"/>
        </w:numPr>
        <w:rPr>
          <w:rFonts w:asciiTheme="minorHAnsi" w:hAnsiTheme="minorHAnsi"/>
        </w:rPr>
      </w:pPr>
      <w:r w:rsidRPr="005B5FA2">
        <w:rPr>
          <w:rFonts w:asciiTheme="minorHAnsi" w:hAnsiTheme="minorHAnsi"/>
        </w:rPr>
        <w:t>The term ‘Intellectual Property Rights’ (Art 6) is not defined in this MoU. As such, it is unclear what the scope of the term 'Intellectual Property Rights' is (this is not a clear-cut term, for example with regards to the protection of know-how). A more common, though fairly broad, definition of Intellectual Property Rights is:</w:t>
      </w:r>
    </w:p>
    <w:p w14:paraId="0C61A379" w14:textId="77777777" w:rsidR="00A6789C" w:rsidRPr="005B5FA2" w:rsidRDefault="00A6789C" w:rsidP="00A6789C">
      <w:pPr>
        <w:rPr>
          <w:rFonts w:asciiTheme="minorHAnsi" w:hAnsiTheme="minorHAnsi"/>
        </w:rPr>
      </w:pPr>
      <w:r w:rsidRPr="005B5FA2">
        <w:rPr>
          <w:rFonts w:asciiTheme="minorHAnsi" w:hAnsiTheme="minorHAnsi"/>
          <w:i/>
          <w:iCs/>
        </w:rPr>
        <w:t>"Intellectual Property Rights means all copyrights, personality rights, patents, utility models, design rights, trademarks, domain names, database rights, rights concerning confidential information (including know-how) and other intellectual property rights and similar rights, both registered and unregistered and including all applications and rights to be applied for and/or to be granted, the renewal and/or expansion of, and rights to claim the priority of, such rights, and all similar or equivalent rights or other forms of protection which exists now, or in the future in any part of the world."</w:t>
      </w:r>
      <w:r w:rsidRPr="005B5FA2">
        <w:rPr>
          <w:rFonts w:asciiTheme="minorHAnsi" w:hAnsiTheme="minorHAnsi"/>
        </w:rPr>
        <w:t>;</w:t>
      </w:r>
    </w:p>
    <w:p w14:paraId="18C90A56" w14:textId="77777777" w:rsidR="00A6789C" w:rsidRPr="005B5FA2" w:rsidRDefault="00A6789C" w:rsidP="00A6789C">
      <w:pPr>
        <w:numPr>
          <w:ilvl w:val="0"/>
          <w:numId w:val="25"/>
        </w:numPr>
        <w:rPr>
          <w:rFonts w:asciiTheme="minorHAnsi" w:hAnsiTheme="minorHAnsi"/>
        </w:rPr>
      </w:pPr>
      <w:r w:rsidRPr="005B5FA2">
        <w:rPr>
          <w:rFonts w:asciiTheme="minorHAnsi" w:hAnsiTheme="minorHAnsi"/>
        </w:rPr>
        <w:t xml:space="preserve">The term "originating Party" (Art 6) is unclear. It is therefore recommended to use the following definition of originating Party: </w:t>
      </w:r>
    </w:p>
    <w:p w14:paraId="739E539D" w14:textId="77777777" w:rsidR="00A6789C" w:rsidRPr="005B5FA2" w:rsidRDefault="00A6789C" w:rsidP="00A6789C">
      <w:pPr>
        <w:rPr>
          <w:rFonts w:asciiTheme="minorHAnsi" w:hAnsiTheme="minorHAnsi"/>
        </w:rPr>
      </w:pPr>
      <w:r w:rsidRPr="005B5FA2">
        <w:rPr>
          <w:rFonts w:asciiTheme="minorHAnsi" w:hAnsiTheme="minorHAnsi"/>
          <w:i/>
          <w:iCs/>
        </w:rPr>
        <w:t>"Parties remain the sole owners of the Intellectual Property Rights that Parties use to carry out activities under this MoU. Intellectual Property Rights created in the course of this MoU, or arising out of this MoU, by both Parties, jointly or separate, will vest in FAO. If necessary, Parties will promptly, upon request, assist in the transfer of such rights to FAO"</w:t>
      </w:r>
      <w:r w:rsidRPr="005B5FA2">
        <w:rPr>
          <w:rFonts w:asciiTheme="minorHAnsi" w:hAnsiTheme="minorHAnsi"/>
        </w:rPr>
        <w:t>;</w:t>
      </w:r>
    </w:p>
    <w:p w14:paraId="1BFAAE17" w14:textId="4D835DD1" w:rsidR="00A6789C" w:rsidRPr="005B5FA2" w:rsidRDefault="00A6789C" w:rsidP="00A6789C">
      <w:pPr>
        <w:numPr>
          <w:ilvl w:val="0"/>
          <w:numId w:val="26"/>
        </w:numPr>
        <w:rPr>
          <w:rFonts w:asciiTheme="minorHAnsi" w:hAnsiTheme="minorHAnsi"/>
        </w:rPr>
      </w:pPr>
      <w:r w:rsidRPr="005B5FA2">
        <w:rPr>
          <w:rFonts w:asciiTheme="minorHAnsi" w:hAnsiTheme="minorHAnsi"/>
        </w:rPr>
        <w:t>There is no mention of IPRs when content is developed, either jointly or separate, with third parties, either created in the course of this MoU or arising out of this MoU</w:t>
      </w:r>
      <w:r w:rsidR="003B3135" w:rsidRPr="005B5FA2">
        <w:rPr>
          <w:rFonts w:asciiTheme="minorHAnsi" w:hAnsiTheme="minorHAnsi"/>
        </w:rPr>
        <w:t xml:space="preserve">. FAO officials from the fisheries and aquaculture and the communication departments </w:t>
      </w:r>
      <w:r w:rsidR="003B3135" w:rsidRPr="005B5FA2">
        <w:rPr>
          <w:rFonts w:asciiTheme="minorHAnsi" w:hAnsiTheme="minorHAnsi"/>
        </w:rPr>
        <w:lastRenderedPageBreak/>
        <w:t>confirmed that this lack of clarity of the origin of this work complicates attribution and citation when reusing data; and</w:t>
      </w:r>
    </w:p>
    <w:p w14:paraId="7AF56C2A" w14:textId="77777777" w:rsidR="00A6789C" w:rsidRPr="005B5FA2" w:rsidRDefault="00A6789C" w:rsidP="00A6789C">
      <w:pPr>
        <w:numPr>
          <w:ilvl w:val="0"/>
          <w:numId w:val="26"/>
        </w:numPr>
        <w:rPr>
          <w:rFonts w:asciiTheme="minorHAnsi" w:hAnsiTheme="minorHAnsi"/>
        </w:rPr>
      </w:pPr>
      <w:r w:rsidRPr="005B5FA2">
        <w:rPr>
          <w:rFonts w:asciiTheme="minorHAnsi" w:hAnsiTheme="minorHAnsi"/>
        </w:rPr>
        <w:t>There is no mention of options and consequences to distribute data to third parties.</w:t>
      </w:r>
      <w:r w:rsidR="00415C15" w:rsidRPr="005B5FA2">
        <w:rPr>
          <w:rFonts w:asciiTheme="minorHAnsi" w:hAnsiTheme="minorHAnsi"/>
        </w:rPr>
        <w:t xml:space="preserve"> The interviewed representative of the communications department adds to this that the purpose of the reuse of data</w:t>
      </w:r>
      <w:r w:rsidR="00B773FC" w:rsidRPr="005B5FA2">
        <w:rPr>
          <w:rFonts w:asciiTheme="minorHAnsi" w:hAnsiTheme="minorHAnsi"/>
        </w:rPr>
        <w:t xml:space="preserve"> should also be included in the</w:t>
      </w:r>
      <w:r w:rsidR="00415C15" w:rsidRPr="005B5FA2">
        <w:rPr>
          <w:rFonts w:asciiTheme="minorHAnsi" w:hAnsiTheme="minorHAnsi"/>
        </w:rPr>
        <w:t xml:space="preserve"> options to distribute data to third parties. </w:t>
      </w:r>
      <w:r w:rsidR="00B773FC" w:rsidRPr="005B5FA2">
        <w:rPr>
          <w:rFonts w:asciiTheme="minorHAnsi" w:hAnsiTheme="minorHAnsi"/>
        </w:rPr>
        <w:t>This representative presented an example where an external party wanted to conduct a market analysis for investment in agro-alimentary industry. This party wanted to include FAO’s commodity prices in its algorithm to assess where and when to buy food products.</w:t>
      </w:r>
      <w:r w:rsidR="00DF187E" w:rsidRPr="005B5FA2">
        <w:rPr>
          <w:rFonts w:asciiTheme="minorHAnsi" w:hAnsiTheme="minorHAnsi"/>
        </w:rPr>
        <w:t xml:space="preserve"> The aim of this party appeared</w:t>
      </w:r>
      <w:r w:rsidR="00B773FC" w:rsidRPr="005B5FA2">
        <w:rPr>
          <w:rFonts w:asciiTheme="minorHAnsi" w:hAnsiTheme="minorHAnsi"/>
        </w:rPr>
        <w:t> not to be aligned with FAO’s strategic objectives, as</w:t>
      </w:r>
      <w:r w:rsidR="00DF187E" w:rsidRPr="005B5FA2">
        <w:rPr>
          <w:rFonts w:asciiTheme="minorHAnsi" w:hAnsiTheme="minorHAnsi"/>
        </w:rPr>
        <w:t xml:space="preserve"> this </w:t>
      </w:r>
      <w:r w:rsidR="00D5706F" w:rsidRPr="005B5FA2">
        <w:rPr>
          <w:rFonts w:asciiTheme="minorHAnsi" w:hAnsiTheme="minorHAnsi"/>
        </w:rPr>
        <w:t>external party</w:t>
      </w:r>
      <w:r w:rsidR="00B773FC" w:rsidRPr="005B5FA2">
        <w:rPr>
          <w:rFonts w:asciiTheme="minorHAnsi" w:hAnsiTheme="minorHAnsi"/>
        </w:rPr>
        <w:t xml:space="preserve"> would merely financially exploit periods of food shortage.</w:t>
      </w:r>
    </w:p>
    <w:p w14:paraId="34436FDC" w14:textId="77777777" w:rsidR="00A6789C" w:rsidRPr="005B5FA2" w:rsidRDefault="00A6789C" w:rsidP="00A6789C">
      <w:pPr>
        <w:rPr>
          <w:rFonts w:asciiTheme="minorHAnsi" w:hAnsiTheme="minorHAnsi"/>
        </w:rPr>
      </w:pPr>
      <w:r w:rsidRPr="005B5FA2">
        <w:rPr>
          <w:rFonts w:asciiTheme="minorHAnsi" w:hAnsiTheme="minorHAnsi"/>
        </w:rPr>
        <w:t>Other recommendations to be included in all agreements within this SDM are:</w:t>
      </w:r>
    </w:p>
    <w:p w14:paraId="1A271448" w14:textId="513F30BE" w:rsidR="00A6789C" w:rsidRPr="005B5FA2" w:rsidRDefault="00A6789C" w:rsidP="00A6789C">
      <w:pPr>
        <w:numPr>
          <w:ilvl w:val="0"/>
          <w:numId w:val="27"/>
        </w:numPr>
        <w:rPr>
          <w:rFonts w:asciiTheme="minorHAnsi" w:hAnsiTheme="minorHAnsi"/>
        </w:rPr>
      </w:pPr>
      <w:r w:rsidRPr="005B5FA2">
        <w:rPr>
          <w:rFonts w:asciiTheme="minorHAnsi" w:hAnsiTheme="minorHAnsi"/>
        </w:rPr>
        <w:t xml:space="preserve">Include a </w:t>
      </w:r>
      <w:r w:rsidR="00B74864" w:rsidRPr="005B5FA2">
        <w:rPr>
          <w:rFonts w:asciiTheme="minorHAnsi" w:hAnsiTheme="minorHAnsi"/>
        </w:rPr>
        <w:t>fine-grained</w:t>
      </w:r>
      <w:r w:rsidRPr="005B5FA2">
        <w:rPr>
          <w:rFonts w:asciiTheme="minorHAnsi" w:hAnsiTheme="minorHAnsi"/>
        </w:rPr>
        <w:t xml:space="preserve"> identity policy within all agreements. Research in the fishery and marine sciences sector is mostly subject to international </w:t>
      </w:r>
      <w:r w:rsidR="001E1458" w:rsidRPr="005B5FA2">
        <w:rPr>
          <w:rFonts w:asciiTheme="minorHAnsi" w:hAnsiTheme="minorHAnsi"/>
        </w:rPr>
        <w:t>organizations that</w:t>
      </w:r>
      <w:r w:rsidRPr="005B5FA2">
        <w:rPr>
          <w:rFonts w:asciiTheme="minorHAnsi" w:hAnsiTheme="minorHAnsi"/>
        </w:rPr>
        <w:t xml:space="preserve"> can have different statuses with regard to IPRs. </w:t>
      </w:r>
      <w:r w:rsidR="00B32588" w:rsidRPr="005B5FA2">
        <w:rPr>
          <w:rFonts w:asciiTheme="minorHAnsi" w:hAnsiTheme="minorHAnsi"/>
        </w:rPr>
        <w:t xml:space="preserve">The interviewee working within the legal department confirmed this recommendation and mentioned that </w:t>
      </w:r>
      <w:r w:rsidRPr="005B5FA2">
        <w:rPr>
          <w:rFonts w:asciiTheme="minorHAnsi" w:hAnsiTheme="minorHAnsi"/>
        </w:rPr>
        <w:t xml:space="preserve">the status of FAO in this respect is more </w:t>
      </w:r>
      <w:proofErr w:type="gramStart"/>
      <w:r w:rsidRPr="005B5FA2">
        <w:rPr>
          <w:rFonts w:asciiTheme="minorHAnsi" w:hAnsiTheme="minorHAnsi"/>
        </w:rPr>
        <w:t>extraterritorial</w:t>
      </w:r>
      <w:proofErr w:type="gramEnd"/>
      <w:r w:rsidRPr="005B5FA2">
        <w:rPr>
          <w:rFonts w:asciiTheme="minorHAnsi" w:hAnsiTheme="minorHAnsi"/>
        </w:rPr>
        <w:t xml:space="preserve"> than the status of</w:t>
      </w:r>
      <w:r w:rsidR="00B32588" w:rsidRPr="005B5FA2">
        <w:rPr>
          <w:rFonts w:asciiTheme="minorHAnsi" w:hAnsiTheme="minorHAnsi"/>
        </w:rPr>
        <w:t xml:space="preserve"> other organization such as</w:t>
      </w:r>
      <w:r w:rsidRPr="005B5FA2">
        <w:rPr>
          <w:rFonts w:asciiTheme="minorHAnsi" w:hAnsiTheme="minorHAnsi"/>
        </w:rPr>
        <w:t xml:space="preserve"> the International Maritime Organization (IMO). Such choices are reflected by policy-decisions of these Organizations;</w:t>
      </w:r>
    </w:p>
    <w:p w14:paraId="6841BAF6" w14:textId="77777777" w:rsidR="00A6789C" w:rsidRPr="005B5FA2" w:rsidRDefault="00A6789C" w:rsidP="00A6789C">
      <w:pPr>
        <w:numPr>
          <w:ilvl w:val="0"/>
          <w:numId w:val="27"/>
        </w:numPr>
        <w:rPr>
          <w:rFonts w:asciiTheme="minorHAnsi" w:hAnsiTheme="minorHAnsi"/>
        </w:rPr>
      </w:pPr>
      <w:r w:rsidRPr="005B5FA2">
        <w:rPr>
          <w:rFonts w:asciiTheme="minorHAnsi" w:hAnsiTheme="minorHAnsi"/>
        </w:rPr>
        <w:t xml:space="preserve">Develop and document a standardized process to </w:t>
      </w:r>
      <w:proofErr w:type="spellStart"/>
      <w:r w:rsidRPr="005B5FA2">
        <w:rPr>
          <w:rFonts w:asciiTheme="minorHAnsi" w:hAnsiTheme="minorHAnsi"/>
        </w:rPr>
        <w:t>analyze</w:t>
      </w:r>
      <w:proofErr w:type="spellEnd"/>
      <w:r w:rsidRPr="005B5FA2">
        <w:rPr>
          <w:rFonts w:asciiTheme="minorHAnsi" w:hAnsiTheme="minorHAnsi"/>
        </w:rPr>
        <w:t xml:space="preserve"> whether standards for ownership of IPR are included in the metadata;</w:t>
      </w:r>
    </w:p>
    <w:p w14:paraId="3CAE6109" w14:textId="77777777" w:rsidR="00A6789C" w:rsidRPr="005B5FA2" w:rsidRDefault="00A6789C" w:rsidP="00A6789C">
      <w:pPr>
        <w:numPr>
          <w:ilvl w:val="0"/>
          <w:numId w:val="27"/>
        </w:numPr>
        <w:rPr>
          <w:rFonts w:asciiTheme="minorHAnsi" w:hAnsiTheme="minorHAnsi"/>
        </w:rPr>
      </w:pPr>
      <w:r w:rsidRPr="005B5FA2">
        <w:rPr>
          <w:rFonts w:asciiTheme="minorHAnsi" w:hAnsiTheme="minorHAnsi"/>
        </w:rPr>
        <w:t>The Infrastructure Mediator together with the Service mediator should approach the Research Community to collaborate on user-based management</w:t>
      </w:r>
      <w:r w:rsidR="0079539D" w:rsidRPr="005B5FA2">
        <w:rPr>
          <w:rStyle w:val="FootnoteReference"/>
          <w:rFonts w:asciiTheme="minorHAnsi" w:hAnsiTheme="minorHAnsi"/>
        </w:rPr>
        <w:footnoteReference w:id="12"/>
      </w:r>
      <w:r w:rsidRPr="005B5FA2">
        <w:rPr>
          <w:rFonts w:asciiTheme="minorHAnsi" w:hAnsiTheme="minorHAnsi"/>
        </w:rPr>
        <w:t>. D4Science is the ideal partner since the decisions with respect to software are being made in this layer</w:t>
      </w:r>
      <w:r w:rsidR="00C24053" w:rsidRPr="005B5FA2">
        <w:rPr>
          <w:rFonts w:asciiTheme="minorHAnsi" w:hAnsiTheme="minorHAnsi"/>
        </w:rPr>
        <w:t>.</w:t>
      </w:r>
    </w:p>
    <w:p w14:paraId="08CD5ECE" w14:textId="77777777" w:rsidR="00A6789C" w:rsidRPr="005B5FA2" w:rsidRDefault="00A6789C" w:rsidP="00A6789C">
      <w:pPr>
        <w:rPr>
          <w:rFonts w:asciiTheme="minorHAnsi" w:hAnsiTheme="minorHAnsi"/>
        </w:rPr>
      </w:pPr>
      <w:r w:rsidRPr="005B5FA2">
        <w:rPr>
          <w:rFonts w:asciiTheme="minorHAnsi" w:hAnsiTheme="minorHAnsi"/>
        </w:rPr>
        <w:t xml:space="preserve">These current agreements can be modified to develop a complete and concrete SDM. This is stated in the SLA in Section </w:t>
      </w:r>
      <w:r w:rsidR="00A15D09" w:rsidRPr="005B5FA2">
        <w:rPr>
          <w:rFonts w:asciiTheme="minorHAnsi" w:hAnsiTheme="minorHAnsi"/>
        </w:rPr>
        <w:t>9</w:t>
      </w:r>
      <w:r w:rsidR="0079539D" w:rsidRPr="005B5FA2">
        <w:rPr>
          <w:rStyle w:val="FootnoteReference"/>
          <w:rFonts w:asciiTheme="minorHAnsi" w:hAnsiTheme="minorHAnsi"/>
        </w:rPr>
        <w:footnoteReference w:id="13"/>
      </w:r>
      <w:r w:rsidR="00A15D09" w:rsidRPr="005B5FA2">
        <w:rPr>
          <w:rFonts w:asciiTheme="minorHAnsi" w:hAnsiTheme="minorHAnsi"/>
        </w:rPr>
        <w:t>, and in the MoU in Article 12</w:t>
      </w:r>
      <w:r w:rsidR="0079539D" w:rsidRPr="005B5FA2">
        <w:rPr>
          <w:rStyle w:val="FootnoteReference"/>
          <w:rFonts w:asciiTheme="minorHAnsi" w:hAnsiTheme="minorHAnsi"/>
        </w:rPr>
        <w:footnoteReference w:id="14"/>
      </w:r>
    </w:p>
    <w:p w14:paraId="49BAB1B8" w14:textId="23CECD01" w:rsidR="00A8792F" w:rsidRPr="005B5FA2" w:rsidRDefault="00ED5E06" w:rsidP="008802A9">
      <w:pPr>
        <w:pStyle w:val="Heading1"/>
        <w:rPr>
          <w:rFonts w:asciiTheme="minorHAnsi" w:hAnsiTheme="minorHAnsi"/>
        </w:rPr>
      </w:pPr>
      <w:bookmarkStart w:id="5" w:name="_Toc496179589"/>
      <w:r w:rsidRPr="005B5FA2">
        <w:rPr>
          <w:rFonts w:asciiTheme="minorHAnsi" w:hAnsiTheme="minorHAnsi"/>
        </w:rPr>
        <w:lastRenderedPageBreak/>
        <w:t>General r</w:t>
      </w:r>
      <w:r w:rsidR="002260CF" w:rsidRPr="005B5FA2">
        <w:rPr>
          <w:rFonts w:asciiTheme="minorHAnsi" w:hAnsiTheme="minorHAnsi"/>
        </w:rPr>
        <w:t xml:space="preserve">ecommendations </w:t>
      </w:r>
      <w:r w:rsidR="00A234F1" w:rsidRPr="005B5FA2">
        <w:rPr>
          <w:rFonts w:asciiTheme="minorHAnsi" w:hAnsiTheme="minorHAnsi"/>
        </w:rPr>
        <w:t>for data management</w:t>
      </w:r>
      <w:bookmarkEnd w:id="5"/>
    </w:p>
    <w:p w14:paraId="1A40B21E" w14:textId="77777777" w:rsidR="006E761B" w:rsidRPr="005B5FA2" w:rsidRDefault="000C7194" w:rsidP="00A8792F">
      <w:pPr>
        <w:rPr>
          <w:rFonts w:asciiTheme="minorHAnsi" w:hAnsiTheme="minorHAnsi"/>
        </w:rPr>
      </w:pPr>
      <w:r w:rsidRPr="005B5FA2">
        <w:rPr>
          <w:rFonts w:asciiTheme="minorHAnsi" w:hAnsiTheme="minorHAnsi"/>
        </w:rPr>
        <w:t xml:space="preserve">To develop a successful SDM </w:t>
      </w:r>
      <w:r w:rsidR="005C2935" w:rsidRPr="005B5FA2">
        <w:rPr>
          <w:rFonts w:asciiTheme="minorHAnsi" w:hAnsiTheme="minorHAnsi"/>
        </w:rPr>
        <w:t>all elements included in policies and procedures have to be clear and concise.</w:t>
      </w:r>
      <w:r w:rsidR="00403F31" w:rsidRPr="005B5FA2">
        <w:rPr>
          <w:rFonts w:asciiTheme="minorHAnsi" w:hAnsiTheme="minorHAnsi"/>
        </w:rPr>
        <w:t xml:space="preserve"> </w:t>
      </w:r>
      <w:r w:rsidR="001C4124" w:rsidRPr="005B5FA2">
        <w:rPr>
          <w:rFonts w:asciiTheme="minorHAnsi" w:hAnsiTheme="minorHAnsi"/>
        </w:rPr>
        <w:t>Consultation</w:t>
      </w:r>
      <w:r w:rsidR="00403F31" w:rsidRPr="005B5FA2">
        <w:rPr>
          <w:rFonts w:asciiTheme="minorHAnsi" w:hAnsiTheme="minorHAnsi"/>
        </w:rPr>
        <w:t xml:space="preserve"> </w:t>
      </w:r>
      <w:r w:rsidR="001C4124" w:rsidRPr="005B5FA2">
        <w:rPr>
          <w:rFonts w:asciiTheme="minorHAnsi" w:hAnsiTheme="minorHAnsi"/>
        </w:rPr>
        <w:t xml:space="preserve">of </w:t>
      </w:r>
      <w:r w:rsidR="00403F31" w:rsidRPr="005B5FA2">
        <w:rPr>
          <w:rFonts w:asciiTheme="minorHAnsi" w:hAnsiTheme="minorHAnsi"/>
        </w:rPr>
        <w:t>EGI</w:t>
      </w:r>
      <w:r w:rsidR="005244DA" w:rsidRPr="005B5FA2">
        <w:rPr>
          <w:rFonts w:asciiTheme="minorHAnsi" w:hAnsiTheme="minorHAnsi"/>
        </w:rPr>
        <w:t xml:space="preserve">, </w:t>
      </w:r>
      <w:r w:rsidR="00403F31" w:rsidRPr="005B5FA2">
        <w:rPr>
          <w:rFonts w:asciiTheme="minorHAnsi" w:hAnsiTheme="minorHAnsi"/>
        </w:rPr>
        <w:t xml:space="preserve">the </w:t>
      </w:r>
      <w:r w:rsidR="005244DA" w:rsidRPr="005B5FA2">
        <w:rPr>
          <w:rFonts w:asciiTheme="minorHAnsi" w:hAnsiTheme="minorHAnsi"/>
        </w:rPr>
        <w:t xml:space="preserve">fisheries and marine science and </w:t>
      </w:r>
      <w:r w:rsidR="00403F31" w:rsidRPr="005B5FA2">
        <w:rPr>
          <w:rFonts w:asciiTheme="minorHAnsi" w:hAnsiTheme="minorHAnsi"/>
        </w:rPr>
        <w:t>research community</w:t>
      </w:r>
      <w:r w:rsidR="005244DA" w:rsidRPr="005B5FA2">
        <w:rPr>
          <w:rFonts w:asciiTheme="minorHAnsi" w:hAnsiTheme="minorHAnsi"/>
        </w:rPr>
        <w:t>, and some institutional stakeholders</w:t>
      </w:r>
      <w:r w:rsidR="001C4124" w:rsidRPr="005B5FA2">
        <w:rPr>
          <w:rFonts w:asciiTheme="minorHAnsi" w:hAnsiTheme="minorHAnsi"/>
        </w:rPr>
        <w:t xml:space="preserve"> showed that definitions of some basic terms have been the source of misunderstandings within service deliveries</w:t>
      </w:r>
      <w:r w:rsidR="000C2D31" w:rsidRPr="005B5FA2">
        <w:rPr>
          <w:rFonts w:asciiTheme="minorHAnsi" w:hAnsiTheme="minorHAnsi"/>
        </w:rPr>
        <w:t>.</w:t>
      </w:r>
      <w:r w:rsidR="00634C24" w:rsidRPr="005B5FA2">
        <w:rPr>
          <w:rFonts w:asciiTheme="minorHAnsi" w:hAnsiTheme="minorHAnsi"/>
        </w:rPr>
        <w:t xml:space="preserve"> </w:t>
      </w:r>
      <w:r w:rsidR="001C4124" w:rsidRPr="005B5FA2">
        <w:rPr>
          <w:rFonts w:asciiTheme="minorHAnsi" w:hAnsiTheme="minorHAnsi"/>
        </w:rPr>
        <w:t xml:space="preserve">These terms are </w:t>
      </w:r>
      <w:r w:rsidR="00634C24" w:rsidRPr="005B5FA2">
        <w:rPr>
          <w:rFonts w:asciiTheme="minorHAnsi" w:hAnsiTheme="minorHAnsi"/>
        </w:rPr>
        <w:t xml:space="preserve">‘data’, ‘data ownership’ and ‘data citation, attribution and credit’. </w:t>
      </w:r>
      <w:r w:rsidR="004F2B8B" w:rsidRPr="005B5FA2">
        <w:rPr>
          <w:rFonts w:asciiTheme="minorHAnsi" w:hAnsiTheme="minorHAnsi"/>
        </w:rPr>
        <w:t xml:space="preserve">This chapter aims to define these terms, and gives other recommendations and guidelines </w:t>
      </w:r>
      <w:r w:rsidR="00244088" w:rsidRPr="005B5FA2">
        <w:rPr>
          <w:rFonts w:asciiTheme="minorHAnsi" w:hAnsiTheme="minorHAnsi"/>
        </w:rPr>
        <w:t>based on the interviews taken at FAO</w:t>
      </w:r>
      <w:r w:rsidR="00D4033B" w:rsidRPr="005B5FA2">
        <w:rPr>
          <w:rFonts w:asciiTheme="minorHAnsi" w:hAnsiTheme="minorHAnsi"/>
        </w:rPr>
        <w:t>,</w:t>
      </w:r>
      <w:r w:rsidR="00244088" w:rsidRPr="005B5FA2">
        <w:rPr>
          <w:rFonts w:asciiTheme="minorHAnsi" w:hAnsiTheme="minorHAnsi"/>
        </w:rPr>
        <w:t xml:space="preserve"> </w:t>
      </w:r>
      <w:r w:rsidR="004F2B8B" w:rsidRPr="005B5FA2">
        <w:rPr>
          <w:rFonts w:asciiTheme="minorHAnsi" w:hAnsiTheme="minorHAnsi"/>
        </w:rPr>
        <w:t>when developing a SDM.</w:t>
      </w:r>
      <w:r w:rsidR="00216E35" w:rsidRPr="005B5FA2">
        <w:rPr>
          <w:rFonts w:asciiTheme="minorHAnsi" w:hAnsiTheme="minorHAnsi"/>
        </w:rPr>
        <w:t xml:space="preserve"> </w:t>
      </w:r>
    </w:p>
    <w:p w14:paraId="3EFDED4F" w14:textId="77777777" w:rsidR="00811AC1" w:rsidRPr="005B5FA2" w:rsidRDefault="006D727A" w:rsidP="00A8792F">
      <w:pPr>
        <w:rPr>
          <w:rFonts w:asciiTheme="minorHAnsi" w:hAnsiTheme="minorHAnsi"/>
          <w:u w:val="single"/>
        </w:rPr>
      </w:pPr>
      <w:r w:rsidRPr="005B5FA2">
        <w:rPr>
          <w:rFonts w:asciiTheme="minorHAnsi" w:hAnsiTheme="minorHAnsi"/>
          <w:u w:val="single"/>
        </w:rPr>
        <w:t>Define</w:t>
      </w:r>
      <w:r w:rsidR="00811AC1" w:rsidRPr="005B5FA2">
        <w:rPr>
          <w:rFonts w:asciiTheme="minorHAnsi" w:hAnsiTheme="minorHAnsi"/>
          <w:u w:val="single"/>
        </w:rPr>
        <w:t xml:space="preserve"> data</w:t>
      </w:r>
    </w:p>
    <w:p w14:paraId="2E85C352" w14:textId="77777777" w:rsidR="00C5438C" w:rsidRPr="005B5FA2" w:rsidRDefault="00811AC1" w:rsidP="00A8792F">
      <w:pPr>
        <w:rPr>
          <w:rFonts w:asciiTheme="minorHAnsi" w:hAnsiTheme="minorHAnsi"/>
        </w:rPr>
      </w:pPr>
      <w:r w:rsidRPr="005B5FA2">
        <w:rPr>
          <w:rFonts w:asciiTheme="minorHAnsi" w:hAnsiTheme="minorHAnsi"/>
        </w:rPr>
        <w:t xml:space="preserve">There are many legal definitions of </w:t>
      </w:r>
      <w:r w:rsidR="00E233D3" w:rsidRPr="005B5FA2">
        <w:rPr>
          <w:rFonts w:asciiTheme="minorHAnsi" w:hAnsiTheme="minorHAnsi"/>
        </w:rPr>
        <w:t>data;</w:t>
      </w:r>
      <w:r w:rsidRPr="005B5FA2">
        <w:rPr>
          <w:rFonts w:asciiTheme="minorHAnsi" w:hAnsiTheme="minorHAnsi"/>
        </w:rPr>
        <w:t xml:space="preserve"> unfortunately there is </w:t>
      </w:r>
      <w:r w:rsidR="00395445" w:rsidRPr="005B5FA2">
        <w:rPr>
          <w:rFonts w:asciiTheme="minorHAnsi" w:hAnsiTheme="minorHAnsi"/>
        </w:rPr>
        <w:t>not one uniform legal definition of data that is applicable for all types of data</w:t>
      </w:r>
      <w:r w:rsidR="005244DA" w:rsidRPr="005B5FA2">
        <w:rPr>
          <w:rFonts w:asciiTheme="minorHAnsi" w:hAnsiTheme="minorHAnsi"/>
        </w:rPr>
        <w:t xml:space="preserve"> managed in an infrastructure</w:t>
      </w:r>
      <w:r w:rsidR="00395445" w:rsidRPr="005B5FA2">
        <w:rPr>
          <w:rFonts w:asciiTheme="minorHAnsi" w:hAnsiTheme="minorHAnsi"/>
        </w:rPr>
        <w:t>.</w:t>
      </w:r>
      <w:r w:rsidR="005F1EF6" w:rsidRPr="005B5FA2">
        <w:rPr>
          <w:rFonts w:asciiTheme="minorHAnsi" w:hAnsiTheme="minorHAnsi"/>
        </w:rPr>
        <w:t xml:space="preserve"> </w:t>
      </w:r>
      <w:r w:rsidR="005244DA" w:rsidRPr="005B5FA2">
        <w:rPr>
          <w:rFonts w:asciiTheme="minorHAnsi" w:hAnsiTheme="minorHAnsi"/>
        </w:rPr>
        <w:t xml:space="preserve">For this </w:t>
      </w:r>
      <w:r w:rsidR="00E759DE" w:rsidRPr="005B5FA2">
        <w:rPr>
          <w:rFonts w:asciiTheme="minorHAnsi" w:hAnsiTheme="minorHAnsi"/>
        </w:rPr>
        <w:t>study</w:t>
      </w:r>
      <w:r w:rsidR="005244DA" w:rsidRPr="005B5FA2">
        <w:rPr>
          <w:rFonts w:asciiTheme="minorHAnsi" w:hAnsiTheme="minorHAnsi"/>
        </w:rPr>
        <w:t xml:space="preserve">, </w:t>
      </w:r>
      <w:r w:rsidR="00E759DE" w:rsidRPr="005B5FA2">
        <w:rPr>
          <w:rFonts w:asciiTheme="minorHAnsi" w:hAnsiTheme="minorHAnsi"/>
        </w:rPr>
        <w:t xml:space="preserve">two practicing IPR lawyers from leading international law firms </w:t>
      </w:r>
      <w:r w:rsidR="005244DA" w:rsidRPr="005B5FA2">
        <w:rPr>
          <w:rFonts w:asciiTheme="minorHAnsi" w:hAnsiTheme="minorHAnsi"/>
        </w:rPr>
        <w:t xml:space="preserve">were interviewed </w:t>
      </w:r>
      <w:r w:rsidR="00E759DE" w:rsidRPr="005B5FA2">
        <w:rPr>
          <w:rFonts w:asciiTheme="minorHAnsi" w:hAnsiTheme="minorHAnsi"/>
        </w:rPr>
        <w:t>about the definition</w:t>
      </w:r>
      <w:r w:rsidR="00734F19" w:rsidRPr="005B5FA2">
        <w:rPr>
          <w:rFonts w:asciiTheme="minorHAnsi" w:hAnsiTheme="minorHAnsi"/>
        </w:rPr>
        <w:t xml:space="preserve"> of ‘data’</w:t>
      </w:r>
      <w:r w:rsidR="00E759DE" w:rsidRPr="005B5FA2">
        <w:rPr>
          <w:rFonts w:asciiTheme="minorHAnsi" w:hAnsiTheme="minorHAnsi"/>
        </w:rPr>
        <w:t xml:space="preserve">. Both answered that </w:t>
      </w:r>
      <w:r w:rsidR="00376354" w:rsidRPr="005B5FA2">
        <w:rPr>
          <w:rFonts w:asciiTheme="minorHAnsi" w:hAnsiTheme="minorHAnsi"/>
        </w:rPr>
        <w:t>‘</w:t>
      </w:r>
      <w:r w:rsidR="00E759DE" w:rsidRPr="005B5FA2">
        <w:rPr>
          <w:rFonts w:asciiTheme="minorHAnsi" w:hAnsiTheme="minorHAnsi"/>
        </w:rPr>
        <w:t>there is no uniform definition of data</w:t>
      </w:r>
      <w:r w:rsidR="00376354" w:rsidRPr="005B5FA2">
        <w:rPr>
          <w:rFonts w:asciiTheme="minorHAnsi" w:hAnsiTheme="minorHAnsi"/>
        </w:rPr>
        <w:t>’</w:t>
      </w:r>
      <w:r w:rsidR="00734F19" w:rsidRPr="005B5FA2">
        <w:rPr>
          <w:rFonts w:asciiTheme="minorHAnsi" w:hAnsiTheme="minorHAnsi"/>
        </w:rPr>
        <w:t>,</w:t>
      </w:r>
      <w:r w:rsidR="00E759DE" w:rsidRPr="005B5FA2">
        <w:rPr>
          <w:rFonts w:asciiTheme="minorHAnsi" w:hAnsiTheme="minorHAnsi"/>
        </w:rPr>
        <w:t xml:space="preserve"> that </w:t>
      </w:r>
      <w:r w:rsidR="00376354" w:rsidRPr="005B5FA2">
        <w:rPr>
          <w:rFonts w:asciiTheme="minorHAnsi" w:hAnsiTheme="minorHAnsi"/>
        </w:rPr>
        <w:t>‘</w:t>
      </w:r>
      <w:r w:rsidR="00E759DE" w:rsidRPr="005B5FA2">
        <w:rPr>
          <w:rFonts w:asciiTheme="minorHAnsi" w:hAnsiTheme="minorHAnsi"/>
        </w:rPr>
        <w:t>satisfies everybody and that covers all syntactic and pragmatic aspects of the use of data</w:t>
      </w:r>
      <w:r w:rsidR="00376354" w:rsidRPr="005B5FA2">
        <w:rPr>
          <w:rFonts w:asciiTheme="minorHAnsi" w:hAnsiTheme="minorHAnsi"/>
        </w:rPr>
        <w:t>’</w:t>
      </w:r>
      <w:r w:rsidR="00734F19" w:rsidRPr="005B5FA2">
        <w:rPr>
          <w:rFonts w:asciiTheme="minorHAnsi" w:hAnsiTheme="minorHAnsi"/>
        </w:rPr>
        <w:t>.</w:t>
      </w:r>
      <w:r w:rsidR="004D35E5" w:rsidRPr="005B5FA2">
        <w:rPr>
          <w:rFonts w:asciiTheme="minorHAnsi" w:hAnsiTheme="minorHAnsi"/>
        </w:rPr>
        <w:t xml:space="preserve"> Both IPR lawyers state that ‘data’ is ‘information’ </w:t>
      </w:r>
      <w:r w:rsidR="00BA3464" w:rsidRPr="005B5FA2">
        <w:rPr>
          <w:rFonts w:asciiTheme="minorHAnsi" w:hAnsiTheme="minorHAnsi"/>
        </w:rPr>
        <w:t>or a ‘value’ in the broadest sense.</w:t>
      </w:r>
      <w:r w:rsidR="00920875" w:rsidRPr="005B5FA2">
        <w:rPr>
          <w:rFonts w:asciiTheme="minorHAnsi" w:hAnsiTheme="minorHAnsi"/>
        </w:rPr>
        <w:t xml:space="preserve"> </w:t>
      </w:r>
    </w:p>
    <w:p w14:paraId="5CA2EF8A" w14:textId="77777777" w:rsidR="00920875" w:rsidRPr="005B5FA2" w:rsidRDefault="00A8554F" w:rsidP="00A8792F">
      <w:pPr>
        <w:rPr>
          <w:rFonts w:asciiTheme="minorHAnsi" w:hAnsiTheme="minorHAnsi"/>
        </w:rPr>
      </w:pPr>
      <w:r w:rsidRPr="005B5FA2">
        <w:rPr>
          <w:rFonts w:asciiTheme="minorHAnsi" w:hAnsiTheme="minorHAnsi"/>
        </w:rPr>
        <w:t xml:space="preserve">To </w:t>
      </w:r>
      <w:r w:rsidR="002D6B2A" w:rsidRPr="005B5FA2">
        <w:rPr>
          <w:rFonts w:asciiTheme="minorHAnsi" w:hAnsiTheme="minorHAnsi"/>
        </w:rPr>
        <w:t>provide</w:t>
      </w:r>
      <w:r w:rsidRPr="005B5FA2">
        <w:rPr>
          <w:rFonts w:asciiTheme="minorHAnsi" w:hAnsiTheme="minorHAnsi"/>
        </w:rPr>
        <w:t xml:space="preserve"> more insight in the definitions used, this study</w:t>
      </w:r>
      <w:r w:rsidR="00920875" w:rsidRPr="005B5FA2">
        <w:rPr>
          <w:rFonts w:asciiTheme="minorHAnsi" w:hAnsiTheme="minorHAnsi"/>
        </w:rPr>
        <w:t xml:space="preserve"> </w:t>
      </w:r>
      <w:r w:rsidR="002D6B2A" w:rsidRPr="005B5FA2">
        <w:rPr>
          <w:rFonts w:asciiTheme="minorHAnsi" w:hAnsiTheme="minorHAnsi"/>
        </w:rPr>
        <w:t>presents</w:t>
      </w:r>
      <w:r w:rsidR="00920875" w:rsidRPr="005B5FA2">
        <w:rPr>
          <w:rFonts w:asciiTheme="minorHAnsi" w:hAnsiTheme="minorHAnsi"/>
        </w:rPr>
        <w:t xml:space="preserve"> </w:t>
      </w:r>
      <w:r w:rsidRPr="005B5FA2">
        <w:rPr>
          <w:rFonts w:asciiTheme="minorHAnsi" w:hAnsiTheme="minorHAnsi"/>
        </w:rPr>
        <w:t>two</w:t>
      </w:r>
      <w:r w:rsidR="00920875" w:rsidRPr="005B5FA2">
        <w:rPr>
          <w:rFonts w:asciiTheme="minorHAnsi" w:hAnsiTheme="minorHAnsi"/>
        </w:rPr>
        <w:t xml:space="preserve"> definitions </w:t>
      </w:r>
      <w:r w:rsidRPr="005B5FA2">
        <w:rPr>
          <w:rFonts w:asciiTheme="minorHAnsi" w:hAnsiTheme="minorHAnsi"/>
        </w:rPr>
        <w:t>and briefly</w:t>
      </w:r>
      <w:r w:rsidR="00920875" w:rsidRPr="005B5FA2">
        <w:rPr>
          <w:rFonts w:asciiTheme="minorHAnsi" w:hAnsiTheme="minorHAnsi"/>
        </w:rPr>
        <w:t xml:space="preserve"> discuss</w:t>
      </w:r>
      <w:r w:rsidRPr="005B5FA2">
        <w:rPr>
          <w:rFonts w:asciiTheme="minorHAnsi" w:hAnsiTheme="minorHAnsi"/>
        </w:rPr>
        <w:t>es</w:t>
      </w:r>
      <w:r w:rsidR="00920875" w:rsidRPr="005B5FA2">
        <w:rPr>
          <w:rFonts w:asciiTheme="minorHAnsi" w:hAnsiTheme="minorHAnsi"/>
        </w:rPr>
        <w:t xml:space="preserve"> the benefits and drawbacks.</w:t>
      </w:r>
    </w:p>
    <w:p w14:paraId="71CC574C" w14:textId="77777777" w:rsidR="00811AC1" w:rsidRPr="005B5FA2" w:rsidRDefault="005F1EF6" w:rsidP="00A8792F">
      <w:pPr>
        <w:rPr>
          <w:rFonts w:asciiTheme="minorHAnsi" w:hAnsiTheme="minorHAnsi"/>
        </w:rPr>
      </w:pPr>
      <w:r w:rsidRPr="005B5FA2">
        <w:rPr>
          <w:rFonts w:asciiTheme="minorHAnsi" w:hAnsiTheme="minorHAnsi"/>
        </w:rPr>
        <w:t>The Information Commissioner’s Office (ICO), UK's independent body set up to uphold information rights, defined data as follows</w:t>
      </w:r>
      <w:r w:rsidR="00D00452" w:rsidRPr="005B5FA2">
        <w:rPr>
          <w:rStyle w:val="FootnoteReference"/>
          <w:rFonts w:asciiTheme="minorHAnsi" w:hAnsiTheme="minorHAnsi"/>
        </w:rPr>
        <w:footnoteReference w:id="15"/>
      </w:r>
      <w:r w:rsidRPr="005B5FA2">
        <w:rPr>
          <w:rFonts w:asciiTheme="minorHAnsi" w:hAnsiTheme="minorHAnsi"/>
        </w:rPr>
        <w:t>:</w:t>
      </w:r>
    </w:p>
    <w:p w14:paraId="473DFA77" w14:textId="77777777" w:rsidR="005F1EF6" w:rsidRPr="005B5FA2" w:rsidRDefault="004D35E5" w:rsidP="00920875">
      <w:pPr>
        <w:ind w:left="720"/>
        <w:rPr>
          <w:rFonts w:asciiTheme="minorHAnsi" w:hAnsiTheme="minorHAnsi"/>
        </w:rPr>
      </w:pPr>
      <w:r w:rsidRPr="005B5FA2">
        <w:rPr>
          <w:rFonts w:asciiTheme="minorHAnsi" w:hAnsiTheme="minorHAnsi"/>
          <w:b/>
          <w:bCs/>
        </w:rPr>
        <w:t>‘</w:t>
      </w:r>
      <w:r w:rsidR="005F1EF6" w:rsidRPr="005B5FA2">
        <w:rPr>
          <w:rFonts w:asciiTheme="minorHAnsi" w:hAnsiTheme="minorHAnsi"/>
          <w:b/>
          <w:bCs/>
        </w:rPr>
        <w:t>Data</w:t>
      </w:r>
      <w:r w:rsidR="005F1EF6" w:rsidRPr="005B5FA2">
        <w:rPr>
          <w:rFonts w:asciiTheme="minorHAnsi" w:hAnsiTheme="minorHAnsi"/>
        </w:rPr>
        <w:t> means information which:</w:t>
      </w:r>
    </w:p>
    <w:p w14:paraId="2FBE8AD0" w14:textId="77777777" w:rsidR="005F1EF6" w:rsidRPr="005B5FA2" w:rsidRDefault="005F1EF6" w:rsidP="00920875">
      <w:pPr>
        <w:ind w:left="720"/>
        <w:rPr>
          <w:rFonts w:asciiTheme="minorHAnsi" w:hAnsiTheme="minorHAnsi"/>
        </w:rPr>
      </w:pPr>
      <w:r w:rsidRPr="005B5FA2">
        <w:rPr>
          <w:rFonts w:asciiTheme="minorHAnsi" w:hAnsiTheme="minorHAnsi"/>
        </w:rPr>
        <w:t xml:space="preserve">(a) </w:t>
      </w:r>
      <w:proofErr w:type="gramStart"/>
      <w:r w:rsidRPr="005B5FA2">
        <w:rPr>
          <w:rFonts w:asciiTheme="minorHAnsi" w:hAnsiTheme="minorHAnsi"/>
        </w:rPr>
        <w:t>is</w:t>
      </w:r>
      <w:proofErr w:type="gramEnd"/>
      <w:r w:rsidRPr="005B5FA2">
        <w:rPr>
          <w:rFonts w:asciiTheme="minorHAnsi" w:hAnsiTheme="minorHAnsi"/>
        </w:rPr>
        <w:t xml:space="preserve"> being processed by means of equipment operating automatically in response to instructions given for that purpose,</w:t>
      </w:r>
    </w:p>
    <w:p w14:paraId="3BE01066" w14:textId="77777777" w:rsidR="005F1EF6" w:rsidRPr="005B5FA2" w:rsidRDefault="005F1EF6" w:rsidP="00920875">
      <w:pPr>
        <w:ind w:left="720"/>
        <w:rPr>
          <w:rFonts w:asciiTheme="minorHAnsi" w:hAnsiTheme="minorHAnsi"/>
        </w:rPr>
      </w:pPr>
      <w:r w:rsidRPr="005B5FA2">
        <w:rPr>
          <w:rFonts w:asciiTheme="minorHAnsi" w:hAnsiTheme="minorHAnsi"/>
        </w:rPr>
        <w:t xml:space="preserve">(b) </w:t>
      </w:r>
      <w:proofErr w:type="gramStart"/>
      <w:r w:rsidRPr="005B5FA2">
        <w:rPr>
          <w:rFonts w:asciiTheme="minorHAnsi" w:hAnsiTheme="minorHAnsi"/>
        </w:rPr>
        <w:t>is</w:t>
      </w:r>
      <w:proofErr w:type="gramEnd"/>
      <w:r w:rsidRPr="005B5FA2">
        <w:rPr>
          <w:rFonts w:asciiTheme="minorHAnsi" w:hAnsiTheme="minorHAnsi"/>
        </w:rPr>
        <w:t xml:space="preserve"> recorded with the intention that it should be processed by means of such equipment,</w:t>
      </w:r>
    </w:p>
    <w:p w14:paraId="1DE1F3CC" w14:textId="77777777" w:rsidR="005F1EF6" w:rsidRPr="005B5FA2" w:rsidRDefault="005F1EF6" w:rsidP="00920875">
      <w:pPr>
        <w:ind w:left="720"/>
        <w:rPr>
          <w:rFonts w:asciiTheme="minorHAnsi" w:hAnsiTheme="minorHAnsi"/>
        </w:rPr>
      </w:pPr>
      <w:r w:rsidRPr="005B5FA2">
        <w:rPr>
          <w:rFonts w:asciiTheme="minorHAnsi" w:hAnsiTheme="minorHAnsi"/>
        </w:rPr>
        <w:t xml:space="preserve">(c) </w:t>
      </w:r>
      <w:proofErr w:type="gramStart"/>
      <w:r w:rsidRPr="005B5FA2">
        <w:rPr>
          <w:rFonts w:asciiTheme="minorHAnsi" w:hAnsiTheme="minorHAnsi"/>
        </w:rPr>
        <w:t>is</w:t>
      </w:r>
      <w:proofErr w:type="gramEnd"/>
      <w:r w:rsidRPr="005B5FA2">
        <w:rPr>
          <w:rFonts w:asciiTheme="minorHAnsi" w:hAnsiTheme="minorHAnsi"/>
        </w:rPr>
        <w:t xml:space="preserve"> recorded as part of a relevant filing system or with the intention that it should form part of a relevant filing system,</w:t>
      </w:r>
    </w:p>
    <w:p w14:paraId="00528B51" w14:textId="77777777" w:rsidR="005F1EF6" w:rsidRPr="005B5FA2" w:rsidRDefault="005F1EF6" w:rsidP="00920875">
      <w:pPr>
        <w:ind w:left="720"/>
        <w:rPr>
          <w:rFonts w:asciiTheme="minorHAnsi" w:hAnsiTheme="minorHAnsi"/>
        </w:rPr>
      </w:pPr>
      <w:r w:rsidRPr="005B5FA2">
        <w:rPr>
          <w:rFonts w:asciiTheme="minorHAnsi" w:hAnsiTheme="minorHAnsi"/>
        </w:rPr>
        <w:t>(d) does not fall within paragraph (a), (b) or (c) but forms part of an accessible record as defined by section 68, or</w:t>
      </w:r>
    </w:p>
    <w:p w14:paraId="79B74A5C" w14:textId="77777777" w:rsidR="005F1EF6" w:rsidRPr="005B5FA2" w:rsidRDefault="005F1EF6" w:rsidP="00920875">
      <w:pPr>
        <w:ind w:left="720"/>
        <w:rPr>
          <w:rFonts w:asciiTheme="minorHAnsi" w:hAnsiTheme="minorHAnsi"/>
        </w:rPr>
      </w:pPr>
      <w:r w:rsidRPr="005B5FA2">
        <w:rPr>
          <w:rFonts w:asciiTheme="minorHAnsi" w:hAnsiTheme="minorHAnsi"/>
        </w:rPr>
        <w:t>(</w:t>
      </w:r>
      <w:proofErr w:type="gramStart"/>
      <w:r w:rsidRPr="005B5FA2">
        <w:rPr>
          <w:rFonts w:asciiTheme="minorHAnsi" w:hAnsiTheme="minorHAnsi"/>
        </w:rPr>
        <w:t>e</w:t>
      </w:r>
      <w:proofErr w:type="gramEnd"/>
      <w:r w:rsidRPr="005B5FA2">
        <w:rPr>
          <w:rFonts w:asciiTheme="minorHAnsi" w:hAnsiTheme="minorHAnsi"/>
        </w:rPr>
        <w:t>) is recorded information held by a public authority and does not fall within any of paragraphs (a) to (d).</w:t>
      </w:r>
      <w:r w:rsidR="004D35E5" w:rsidRPr="005B5FA2">
        <w:rPr>
          <w:rFonts w:asciiTheme="minorHAnsi" w:hAnsiTheme="minorHAnsi"/>
        </w:rPr>
        <w:t>’</w:t>
      </w:r>
    </w:p>
    <w:p w14:paraId="07ACA483" w14:textId="77777777" w:rsidR="00D00452" w:rsidRPr="005B5FA2" w:rsidRDefault="005F1EF6" w:rsidP="005552AD">
      <w:pPr>
        <w:rPr>
          <w:rFonts w:asciiTheme="minorHAnsi" w:hAnsiTheme="minorHAnsi"/>
        </w:rPr>
      </w:pPr>
      <w:r w:rsidRPr="005B5FA2">
        <w:rPr>
          <w:rFonts w:asciiTheme="minorHAnsi" w:hAnsiTheme="minorHAnsi"/>
        </w:rPr>
        <w:t>This definition is comprehensive but its applicability in practice is low due to its complexity</w:t>
      </w:r>
      <w:r w:rsidR="005552AD" w:rsidRPr="005B5FA2">
        <w:rPr>
          <w:rFonts w:asciiTheme="minorHAnsi" w:hAnsiTheme="minorHAnsi"/>
        </w:rPr>
        <w:t xml:space="preserve">. The objective is to develop a definition of data that is understandable for individuals varying from data managers to legal professionals. </w:t>
      </w:r>
      <w:r w:rsidR="006A5C3B" w:rsidRPr="005B5FA2">
        <w:rPr>
          <w:rFonts w:asciiTheme="minorHAnsi" w:hAnsiTheme="minorHAnsi"/>
        </w:rPr>
        <w:t xml:space="preserve">Therefore a definition such as the above is not preferable. </w:t>
      </w:r>
      <w:r w:rsidR="005552AD" w:rsidRPr="005B5FA2">
        <w:rPr>
          <w:rFonts w:asciiTheme="minorHAnsi" w:hAnsiTheme="minorHAnsi"/>
        </w:rPr>
        <w:lastRenderedPageBreak/>
        <w:t>Furthermore, this definition raises questions such as: (</w:t>
      </w:r>
      <w:proofErr w:type="spellStart"/>
      <w:r w:rsidR="005552AD" w:rsidRPr="005B5FA2">
        <w:rPr>
          <w:rFonts w:asciiTheme="minorHAnsi" w:hAnsiTheme="minorHAnsi"/>
        </w:rPr>
        <w:t>i</w:t>
      </w:r>
      <w:proofErr w:type="spellEnd"/>
      <w:r w:rsidR="005552AD" w:rsidRPr="005B5FA2">
        <w:rPr>
          <w:rFonts w:asciiTheme="minorHAnsi" w:hAnsiTheme="minorHAnsi"/>
        </w:rPr>
        <w:t>) i</w:t>
      </w:r>
      <w:r w:rsidR="00D00452" w:rsidRPr="005B5FA2">
        <w:rPr>
          <w:rFonts w:asciiTheme="minorHAnsi" w:hAnsiTheme="minorHAnsi"/>
        </w:rPr>
        <w:t xml:space="preserve">s </w:t>
      </w:r>
      <w:r w:rsidR="00336512" w:rsidRPr="005B5FA2">
        <w:rPr>
          <w:rFonts w:asciiTheme="minorHAnsi" w:hAnsiTheme="minorHAnsi"/>
        </w:rPr>
        <w:t>information</w:t>
      </w:r>
      <w:r w:rsidR="00D00452" w:rsidRPr="005B5FA2">
        <w:rPr>
          <w:rFonts w:asciiTheme="minorHAnsi" w:hAnsiTheme="minorHAnsi"/>
        </w:rPr>
        <w:t xml:space="preserve"> that has not been collected or mined yet, defin</w:t>
      </w:r>
      <w:r w:rsidR="005552AD" w:rsidRPr="005B5FA2">
        <w:rPr>
          <w:rFonts w:asciiTheme="minorHAnsi" w:hAnsiTheme="minorHAnsi"/>
        </w:rPr>
        <w:t>ed as data, and (ii) i</w:t>
      </w:r>
      <w:r w:rsidR="00C84353" w:rsidRPr="005B5FA2">
        <w:rPr>
          <w:rFonts w:asciiTheme="minorHAnsi" w:hAnsiTheme="minorHAnsi"/>
        </w:rPr>
        <w:t>n which stage does information become ‘data’?</w:t>
      </w:r>
    </w:p>
    <w:p w14:paraId="052FE579" w14:textId="77777777" w:rsidR="00756D83" w:rsidRPr="005B5FA2" w:rsidRDefault="003E0A7E" w:rsidP="00756D83">
      <w:pPr>
        <w:rPr>
          <w:rFonts w:asciiTheme="minorHAnsi" w:hAnsiTheme="minorHAnsi"/>
        </w:rPr>
      </w:pPr>
      <w:r w:rsidRPr="005B5FA2">
        <w:rPr>
          <w:rFonts w:asciiTheme="minorHAnsi" w:hAnsiTheme="minorHAnsi"/>
        </w:rPr>
        <w:t xml:space="preserve">Whereas ICO’s definition </w:t>
      </w:r>
      <w:r w:rsidR="00C1280D" w:rsidRPr="005B5FA2">
        <w:rPr>
          <w:rFonts w:asciiTheme="minorHAnsi" w:hAnsiTheme="minorHAnsi"/>
        </w:rPr>
        <w:t>is</w:t>
      </w:r>
      <w:r w:rsidRPr="005B5FA2">
        <w:rPr>
          <w:rFonts w:asciiTheme="minorHAnsi" w:hAnsiTheme="minorHAnsi"/>
        </w:rPr>
        <w:t xml:space="preserve"> rather generic, </w:t>
      </w:r>
      <w:r w:rsidR="00B2471B" w:rsidRPr="005B5FA2">
        <w:rPr>
          <w:rFonts w:asciiTheme="minorHAnsi" w:hAnsiTheme="minorHAnsi"/>
        </w:rPr>
        <w:t>this study will also present a definition tailored to the context of this study: research data. Leiden University</w:t>
      </w:r>
      <w:r w:rsidR="005427EF" w:rsidRPr="005B5FA2">
        <w:rPr>
          <w:rFonts w:asciiTheme="minorHAnsi" w:hAnsiTheme="minorHAnsi"/>
        </w:rPr>
        <w:t xml:space="preserve"> defined</w:t>
      </w:r>
      <w:r w:rsidR="00B2471B" w:rsidRPr="005B5FA2">
        <w:rPr>
          <w:rFonts w:asciiTheme="minorHAnsi" w:hAnsiTheme="minorHAnsi"/>
        </w:rPr>
        <w:t xml:space="preserve"> ‘research data’</w:t>
      </w:r>
      <w:r w:rsidR="005427EF" w:rsidRPr="005B5FA2">
        <w:rPr>
          <w:rFonts w:asciiTheme="minorHAnsi" w:hAnsiTheme="minorHAnsi"/>
        </w:rPr>
        <w:t xml:space="preserve"> as follows</w:t>
      </w:r>
      <w:r w:rsidR="00756D83" w:rsidRPr="005B5FA2">
        <w:rPr>
          <w:rFonts w:asciiTheme="minorHAnsi" w:hAnsiTheme="minorHAnsi"/>
        </w:rPr>
        <w:t>:</w:t>
      </w:r>
    </w:p>
    <w:p w14:paraId="1983090F" w14:textId="77777777" w:rsidR="00756D83" w:rsidRPr="005B5FA2" w:rsidRDefault="004D35E5" w:rsidP="00756D83">
      <w:pPr>
        <w:ind w:left="720"/>
        <w:rPr>
          <w:rFonts w:asciiTheme="minorHAnsi" w:hAnsiTheme="minorHAnsi"/>
        </w:rPr>
      </w:pPr>
      <w:r w:rsidRPr="005B5FA2">
        <w:rPr>
          <w:rFonts w:asciiTheme="minorHAnsi" w:hAnsiTheme="minorHAnsi"/>
        </w:rPr>
        <w:t>‘</w:t>
      </w:r>
      <w:r w:rsidR="00756D83" w:rsidRPr="005B5FA2">
        <w:rPr>
          <w:rFonts w:asciiTheme="minorHAnsi" w:hAnsiTheme="minorHAnsi"/>
        </w:rPr>
        <w:t>Research data can be defined as recorded information that supports or validates the observations or conclusions from a research project. It takes many forms, ranging from numbers and measurements to documents, publications and images. Research data covers both collected, unprocessed data as well as analysed, generated data. This can be in digital and non-digital formats (e.g. samples, completed questionnaires, sound recordings, etc.).</w:t>
      </w:r>
      <w:r w:rsidR="00756D83" w:rsidRPr="005B5FA2">
        <w:rPr>
          <w:rStyle w:val="FootnoteReference"/>
          <w:rFonts w:asciiTheme="minorHAnsi" w:hAnsiTheme="minorHAnsi"/>
        </w:rPr>
        <w:footnoteReference w:id="16"/>
      </w:r>
      <w:r w:rsidRPr="005B5FA2">
        <w:rPr>
          <w:rFonts w:asciiTheme="minorHAnsi" w:hAnsiTheme="minorHAnsi"/>
        </w:rPr>
        <w:t>’</w:t>
      </w:r>
    </w:p>
    <w:p w14:paraId="52FF3D78" w14:textId="77777777" w:rsidR="00C5438C" w:rsidRPr="005B5FA2" w:rsidRDefault="00667672" w:rsidP="00D559CF">
      <w:pPr>
        <w:rPr>
          <w:rFonts w:asciiTheme="minorHAnsi" w:hAnsiTheme="minorHAnsi"/>
        </w:rPr>
      </w:pPr>
      <w:r w:rsidRPr="005B5FA2">
        <w:rPr>
          <w:rFonts w:asciiTheme="minorHAnsi" w:hAnsiTheme="minorHAnsi"/>
        </w:rPr>
        <w:t xml:space="preserve">The positive aspect of this definition is that it is </w:t>
      </w:r>
      <w:r w:rsidR="00C5438C" w:rsidRPr="005B5FA2">
        <w:rPr>
          <w:rFonts w:asciiTheme="minorHAnsi" w:hAnsiTheme="minorHAnsi"/>
        </w:rPr>
        <w:t>generic and can be applied to many cases and situations of research data</w:t>
      </w:r>
      <w:r w:rsidRPr="005B5FA2">
        <w:rPr>
          <w:rFonts w:asciiTheme="minorHAnsi" w:hAnsiTheme="minorHAnsi"/>
        </w:rPr>
        <w:t>.</w:t>
      </w:r>
      <w:r w:rsidR="00C5438C" w:rsidRPr="005B5FA2">
        <w:rPr>
          <w:rFonts w:asciiTheme="minorHAnsi" w:hAnsiTheme="minorHAnsi"/>
        </w:rPr>
        <w:t xml:space="preserve"> The drawback of this generic character is that it lacks clarity</w:t>
      </w:r>
      <w:r w:rsidRPr="005B5FA2">
        <w:rPr>
          <w:rFonts w:asciiTheme="minorHAnsi" w:hAnsiTheme="minorHAnsi"/>
        </w:rPr>
        <w:t xml:space="preserve"> </w:t>
      </w:r>
      <w:r w:rsidR="00C5438C" w:rsidRPr="005B5FA2">
        <w:rPr>
          <w:rFonts w:asciiTheme="minorHAnsi" w:hAnsiTheme="minorHAnsi"/>
        </w:rPr>
        <w:t>that legal situation</w:t>
      </w:r>
      <w:r w:rsidR="005244DA" w:rsidRPr="005B5FA2">
        <w:rPr>
          <w:rFonts w:asciiTheme="minorHAnsi" w:hAnsiTheme="minorHAnsi"/>
        </w:rPr>
        <w:t>s</w:t>
      </w:r>
      <w:r w:rsidR="00C5438C" w:rsidRPr="005B5FA2">
        <w:rPr>
          <w:rFonts w:asciiTheme="minorHAnsi" w:hAnsiTheme="minorHAnsi"/>
        </w:rPr>
        <w:t xml:space="preserve"> require. </w:t>
      </w:r>
    </w:p>
    <w:p w14:paraId="24E60734" w14:textId="77777777" w:rsidR="00D559CF" w:rsidRPr="005B5FA2" w:rsidRDefault="00D559CF" w:rsidP="00D559CF">
      <w:pPr>
        <w:rPr>
          <w:rFonts w:asciiTheme="minorHAnsi" w:hAnsiTheme="minorHAnsi"/>
        </w:rPr>
      </w:pPr>
      <w:r w:rsidRPr="005B5FA2">
        <w:rPr>
          <w:rFonts w:asciiTheme="minorHAnsi" w:hAnsiTheme="minorHAnsi"/>
        </w:rPr>
        <w:t>Researchers assume that they control the data and have the intellectual property rights and that they can decide what terms to impose on their data. Often, however, researchers do not, in fact, have these rights.</w:t>
      </w:r>
      <w:r w:rsidR="00C5438C" w:rsidRPr="005B5FA2">
        <w:rPr>
          <w:rFonts w:asciiTheme="minorHAnsi" w:hAnsiTheme="minorHAnsi"/>
        </w:rPr>
        <w:t xml:space="preserve"> It is therefore important to define the frequently used term ‘data ownership’.</w:t>
      </w:r>
    </w:p>
    <w:p w14:paraId="27AF0ADE" w14:textId="77777777" w:rsidR="00403A7A" w:rsidRPr="005B5FA2" w:rsidRDefault="006D727A" w:rsidP="00403A7A">
      <w:pPr>
        <w:rPr>
          <w:rFonts w:asciiTheme="minorHAnsi" w:hAnsiTheme="minorHAnsi"/>
          <w:u w:val="single"/>
        </w:rPr>
      </w:pPr>
      <w:r w:rsidRPr="005B5FA2">
        <w:rPr>
          <w:rFonts w:asciiTheme="minorHAnsi" w:hAnsiTheme="minorHAnsi"/>
          <w:u w:val="single"/>
        </w:rPr>
        <w:t>Define d</w:t>
      </w:r>
      <w:r w:rsidR="00403A7A" w:rsidRPr="005B5FA2">
        <w:rPr>
          <w:rFonts w:asciiTheme="minorHAnsi" w:hAnsiTheme="minorHAnsi"/>
          <w:u w:val="single"/>
        </w:rPr>
        <w:t>ata ownership</w:t>
      </w:r>
    </w:p>
    <w:p w14:paraId="0140AA3D" w14:textId="77777777" w:rsidR="0049281E" w:rsidRPr="005B5FA2" w:rsidRDefault="00403A7A" w:rsidP="00403A7A">
      <w:pPr>
        <w:rPr>
          <w:rFonts w:asciiTheme="minorHAnsi" w:hAnsiTheme="minorHAnsi"/>
        </w:rPr>
      </w:pPr>
      <w:r w:rsidRPr="005B5FA2">
        <w:rPr>
          <w:rFonts w:asciiTheme="minorHAnsi" w:hAnsiTheme="minorHAnsi"/>
        </w:rPr>
        <w:t xml:space="preserve">“Data ownership” is a relatively new term </w:t>
      </w:r>
      <w:r w:rsidR="009917C0" w:rsidRPr="005B5FA2">
        <w:rPr>
          <w:rFonts w:asciiTheme="minorHAnsi" w:hAnsiTheme="minorHAnsi"/>
        </w:rPr>
        <w:t xml:space="preserve">that </w:t>
      </w:r>
      <w:r w:rsidRPr="005B5FA2">
        <w:rPr>
          <w:rFonts w:asciiTheme="minorHAnsi" w:hAnsiTheme="minorHAnsi"/>
        </w:rPr>
        <w:t xml:space="preserve">was not </w:t>
      </w:r>
      <w:r w:rsidR="00256C56" w:rsidRPr="005B5FA2">
        <w:rPr>
          <w:rFonts w:asciiTheme="minorHAnsi" w:hAnsiTheme="minorHAnsi"/>
        </w:rPr>
        <w:t>commonly used</w:t>
      </w:r>
      <w:r w:rsidR="001B12ED" w:rsidRPr="005B5FA2">
        <w:rPr>
          <w:rFonts w:asciiTheme="minorHAnsi" w:hAnsiTheme="minorHAnsi"/>
        </w:rPr>
        <w:t xml:space="preserve"> before 2000. </w:t>
      </w:r>
      <w:r w:rsidR="00C844A9" w:rsidRPr="005B5FA2">
        <w:rPr>
          <w:rFonts w:asciiTheme="minorHAnsi" w:hAnsiTheme="minorHAnsi"/>
        </w:rPr>
        <w:t>There is much discussion amongst</w:t>
      </w:r>
      <w:r w:rsidR="00EB1A97" w:rsidRPr="005B5FA2">
        <w:rPr>
          <w:rFonts w:asciiTheme="minorHAnsi" w:hAnsiTheme="minorHAnsi"/>
        </w:rPr>
        <w:t xml:space="preserve"> IPR</w:t>
      </w:r>
      <w:r w:rsidR="00C844A9" w:rsidRPr="005B5FA2">
        <w:rPr>
          <w:rFonts w:asciiTheme="minorHAnsi" w:hAnsiTheme="minorHAnsi"/>
        </w:rPr>
        <w:t xml:space="preserve"> lawyers on this subject</w:t>
      </w:r>
      <w:r w:rsidR="0049281E" w:rsidRPr="005B5FA2">
        <w:rPr>
          <w:rFonts w:asciiTheme="minorHAnsi" w:hAnsiTheme="minorHAnsi"/>
        </w:rPr>
        <w:t xml:space="preserve"> for two main reasons</w:t>
      </w:r>
      <w:r w:rsidR="00C844A9" w:rsidRPr="005B5FA2">
        <w:rPr>
          <w:rFonts w:asciiTheme="minorHAnsi" w:hAnsiTheme="minorHAnsi"/>
        </w:rPr>
        <w:t xml:space="preserve">. </w:t>
      </w:r>
    </w:p>
    <w:p w14:paraId="28CF937E" w14:textId="77777777" w:rsidR="0049281E" w:rsidRPr="005B5FA2" w:rsidRDefault="0049281E" w:rsidP="00403A7A">
      <w:pPr>
        <w:rPr>
          <w:rFonts w:asciiTheme="minorHAnsi" w:hAnsiTheme="minorHAnsi"/>
        </w:rPr>
      </w:pPr>
      <w:r w:rsidRPr="005B5FA2">
        <w:rPr>
          <w:rFonts w:asciiTheme="minorHAnsi" w:hAnsiTheme="minorHAnsi"/>
        </w:rPr>
        <w:t>At first, d</w:t>
      </w:r>
      <w:r w:rsidR="001B12ED" w:rsidRPr="005B5FA2">
        <w:rPr>
          <w:rFonts w:asciiTheme="minorHAnsi" w:hAnsiTheme="minorHAnsi"/>
        </w:rPr>
        <w:t xml:space="preserve">ata is </w:t>
      </w:r>
      <w:r w:rsidR="00A35A58" w:rsidRPr="005B5FA2">
        <w:rPr>
          <w:rFonts w:asciiTheme="minorHAnsi" w:hAnsiTheme="minorHAnsi"/>
        </w:rPr>
        <w:t>an intangible</w:t>
      </w:r>
      <w:r w:rsidR="00EB1A97" w:rsidRPr="005B5FA2">
        <w:rPr>
          <w:rFonts w:asciiTheme="minorHAnsi" w:hAnsiTheme="minorHAnsi"/>
        </w:rPr>
        <w:t xml:space="preserve"> </w:t>
      </w:r>
      <w:r w:rsidR="00A35A58" w:rsidRPr="005B5FA2">
        <w:rPr>
          <w:rFonts w:asciiTheme="minorHAnsi" w:hAnsiTheme="minorHAnsi"/>
        </w:rPr>
        <w:t>good. The notion of "ownership" carries with it a sense of ownership akin to that applied to tangible goods. This may lead to the presumption that property rights apply. Such rights may be used to assess a monetary value, limit access, and prescribe how goods may or may not be reused by others. Every physical thing can by default be an object of property. But property rights apply only to tangible goods (</w:t>
      </w:r>
      <w:proofErr w:type="spellStart"/>
      <w:r w:rsidR="00A35A58" w:rsidRPr="005B5FA2">
        <w:rPr>
          <w:rFonts w:asciiTheme="minorHAnsi" w:hAnsiTheme="minorHAnsi"/>
        </w:rPr>
        <w:t>Egloff</w:t>
      </w:r>
      <w:proofErr w:type="spellEnd"/>
      <w:r w:rsidR="00A35A58" w:rsidRPr="005B5FA2">
        <w:rPr>
          <w:rFonts w:asciiTheme="minorHAnsi" w:hAnsiTheme="minorHAnsi"/>
        </w:rPr>
        <w:t xml:space="preserve">, 2014). </w:t>
      </w:r>
      <w:r w:rsidRPr="005B5FA2">
        <w:rPr>
          <w:rFonts w:asciiTheme="minorHAnsi" w:hAnsiTheme="minorHAnsi"/>
        </w:rPr>
        <w:t>Which means that from a strictly legal perspective</w:t>
      </w:r>
      <w:r w:rsidR="0056684B" w:rsidRPr="005B5FA2">
        <w:rPr>
          <w:rFonts w:asciiTheme="minorHAnsi" w:hAnsiTheme="minorHAnsi"/>
        </w:rPr>
        <w:t xml:space="preserve"> ‘ownership of data’ does not exist</w:t>
      </w:r>
      <w:r w:rsidRPr="005B5FA2">
        <w:rPr>
          <w:rFonts w:asciiTheme="minorHAnsi" w:hAnsiTheme="minorHAnsi"/>
        </w:rPr>
        <w:t xml:space="preserve">. </w:t>
      </w:r>
    </w:p>
    <w:p w14:paraId="3E5A1E7E" w14:textId="77777777" w:rsidR="002E2CD8" w:rsidRPr="005B5FA2" w:rsidRDefault="002E2CD8" w:rsidP="00403A7A">
      <w:pPr>
        <w:rPr>
          <w:rFonts w:asciiTheme="minorHAnsi" w:hAnsiTheme="minorHAnsi"/>
        </w:rPr>
      </w:pPr>
      <w:r w:rsidRPr="005B5FA2">
        <w:rPr>
          <w:rFonts w:asciiTheme="minorHAnsi" w:hAnsiTheme="minorHAnsi"/>
        </w:rPr>
        <w:t>The protection of non-tangible goods is always limited to specific areas and specific objects; there is no "general protection". If national laws do not specify that particular non-tangible goods are objects of intellectual property rights, then no rights apply. Individuals cannot claim intellectual property rights over items that are not covered by the relevant national laws (</w:t>
      </w:r>
      <w:proofErr w:type="spellStart"/>
      <w:r w:rsidRPr="005B5FA2">
        <w:rPr>
          <w:rFonts w:asciiTheme="minorHAnsi" w:hAnsiTheme="minorHAnsi"/>
        </w:rPr>
        <w:t>Egloff</w:t>
      </w:r>
      <w:proofErr w:type="spellEnd"/>
      <w:r w:rsidRPr="005B5FA2">
        <w:rPr>
          <w:rFonts w:asciiTheme="minorHAnsi" w:hAnsiTheme="minorHAnsi"/>
        </w:rPr>
        <w:t>, 2014).</w:t>
      </w:r>
    </w:p>
    <w:p w14:paraId="2250A553" w14:textId="77777777" w:rsidR="00217348" w:rsidRPr="005B5FA2" w:rsidRDefault="0049281E" w:rsidP="00403A7A">
      <w:pPr>
        <w:rPr>
          <w:rFonts w:asciiTheme="minorHAnsi" w:hAnsiTheme="minorHAnsi"/>
        </w:rPr>
      </w:pPr>
      <w:r w:rsidRPr="005B5FA2">
        <w:rPr>
          <w:rFonts w:asciiTheme="minorHAnsi" w:hAnsiTheme="minorHAnsi"/>
        </w:rPr>
        <w:t xml:space="preserve">Secondly, the basic concept of ownership means to have legal title and full property rights to something. If we accept this as the correct definition of ownership, then data ownership must be to have legal title to one or more specific items of data. However, this cannot be what is generally meant. If it were, then anyone assigned as a data owner could take the data they were told they owned and sell it. </w:t>
      </w:r>
      <w:r w:rsidR="00F562BA" w:rsidRPr="005B5FA2">
        <w:rPr>
          <w:rFonts w:asciiTheme="minorHAnsi" w:hAnsiTheme="minorHAnsi"/>
        </w:rPr>
        <w:t xml:space="preserve">In many cases however this is impossible because ‘data owners’ in its popular </w:t>
      </w:r>
      <w:r w:rsidR="00F562BA" w:rsidRPr="005B5FA2">
        <w:rPr>
          <w:rFonts w:asciiTheme="minorHAnsi" w:hAnsiTheme="minorHAnsi"/>
        </w:rPr>
        <w:lastRenderedPageBreak/>
        <w:t>use are not authorized to sell the data.</w:t>
      </w:r>
      <w:r w:rsidR="003D1BBF" w:rsidRPr="005B5FA2">
        <w:rPr>
          <w:rFonts w:asciiTheme="minorHAnsi" w:hAnsiTheme="minorHAnsi"/>
        </w:rPr>
        <w:t xml:space="preserve"> </w:t>
      </w:r>
      <w:r w:rsidR="00217348" w:rsidRPr="005B5FA2">
        <w:rPr>
          <w:rFonts w:asciiTheme="minorHAnsi" w:hAnsiTheme="minorHAnsi"/>
        </w:rPr>
        <w:t xml:space="preserve">Data ownership therefore does not have a literal meaning, and is rather an analogy instead of a defined term. </w:t>
      </w:r>
    </w:p>
    <w:p w14:paraId="0AE31F59" w14:textId="77777777" w:rsidR="006E4270" w:rsidRPr="005B5FA2" w:rsidRDefault="006E4270" w:rsidP="006E4270">
      <w:pPr>
        <w:rPr>
          <w:rFonts w:asciiTheme="minorHAnsi" w:hAnsiTheme="minorHAnsi"/>
        </w:rPr>
      </w:pPr>
      <w:r w:rsidRPr="005B5FA2">
        <w:rPr>
          <w:rFonts w:asciiTheme="minorHAnsi" w:hAnsiTheme="minorHAnsi"/>
        </w:rPr>
        <w:t>Yet there is one area where data ownership is ‘real’. This ‘real’ data ownership concerns data that is purchased as a service from data vendors. Licensing of such data has many issues around intellectual property. Basically, the data vendors regard the data as their property and limit redistribution and derivation in the licensing agreements.</w:t>
      </w:r>
      <w:r w:rsidRPr="005B5FA2">
        <w:rPr>
          <w:rStyle w:val="FootnoteReference"/>
          <w:rFonts w:asciiTheme="minorHAnsi" w:hAnsiTheme="minorHAnsi"/>
        </w:rPr>
        <w:footnoteReference w:id="17"/>
      </w:r>
    </w:p>
    <w:p w14:paraId="463643AB" w14:textId="77777777" w:rsidR="006E4270" w:rsidRPr="005B5FA2" w:rsidRDefault="006E4270" w:rsidP="006E4270">
      <w:pPr>
        <w:rPr>
          <w:rFonts w:asciiTheme="minorHAnsi" w:hAnsiTheme="minorHAnsi"/>
        </w:rPr>
      </w:pPr>
      <w:r w:rsidRPr="005B5FA2">
        <w:rPr>
          <w:rFonts w:asciiTheme="minorHAnsi" w:hAnsiTheme="minorHAnsi"/>
        </w:rPr>
        <w:t>Such restrictions present data management challenges. It is not easy to prevent redistribution – after all, how do you know what downstream applications are doing with the data? The same is true of using vendor-supplied data to derive or compute other data. Yet the vendors do enforce their contracts and are always on the lookout for violations, some of which can result in hefty settlements.</w:t>
      </w:r>
    </w:p>
    <w:p w14:paraId="2ACEC2A7" w14:textId="77777777" w:rsidR="006E4270" w:rsidRPr="005B5FA2" w:rsidRDefault="006E4270" w:rsidP="006E4270">
      <w:pPr>
        <w:rPr>
          <w:rFonts w:asciiTheme="minorHAnsi" w:hAnsiTheme="minorHAnsi"/>
        </w:rPr>
      </w:pPr>
      <w:r w:rsidRPr="005B5FA2">
        <w:rPr>
          <w:rFonts w:asciiTheme="minorHAnsi" w:hAnsiTheme="minorHAnsi"/>
        </w:rPr>
        <w:t>The problem here is determining to what extent data is the property of a supplier, particularly if the data can be found in the public realm (which it often can be). It is true that the vendor is collecting</w:t>
      </w:r>
      <w:r w:rsidR="00F2570F" w:rsidRPr="005B5FA2">
        <w:rPr>
          <w:rFonts w:asciiTheme="minorHAnsi" w:hAnsiTheme="minorHAnsi"/>
        </w:rPr>
        <w:t>, standardizing and attaching metadata</w:t>
      </w:r>
      <w:r w:rsidRPr="005B5FA2">
        <w:rPr>
          <w:rFonts w:asciiTheme="minorHAnsi" w:hAnsiTheme="minorHAnsi"/>
        </w:rPr>
        <w:t>, but do these actions really make the dat</w:t>
      </w:r>
      <w:r w:rsidR="00F2570F" w:rsidRPr="005B5FA2">
        <w:rPr>
          <w:rFonts w:asciiTheme="minorHAnsi" w:hAnsiTheme="minorHAnsi"/>
        </w:rPr>
        <w:t xml:space="preserve">a the property of the vendor? </w:t>
      </w:r>
      <w:r w:rsidR="00E8661C" w:rsidRPr="005B5FA2">
        <w:rPr>
          <w:rFonts w:asciiTheme="minorHAnsi" w:hAnsiTheme="minorHAnsi"/>
        </w:rPr>
        <w:t>There is much debate on this topic.</w:t>
      </w:r>
    </w:p>
    <w:p w14:paraId="590E37BD" w14:textId="77777777" w:rsidR="008E4A79" w:rsidRPr="005B5FA2" w:rsidRDefault="005E1901" w:rsidP="006E4270">
      <w:pPr>
        <w:rPr>
          <w:rFonts w:asciiTheme="minorHAnsi" w:hAnsiTheme="minorHAnsi"/>
        </w:rPr>
      </w:pPr>
      <w:r w:rsidRPr="005B5FA2">
        <w:rPr>
          <w:rFonts w:asciiTheme="minorHAnsi" w:hAnsiTheme="minorHAnsi"/>
        </w:rPr>
        <w:t>Another term frequently used is ‘rights holder’. Rights holders control the use of their exclusive rights, including reproduction and distribution.</w:t>
      </w:r>
    </w:p>
    <w:p w14:paraId="117D3AE9" w14:textId="77777777" w:rsidR="008A3498" w:rsidRPr="005B5FA2" w:rsidRDefault="008A3498" w:rsidP="006E4270">
      <w:pPr>
        <w:rPr>
          <w:rFonts w:asciiTheme="minorHAnsi" w:hAnsiTheme="minorHAnsi"/>
        </w:rPr>
      </w:pPr>
      <w:r w:rsidRPr="005B5FA2">
        <w:rPr>
          <w:rFonts w:asciiTheme="minorHAnsi" w:hAnsiTheme="minorHAnsi"/>
        </w:rPr>
        <w:t>When a third party uses this data, the rights holder should be cited, attributed or given credit.</w:t>
      </w:r>
    </w:p>
    <w:p w14:paraId="0C49A9AE" w14:textId="77777777" w:rsidR="00CE7CEA" w:rsidRPr="005B5FA2" w:rsidRDefault="006D727A" w:rsidP="00403A7A">
      <w:pPr>
        <w:rPr>
          <w:rFonts w:asciiTheme="minorHAnsi" w:hAnsiTheme="minorHAnsi"/>
          <w:u w:val="single"/>
        </w:rPr>
      </w:pPr>
      <w:r w:rsidRPr="005B5FA2">
        <w:rPr>
          <w:rFonts w:asciiTheme="minorHAnsi" w:hAnsiTheme="minorHAnsi"/>
          <w:u w:val="single"/>
        </w:rPr>
        <w:t>Define d</w:t>
      </w:r>
      <w:r w:rsidR="00CE7CEA" w:rsidRPr="005B5FA2">
        <w:rPr>
          <w:rFonts w:asciiTheme="minorHAnsi" w:hAnsiTheme="minorHAnsi"/>
          <w:u w:val="single"/>
        </w:rPr>
        <w:t xml:space="preserve">ata </w:t>
      </w:r>
      <w:r w:rsidR="00F63CFB" w:rsidRPr="005B5FA2">
        <w:rPr>
          <w:rFonts w:asciiTheme="minorHAnsi" w:hAnsiTheme="minorHAnsi"/>
          <w:u w:val="single"/>
        </w:rPr>
        <w:t>citation, attribution and credit</w:t>
      </w:r>
    </w:p>
    <w:p w14:paraId="00FF320F" w14:textId="77777777" w:rsidR="00F63CFB" w:rsidRPr="005B5FA2" w:rsidRDefault="00C642C2" w:rsidP="00F63CFB">
      <w:pPr>
        <w:rPr>
          <w:rFonts w:asciiTheme="minorHAnsi" w:hAnsiTheme="minorHAnsi"/>
        </w:rPr>
      </w:pPr>
      <w:r w:rsidRPr="005B5FA2">
        <w:rPr>
          <w:rFonts w:asciiTheme="minorHAnsi" w:hAnsiTheme="minorHAnsi"/>
        </w:rPr>
        <w:t>The terms</w:t>
      </w:r>
      <w:r w:rsidR="00F63CFB" w:rsidRPr="005B5FA2">
        <w:rPr>
          <w:rFonts w:asciiTheme="minorHAnsi" w:hAnsiTheme="minorHAnsi"/>
        </w:rPr>
        <w:t xml:space="preserve"> attribution, credit, and citation all have distinct meanings. Attribution refers to the legally imposed requirement to attribute the rights holder when data are copied or reused in a specified manner. The remedy against someone who fails to attribute is</w:t>
      </w:r>
      <w:r w:rsidRPr="005B5FA2">
        <w:rPr>
          <w:rFonts w:asciiTheme="minorHAnsi" w:hAnsiTheme="minorHAnsi"/>
        </w:rPr>
        <w:t xml:space="preserve"> to file a lawsuit. </w:t>
      </w:r>
      <w:proofErr w:type="gramStart"/>
      <w:r w:rsidRPr="005B5FA2">
        <w:rPr>
          <w:rFonts w:asciiTheme="minorHAnsi" w:hAnsiTheme="minorHAnsi"/>
        </w:rPr>
        <w:t>E</w:t>
      </w:r>
      <w:r w:rsidR="00F63CFB" w:rsidRPr="005B5FA2">
        <w:rPr>
          <w:rFonts w:asciiTheme="minorHAnsi" w:hAnsiTheme="minorHAnsi"/>
        </w:rPr>
        <w:t>ither based on breach of contract or infringement of</w:t>
      </w:r>
      <w:r w:rsidRPr="005B5FA2">
        <w:rPr>
          <w:rFonts w:asciiTheme="minorHAnsi" w:hAnsiTheme="minorHAnsi"/>
        </w:rPr>
        <w:t xml:space="preserve"> an IPR</w:t>
      </w:r>
      <w:r w:rsidR="00F63CFB" w:rsidRPr="005B5FA2">
        <w:rPr>
          <w:rFonts w:asciiTheme="minorHAnsi" w:hAnsiTheme="minorHAnsi"/>
        </w:rPr>
        <w:t>, depending on the legal mechanism used to impose the attribution requirements.</w:t>
      </w:r>
      <w:proofErr w:type="gramEnd"/>
      <w:r w:rsidR="00F63CFB" w:rsidRPr="005B5FA2">
        <w:rPr>
          <w:rFonts w:asciiTheme="minorHAnsi" w:hAnsiTheme="minorHAnsi"/>
        </w:rPr>
        <w:t xml:space="preserve"> Credit, on the other hand, </w:t>
      </w:r>
      <w:r w:rsidRPr="005B5FA2">
        <w:rPr>
          <w:rFonts w:asciiTheme="minorHAnsi" w:hAnsiTheme="minorHAnsi"/>
        </w:rPr>
        <w:t xml:space="preserve">is </w:t>
      </w:r>
      <w:r w:rsidR="00F63CFB" w:rsidRPr="005B5FA2">
        <w:rPr>
          <w:rFonts w:asciiTheme="minorHAnsi" w:hAnsiTheme="minorHAnsi"/>
        </w:rPr>
        <w:t xml:space="preserve">explicit recognition for </w:t>
      </w:r>
      <w:r w:rsidRPr="005B5FA2">
        <w:rPr>
          <w:rFonts w:asciiTheme="minorHAnsi" w:hAnsiTheme="minorHAnsi"/>
        </w:rPr>
        <w:t>the</w:t>
      </w:r>
      <w:r w:rsidR="00F63CFB" w:rsidRPr="005B5FA2">
        <w:rPr>
          <w:rFonts w:asciiTheme="minorHAnsi" w:hAnsiTheme="minorHAnsi"/>
        </w:rPr>
        <w:t xml:space="preserve"> contribution to someone else's work. Finally, there is citation, which is rooted in norms of scholarly communication. The purpose of citation is to support an argument with evidence. However, citation has also become a proxy for credit, albeit an imperfect one</w:t>
      </w:r>
      <w:r w:rsidR="0039618B" w:rsidRPr="005B5FA2">
        <w:rPr>
          <w:rFonts w:asciiTheme="minorHAnsi" w:hAnsiTheme="minorHAnsi"/>
        </w:rPr>
        <w:t xml:space="preserve"> (Pearson, 2012)</w:t>
      </w:r>
      <w:r w:rsidR="00F63CFB" w:rsidRPr="005B5FA2">
        <w:rPr>
          <w:rFonts w:asciiTheme="minorHAnsi" w:hAnsiTheme="minorHAnsi"/>
        </w:rPr>
        <w:t>.</w:t>
      </w:r>
    </w:p>
    <w:p w14:paraId="5930259E" w14:textId="77777777" w:rsidR="0079517F" w:rsidRPr="005B5FA2" w:rsidRDefault="0079517F" w:rsidP="00F63CFB">
      <w:pPr>
        <w:rPr>
          <w:rFonts w:asciiTheme="minorHAnsi" w:hAnsiTheme="minorHAnsi"/>
        </w:rPr>
      </w:pPr>
      <w:r w:rsidRPr="005B5FA2">
        <w:rPr>
          <w:rFonts w:asciiTheme="minorHAnsi" w:hAnsiTheme="minorHAnsi"/>
        </w:rPr>
        <w:t xml:space="preserve">In the case of copyrighted work, citation is a legal obligation. </w:t>
      </w:r>
      <w:proofErr w:type="gramStart"/>
      <w:r w:rsidRPr="005B5FA2">
        <w:rPr>
          <w:rFonts w:asciiTheme="minorHAnsi" w:hAnsiTheme="minorHAnsi"/>
        </w:rPr>
        <w:t>As is stipulated in Art.</w:t>
      </w:r>
      <w:proofErr w:type="gramEnd"/>
      <w:r w:rsidRPr="005B5FA2">
        <w:rPr>
          <w:rFonts w:asciiTheme="minorHAnsi" w:hAnsiTheme="minorHAnsi"/>
        </w:rPr>
        <w:t xml:space="preserve"> 6bis of the Berne Convention (World Intellectual Property Organization 1979a)</w:t>
      </w:r>
      <w:r w:rsidRPr="005B5FA2">
        <w:rPr>
          <w:rStyle w:val="FootnoteReference"/>
          <w:rFonts w:asciiTheme="minorHAnsi" w:hAnsiTheme="minorHAnsi"/>
        </w:rPr>
        <w:footnoteReference w:id="18"/>
      </w:r>
      <w:r w:rsidRPr="005B5FA2">
        <w:rPr>
          <w:rFonts w:asciiTheme="minorHAnsi" w:hAnsiTheme="minorHAnsi"/>
        </w:rPr>
        <w:t>, every author shall have the right to claim authorship, “independently of the author’s economic rights, and even after the transfer of the said rights” (</w:t>
      </w:r>
      <w:proofErr w:type="spellStart"/>
      <w:r w:rsidRPr="005B5FA2">
        <w:rPr>
          <w:rFonts w:asciiTheme="minorHAnsi" w:hAnsiTheme="minorHAnsi"/>
        </w:rPr>
        <w:t>Egloff</w:t>
      </w:r>
      <w:proofErr w:type="spellEnd"/>
      <w:r w:rsidRPr="005B5FA2">
        <w:rPr>
          <w:rFonts w:asciiTheme="minorHAnsi" w:hAnsiTheme="minorHAnsi"/>
        </w:rPr>
        <w:t>, 2014).</w:t>
      </w:r>
    </w:p>
    <w:p w14:paraId="003DCEA1" w14:textId="77777777" w:rsidR="001E1458" w:rsidRDefault="001E1458" w:rsidP="00F63CFB">
      <w:pPr>
        <w:rPr>
          <w:rFonts w:asciiTheme="minorHAnsi" w:hAnsiTheme="minorHAnsi"/>
          <w:u w:val="single"/>
        </w:rPr>
      </w:pPr>
    </w:p>
    <w:p w14:paraId="5E2CB5A7" w14:textId="77777777" w:rsidR="001E1458" w:rsidRDefault="001E1458" w:rsidP="00F63CFB">
      <w:pPr>
        <w:rPr>
          <w:rFonts w:asciiTheme="minorHAnsi" w:hAnsiTheme="minorHAnsi"/>
          <w:u w:val="single"/>
        </w:rPr>
      </w:pPr>
    </w:p>
    <w:p w14:paraId="7441A63A" w14:textId="77777777" w:rsidR="001E1458" w:rsidRDefault="001E1458" w:rsidP="00F63CFB">
      <w:pPr>
        <w:rPr>
          <w:rFonts w:asciiTheme="minorHAnsi" w:hAnsiTheme="minorHAnsi"/>
          <w:u w:val="single"/>
        </w:rPr>
      </w:pPr>
    </w:p>
    <w:p w14:paraId="271FF2C5" w14:textId="77777777" w:rsidR="00783F42" w:rsidRPr="005B5FA2" w:rsidRDefault="0083237F" w:rsidP="00F63CFB">
      <w:pPr>
        <w:rPr>
          <w:rFonts w:asciiTheme="minorHAnsi" w:hAnsiTheme="minorHAnsi"/>
          <w:u w:val="single"/>
        </w:rPr>
      </w:pPr>
      <w:r w:rsidRPr="005B5FA2">
        <w:rPr>
          <w:rFonts w:asciiTheme="minorHAnsi" w:hAnsiTheme="minorHAnsi"/>
          <w:u w:val="single"/>
        </w:rPr>
        <w:lastRenderedPageBreak/>
        <w:t xml:space="preserve">Clarify citation </w:t>
      </w:r>
      <w:r w:rsidR="00783F42" w:rsidRPr="005B5FA2">
        <w:rPr>
          <w:rFonts w:asciiTheme="minorHAnsi" w:hAnsiTheme="minorHAnsi"/>
          <w:u w:val="single"/>
        </w:rPr>
        <w:t xml:space="preserve">of compound </w:t>
      </w:r>
      <w:r w:rsidR="00B55405" w:rsidRPr="005B5FA2">
        <w:rPr>
          <w:rFonts w:asciiTheme="minorHAnsi" w:hAnsiTheme="minorHAnsi"/>
          <w:u w:val="single"/>
        </w:rPr>
        <w:t>dataset</w:t>
      </w:r>
    </w:p>
    <w:p w14:paraId="0FB142BD" w14:textId="77777777" w:rsidR="003C4718" w:rsidRPr="005B5FA2" w:rsidRDefault="007C075D" w:rsidP="007E6F6C">
      <w:pPr>
        <w:rPr>
          <w:rFonts w:asciiTheme="minorHAnsi" w:hAnsiTheme="minorHAnsi"/>
        </w:rPr>
      </w:pPr>
      <w:r w:rsidRPr="005B5FA2">
        <w:rPr>
          <w:rFonts w:asciiTheme="minorHAnsi" w:hAnsiTheme="minorHAnsi"/>
        </w:rPr>
        <w:t xml:space="preserve">Title 17 of the US Code (U.S.C. 17) refers to compound data products as works formed by the collection and assembling of pre-existing materials. </w:t>
      </w:r>
      <w:r w:rsidR="00116D82" w:rsidRPr="005B5FA2">
        <w:rPr>
          <w:rFonts w:asciiTheme="minorHAnsi" w:hAnsiTheme="minorHAnsi"/>
        </w:rPr>
        <w:t xml:space="preserve">Surprisingly, this topic has received very little attention. There appear to be no generally useful standards for citations of compound products. </w:t>
      </w:r>
    </w:p>
    <w:p w14:paraId="1E5A17F7" w14:textId="77777777" w:rsidR="00E424C5" w:rsidRDefault="00E424C5" w:rsidP="007E6F6C">
      <w:pPr>
        <w:rPr>
          <w:rFonts w:asciiTheme="minorHAnsi" w:hAnsiTheme="minorHAnsi"/>
        </w:rPr>
      </w:pPr>
      <w:r w:rsidRPr="005B5FA2">
        <w:rPr>
          <w:rFonts w:asciiTheme="minorHAnsi" w:hAnsiTheme="minorHAnsi"/>
        </w:rPr>
        <w:t>Whenever an individual within the research community uses parts of a dataset, it is not always clear how to cite this part of the dataset. This</w:t>
      </w:r>
      <w:r w:rsidR="000E6E94" w:rsidRPr="005B5FA2">
        <w:rPr>
          <w:rFonts w:asciiTheme="minorHAnsi" w:hAnsiTheme="minorHAnsi"/>
        </w:rPr>
        <w:t xml:space="preserve"> happens frequently, especially in international organization where data is sourced from many countries and different institutes.</w:t>
      </w:r>
      <w:r w:rsidRPr="005B5FA2">
        <w:rPr>
          <w:rFonts w:asciiTheme="minorHAnsi" w:hAnsiTheme="minorHAnsi"/>
        </w:rPr>
        <w:t xml:space="preserve"> </w:t>
      </w:r>
    </w:p>
    <w:p w14:paraId="79B9F7CF" w14:textId="77777777" w:rsidR="00A60DDA" w:rsidRDefault="00A60DDA" w:rsidP="00A60DDA">
      <w:r>
        <w:t xml:space="preserve">Compound datasets are common in statistical systems, where for instance data from different countries are combined. These datasets often cannot be simply considered as ownership of the contributing parties as they are processed, filtered, or sometimes even estimated. In many cases, the producer of the compound dataset becomes the rights owner, but in many cases this is not agreed with the data contributors, and thus an unclear situation ensues. The increased availability and use of on-line datasets make it more important to understand the rights associated with compound datasets, if only to prevent unintended use. This brings a responsibility to the organizations that compile these datasets to inform their contributors, and agree with them on the terms of use of their data in a data policy. This is a complex and labour-intensive task.   </w:t>
      </w:r>
    </w:p>
    <w:p w14:paraId="0C3F76B7" w14:textId="2997E834" w:rsidR="00A60DDA" w:rsidRPr="00A60DDA" w:rsidRDefault="00A60DDA" w:rsidP="007E6F6C">
      <w:r>
        <w:t xml:space="preserve">There currently is no comprehensive technology that can describe compound datasets as a whole, or track the content and modifications to it. </w:t>
      </w:r>
    </w:p>
    <w:p w14:paraId="612D0895" w14:textId="77777777" w:rsidR="00CD1DEB" w:rsidRPr="005B5FA2" w:rsidRDefault="00BE513B" w:rsidP="00CD1DEB">
      <w:pPr>
        <w:rPr>
          <w:rFonts w:asciiTheme="minorHAnsi" w:hAnsiTheme="minorHAnsi"/>
          <w:u w:val="single"/>
        </w:rPr>
      </w:pPr>
      <w:r w:rsidRPr="005B5FA2">
        <w:rPr>
          <w:rFonts w:asciiTheme="minorHAnsi" w:hAnsiTheme="minorHAnsi"/>
          <w:u w:val="single"/>
        </w:rPr>
        <w:t xml:space="preserve">Prevent long </w:t>
      </w:r>
      <w:r w:rsidR="001F1BD6" w:rsidRPr="005B5FA2">
        <w:rPr>
          <w:rFonts w:asciiTheme="minorHAnsi" w:hAnsiTheme="minorHAnsi"/>
          <w:u w:val="single"/>
        </w:rPr>
        <w:t>tail research data</w:t>
      </w:r>
    </w:p>
    <w:p w14:paraId="17AF34C4" w14:textId="77777777" w:rsidR="00AC6722" w:rsidRPr="005B5FA2" w:rsidRDefault="001F1BD6" w:rsidP="001F1BD6">
      <w:pPr>
        <w:rPr>
          <w:rFonts w:asciiTheme="minorHAnsi" w:hAnsiTheme="minorHAnsi"/>
        </w:rPr>
      </w:pPr>
      <w:r w:rsidRPr="005B5FA2">
        <w:rPr>
          <w:rFonts w:asciiTheme="minorHAnsi" w:hAnsiTheme="minorHAnsi"/>
        </w:rPr>
        <w:t xml:space="preserve">While sophisticated research infrastructures assist scientists in managing massive volumes of data, the so-called long tail of research data frequently suffers from a lack of such services. This is mostly due to the complexity caused by the variety of data to be managed and a lack of easily </w:t>
      </w:r>
      <w:proofErr w:type="spellStart"/>
      <w:r w:rsidRPr="005B5FA2">
        <w:rPr>
          <w:rFonts w:asciiTheme="minorHAnsi" w:hAnsiTheme="minorHAnsi"/>
        </w:rPr>
        <w:t>standardiseable</w:t>
      </w:r>
      <w:proofErr w:type="spellEnd"/>
      <w:r w:rsidRPr="005B5FA2">
        <w:rPr>
          <w:rFonts w:asciiTheme="minorHAnsi" w:hAnsiTheme="minorHAnsi"/>
        </w:rPr>
        <w:t xml:space="preserve"> procedures in highly diverse research settings</w:t>
      </w:r>
      <w:r w:rsidR="00AC6722" w:rsidRPr="005B5FA2">
        <w:rPr>
          <w:rFonts w:asciiTheme="minorHAnsi" w:hAnsiTheme="minorHAnsi"/>
        </w:rPr>
        <w:t xml:space="preserve"> (</w:t>
      </w:r>
      <w:proofErr w:type="spellStart"/>
      <w:r w:rsidR="00AC6722" w:rsidRPr="005B5FA2">
        <w:rPr>
          <w:rFonts w:asciiTheme="minorHAnsi" w:hAnsiTheme="minorHAnsi"/>
        </w:rPr>
        <w:t>Pröll</w:t>
      </w:r>
      <w:proofErr w:type="spellEnd"/>
      <w:r w:rsidR="00AC6722" w:rsidRPr="005B5FA2">
        <w:rPr>
          <w:rFonts w:asciiTheme="minorHAnsi" w:hAnsiTheme="minorHAnsi"/>
        </w:rPr>
        <w:t xml:space="preserve"> et al., 2016)</w:t>
      </w:r>
      <w:r w:rsidRPr="005B5FA2">
        <w:rPr>
          <w:rFonts w:asciiTheme="minorHAnsi" w:hAnsiTheme="minorHAnsi"/>
        </w:rPr>
        <w:t xml:space="preserve">. </w:t>
      </w:r>
      <w:r w:rsidR="00197DCC" w:rsidRPr="005B5FA2">
        <w:rPr>
          <w:rFonts w:asciiTheme="minorHAnsi" w:hAnsiTheme="minorHAnsi"/>
        </w:rPr>
        <w:t>Long tail datasets are heterogeneous, small of size, u</w:t>
      </w:r>
      <w:r w:rsidR="000A4851" w:rsidRPr="005B5FA2">
        <w:rPr>
          <w:rFonts w:asciiTheme="minorHAnsi" w:hAnsiTheme="minorHAnsi"/>
        </w:rPr>
        <w:t xml:space="preserve">nique standards, not-integrated and have an individual curation </w:t>
      </w:r>
      <w:r w:rsidR="00197DCC" w:rsidRPr="005B5FA2">
        <w:rPr>
          <w:rFonts w:asciiTheme="minorHAnsi" w:hAnsiTheme="minorHAnsi"/>
        </w:rPr>
        <w:t>(</w:t>
      </w:r>
      <w:proofErr w:type="spellStart"/>
      <w:r w:rsidR="00197DCC" w:rsidRPr="005B5FA2">
        <w:rPr>
          <w:rFonts w:asciiTheme="minorHAnsi" w:hAnsiTheme="minorHAnsi"/>
        </w:rPr>
        <w:t>Heidorn</w:t>
      </w:r>
      <w:proofErr w:type="spellEnd"/>
      <w:r w:rsidR="00197DCC" w:rsidRPr="005B5FA2">
        <w:rPr>
          <w:rFonts w:asciiTheme="minorHAnsi" w:hAnsiTheme="minorHAnsi"/>
        </w:rPr>
        <w:t>, 2008)</w:t>
      </w:r>
      <w:r w:rsidR="000A4851" w:rsidRPr="005B5FA2">
        <w:rPr>
          <w:rFonts w:asciiTheme="minorHAnsi" w:hAnsiTheme="minorHAnsi"/>
        </w:rPr>
        <w:t xml:space="preserve">. </w:t>
      </w:r>
    </w:p>
    <w:p w14:paraId="37881314" w14:textId="77777777" w:rsidR="00BE513B" w:rsidRDefault="00762789" w:rsidP="001F1BD6">
      <w:pPr>
        <w:rPr>
          <w:rFonts w:asciiTheme="minorHAnsi" w:hAnsiTheme="minorHAnsi"/>
        </w:rPr>
      </w:pPr>
      <w:r w:rsidRPr="005B5FA2">
        <w:rPr>
          <w:rFonts w:asciiTheme="minorHAnsi" w:hAnsiTheme="minorHAnsi"/>
        </w:rPr>
        <w:t>The term ‘data provenance’ refers to the process of tracing and recording the origins of data and its movement between databases. Scientific research is generally held to be of good provenance when it is documented in detail sufficient to allow reproducibility (</w:t>
      </w:r>
      <w:proofErr w:type="spellStart"/>
      <w:r w:rsidRPr="005B5FA2">
        <w:rPr>
          <w:rFonts w:asciiTheme="minorHAnsi" w:hAnsiTheme="minorHAnsi"/>
        </w:rPr>
        <w:t>Altintas</w:t>
      </w:r>
      <w:proofErr w:type="spellEnd"/>
      <w:r w:rsidRPr="005B5FA2">
        <w:rPr>
          <w:rFonts w:asciiTheme="minorHAnsi" w:hAnsiTheme="minorHAnsi"/>
        </w:rPr>
        <w:t xml:space="preserve"> et al., 2004). Various initiatives such as </w:t>
      </w:r>
      <w:proofErr w:type="spellStart"/>
      <w:r w:rsidRPr="005B5FA2">
        <w:rPr>
          <w:rFonts w:asciiTheme="minorHAnsi" w:hAnsiTheme="minorHAnsi"/>
        </w:rPr>
        <w:t>DataONE</w:t>
      </w:r>
      <w:proofErr w:type="spellEnd"/>
      <w:r w:rsidRPr="005B5FA2">
        <w:rPr>
          <w:rFonts w:asciiTheme="minorHAnsi" w:hAnsiTheme="minorHAnsi"/>
        </w:rPr>
        <w:t xml:space="preserve"> and the Research Data Alliance are working to tackle issues of provenance.</w:t>
      </w:r>
      <w:r w:rsidR="00B225D9" w:rsidRPr="005B5FA2">
        <w:rPr>
          <w:rFonts w:asciiTheme="minorHAnsi" w:hAnsiTheme="minorHAnsi"/>
        </w:rPr>
        <w:t xml:space="preserve"> </w:t>
      </w:r>
    </w:p>
    <w:p w14:paraId="18ABB999" w14:textId="5C559E24" w:rsidR="00BE513B" w:rsidRPr="00AE6D59" w:rsidRDefault="00A60DDA" w:rsidP="00CD1DEB">
      <w:r>
        <w:t xml:space="preserve">The long tail of data is evident in global statistical datasets where data pass sometimes 5-6 stages before they end up as an aggregate data-point in a global dataset. It is impossible to properly trace all contributions, and at a certain stage the tail has to be cut. The interviews learnt that there are several options to manage the long tail, but no single approach is currently applied. An infrastructure can provide essential services to organizations that are in need of managing (part of) the tail. This will require international standards to ensure the tail supports interoperability across organizations. </w:t>
      </w:r>
    </w:p>
    <w:p w14:paraId="0EFBD131" w14:textId="77777777" w:rsidR="00A91788" w:rsidRPr="005B5FA2" w:rsidRDefault="00A91788" w:rsidP="008802A9">
      <w:pPr>
        <w:pStyle w:val="Heading1"/>
        <w:rPr>
          <w:rFonts w:asciiTheme="minorHAnsi" w:hAnsiTheme="minorHAnsi"/>
        </w:rPr>
      </w:pPr>
      <w:bookmarkStart w:id="6" w:name="_Toc496179590"/>
      <w:r w:rsidRPr="005B5FA2">
        <w:rPr>
          <w:rFonts w:asciiTheme="minorHAnsi" w:hAnsiTheme="minorHAnsi"/>
        </w:rPr>
        <w:lastRenderedPageBreak/>
        <w:t>Conclusion</w:t>
      </w:r>
      <w:bookmarkEnd w:id="6"/>
    </w:p>
    <w:bookmarkEnd w:id="2"/>
    <w:p w14:paraId="6D94F786" w14:textId="77777777" w:rsidR="00C610B5" w:rsidRPr="005B5FA2" w:rsidRDefault="008700F8" w:rsidP="008700F8">
      <w:pPr>
        <w:rPr>
          <w:rFonts w:asciiTheme="minorHAnsi" w:hAnsiTheme="minorHAnsi"/>
        </w:rPr>
      </w:pPr>
      <w:r w:rsidRPr="005B5FA2">
        <w:rPr>
          <w:rFonts w:asciiTheme="minorHAnsi" w:hAnsiTheme="minorHAnsi"/>
        </w:rPr>
        <w:t xml:space="preserve">Organizations that wish to exploit cloud-based services, often find it difficult to obtain an overview of the options and opportunities. With a SDM, they can obtain a quick overview of the implications of a specific architecture, but also avoid overlap or even conflicts between different legally relevant documents. </w:t>
      </w:r>
      <w:r w:rsidR="006F3C61" w:rsidRPr="005B5FA2">
        <w:rPr>
          <w:rFonts w:asciiTheme="minorHAnsi" w:hAnsiTheme="minorHAnsi"/>
        </w:rPr>
        <w:t>A quick scan of an emerging exploitation of EGI resources by a community through an intermediate showed the benefits of the approach.</w:t>
      </w:r>
    </w:p>
    <w:p w14:paraId="06E8CEC3" w14:textId="77777777" w:rsidR="00AF6692" w:rsidRPr="005B5FA2" w:rsidRDefault="00E766C3" w:rsidP="008700F8">
      <w:pPr>
        <w:rPr>
          <w:rFonts w:asciiTheme="minorHAnsi" w:hAnsiTheme="minorHAnsi"/>
        </w:rPr>
      </w:pPr>
      <w:r w:rsidRPr="005B5FA2">
        <w:rPr>
          <w:rFonts w:asciiTheme="minorHAnsi" w:hAnsiTheme="minorHAnsi"/>
        </w:rPr>
        <w:t>This study mostly serves as fact fin</w:t>
      </w:r>
      <w:r w:rsidR="00D0462C" w:rsidRPr="005B5FA2">
        <w:rPr>
          <w:rFonts w:asciiTheme="minorHAnsi" w:hAnsiTheme="minorHAnsi"/>
        </w:rPr>
        <w:t>d</w:t>
      </w:r>
      <w:r w:rsidRPr="005B5FA2">
        <w:rPr>
          <w:rFonts w:asciiTheme="minorHAnsi" w:hAnsiTheme="minorHAnsi"/>
        </w:rPr>
        <w:t>er, a brief study to develop a framework as a first step towards a SDM</w:t>
      </w:r>
      <w:r w:rsidR="00181735" w:rsidRPr="005B5FA2">
        <w:rPr>
          <w:rFonts w:asciiTheme="minorHAnsi" w:hAnsiTheme="minorHAnsi"/>
        </w:rPr>
        <w:t xml:space="preserve"> that has a more generic character with the aim to establish collaborations between the different layers</w:t>
      </w:r>
      <w:r w:rsidRPr="005B5FA2">
        <w:rPr>
          <w:rFonts w:asciiTheme="minorHAnsi" w:hAnsiTheme="minorHAnsi"/>
        </w:rPr>
        <w:t xml:space="preserve">. </w:t>
      </w:r>
      <w:r w:rsidR="00AF6692" w:rsidRPr="005B5FA2">
        <w:rPr>
          <w:rFonts w:asciiTheme="minorHAnsi" w:hAnsiTheme="minorHAnsi"/>
        </w:rPr>
        <w:t xml:space="preserve">A next step for this proposed SDM </w:t>
      </w:r>
      <w:r w:rsidR="00D0462C" w:rsidRPr="005B5FA2">
        <w:rPr>
          <w:rFonts w:asciiTheme="minorHAnsi" w:hAnsiTheme="minorHAnsi"/>
        </w:rPr>
        <w:t>would be</w:t>
      </w:r>
      <w:r w:rsidR="00AF6692" w:rsidRPr="005B5FA2">
        <w:rPr>
          <w:rFonts w:asciiTheme="minorHAnsi" w:hAnsiTheme="minorHAnsi"/>
        </w:rPr>
        <w:t xml:space="preserve"> to implement the recommendations and guidelines learned during the development of this study. The following major points were discovered.</w:t>
      </w:r>
    </w:p>
    <w:p w14:paraId="2C50C4B7" w14:textId="77777777" w:rsidR="00181735" w:rsidRPr="005B5FA2" w:rsidRDefault="00181735" w:rsidP="008700F8">
      <w:pPr>
        <w:rPr>
          <w:rFonts w:asciiTheme="minorHAnsi" w:hAnsiTheme="minorHAnsi"/>
        </w:rPr>
      </w:pPr>
      <w:r w:rsidRPr="005B5FA2">
        <w:rPr>
          <w:rFonts w:asciiTheme="minorHAnsi" w:hAnsiTheme="minorHAnsi"/>
        </w:rPr>
        <w:t xml:space="preserve">The application of the proposed SDM on the FAO (chapter 3) use case made clear that there is a lack of concrete and clear regulations (such as consequences when one party does not meet the agreement), mention of options to distribute data to third parties, and standardized process to </w:t>
      </w:r>
      <w:proofErr w:type="spellStart"/>
      <w:r w:rsidRPr="005B5FA2">
        <w:rPr>
          <w:rFonts w:asciiTheme="minorHAnsi" w:hAnsiTheme="minorHAnsi"/>
        </w:rPr>
        <w:t>analyze</w:t>
      </w:r>
      <w:proofErr w:type="spellEnd"/>
      <w:r w:rsidRPr="005B5FA2">
        <w:rPr>
          <w:rFonts w:asciiTheme="minorHAnsi" w:hAnsiTheme="minorHAnsi"/>
        </w:rPr>
        <w:t xml:space="preserve"> whether standards for ownership of IPR are included in the metadata. These aspects can be included in a next step of the proposed SDM.</w:t>
      </w:r>
    </w:p>
    <w:p w14:paraId="31976AF6" w14:textId="77777777" w:rsidR="009762E3" w:rsidRPr="005B5FA2" w:rsidRDefault="003B5C1F" w:rsidP="008700F8">
      <w:pPr>
        <w:rPr>
          <w:rFonts w:asciiTheme="minorHAnsi" w:hAnsiTheme="minorHAnsi"/>
        </w:rPr>
      </w:pPr>
      <w:r w:rsidRPr="005B5FA2">
        <w:rPr>
          <w:rFonts w:asciiTheme="minorHAnsi" w:hAnsiTheme="minorHAnsi"/>
        </w:rPr>
        <w:t xml:space="preserve">It appeared that parties involved in data management </w:t>
      </w:r>
      <w:r w:rsidR="0070058F" w:rsidRPr="005B5FA2">
        <w:rPr>
          <w:rFonts w:asciiTheme="minorHAnsi" w:hAnsiTheme="minorHAnsi"/>
        </w:rPr>
        <w:t>amongst others</w:t>
      </w:r>
      <w:r w:rsidR="00EA41AF" w:rsidRPr="005B5FA2">
        <w:rPr>
          <w:rFonts w:asciiTheme="minorHAnsi" w:hAnsiTheme="minorHAnsi"/>
        </w:rPr>
        <w:t xml:space="preserve"> encounter </w:t>
      </w:r>
      <w:r w:rsidRPr="005B5FA2">
        <w:rPr>
          <w:rFonts w:asciiTheme="minorHAnsi" w:hAnsiTheme="minorHAnsi"/>
        </w:rPr>
        <w:t>more fundamental questions such as defining ‘data’, ‘</w:t>
      </w:r>
      <w:r w:rsidR="009762E3" w:rsidRPr="005B5FA2">
        <w:rPr>
          <w:rFonts w:asciiTheme="minorHAnsi" w:hAnsiTheme="minorHAnsi"/>
        </w:rPr>
        <w:t>data ownership</w:t>
      </w:r>
      <w:r w:rsidRPr="005B5FA2">
        <w:rPr>
          <w:rFonts w:asciiTheme="minorHAnsi" w:hAnsiTheme="minorHAnsi"/>
        </w:rPr>
        <w:t>’,</w:t>
      </w:r>
      <w:r w:rsidR="009762E3" w:rsidRPr="005B5FA2">
        <w:rPr>
          <w:rFonts w:asciiTheme="minorHAnsi" w:hAnsiTheme="minorHAnsi"/>
        </w:rPr>
        <w:t xml:space="preserve"> and ‘data citation, attribution and credit’.</w:t>
      </w:r>
      <w:r w:rsidR="00C610B5" w:rsidRPr="005B5FA2">
        <w:rPr>
          <w:rFonts w:asciiTheme="minorHAnsi" w:hAnsiTheme="minorHAnsi"/>
        </w:rPr>
        <w:t xml:space="preserve"> This study has tried to find answer</w:t>
      </w:r>
      <w:r w:rsidR="00181735" w:rsidRPr="005B5FA2">
        <w:rPr>
          <w:rFonts w:asciiTheme="minorHAnsi" w:hAnsiTheme="minorHAnsi"/>
        </w:rPr>
        <w:t>s in chapter 4</w:t>
      </w:r>
      <w:r w:rsidR="00C610B5" w:rsidRPr="005B5FA2">
        <w:rPr>
          <w:rFonts w:asciiTheme="minorHAnsi" w:hAnsiTheme="minorHAnsi"/>
        </w:rPr>
        <w:t xml:space="preserve"> on</w:t>
      </w:r>
      <w:r w:rsidR="001622C9" w:rsidRPr="005B5FA2">
        <w:rPr>
          <w:rFonts w:asciiTheme="minorHAnsi" w:hAnsiTheme="minorHAnsi"/>
        </w:rPr>
        <w:t xml:space="preserve"> a selection of these questions, which </w:t>
      </w:r>
      <w:r w:rsidR="00C610B5" w:rsidRPr="005B5FA2">
        <w:rPr>
          <w:rFonts w:asciiTheme="minorHAnsi" w:hAnsiTheme="minorHAnsi"/>
        </w:rPr>
        <w:t>can be implemented in a next version of the proposed SDM.</w:t>
      </w:r>
    </w:p>
    <w:p w14:paraId="2AC42F25" w14:textId="3D6A57EB" w:rsidR="00A234F1" w:rsidRPr="005B5FA2" w:rsidRDefault="004564B9" w:rsidP="008700F8">
      <w:pPr>
        <w:rPr>
          <w:rFonts w:asciiTheme="minorHAnsi" w:hAnsiTheme="minorHAnsi"/>
        </w:rPr>
      </w:pPr>
      <w:r w:rsidRPr="005B5FA2">
        <w:rPr>
          <w:rFonts w:asciiTheme="minorHAnsi" w:hAnsiTheme="minorHAnsi"/>
        </w:rPr>
        <w:t>The FAO use case and the interviews revealed that</w:t>
      </w:r>
      <w:r w:rsidR="00A234F1" w:rsidRPr="005B5FA2">
        <w:rPr>
          <w:rFonts w:asciiTheme="minorHAnsi" w:hAnsiTheme="minorHAnsi"/>
        </w:rPr>
        <w:t xml:space="preserve"> </w:t>
      </w:r>
      <w:r w:rsidRPr="005B5FA2">
        <w:rPr>
          <w:rFonts w:asciiTheme="minorHAnsi" w:hAnsiTheme="minorHAnsi"/>
        </w:rPr>
        <w:t xml:space="preserve">the </w:t>
      </w:r>
      <w:r w:rsidR="00A234F1" w:rsidRPr="005B5FA2">
        <w:rPr>
          <w:rFonts w:asciiTheme="minorHAnsi" w:hAnsiTheme="minorHAnsi"/>
        </w:rPr>
        <w:t>development of comprehensive data policies</w:t>
      </w:r>
      <w:r w:rsidRPr="005B5FA2">
        <w:rPr>
          <w:rFonts w:asciiTheme="minorHAnsi" w:hAnsiTheme="minorHAnsi"/>
        </w:rPr>
        <w:t xml:space="preserve"> could be challenging</w:t>
      </w:r>
      <w:r w:rsidR="00A234F1" w:rsidRPr="005B5FA2">
        <w:rPr>
          <w:rFonts w:asciiTheme="minorHAnsi" w:hAnsiTheme="minorHAnsi"/>
        </w:rPr>
        <w:t xml:space="preserve"> for organizations</w:t>
      </w:r>
      <w:r w:rsidRPr="005B5FA2">
        <w:rPr>
          <w:rFonts w:asciiTheme="minorHAnsi" w:hAnsiTheme="minorHAnsi"/>
        </w:rPr>
        <w:t xml:space="preserve"> working in data management</w:t>
      </w:r>
      <w:r w:rsidR="00A234F1" w:rsidRPr="005B5FA2">
        <w:rPr>
          <w:rFonts w:asciiTheme="minorHAnsi" w:hAnsiTheme="minorHAnsi"/>
        </w:rPr>
        <w:t xml:space="preserve">. EGI </w:t>
      </w:r>
      <w:r w:rsidR="005C7E3E" w:rsidRPr="005B5FA2">
        <w:rPr>
          <w:rFonts w:asciiTheme="minorHAnsi" w:hAnsiTheme="minorHAnsi"/>
        </w:rPr>
        <w:t xml:space="preserve">is in the position to </w:t>
      </w:r>
      <w:r w:rsidR="00A234F1" w:rsidRPr="005B5FA2">
        <w:rPr>
          <w:rFonts w:asciiTheme="minorHAnsi" w:hAnsiTheme="minorHAnsi"/>
        </w:rPr>
        <w:t>support these organizations with the development of a data policy by</w:t>
      </w:r>
      <w:r w:rsidR="005C7E3E" w:rsidRPr="005B5FA2">
        <w:rPr>
          <w:rFonts w:asciiTheme="minorHAnsi" w:hAnsiTheme="minorHAnsi"/>
        </w:rPr>
        <w:t xml:space="preserve"> providing</w:t>
      </w:r>
      <w:r w:rsidR="00A234F1" w:rsidRPr="005B5FA2">
        <w:rPr>
          <w:rFonts w:asciiTheme="minorHAnsi" w:hAnsiTheme="minorHAnsi"/>
        </w:rPr>
        <w:t xml:space="preserve"> a clear </w:t>
      </w:r>
      <w:r w:rsidR="005C7E3E" w:rsidRPr="005B5FA2">
        <w:rPr>
          <w:rFonts w:asciiTheme="minorHAnsi" w:hAnsiTheme="minorHAnsi"/>
        </w:rPr>
        <w:t>and read</w:t>
      </w:r>
      <w:r w:rsidR="00DE1BFB" w:rsidRPr="005B5FA2">
        <w:rPr>
          <w:rFonts w:asciiTheme="minorHAnsi" w:hAnsiTheme="minorHAnsi"/>
        </w:rPr>
        <w:t>y</w:t>
      </w:r>
      <w:r w:rsidR="005C7E3E" w:rsidRPr="005B5FA2">
        <w:rPr>
          <w:rFonts w:asciiTheme="minorHAnsi" w:hAnsiTheme="minorHAnsi"/>
        </w:rPr>
        <w:t xml:space="preserve">-to-implement </w:t>
      </w:r>
      <w:r w:rsidR="00A30982" w:rsidRPr="005B5FA2">
        <w:rPr>
          <w:rFonts w:asciiTheme="minorHAnsi" w:hAnsiTheme="minorHAnsi"/>
        </w:rPr>
        <w:t>SDM. The development of such a SDM</w:t>
      </w:r>
      <w:r w:rsidR="00A234F1" w:rsidRPr="005B5FA2">
        <w:rPr>
          <w:rFonts w:asciiTheme="minorHAnsi" w:hAnsiTheme="minorHAnsi"/>
        </w:rPr>
        <w:t xml:space="preserve"> will benefit the communities in formulating technical support</w:t>
      </w:r>
      <w:r w:rsidR="00B26839" w:rsidRPr="005B5FA2">
        <w:rPr>
          <w:rFonts w:asciiTheme="minorHAnsi" w:hAnsiTheme="minorHAnsi"/>
        </w:rPr>
        <w:t xml:space="preserve"> in data management</w:t>
      </w:r>
      <w:r w:rsidR="00A234F1" w:rsidRPr="005B5FA2">
        <w:rPr>
          <w:rFonts w:asciiTheme="minorHAnsi" w:hAnsiTheme="minorHAnsi"/>
        </w:rPr>
        <w:t>.</w:t>
      </w:r>
    </w:p>
    <w:p w14:paraId="7E327A48" w14:textId="77777777" w:rsidR="00A234F1" w:rsidRPr="005B5FA2" w:rsidRDefault="00A234F1" w:rsidP="008700F8">
      <w:pPr>
        <w:rPr>
          <w:rFonts w:asciiTheme="minorHAnsi" w:hAnsiTheme="minorHAnsi"/>
        </w:rPr>
      </w:pPr>
    </w:p>
    <w:p w14:paraId="29DD55AC" w14:textId="77777777" w:rsidR="00087984" w:rsidRPr="005B5FA2" w:rsidRDefault="00087984" w:rsidP="00087984">
      <w:pPr>
        <w:pStyle w:val="Heading1"/>
        <w:rPr>
          <w:rFonts w:asciiTheme="minorHAnsi" w:hAnsiTheme="minorHAnsi"/>
        </w:rPr>
      </w:pPr>
      <w:bookmarkStart w:id="7" w:name="_Toc496179591"/>
      <w:r w:rsidRPr="005B5FA2">
        <w:rPr>
          <w:rFonts w:asciiTheme="minorHAnsi" w:hAnsiTheme="minorHAnsi"/>
        </w:rPr>
        <w:lastRenderedPageBreak/>
        <w:t>Bibliography</w:t>
      </w:r>
      <w:bookmarkEnd w:id="7"/>
    </w:p>
    <w:p w14:paraId="2B2C75A3" w14:textId="77777777" w:rsidR="00087984" w:rsidRPr="005B5FA2" w:rsidRDefault="00087984" w:rsidP="004338C6">
      <w:pPr>
        <w:rPr>
          <w:rFonts w:asciiTheme="minorHAnsi" w:hAnsiTheme="minorHAnsi"/>
        </w:rPr>
      </w:pPr>
    </w:p>
    <w:p w14:paraId="0C7962F1" w14:textId="77777777" w:rsidR="0076687D" w:rsidRPr="005B5FA2" w:rsidRDefault="0076687D" w:rsidP="0076687D">
      <w:pPr>
        <w:rPr>
          <w:rFonts w:asciiTheme="minorHAnsi" w:hAnsiTheme="minorHAnsi"/>
        </w:rPr>
      </w:pPr>
      <w:proofErr w:type="spellStart"/>
      <w:r w:rsidRPr="005B5FA2">
        <w:rPr>
          <w:rFonts w:asciiTheme="minorHAnsi" w:hAnsiTheme="minorHAnsi"/>
        </w:rPr>
        <w:t>Altintas</w:t>
      </w:r>
      <w:proofErr w:type="spellEnd"/>
      <w:r w:rsidRPr="005B5FA2">
        <w:rPr>
          <w:rFonts w:asciiTheme="minorHAnsi" w:hAnsiTheme="minorHAnsi"/>
        </w:rPr>
        <w:t xml:space="preserve">, I, C Berkley, E Jaeger, M Jones, B </w:t>
      </w:r>
      <w:proofErr w:type="spellStart"/>
      <w:r w:rsidRPr="005B5FA2">
        <w:rPr>
          <w:rFonts w:asciiTheme="minorHAnsi" w:hAnsiTheme="minorHAnsi"/>
        </w:rPr>
        <w:t>Ludascher</w:t>
      </w:r>
      <w:proofErr w:type="spellEnd"/>
      <w:r w:rsidRPr="005B5FA2">
        <w:rPr>
          <w:rFonts w:asciiTheme="minorHAnsi" w:hAnsiTheme="minorHAnsi"/>
        </w:rPr>
        <w:t>, and S Mock (2004) Kepler: an extensible system for design and execution of scientific workflows. Proceedings of 16th International Conference on Scientific and Statistical Database Management, pages 423–424</w:t>
      </w:r>
    </w:p>
    <w:p w14:paraId="63A9B2FF" w14:textId="77777777" w:rsidR="007309FA" w:rsidRPr="005B5FA2" w:rsidRDefault="007309FA" w:rsidP="007309FA">
      <w:pPr>
        <w:rPr>
          <w:rFonts w:asciiTheme="minorHAnsi" w:hAnsiTheme="minorHAnsi"/>
        </w:rPr>
      </w:pPr>
      <w:r w:rsidRPr="005B5FA2">
        <w:rPr>
          <w:rFonts w:asciiTheme="minorHAnsi" w:hAnsiTheme="minorHAnsi"/>
        </w:rPr>
        <w:t xml:space="preserve">Carroll, M.W. (2015) Sharing Research Data and Intellectual Property Law: A Primer. </w:t>
      </w:r>
      <w:proofErr w:type="spellStart"/>
      <w:r w:rsidRPr="005B5FA2">
        <w:rPr>
          <w:rFonts w:asciiTheme="minorHAnsi" w:hAnsiTheme="minorHAnsi"/>
        </w:rPr>
        <w:t>PLoS</w:t>
      </w:r>
      <w:proofErr w:type="spellEnd"/>
      <w:r w:rsidRPr="005B5FA2">
        <w:rPr>
          <w:rFonts w:asciiTheme="minorHAnsi" w:hAnsiTheme="minorHAnsi"/>
        </w:rPr>
        <w:t xml:space="preserve"> </w:t>
      </w:r>
      <w:proofErr w:type="spellStart"/>
      <w:r w:rsidRPr="005B5FA2">
        <w:rPr>
          <w:rFonts w:asciiTheme="minorHAnsi" w:hAnsiTheme="minorHAnsi"/>
        </w:rPr>
        <w:t>Biol</w:t>
      </w:r>
      <w:proofErr w:type="spellEnd"/>
      <w:r w:rsidRPr="005B5FA2">
        <w:rPr>
          <w:rFonts w:asciiTheme="minorHAnsi" w:hAnsiTheme="minorHAnsi"/>
        </w:rPr>
        <w:t xml:space="preserve"> 13(8): e1002235. </w:t>
      </w:r>
    </w:p>
    <w:p w14:paraId="001F160B" w14:textId="77777777" w:rsidR="0076687D" w:rsidRPr="005B5FA2" w:rsidRDefault="0076687D" w:rsidP="0076687D">
      <w:pPr>
        <w:rPr>
          <w:rFonts w:asciiTheme="minorHAnsi" w:hAnsiTheme="minorHAnsi"/>
        </w:rPr>
      </w:pPr>
      <w:proofErr w:type="spellStart"/>
      <w:r w:rsidRPr="005B5FA2">
        <w:rPr>
          <w:rFonts w:asciiTheme="minorHAnsi" w:hAnsiTheme="minorHAnsi"/>
        </w:rPr>
        <w:t>Heidorn</w:t>
      </w:r>
      <w:proofErr w:type="spellEnd"/>
      <w:r w:rsidRPr="005B5FA2">
        <w:rPr>
          <w:rFonts w:asciiTheme="minorHAnsi" w:hAnsiTheme="minorHAnsi"/>
        </w:rPr>
        <w:t>, B. (2008) Shedding Light on the Dark Data in the Long Tail of Science</w:t>
      </w:r>
    </w:p>
    <w:p w14:paraId="0044D71A" w14:textId="77777777" w:rsidR="007309FA" w:rsidRPr="005B5FA2" w:rsidRDefault="007309FA" w:rsidP="007309FA">
      <w:pPr>
        <w:rPr>
          <w:rFonts w:asciiTheme="minorHAnsi" w:hAnsiTheme="minorHAnsi"/>
        </w:rPr>
      </w:pPr>
      <w:r w:rsidRPr="005B5FA2">
        <w:rPr>
          <w:rFonts w:asciiTheme="minorHAnsi" w:hAnsiTheme="minorHAnsi"/>
        </w:rPr>
        <w:t xml:space="preserve">Jones, S. (2011) How to Develop a Data Management and Sharing Plan. </w:t>
      </w:r>
      <w:proofErr w:type="gramStart"/>
      <w:r w:rsidRPr="005B5FA2">
        <w:rPr>
          <w:rFonts w:asciiTheme="minorHAnsi" w:hAnsiTheme="minorHAnsi"/>
        </w:rPr>
        <w:t>DCC How-to Guides.</w:t>
      </w:r>
      <w:proofErr w:type="gramEnd"/>
      <w:r w:rsidRPr="005B5FA2">
        <w:rPr>
          <w:rFonts w:asciiTheme="minorHAnsi" w:hAnsiTheme="minorHAnsi"/>
        </w:rPr>
        <w:t xml:space="preserve"> Edinburgh: Digital Curation Centre. http://www.dcc.ac.uk/resources/how-guides/develop-data-plan</w:t>
      </w:r>
    </w:p>
    <w:p w14:paraId="6BFCBA96" w14:textId="77777777" w:rsidR="007309FA" w:rsidRPr="005B5FA2" w:rsidRDefault="007309FA" w:rsidP="007309FA">
      <w:pPr>
        <w:rPr>
          <w:rFonts w:asciiTheme="minorHAnsi" w:hAnsiTheme="minorHAnsi"/>
        </w:rPr>
      </w:pPr>
      <w:proofErr w:type="spellStart"/>
      <w:r w:rsidRPr="005B5FA2">
        <w:rPr>
          <w:rFonts w:asciiTheme="minorHAnsi" w:hAnsiTheme="minorHAnsi"/>
        </w:rPr>
        <w:t>Lammerant</w:t>
      </w:r>
      <w:proofErr w:type="spellEnd"/>
      <w:r w:rsidRPr="005B5FA2">
        <w:rPr>
          <w:rFonts w:asciiTheme="minorHAnsi" w:hAnsiTheme="minorHAnsi"/>
        </w:rPr>
        <w:t xml:space="preserve">, H., </w:t>
      </w:r>
      <w:proofErr w:type="spellStart"/>
      <w:r w:rsidRPr="005B5FA2">
        <w:rPr>
          <w:rFonts w:asciiTheme="minorHAnsi" w:hAnsiTheme="minorHAnsi"/>
        </w:rPr>
        <w:t>Galetta</w:t>
      </w:r>
      <w:proofErr w:type="spellEnd"/>
      <w:r w:rsidRPr="005B5FA2">
        <w:rPr>
          <w:rFonts w:asciiTheme="minorHAnsi" w:hAnsiTheme="minorHAnsi"/>
        </w:rPr>
        <w:t xml:space="preserve">, A., De </w:t>
      </w:r>
      <w:proofErr w:type="spellStart"/>
      <w:r w:rsidRPr="005B5FA2">
        <w:rPr>
          <w:rFonts w:asciiTheme="minorHAnsi" w:hAnsiTheme="minorHAnsi"/>
        </w:rPr>
        <w:t>Hert</w:t>
      </w:r>
      <w:proofErr w:type="spellEnd"/>
      <w:r w:rsidRPr="005B5FA2">
        <w:rPr>
          <w:rFonts w:asciiTheme="minorHAnsi" w:hAnsiTheme="minorHAnsi"/>
        </w:rPr>
        <w:t xml:space="preserve">, P. (2014) Legal issues in big data in Anna Donovan, Rachel Finn &amp; Kush </w:t>
      </w:r>
      <w:proofErr w:type="spellStart"/>
      <w:r w:rsidRPr="005B5FA2">
        <w:rPr>
          <w:rFonts w:asciiTheme="minorHAnsi" w:hAnsiTheme="minorHAnsi"/>
        </w:rPr>
        <w:t>Wadhwa</w:t>
      </w:r>
      <w:proofErr w:type="spellEnd"/>
      <w:r w:rsidRPr="005B5FA2">
        <w:rPr>
          <w:rFonts w:asciiTheme="minorHAnsi" w:hAnsiTheme="minorHAnsi"/>
        </w:rPr>
        <w:t xml:space="preserve"> (eds.), Report on legal, economic, social, ethical and political issues regarding big data. BYTE Deliverable D2.1, 35-58. BYTE Deliverable D2.1: Report on legal, economic, social, ethic </w:t>
      </w:r>
      <w:proofErr w:type="spellStart"/>
      <w:proofErr w:type="gramStart"/>
      <w:r w:rsidRPr="005B5FA2">
        <w:rPr>
          <w:rFonts w:asciiTheme="minorHAnsi" w:hAnsiTheme="minorHAnsi"/>
        </w:rPr>
        <w:t>ed</w:t>
      </w:r>
      <w:proofErr w:type="spellEnd"/>
      <w:proofErr w:type="gramEnd"/>
      <w:r w:rsidRPr="005B5FA2">
        <w:rPr>
          <w:rFonts w:asciiTheme="minorHAnsi" w:hAnsiTheme="minorHAnsi"/>
        </w:rPr>
        <w:t>, 2014.</w:t>
      </w:r>
    </w:p>
    <w:p w14:paraId="598F0AE5" w14:textId="77777777" w:rsidR="007309FA" w:rsidRPr="005B5FA2" w:rsidRDefault="007309FA" w:rsidP="007309FA">
      <w:pPr>
        <w:rPr>
          <w:rFonts w:asciiTheme="minorHAnsi" w:hAnsiTheme="minorHAnsi"/>
        </w:rPr>
      </w:pPr>
      <w:proofErr w:type="gramStart"/>
      <w:r w:rsidRPr="005B5FA2">
        <w:rPr>
          <w:rFonts w:asciiTheme="minorHAnsi" w:hAnsiTheme="minorHAnsi"/>
        </w:rPr>
        <w:t xml:space="preserve">Van </w:t>
      </w:r>
      <w:proofErr w:type="spellStart"/>
      <w:r w:rsidRPr="005B5FA2">
        <w:rPr>
          <w:rFonts w:asciiTheme="minorHAnsi" w:hAnsiTheme="minorHAnsi"/>
        </w:rPr>
        <w:t>Maanen</w:t>
      </w:r>
      <w:proofErr w:type="spellEnd"/>
      <w:r w:rsidRPr="005B5FA2">
        <w:rPr>
          <w:rFonts w:asciiTheme="minorHAnsi" w:hAnsiTheme="minorHAnsi"/>
        </w:rPr>
        <w:t xml:space="preserve">, E. &amp; </w:t>
      </w:r>
      <w:proofErr w:type="spellStart"/>
      <w:r w:rsidRPr="005B5FA2">
        <w:rPr>
          <w:rFonts w:asciiTheme="minorHAnsi" w:hAnsiTheme="minorHAnsi"/>
        </w:rPr>
        <w:t>Ellenbroek</w:t>
      </w:r>
      <w:proofErr w:type="spellEnd"/>
      <w:r w:rsidRPr="005B5FA2">
        <w:rPr>
          <w:rFonts w:asciiTheme="minorHAnsi" w:hAnsiTheme="minorHAnsi"/>
        </w:rPr>
        <w:t>, A. (2016) Report on data sharing policies and legal framework in fishery and marine sciences data sector.</w:t>
      </w:r>
      <w:proofErr w:type="gramEnd"/>
      <w:r w:rsidRPr="005B5FA2">
        <w:rPr>
          <w:rFonts w:asciiTheme="minorHAnsi" w:hAnsiTheme="minorHAnsi"/>
        </w:rPr>
        <w:t xml:space="preserve"> EGI-Engage D2.6.  https://documents.egi.eu/public/ShowDocument?docid=2699</w:t>
      </w:r>
    </w:p>
    <w:p w14:paraId="5FA1EBE6" w14:textId="77777777" w:rsidR="007309FA" w:rsidRPr="005B5FA2" w:rsidRDefault="007309FA" w:rsidP="007309FA">
      <w:pPr>
        <w:rPr>
          <w:rFonts w:asciiTheme="minorHAnsi" w:hAnsiTheme="minorHAnsi"/>
        </w:rPr>
      </w:pPr>
      <w:proofErr w:type="spellStart"/>
      <w:r w:rsidRPr="005B5FA2">
        <w:rPr>
          <w:rFonts w:asciiTheme="minorHAnsi" w:hAnsiTheme="minorHAnsi"/>
        </w:rPr>
        <w:t>Magron</w:t>
      </w:r>
      <w:proofErr w:type="spellEnd"/>
      <w:r w:rsidRPr="005B5FA2">
        <w:rPr>
          <w:rFonts w:asciiTheme="minorHAnsi" w:hAnsiTheme="minorHAnsi"/>
        </w:rPr>
        <w:t>, F. (2015) Towards a data sharing policy for survey and monitoring data collected and/or stored by the SPC Coastal Fisheries Programme on behalf of member countries, SPC Coastal Fisheries Science and Management Section, Working Paper 14.</w:t>
      </w:r>
    </w:p>
    <w:p w14:paraId="41134C4D" w14:textId="34BA9AD3" w:rsidR="001E1458" w:rsidRDefault="001E1458" w:rsidP="00240AA4">
      <w:pPr>
        <w:rPr>
          <w:rFonts w:asciiTheme="minorHAnsi" w:hAnsiTheme="minorHAnsi"/>
        </w:rPr>
      </w:pPr>
      <w:proofErr w:type="gramStart"/>
      <w:r>
        <w:rPr>
          <w:rFonts w:asciiTheme="minorHAnsi" w:hAnsiTheme="minorHAnsi"/>
        </w:rPr>
        <w:t xml:space="preserve">Pearson, M., </w:t>
      </w:r>
      <w:proofErr w:type="spellStart"/>
      <w:r>
        <w:rPr>
          <w:rFonts w:asciiTheme="minorHAnsi" w:hAnsiTheme="minorHAnsi"/>
        </w:rPr>
        <w:t>Uhlir</w:t>
      </w:r>
      <w:proofErr w:type="spellEnd"/>
      <w:r>
        <w:rPr>
          <w:rFonts w:asciiTheme="minorHAnsi" w:hAnsiTheme="minorHAnsi"/>
        </w:rPr>
        <w:t xml:space="preserve">, P. (2012) </w:t>
      </w:r>
      <w:r w:rsidRPr="001E1458">
        <w:rPr>
          <w:rFonts w:asciiTheme="minorHAnsi" w:hAnsiTheme="minorHAnsi"/>
        </w:rPr>
        <w:t>"Developing Data Attribution and Citation Practices and Standards."</w:t>
      </w:r>
      <w:proofErr w:type="gramEnd"/>
      <w:r w:rsidR="00240AA4" w:rsidRPr="00240AA4">
        <w:t xml:space="preserve"> </w:t>
      </w:r>
      <w:r w:rsidR="00240AA4" w:rsidRPr="00240AA4">
        <w:rPr>
          <w:rFonts w:asciiTheme="minorHAnsi" w:hAnsiTheme="minorHAnsi"/>
        </w:rPr>
        <w:t>Board on Resear</w:t>
      </w:r>
      <w:r w:rsidR="00240AA4">
        <w:rPr>
          <w:rFonts w:asciiTheme="minorHAnsi" w:hAnsiTheme="minorHAnsi"/>
        </w:rPr>
        <w:t xml:space="preserve">ch Data and Information; Policy </w:t>
      </w:r>
      <w:r w:rsidR="00240AA4" w:rsidRPr="00240AA4">
        <w:rPr>
          <w:rFonts w:asciiTheme="minorHAnsi" w:hAnsiTheme="minorHAnsi"/>
        </w:rPr>
        <w:t>and Global Affairs; National Research Council</w:t>
      </w:r>
    </w:p>
    <w:p w14:paraId="6D442A03" w14:textId="77777777" w:rsidR="0076687D" w:rsidRPr="005B5FA2" w:rsidRDefault="0076687D" w:rsidP="0076687D">
      <w:pPr>
        <w:rPr>
          <w:rFonts w:asciiTheme="minorHAnsi" w:hAnsiTheme="minorHAnsi"/>
        </w:rPr>
      </w:pPr>
      <w:proofErr w:type="spellStart"/>
      <w:r w:rsidRPr="005B5FA2">
        <w:rPr>
          <w:rFonts w:asciiTheme="minorHAnsi" w:hAnsiTheme="minorHAnsi"/>
        </w:rPr>
        <w:t>Proell</w:t>
      </w:r>
      <w:proofErr w:type="spellEnd"/>
      <w:r w:rsidRPr="005B5FA2">
        <w:rPr>
          <w:rFonts w:asciiTheme="minorHAnsi" w:hAnsiTheme="minorHAnsi"/>
        </w:rPr>
        <w:t xml:space="preserve">, Stefan, Kristof </w:t>
      </w:r>
      <w:proofErr w:type="spellStart"/>
      <w:r w:rsidRPr="005B5FA2">
        <w:rPr>
          <w:rFonts w:asciiTheme="minorHAnsi" w:hAnsiTheme="minorHAnsi"/>
        </w:rPr>
        <w:t>Meixner</w:t>
      </w:r>
      <w:proofErr w:type="spellEnd"/>
      <w:r w:rsidRPr="005B5FA2">
        <w:rPr>
          <w:rFonts w:asciiTheme="minorHAnsi" w:hAnsiTheme="minorHAnsi"/>
        </w:rPr>
        <w:t xml:space="preserve">, and Andreas </w:t>
      </w:r>
      <w:proofErr w:type="spellStart"/>
      <w:r w:rsidRPr="005B5FA2">
        <w:rPr>
          <w:rFonts w:asciiTheme="minorHAnsi" w:hAnsiTheme="minorHAnsi"/>
        </w:rPr>
        <w:t>Rauber</w:t>
      </w:r>
      <w:proofErr w:type="spellEnd"/>
      <w:r w:rsidRPr="005B5FA2">
        <w:rPr>
          <w:rFonts w:asciiTheme="minorHAnsi" w:hAnsiTheme="minorHAnsi"/>
        </w:rPr>
        <w:t xml:space="preserve"> (2016) "Precise Data Identification Services for Long Tail Research Data." 13th International Conference on Digital Preservation (</w:t>
      </w:r>
      <w:proofErr w:type="spellStart"/>
      <w:r w:rsidRPr="005B5FA2">
        <w:rPr>
          <w:rFonts w:asciiTheme="minorHAnsi" w:hAnsiTheme="minorHAnsi"/>
        </w:rPr>
        <w:t>iPRES</w:t>
      </w:r>
      <w:proofErr w:type="spellEnd"/>
      <w:r w:rsidRPr="005B5FA2">
        <w:rPr>
          <w:rFonts w:asciiTheme="minorHAnsi" w:hAnsiTheme="minorHAnsi"/>
        </w:rPr>
        <w:t xml:space="preserve"> 2016). 2016.</w:t>
      </w:r>
    </w:p>
    <w:p w14:paraId="7A87DB1B" w14:textId="7B98CB03" w:rsidR="00B225D9" w:rsidRPr="005B5FA2" w:rsidRDefault="00B225D9" w:rsidP="00B225D9">
      <w:pPr>
        <w:rPr>
          <w:rFonts w:asciiTheme="minorHAnsi" w:hAnsiTheme="minorHAnsi"/>
        </w:rPr>
      </w:pPr>
      <w:r w:rsidRPr="005B5FA2">
        <w:rPr>
          <w:rFonts w:asciiTheme="minorHAnsi" w:hAnsiTheme="minorHAnsi"/>
        </w:rPr>
        <w:t xml:space="preserve">W. Tan P. </w:t>
      </w:r>
      <w:proofErr w:type="spellStart"/>
      <w:r w:rsidRPr="005B5FA2">
        <w:rPr>
          <w:rFonts w:asciiTheme="minorHAnsi" w:hAnsiTheme="minorHAnsi"/>
        </w:rPr>
        <w:t>Buneman</w:t>
      </w:r>
      <w:proofErr w:type="spellEnd"/>
      <w:r w:rsidRPr="005B5FA2">
        <w:rPr>
          <w:rFonts w:asciiTheme="minorHAnsi" w:hAnsiTheme="minorHAnsi"/>
        </w:rPr>
        <w:t>, S</w:t>
      </w:r>
      <w:r w:rsidR="00AC6722" w:rsidRPr="005B5FA2">
        <w:rPr>
          <w:rFonts w:asciiTheme="minorHAnsi" w:hAnsiTheme="minorHAnsi"/>
        </w:rPr>
        <w:t>. Khanna</w:t>
      </w:r>
      <w:r w:rsidR="002303C6" w:rsidRPr="005B5FA2">
        <w:rPr>
          <w:rFonts w:asciiTheme="minorHAnsi" w:hAnsiTheme="minorHAnsi"/>
        </w:rPr>
        <w:t xml:space="preserve"> (2000)</w:t>
      </w:r>
      <w:r w:rsidR="00AC6722" w:rsidRPr="005B5FA2">
        <w:rPr>
          <w:rFonts w:asciiTheme="minorHAnsi" w:hAnsiTheme="minorHAnsi"/>
        </w:rPr>
        <w:t xml:space="preserve">. Data provenance: </w:t>
      </w:r>
      <w:proofErr w:type="spellStart"/>
      <w:r w:rsidR="00AC6722" w:rsidRPr="005B5FA2">
        <w:rPr>
          <w:rFonts w:asciiTheme="minorHAnsi" w:hAnsiTheme="minorHAnsi"/>
        </w:rPr>
        <w:t>Some</w:t>
      </w:r>
      <w:r w:rsidRPr="005B5FA2">
        <w:rPr>
          <w:rFonts w:asciiTheme="minorHAnsi" w:hAnsiTheme="minorHAnsi"/>
        </w:rPr>
        <w:t>basic</w:t>
      </w:r>
      <w:proofErr w:type="spellEnd"/>
      <w:r w:rsidRPr="005B5FA2">
        <w:rPr>
          <w:rFonts w:asciiTheme="minorHAnsi" w:hAnsiTheme="minorHAnsi"/>
        </w:rPr>
        <w:t xml:space="preserve"> issues. </w:t>
      </w:r>
      <w:proofErr w:type="gramStart"/>
      <w:r w:rsidRPr="005B5FA2">
        <w:rPr>
          <w:rFonts w:asciiTheme="minorHAnsi" w:hAnsiTheme="minorHAnsi"/>
        </w:rPr>
        <w:t>In Proc. of FSTTCS, 2000.</w:t>
      </w:r>
      <w:proofErr w:type="gramEnd"/>
    </w:p>
    <w:p w14:paraId="20BC52DE" w14:textId="77777777" w:rsidR="00F461B1" w:rsidRPr="005B5FA2" w:rsidRDefault="00F461B1" w:rsidP="00B225D9">
      <w:pPr>
        <w:rPr>
          <w:rFonts w:asciiTheme="minorHAnsi" w:hAnsiTheme="minorHAnsi"/>
        </w:rPr>
      </w:pPr>
    </w:p>
    <w:p w14:paraId="73C3CDA9" w14:textId="77777777" w:rsidR="00F461B1" w:rsidRPr="005B5FA2" w:rsidRDefault="00F461B1" w:rsidP="00B225D9">
      <w:pPr>
        <w:rPr>
          <w:rFonts w:asciiTheme="minorHAnsi" w:hAnsiTheme="minorHAnsi"/>
        </w:rPr>
      </w:pPr>
    </w:p>
    <w:p w14:paraId="39B5C362" w14:textId="77777777" w:rsidR="00F461B1" w:rsidRPr="005B5FA2" w:rsidRDefault="00F461B1" w:rsidP="00B225D9">
      <w:pPr>
        <w:rPr>
          <w:rFonts w:asciiTheme="minorHAnsi" w:hAnsiTheme="minorHAnsi"/>
        </w:rPr>
      </w:pPr>
    </w:p>
    <w:p w14:paraId="370239A6" w14:textId="77777777" w:rsidR="00F461B1" w:rsidRPr="005B5FA2" w:rsidRDefault="00F461B1" w:rsidP="00B225D9">
      <w:pPr>
        <w:rPr>
          <w:rFonts w:asciiTheme="minorHAnsi" w:hAnsiTheme="minorHAnsi"/>
        </w:rPr>
      </w:pPr>
    </w:p>
    <w:p w14:paraId="6CC69528" w14:textId="055B838D" w:rsidR="00F461B1" w:rsidRPr="005B5FA2" w:rsidRDefault="00BE0280" w:rsidP="00F461B1">
      <w:pPr>
        <w:pStyle w:val="Heading1"/>
        <w:rPr>
          <w:rFonts w:asciiTheme="minorHAnsi" w:hAnsiTheme="minorHAnsi"/>
        </w:rPr>
      </w:pPr>
      <w:bookmarkStart w:id="8" w:name="_Toc496179592"/>
      <w:r>
        <w:rPr>
          <w:rFonts w:asciiTheme="minorHAnsi" w:hAnsiTheme="minorHAnsi"/>
        </w:rPr>
        <w:lastRenderedPageBreak/>
        <w:t>A</w:t>
      </w:r>
      <w:r w:rsidR="00F461B1" w:rsidRPr="005B5FA2">
        <w:rPr>
          <w:rFonts w:asciiTheme="minorHAnsi" w:hAnsiTheme="minorHAnsi"/>
        </w:rPr>
        <w:t>nnex</w:t>
      </w:r>
      <w:bookmarkEnd w:id="8"/>
    </w:p>
    <w:p w14:paraId="19550044" w14:textId="77777777" w:rsidR="004C0E8D" w:rsidRPr="005B5FA2" w:rsidRDefault="004C0E8D" w:rsidP="008023B4">
      <w:pPr>
        <w:rPr>
          <w:rFonts w:asciiTheme="minorHAnsi" w:hAnsiTheme="minorHAnsi"/>
        </w:rPr>
      </w:pPr>
      <w:r w:rsidRPr="005B5FA2">
        <w:rPr>
          <w:rFonts w:asciiTheme="minorHAnsi" w:hAnsiTheme="minorHAnsi"/>
        </w:rPr>
        <w:t xml:space="preserve">During </w:t>
      </w:r>
      <w:r w:rsidR="00640533" w:rsidRPr="005B5FA2">
        <w:rPr>
          <w:rFonts w:asciiTheme="minorHAnsi" w:hAnsiTheme="minorHAnsi"/>
        </w:rPr>
        <w:t xml:space="preserve">a </w:t>
      </w:r>
      <w:r w:rsidRPr="005B5FA2">
        <w:rPr>
          <w:rFonts w:asciiTheme="minorHAnsi" w:hAnsiTheme="minorHAnsi"/>
        </w:rPr>
        <w:t>visit to FAO - HQ in Rome from July 12th until July 14th E</w:t>
      </w:r>
      <w:r w:rsidR="00252005" w:rsidRPr="005B5FA2">
        <w:rPr>
          <w:rFonts w:asciiTheme="minorHAnsi" w:hAnsiTheme="minorHAnsi"/>
        </w:rPr>
        <w:t>.</w:t>
      </w:r>
      <w:r w:rsidRPr="005B5FA2">
        <w:rPr>
          <w:rFonts w:asciiTheme="minorHAnsi" w:hAnsiTheme="minorHAnsi"/>
        </w:rPr>
        <w:t xml:space="preserve"> van </w:t>
      </w:r>
      <w:proofErr w:type="spellStart"/>
      <w:r w:rsidRPr="005B5FA2">
        <w:rPr>
          <w:rFonts w:asciiTheme="minorHAnsi" w:hAnsiTheme="minorHAnsi"/>
        </w:rPr>
        <w:t>Maanen</w:t>
      </w:r>
      <w:proofErr w:type="spellEnd"/>
      <w:r w:rsidRPr="005B5FA2">
        <w:rPr>
          <w:rFonts w:asciiTheme="minorHAnsi" w:hAnsiTheme="minorHAnsi"/>
        </w:rPr>
        <w:t xml:space="preserve"> update</w:t>
      </w:r>
      <w:r w:rsidR="00252005" w:rsidRPr="005B5FA2">
        <w:rPr>
          <w:rFonts w:asciiTheme="minorHAnsi" w:hAnsiTheme="minorHAnsi"/>
        </w:rPr>
        <w:t>d</w:t>
      </w:r>
      <w:r w:rsidRPr="005B5FA2">
        <w:rPr>
          <w:rFonts w:asciiTheme="minorHAnsi" w:hAnsiTheme="minorHAnsi"/>
        </w:rPr>
        <w:t xml:space="preserve"> the interviews he took with four </w:t>
      </w:r>
      <w:r w:rsidR="00252005" w:rsidRPr="005B5FA2">
        <w:rPr>
          <w:rFonts w:asciiTheme="minorHAnsi" w:hAnsiTheme="minorHAnsi"/>
        </w:rPr>
        <w:t>FAO Staff members i</w:t>
      </w:r>
      <w:r w:rsidRPr="005B5FA2">
        <w:rPr>
          <w:rFonts w:asciiTheme="minorHAnsi" w:hAnsiTheme="minorHAnsi"/>
        </w:rPr>
        <w:t xml:space="preserve">n March/April 2016 </w:t>
      </w:r>
      <w:r w:rsidR="00252005" w:rsidRPr="005B5FA2">
        <w:rPr>
          <w:rFonts w:asciiTheme="minorHAnsi" w:hAnsiTheme="minorHAnsi"/>
        </w:rPr>
        <w:t>on</w:t>
      </w:r>
      <w:r w:rsidRPr="005B5FA2">
        <w:rPr>
          <w:rFonts w:asciiTheme="minorHAnsi" w:hAnsiTheme="minorHAnsi"/>
        </w:rPr>
        <w:t xml:space="preserve"> the legal aspects of data </w:t>
      </w:r>
      <w:r w:rsidR="00A95C7F" w:rsidRPr="005B5FA2">
        <w:rPr>
          <w:rFonts w:asciiTheme="minorHAnsi" w:hAnsiTheme="minorHAnsi"/>
        </w:rPr>
        <w:t>sharing. The fifth interviewee</w:t>
      </w:r>
      <w:r w:rsidR="00592E7B" w:rsidRPr="005B5FA2">
        <w:rPr>
          <w:rFonts w:asciiTheme="minorHAnsi" w:hAnsiTheme="minorHAnsi"/>
        </w:rPr>
        <w:t xml:space="preserve"> at FAO</w:t>
      </w:r>
      <w:r w:rsidR="00A95C7F" w:rsidRPr="005B5FA2">
        <w:rPr>
          <w:rFonts w:asciiTheme="minorHAnsi" w:hAnsiTheme="minorHAnsi"/>
        </w:rPr>
        <w:t xml:space="preserve"> </w:t>
      </w:r>
      <w:r w:rsidRPr="005B5FA2">
        <w:rPr>
          <w:rFonts w:asciiTheme="minorHAnsi" w:hAnsiTheme="minorHAnsi"/>
        </w:rPr>
        <w:t>was not interviewed before by E</w:t>
      </w:r>
      <w:r w:rsidR="00252005" w:rsidRPr="005B5FA2">
        <w:rPr>
          <w:rFonts w:asciiTheme="minorHAnsi" w:hAnsiTheme="minorHAnsi"/>
        </w:rPr>
        <w:t>.</w:t>
      </w:r>
      <w:r w:rsidRPr="005B5FA2">
        <w:rPr>
          <w:rFonts w:asciiTheme="minorHAnsi" w:hAnsiTheme="minorHAnsi"/>
        </w:rPr>
        <w:t xml:space="preserve"> van </w:t>
      </w:r>
      <w:proofErr w:type="spellStart"/>
      <w:r w:rsidRPr="005B5FA2">
        <w:rPr>
          <w:rFonts w:asciiTheme="minorHAnsi" w:hAnsiTheme="minorHAnsi"/>
        </w:rPr>
        <w:t>Maanen</w:t>
      </w:r>
      <w:proofErr w:type="spellEnd"/>
      <w:r w:rsidRPr="005B5FA2">
        <w:rPr>
          <w:rFonts w:asciiTheme="minorHAnsi" w:hAnsiTheme="minorHAnsi"/>
        </w:rPr>
        <w:t>.</w:t>
      </w:r>
    </w:p>
    <w:p w14:paraId="6CF7F75C" w14:textId="77777777" w:rsidR="00A95C7F" w:rsidRPr="005B5FA2" w:rsidRDefault="00A95C7F" w:rsidP="008023B4">
      <w:pPr>
        <w:rPr>
          <w:rFonts w:asciiTheme="minorHAnsi" w:hAnsiTheme="minorHAnsi"/>
        </w:rPr>
      </w:pPr>
      <w:r w:rsidRPr="005B5FA2">
        <w:rPr>
          <w:rFonts w:asciiTheme="minorHAnsi" w:hAnsiTheme="minorHAnsi"/>
        </w:rPr>
        <w:t xml:space="preserve">FAO interviewees are </w:t>
      </w:r>
      <w:r w:rsidR="00C37279" w:rsidRPr="005B5FA2">
        <w:rPr>
          <w:rFonts w:asciiTheme="minorHAnsi" w:hAnsiTheme="minorHAnsi"/>
        </w:rPr>
        <w:t>represented by their department</w:t>
      </w:r>
      <w:r w:rsidRPr="005B5FA2">
        <w:rPr>
          <w:rFonts w:asciiTheme="minorHAnsi" w:hAnsiTheme="minorHAnsi"/>
        </w:rPr>
        <w:t xml:space="preserve"> names, as information is not shared as a person. </w:t>
      </w:r>
    </w:p>
    <w:tbl>
      <w:tblPr>
        <w:tblW w:w="8012" w:type="dxa"/>
        <w:tblBorders>
          <w:top w:val="single" w:sz="4" w:space="0" w:color="auto"/>
          <w:left w:val="single" w:sz="4" w:space="0" w:color="auto"/>
          <w:bottom w:val="single" w:sz="4" w:space="0" w:color="auto"/>
          <w:right w:val="single" w:sz="4" w:space="0" w:color="auto"/>
          <w:insideH w:val="single" w:sz="6" w:space="0" w:color="7BA0CD"/>
        </w:tblBorders>
        <w:tblCellMar>
          <w:top w:w="15" w:type="dxa"/>
          <w:left w:w="15" w:type="dxa"/>
          <w:bottom w:w="15" w:type="dxa"/>
          <w:right w:w="15" w:type="dxa"/>
        </w:tblCellMar>
        <w:tblLook w:val="04A0" w:firstRow="1" w:lastRow="0" w:firstColumn="1" w:lastColumn="0" w:noHBand="0" w:noVBand="1"/>
      </w:tblPr>
      <w:tblGrid>
        <w:gridCol w:w="5739"/>
        <w:gridCol w:w="2273"/>
      </w:tblGrid>
      <w:tr w:rsidR="00FC441C" w:rsidRPr="005B5FA2" w14:paraId="2788943A" w14:textId="77777777" w:rsidTr="008023B4">
        <w:trPr>
          <w:trHeight w:val="114"/>
        </w:trPr>
        <w:tc>
          <w:tcPr>
            <w:tcW w:w="0" w:type="auto"/>
            <w:shd w:val="clear" w:color="auto" w:fill="4F81BD"/>
            <w:tcMar>
              <w:top w:w="100" w:type="dxa"/>
              <w:left w:w="100" w:type="dxa"/>
              <w:bottom w:w="100" w:type="dxa"/>
              <w:right w:w="100" w:type="dxa"/>
            </w:tcMar>
            <w:hideMark/>
          </w:tcPr>
          <w:p w14:paraId="7FD96946" w14:textId="77777777" w:rsidR="00275DC4" w:rsidRPr="005B5FA2" w:rsidRDefault="00275DC4" w:rsidP="00D4033B">
            <w:pPr>
              <w:rPr>
                <w:rFonts w:asciiTheme="minorHAnsi" w:hAnsiTheme="minorHAnsi"/>
                <w:color w:val="FFFFFF" w:themeColor="background1"/>
              </w:rPr>
            </w:pPr>
            <w:r w:rsidRPr="005B5FA2">
              <w:rPr>
                <w:rFonts w:asciiTheme="minorHAnsi" w:hAnsiTheme="minorHAnsi"/>
                <w:b/>
                <w:bCs/>
                <w:color w:val="FFFFFF" w:themeColor="background1"/>
              </w:rPr>
              <w:t>Function</w:t>
            </w:r>
          </w:p>
        </w:tc>
        <w:tc>
          <w:tcPr>
            <w:tcW w:w="0" w:type="auto"/>
            <w:shd w:val="clear" w:color="auto" w:fill="4F81BD"/>
            <w:tcMar>
              <w:top w:w="100" w:type="dxa"/>
              <w:left w:w="100" w:type="dxa"/>
              <w:bottom w:w="100" w:type="dxa"/>
              <w:right w:w="100" w:type="dxa"/>
            </w:tcMar>
            <w:hideMark/>
          </w:tcPr>
          <w:p w14:paraId="52A88F26" w14:textId="77777777" w:rsidR="00275DC4" w:rsidRPr="005B5FA2" w:rsidRDefault="00FC441C" w:rsidP="00D4033B">
            <w:pPr>
              <w:rPr>
                <w:rFonts w:asciiTheme="minorHAnsi" w:hAnsiTheme="minorHAnsi"/>
                <w:color w:val="FFFFFF" w:themeColor="background1"/>
              </w:rPr>
            </w:pPr>
            <w:r w:rsidRPr="005B5FA2">
              <w:rPr>
                <w:rFonts w:asciiTheme="minorHAnsi" w:hAnsiTheme="minorHAnsi"/>
                <w:b/>
                <w:bCs/>
                <w:color w:val="FFFFFF" w:themeColor="background1"/>
              </w:rPr>
              <w:t>Abbreviation used</w:t>
            </w:r>
          </w:p>
        </w:tc>
      </w:tr>
      <w:tr w:rsidR="00FC441C" w:rsidRPr="005B5FA2" w14:paraId="12A1D739" w14:textId="77777777" w:rsidTr="008023B4">
        <w:trPr>
          <w:trHeight w:val="207"/>
        </w:trPr>
        <w:tc>
          <w:tcPr>
            <w:tcW w:w="0" w:type="auto"/>
            <w:shd w:val="clear" w:color="auto" w:fill="D3DFEE"/>
            <w:tcMar>
              <w:top w:w="100" w:type="dxa"/>
              <w:left w:w="100" w:type="dxa"/>
              <w:bottom w:w="100" w:type="dxa"/>
              <w:right w:w="100" w:type="dxa"/>
            </w:tcMar>
            <w:hideMark/>
          </w:tcPr>
          <w:p w14:paraId="3DAB2C5E" w14:textId="77777777" w:rsidR="00275DC4" w:rsidRPr="005B5FA2" w:rsidRDefault="005E46B4" w:rsidP="00D4033B">
            <w:pPr>
              <w:rPr>
                <w:rFonts w:asciiTheme="minorHAnsi" w:hAnsiTheme="minorHAnsi"/>
              </w:rPr>
            </w:pPr>
            <w:r w:rsidRPr="005B5FA2">
              <w:rPr>
                <w:rFonts w:asciiTheme="minorHAnsi" w:hAnsiTheme="minorHAnsi"/>
              </w:rPr>
              <w:t>FAO Office of Corporate Communications</w:t>
            </w:r>
          </w:p>
        </w:tc>
        <w:tc>
          <w:tcPr>
            <w:tcW w:w="0" w:type="auto"/>
            <w:shd w:val="clear" w:color="auto" w:fill="D3DFEE"/>
            <w:tcMar>
              <w:top w:w="100" w:type="dxa"/>
              <w:left w:w="100" w:type="dxa"/>
              <w:bottom w:w="100" w:type="dxa"/>
              <w:right w:w="100" w:type="dxa"/>
            </w:tcMar>
            <w:hideMark/>
          </w:tcPr>
          <w:p w14:paraId="6AD1EDEF" w14:textId="77777777" w:rsidR="00275DC4" w:rsidRPr="005B5FA2" w:rsidRDefault="00275DC4" w:rsidP="00D4033B">
            <w:pPr>
              <w:rPr>
                <w:rFonts w:asciiTheme="minorHAnsi" w:hAnsiTheme="minorHAnsi"/>
              </w:rPr>
            </w:pPr>
            <w:r w:rsidRPr="005B5FA2">
              <w:rPr>
                <w:rFonts w:asciiTheme="minorHAnsi" w:hAnsiTheme="minorHAnsi"/>
              </w:rPr>
              <w:t>OCCI</w:t>
            </w:r>
          </w:p>
        </w:tc>
      </w:tr>
      <w:tr w:rsidR="00FC441C" w:rsidRPr="005B5FA2" w14:paraId="2E1EA2D8" w14:textId="77777777" w:rsidTr="008023B4">
        <w:trPr>
          <w:trHeight w:val="207"/>
        </w:trPr>
        <w:tc>
          <w:tcPr>
            <w:tcW w:w="0" w:type="auto"/>
            <w:shd w:val="clear" w:color="auto" w:fill="FFFFFF"/>
            <w:tcMar>
              <w:top w:w="100" w:type="dxa"/>
              <w:left w:w="100" w:type="dxa"/>
              <w:bottom w:w="100" w:type="dxa"/>
              <w:right w:w="100" w:type="dxa"/>
            </w:tcMar>
            <w:hideMark/>
          </w:tcPr>
          <w:p w14:paraId="65CA60AC" w14:textId="77777777" w:rsidR="00275DC4" w:rsidRPr="005B5FA2" w:rsidRDefault="005E46B4" w:rsidP="00D4033B">
            <w:pPr>
              <w:rPr>
                <w:rFonts w:asciiTheme="minorHAnsi" w:hAnsiTheme="minorHAnsi"/>
              </w:rPr>
            </w:pPr>
            <w:r w:rsidRPr="005B5FA2">
              <w:rPr>
                <w:rFonts w:asciiTheme="minorHAnsi" w:hAnsiTheme="minorHAnsi"/>
              </w:rPr>
              <w:t>FAO Legal Department</w:t>
            </w:r>
          </w:p>
        </w:tc>
        <w:tc>
          <w:tcPr>
            <w:tcW w:w="0" w:type="auto"/>
            <w:shd w:val="clear" w:color="auto" w:fill="FFFFFF"/>
            <w:tcMar>
              <w:top w:w="100" w:type="dxa"/>
              <w:left w:w="100" w:type="dxa"/>
              <w:bottom w:w="100" w:type="dxa"/>
              <w:right w:w="100" w:type="dxa"/>
            </w:tcMar>
            <w:hideMark/>
          </w:tcPr>
          <w:p w14:paraId="1FEBA4D1" w14:textId="77777777" w:rsidR="00275DC4" w:rsidRPr="005B5FA2" w:rsidRDefault="00275DC4" w:rsidP="00D4033B">
            <w:pPr>
              <w:rPr>
                <w:rFonts w:asciiTheme="minorHAnsi" w:hAnsiTheme="minorHAnsi"/>
              </w:rPr>
            </w:pPr>
            <w:r w:rsidRPr="005B5FA2">
              <w:rPr>
                <w:rFonts w:asciiTheme="minorHAnsi" w:hAnsiTheme="minorHAnsi"/>
              </w:rPr>
              <w:t>LEGN</w:t>
            </w:r>
          </w:p>
        </w:tc>
      </w:tr>
      <w:tr w:rsidR="00FC441C" w:rsidRPr="005B5FA2" w14:paraId="08132C2A" w14:textId="77777777" w:rsidTr="008023B4">
        <w:trPr>
          <w:trHeight w:val="200"/>
        </w:trPr>
        <w:tc>
          <w:tcPr>
            <w:tcW w:w="0" w:type="auto"/>
            <w:shd w:val="clear" w:color="auto" w:fill="D3DFEE"/>
            <w:tcMar>
              <w:top w:w="100" w:type="dxa"/>
              <w:left w:w="100" w:type="dxa"/>
              <w:bottom w:w="100" w:type="dxa"/>
              <w:right w:w="100" w:type="dxa"/>
            </w:tcMar>
            <w:hideMark/>
          </w:tcPr>
          <w:p w14:paraId="685A05CB" w14:textId="77777777" w:rsidR="00275DC4" w:rsidRPr="005B5FA2" w:rsidRDefault="005E46B4" w:rsidP="00D4033B">
            <w:pPr>
              <w:rPr>
                <w:rFonts w:asciiTheme="minorHAnsi" w:hAnsiTheme="minorHAnsi"/>
              </w:rPr>
            </w:pPr>
            <w:r w:rsidRPr="005B5FA2">
              <w:rPr>
                <w:rFonts w:asciiTheme="minorHAnsi" w:hAnsiTheme="minorHAnsi"/>
              </w:rPr>
              <w:t>FAO Statistics department</w:t>
            </w:r>
            <w:r w:rsidR="00E0715B" w:rsidRPr="005B5FA2">
              <w:rPr>
                <w:rFonts w:asciiTheme="minorHAnsi" w:hAnsiTheme="minorHAnsi"/>
              </w:rPr>
              <w:t xml:space="preserve"> (2 persons)</w:t>
            </w:r>
          </w:p>
        </w:tc>
        <w:tc>
          <w:tcPr>
            <w:tcW w:w="0" w:type="auto"/>
            <w:shd w:val="clear" w:color="auto" w:fill="D3DFEE"/>
            <w:tcMar>
              <w:top w:w="100" w:type="dxa"/>
              <w:left w:w="100" w:type="dxa"/>
              <w:bottom w:w="100" w:type="dxa"/>
              <w:right w:w="100" w:type="dxa"/>
            </w:tcMar>
            <w:hideMark/>
          </w:tcPr>
          <w:p w14:paraId="609D27F8" w14:textId="77777777" w:rsidR="00275DC4" w:rsidRPr="005B5FA2" w:rsidRDefault="00275DC4" w:rsidP="00D4033B">
            <w:pPr>
              <w:rPr>
                <w:rFonts w:asciiTheme="minorHAnsi" w:hAnsiTheme="minorHAnsi"/>
              </w:rPr>
            </w:pPr>
            <w:r w:rsidRPr="005B5FA2">
              <w:rPr>
                <w:rFonts w:asciiTheme="minorHAnsi" w:hAnsiTheme="minorHAnsi"/>
              </w:rPr>
              <w:t>ESS</w:t>
            </w:r>
          </w:p>
        </w:tc>
      </w:tr>
      <w:tr w:rsidR="00FC441C" w:rsidRPr="005B5FA2" w14:paraId="642D46C4" w14:textId="77777777" w:rsidTr="008023B4">
        <w:trPr>
          <w:trHeight w:val="200"/>
        </w:trPr>
        <w:tc>
          <w:tcPr>
            <w:tcW w:w="0" w:type="auto"/>
            <w:shd w:val="clear" w:color="auto" w:fill="FFFFFF"/>
            <w:tcMar>
              <w:top w:w="100" w:type="dxa"/>
              <w:left w:w="100" w:type="dxa"/>
              <w:bottom w:w="100" w:type="dxa"/>
              <w:right w:w="100" w:type="dxa"/>
            </w:tcMar>
            <w:hideMark/>
          </w:tcPr>
          <w:p w14:paraId="6291FD48" w14:textId="77777777" w:rsidR="00275DC4" w:rsidRPr="005B5FA2" w:rsidRDefault="005E46B4">
            <w:pPr>
              <w:rPr>
                <w:rFonts w:asciiTheme="minorHAnsi" w:hAnsiTheme="minorHAnsi"/>
              </w:rPr>
            </w:pPr>
            <w:r w:rsidRPr="005B5FA2">
              <w:rPr>
                <w:rFonts w:asciiTheme="minorHAnsi" w:hAnsiTheme="minorHAnsi"/>
              </w:rPr>
              <w:t xml:space="preserve">FAO Fisheries and </w:t>
            </w:r>
            <w:r w:rsidR="00E0715B" w:rsidRPr="005B5FA2">
              <w:rPr>
                <w:rFonts w:asciiTheme="minorHAnsi" w:hAnsiTheme="minorHAnsi"/>
              </w:rPr>
              <w:t xml:space="preserve">Aquaculture information branch </w:t>
            </w:r>
            <w:r w:rsidRPr="005B5FA2">
              <w:rPr>
                <w:rFonts w:asciiTheme="minorHAnsi" w:hAnsiTheme="minorHAnsi"/>
              </w:rPr>
              <w:t xml:space="preserve"> </w:t>
            </w:r>
          </w:p>
        </w:tc>
        <w:tc>
          <w:tcPr>
            <w:tcW w:w="0" w:type="auto"/>
            <w:shd w:val="clear" w:color="auto" w:fill="FFFFFF"/>
            <w:tcMar>
              <w:top w:w="100" w:type="dxa"/>
              <w:left w:w="100" w:type="dxa"/>
              <w:bottom w:w="100" w:type="dxa"/>
              <w:right w:w="100" w:type="dxa"/>
            </w:tcMar>
            <w:hideMark/>
          </w:tcPr>
          <w:p w14:paraId="15AE8B93" w14:textId="77777777" w:rsidR="00275DC4" w:rsidRPr="005B5FA2" w:rsidRDefault="00275DC4" w:rsidP="00D4033B">
            <w:pPr>
              <w:rPr>
                <w:rFonts w:asciiTheme="minorHAnsi" w:hAnsiTheme="minorHAnsi"/>
              </w:rPr>
            </w:pPr>
            <w:r w:rsidRPr="005B5FA2">
              <w:rPr>
                <w:rFonts w:asciiTheme="minorHAnsi" w:hAnsiTheme="minorHAnsi"/>
              </w:rPr>
              <w:t>FIAS</w:t>
            </w:r>
          </w:p>
        </w:tc>
      </w:tr>
      <w:tr w:rsidR="00FC441C" w:rsidRPr="005B5FA2" w14:paraId="180007E0" w14:textId="77777777" w:rsidTr="008023B4">
        <w:trPr>
          <w:trHeight w:val="200"/>
        </w:trPr>
        <w:tc>
          <w:tcPr>
            <w:tcW w:w="0" w:type="auto"/>
            <w:shd w:val="clear" w:color="auto" w:fill="D3DFEE"/>
            <w:tcMar>
              <w:top w:w="100" w:type="dxa"/>
              <w:left w:w="100" w:type="dxa"/>
              <w:bottom w:w="100" w:type="dxa"/>
              <w:right w:w="100" w:type="dxa"/>
            </w:tcMar>
            <w:hideMark/>
          </w:tcPr>
          <w:p w14:paraId="3800A82B" w14:textId="77777777" w:rsidR="00275DC4" w:rsidRPr="005B5FA2" w:rsidRDefault="005E46B4" w:rsidP="00D4033B">
            <w:pPr>
              <w:rPr>
                <w:rFonts w:asciiTheme="minorHAnsi" w:hAnsiTheme="minorHAnsi"/>
              </w:rPr>
            </w:pPr>
            <w:r w:rsidRPr="005B5FA2">
              <w:rPr>
                <w:rFonts w:asciiTheme="minorHAnsi" w:hAnsiTheme="minorHAnsi"/>
              </w:rPr>
              <w:t>CNR-ISTI, Pisa</w:t>
            </w:r>
          </w:p>
        </w:tc>
        <w:tc>
          <w:tcPr>
            <w:tcW w:w="0" w:type="auto"/>
            <w:shd w:val="clear" w:color="auto" w:fill="D3DFEE"/>
            <w:tcMar>
              <w:top w:w="100" w:type="dxa"/>
              <w:left w:w="100" w:type="dxa"/>
              <w:bottom w:w="100" w:type="dxa"/>
              <w:right w:w="100" w:type="dxa"/>
            </w:tcMar>
            <w:hideMark/>
          </w:tcPr>
          <w:p w14:paraId="0C4040BB" w14:textId="77777777" w:rsidR="00275DC4" w:rsidRPr="005B5FA2" w:rsidRDefault="00323D20" w:rsidP="00D4033B">
            <w:pPr>
              <w:rPr>
                <w:rFonts w:asciiTheme="minorHAnsi" w:hAnsiTheme="minorHAnsi"/>
              </w:rPr>
            </w:pPr>
            <w:r w:rsidRPr="005B5FA2">
              <w:rPr>
                <w:rFonts w:asciiTheme="minorHAnsi" w:hAnsiTheme="minorHAnsi"/>
              </w:rPr>
              <w:t>CNR</w:t>
            </w:r>
          </w:p>
        </w:tc>
      </w:tr>
    </w:tbl>
    <w:p w14:paraId="543AC9DB" w14:textId="77777777" w:rsidR="00A95C7F" w:rsidRPr="005B5FA2" w:rsidRDefault="00A95C7F" w:rsidP="00A95C7F">
      <w:pPr>
        <w:rPr>
          <w:rFonts w:asciiTheme="minorHAnsi" w:hAnsiTheme="minorHAnsi"/>
        </w:rPr>
      </w:pPr>
    </w:p>
    <w:p w14:paraId="6E5EBA36" w14:textId="77777777" w:rsidR="00A95C7F" w:rsidRPr="005B5FA2" w:rsidRDefault="00A95C7F" w:rsidP="00A95C7F">
      <w:pPr>
        <w:rPr>
          <w:rFonts w:asciiTheme="minorHAnsi" w:hAnsiTheme="minorHAnsi"/>
        </w:rPr>
      </w:pPr>
      <w:r w:rsidRPr="005B5FA2">
        <w:rPr>
          <w:rFonts w:asciiTheme="minorHAnsi" w:hAnsiTheme="minorHAnsi"/>
        </w:rPr>
        <w:t>The main findings of the interviews are mentioned below.</w:t>
      </w:r>
    </w:p>
    <w:p w14:paraId="431A99C9" w14:textId="77777777" w:rsidR="00A95C7F" w:rsidRPr="005B5FA2" w:rsidRDefault="00A95C7F" w:rsidP="00A95C7F">
      <w:pPr>
        <w:numPr>
          <w:ilvl w:val="0"/>
          <w:numId w:val="29"/>
        </w:numPr>
        <w:rPr>
          <w:rFonts w:asciiTheme="minorHAnsi" w:hAnsiTheme="minorHAnsi"/>
        </w:rPr>
      </w:pPr>
      <w:r w:rsidRPr="005B5FA2">
        <w:rPr>
          <w:rFonts w:asciiTheme="minorHAnsi" w:hAnsiTheme="minorHAnsi"/>
        </w:rPr>
        <w:t xml:space="preserve">FAO </w:t>
      </w:r>
      <w:r w:rsidR="00252005" w:rsidRPr="005B5FA2">
        <w:rPr>
          <w:rFonts w:asciiTheme="minorHAnsi" w:hAnsiTheme="minorHAnsi"/>
        </w:rPr>
        <w:t xml:space="preserve">recognizes the need for a comprehensive </w:t>
      </w:r>
      <w:r w:rsidRPr="005B5FA2">
        <w:rPr>
          <w:rFonts w:asciiTheme="minorHAnsi" w:hAnsiTheme="minorHAnsi"/>
        </w:rPr>
        <w:t>data policy;</w:t>
      </w:r>
    </w:p>
    <w:p w14:paraId="6E8A8AB6" w14:textId="77777777" w:rsidR="00A95C7F" w:rsidRPr="005B5FA2" w:rsidRDefault="00A95C7F" w:rsidP="00A95C7F">
      <w:pPr>
        <w:numPr>
          <w:ilvl w:val="0"/>
          <w:numId w:val="29"/>
        </w:numPr>
        <w:rPr>
          <w:rFonts w:asciiTheme="minorHAnsi" w:hAnsiTheme="minorHAnsi"/>
        </w:rPr>
      </w:pPr>
      <w:r w:rsidRPr="005B5FA2">
        <w:rPr>
          <w:rFonts w:asciiTheme="minorHAnsi" w:hAnsiTheme="minorHAnsi"/>
        </w:rPr>
        <w:t xml:space="preserve">The </w:t>
      </w:r>
      <w:r w:rsidR="00252005" w:rsidRPr="005B5FA2">
        <w:rPr>
          <w:rFonts w:asciiTheme="minorHAnsi" w:hAnsiTheme="minorHAnsi"/>
        </w:rPr>
        <w:t xml:space="preserve">development effort for </w:t>
      </w:r>
      <w:r w:rsidRPr="005B5FA2">
        <w:rPr>
          <w:rFonts w:asciiTheme="minorHAnsi" w:hAnsiTheme="minorHAnsi"/>
        </w:rPr>
        <w:t>a FAO data policy is</w:t>
      </w:r>
      <w:r w:rsidR="00252005" w:rsidRPr="005B5FA2">
        <w:rPr>
          <w:rFonts w:asciiTheme="minorHAnsi" w:hAnsiTheme="minorHAnsi"/>
        </w:rPr>
        <w:t xml:space="preserve"> substantial, and a multi-year effort</w:t>
      </w:r>
      <w:r w:rsidRPr="005B5FA2">
        <w:rPr>
          <w:rFonts w:asciiTheme="minorHAnsi" w:hAnsiTheme="minorHAnsi"/>
        </w:rPr>
        <w:t>;</w:t>
      </w:r>
    </w:p>
    <w:p w14:paraId="53F84806" w14:textId="77777777" w:rsidR="00A95C7F" w:rsidRPr="005B5FA2" w:rsidRDefault="00A95C7F" w:rsidP="00A95C7F">
      <w:pPr>
        <w:numPr>
          <w:ilvl w:val="0"/>
          <w:numId w:val="29"/>
        </w:numPr>
        <w:rPr>
          <w:rFonts w:asciiTheme="minorHAnsi" w:hAnsiTheme="minorHAnsi"/>
        </w:rPr>
      </w:pPr>
      <w:r w:rsidRPr="005B5FA2">
        <w:rPr>
          <w:rFonts w:asciiTheme="minorHAnsi" w:hAnsiTheme="minorHAnsi"/>
        </w:rPr>
        <w:t xml:space="preserve">The interviews (March 2016) </w:t>
      </w:r>
      <w:r w:rsidR="00252005" w:rsidRPr="005B5FA2">
        <w:rPr>
          <w:rFonts w:asciiTheme="minorHAnsi" w:hAnsiTheme="minorHAnsi"/>
        </w:rPr>
        <w:t xml:space="preserve">on </w:t>
      </w:r>
      <w:r w:rsidRPr="005B5FA2">
        <w:rPr>
          <w:rFonts w:asciiTheme="minorHAnsi" w:hAnsiTheme="minorHAnsi"/>
        </w:rPr>
        <w:t>the development of a FAO data policy</w:t>
      </w:r>
      <w:r w:rsidR="00252005" w:rsidRPr="005B5FA2">
        <w:rPr>
          <w:rFonts w:asciiTheme="minorHAnsi" w:hAnsiTheme="minorHAnsi"/>
        </w:rPr>
        <w:t xml:space="preserve"> were helpful in fostering a cross-departmental dialogue</w:t>
      </w:r>
      <w:r w:rsidRPr="005B5FA2">
        <w:rPr>
          <w:rFonts w:asciiTheme="minorHAnsi" w:hAnsiTheme="minorHAnsi"/>
        </w:rPr>
        <w:t>;</w:t>
      </w:r>
    </w:p>
    <w:p w14:paraId="76EFFB33" w14:textId="77777777" w:rsidR="00252005" w:rsidRPr="005B5FA2" w:rsidRDefault="00A95C7F" w:rsidP="00CC3673">
      <w:pPr>
        <w:numPr>
          <w:ilvl w:val="0"/>
          <w:numId w:val="29"/>
        </w:numPr>
        <w:rPr>
          <w:rFonts w:asciiTheme="minorHAnsi" w:hAnsiTheme="minorHAnsi"/>
        </w:rPr>
      </w:pPr>
      <w:r w:rsidRPr="005B5FA2">
        <w:rPr>
          <w:rFonts w:asciiTheme="minorHAnsi" w:hAnsiTheme="minorHAnsi"/>
        </w:rPr>
        <w:t>A</w:t>
      </w:r>
      <w:r w:rsidR="00252005" w:rsidRPr="005B5FA2">
        <w:rPr>
          <w:rFonts w:asciiTheme="minorHAnsi" w:hAnsiTheme="minorHAnsi"/>
        </w:rPr>
        <w:t>t this stage, a</w:t>
      </w:r>
      <w:r w:rsidRPr="005B5FA2">
        <w:rPr>
          <w:rFonts w:asciiTheme="minorHAnsi" w:hAnsiTheme="minorHAnsi"/>
        </w:rPr>
        <w:t xml:space="preserve"> representative of ESS is developing a data policy for FAOSTAT data which </w:t>
      </w:r>
      <w:r w:rsidR="00252005" w:rsidRPr="005B5FA2">
        <w:rPr>
          <w:rFonts w:asciiTheme="minorHAnsi" w:hAnsiTheme="minorHAnsi"/>
        </w:rPr>
        <w:t xml:space="preserve">is considered </w:t>
      </w:r>
      <w:r w:rsidRPr="005B5FA2">
        <w:rPr>
          <w:rFonts w:asciiTheme="minorHAnsi" w:hAnsiTheme="minorHAnsi"/>
        </w:rPr>
        <w:t>as ‘guinea pig’</w:t>
      </w:r>
      <w:r w:rsidR="00252005" w:rsidRPr="005B5FA2">
        <w:rPr>
          <w:rFonts w:asciiTheme="minorHAnsi" w:hAnsiTheme="minorHAnsi"/>
        </w:rPr>
        <w:t xml:space="preserve"> covering a substantial amount of FAO data-flows</w:t>
      </w:r>
      <w:r w:rsidRPr="005B5FA2">
        <w:rPr>
          <w:rFonts w:asciiTheme="minorHAnsi" w:hAnsiTheme="minorHAnsi"/>
        </w:rPr>
        <w:t xml:space="preserve">; </w:t>
      </w:r>
    </w:p>
    <w:p w14:paraId="6F84B861" w14:textId="77777777" w:rsidR="00252005" w:rsidRPr="005B5FA2" w:rsidRDefault="00A95C7F" w:rsidP="00CC3673">
      <w:pPr>
        <w:numPr>
          <w:ilvl w:val="0"/>
          <w:numId w:val="29"/>
        </w:numPr>
        <w:rPr>
          <w:rFonts w:asciiTheme="minorHAnsi" w:hAnsiTheme="minorHAnsi"/>
        </w:rPr>
      </w:pPr>
      <w:r w:rsidRPr="005B5FA2">
        <w:rPr>
          <w:rFonts w:asciiTheme="minorHAnsi" w:hAnsiTheme="minorHAnsi"/>
        </w:rPr>
        <w:t xml:space="preserve">The appointment of a Chief </w:t>
      </w:r>
      <w:r w:rsidR="00252005" w:rsidRPr="005B5FA2">
        <w:rPr>
          <w:rFonts w:asciiTheme="minorHAnsi" w:hAnsiTheme="minorHAnsi"/>
        </w:rPr>
        <w:t>FAO Statistician</w:t>
      </w:r>
      <w:r w:rsidRPr="005B5FA2">
        <w:rPr>
          <w:rFonts w:asciiTheme="minorHAnsi" w:hAnsiTheme="minorHAnsi"/>
        </w:rPr>
        <w:t xml:space="preserve"> </w:t>
      </w:r>
      <w:r w:rsidR="00252005" w:rsidRPr="005B5FA2">
        <w:rPr>
          <w:rFonts w:asciiTheme="minorHAnsi" w:hAnsiTheme="minorHAnsi"/>
        </w:rPr>
        <w:t xml:space="preserve">is seen as an opportunity </w:t>
      </w:r>
      <w:r w:rsidRPr="005B5FA2">
        <w:rPr>
          <w:rFonts w:asciiTheme="minorHAnsi" w:hAnsiTheme="minorHAnsi"/>
        </w:rPr>
        <w:t xml:space="preserve">to place </w:t>
      </w:r>
      <w:r w:rsidR="00252005" w:rsidRPr="005B5FA2">
        <w:rPr>
          <w:rFonts w:asciiTheme="minorHAnsi" w:hAnsiTheme="minorHAnsi"/>
        </w:rPr>
        <w:t xml:space="preserve">relevant </w:t>
      </w:r>
      <w:r w:rsidRPr="005B5FA2">
        <w:rPr>
          <w:rFonts w:asciiTheme="minorHAnsi" w:hAnsiTheme="minorHAnsi"/>
        </w:rPr>
        <w:t>data policies under his/her auspices</w:t>
      </w:r>
      <w:r w:rsidR="00252005" w:rsidRPr="005B5FA2">
        <w:rPr>
          <w:rFonts w:asciiTheme="minorHAnsi" w:hAnsiTheme="minorHAnsi"/>
        </w:rPr>
        <w:t>, and thus achieve a corporate data policy;</w:t>
      </w:r>
    </w:p>
    <w:p w14:paraId="51A24DF5" w14:textId="77777777" w:rsidR="004C0E8D" w:rsidRPr="005B5FA2" w:rsidRDefault="00252005" w:rsidP="00CC3673">
      <w:pPr>
        <w:numPr>
          <w:ilvl w:val="0"/>
          <w:numId w:val="29"/>
        </w:numPr>
        <w:rPr>
          <w:rFonts w:asciiTheme="minorHAnsi" w:hAnsiTheme="minorHAnsi"/>
        </w:rPr>
      </w:pPr>
      <w:r w:rsidRPr="005B5FA2">
        <w:rPr>
          <w:rFonts w:asciiTheme="minorHAnsi" w:hAnsiTheme="minorHAnsi"/>
        </w:rPr>
        <w:t>For FAO, this process is connected to, bu</w:t>
      </w:r>
      <w:r w:rsidR="00AE09F2" w:rsidRPr="005B5FA2">
        <w:rPr>
          <w:rFonts w:asciiTheme="minorHAnsi" w:hAnsiTheme="minorHAnsi"/>
        </w:rPr>
        <w:t>t not only driven by technology, and the technology options are considered along with legal and organizational aspects</w:t>
      </w:r>
      <w:r w:rsidR="00A95C7F" w:rsidRPr="005B5FA2">
        <w:rPr>
          <w:rFonts w:asciiTheme="minorHAnsi" w:hAnsiTheme="minorHAnsi"/>
        </w:rPr>
        <w:t>.</w:t>
      </w:r>
      <w:r w:rsidR="00AE09F2" w:rsidRPr="005B5FA2">
        <w:rPr>
          <w:rFonts w:asciiTheme="minorHAnsi" w:hAnsiTheme="minorHAnsi"/>
        </w:rPr>
        <w:t xml:space="preserve"> This shift is better described as a process than as a project. </w:t>
      </w:r>
    </w:p>
    <w:p w14:paraId="132BCF3C" w14:textId="77777777" w:rsidR="005F0334" w:rsidRDefault="005F0334" w:rsidP="004C0E8D">
      <w:pPr>
        <w:rPr>
          <w:rFonts w:asciiTheme="minorHAnsi" w:hAnsiTheme="minorHAnsi"/>
          <w:b/>
          <w:bCs/>
        </w:rPr>
      </w:pPr>
    </w:p>
    <w:p w14:paraId="12B9ED6B" w14:textId="77777777" w:rsidR="005F0334" w:rsidRDefault="005F0334" w:rsidP="004C0E8D">
      <w:pPr>
        <w:rPr>
          <w:rFonts w:asciiTheme="minorHAnsi" w:hAnsiTheme="minorHAnsi"/>
          <w:b/>
          <w:bCs/>
        </w:rPr>
      </w:pPr>
    </w:p>
    <w:p w14:paraId="5A959F6C" w14:textId="77777777" w:rsidR="004C0E8D" w:rsidRPr="005B5FA2" w:rsidRDefault="002C0EAD" w:rsidP="004C0E8D">
      <w:pPr>
        <w:rPr>
          <w:rFonts w:asciiTheme="minorHAnsi" w:hAnsiTheme="minorHAnsi"/>
        </w:rPr>
      </w:pPr>
      <w:r w:rsidRPr="005B5FA2">
        <w:rPr>
          <w:rFonts w:asciiTheme="minorHAnsi" w:hAnsiTheme="minorHAnsi"/>
          <w:b/>
          <w:bCs/>
        </w:rPr>
        <w:lastRenderedPageBreak/>
        <w:t>OCCI</w:t>
      </w:r>
    </w:p>
    <w:p w14:paraId="3911CFE5" w14:textId="77777777" w:rsidR="004C0E8D" w:rsidRPr="005B5FA2" w:rsidRDefault="002C0EAD" w:rsidP="004C0E8D">
      <w:pPr>
        <w:rPr>
          <w:rFonts w:asciiTheme="minorHAnsi" w:hAnsiTheme="minorHAnsi"/>
        </w:rPr>
      </w:pPr>
      <w:r w:rsidRPr="005B5FA2">
        <w:rPr>
          <w:rFonts w:asciiTheme="minorHAnsi" w:hAnsiTheme="minorHAnsi"/>
        </w:rPr>
        <w:t xml:space="preserve">OCCI </w:t>
      </w:r>
      <w:r w:rsidR="004C0E8D" w:rsidRPr="005B5FA2">
        <w:rPr>
          <w:rFonts w:asciiTheme="minorHAnsi" w:hAnsiTheme="minorHAnsi"/>
        </w:rPr>
        <w:t xml:space="preserve">starts with mentioning that since </w:t>
      </w:r>
      <w:r w:rsidR="00AE09F2" w:rsidRPr="005B5FA2">
        <w:rPr>
          <w:rFonts w:asciiTheme="minorHAnsi" w:hAnsiTheme="minorHAnsi"/>
        </w:rPr>
        <w:t xml:space="preserve">the pervious </w:t>
      </w:r>
      <w:r w:rsidR="004C0E8D" w:rsidRPr="005B5FA2">
        <w:rPr>
          <w:rFonts w:asciiTheme="minorHAnsi" w:hAnsiTheme="minorHAnsi"/>
        </w:rPr>
        <w:t>interview FAO’s data policy</w:t>
      </w:r>
      <w:r w:rsidR="00AE09F2" w:rsidRPr="005B5FA2">
        <w:rPr>
          <w:rFonts w:asciiTheme="minorHAnsi" w:hAnsiTheme="minorHAnsi"/>
        </w:rPr>
        <w:t xml:space="preserve"> has not further developed officially</w:t>
      </w:r>
      <w:r w:rsidR="004C0E8D" w:rsidRPr="005B5FA2">
        <w:rPr>
          <w:rFonts w:asciiTheme="minorHAnsi" w:hAnsiTheme="minorHAnsi"/>
        </w:rPr>
        <w:t xml:space="preserve">. </w:t>
      </w:r>
      <w:r w:rsidRPr="005B5FA2">
        <w:rPr>
          <w:rFonts w:asciiTheme="minorHAnsi" w:hAnsiTheme="minorHAnsi"/>
        </w:rPr>
        <w:t>OCCI</w:t>
      </w:r>
      <w:r w:rsidR="004C0E8D" w:rsidRPr="005B5FA2">
        <w:rPr>
          <w:rFonts w:asciiTheme="minorHAnsi" w:hAnsiTheme="minorHAnsi"/>
        </w:rPr>
        <w:t xml:space="preserve"> </w:t>
      </w:r>
      <w:r w:rsidR="00AE09F2" w:rsidRPr="005B5FA2">
        <w:rPr>
          <w:rFonts w:asciiTheme="minorHAnsi" w:hAnsiTheme="minorHAnsi"/>
        </w:rPr>
        <w:t xml:space="preserve">sees a </w:t>
      </w:r>
      <w:r w:rsidR="004C0E8D" w:rsidRPr="005B5FA2">
        <w:rPr>
          <w:rFonts w:asciiTheme="minorHAnsi" w:hAnsiTheme="minorHAnsi"/>
        </w:rPr>
        <w:t xml:space="preserve">growing awareness about the need for a </w:t>
      </w:r>
      <w:r w:rsidR="00AE09F2" w:rsidRPr="005B5FA2">
        <w:rPr>
          <w:rFonts w:asciiTheme="minorHAnsi" w:hAnsiTheme="minorHAnsi"/>
        </w:rPr>
        <w:t xml:space="preserve">(electronic) </w:t>
      </w:r>
      <w:r w:rsidR="004C0E8D" w:rsidRPr="005B5FA2">
        <w:rPr>
          <w:rFonts w:asciiTheme="minorHAnsi" w:hAnsiTheme="minorHAnsi"/>
        </w:rPr>
        <w:t xml:space="preserve">data policy. </w:t>
      </w:r>
    </w:p>
    <w:p w14:paraId="7B615FFA" w14:textId="0A82DA37" w:rsidR="004C0E8D" w:rsidRPr="005B5FA2" w:rsidRDefault="002C0EAD" w:rsidP="004C0E8D">
      <w:pPr>
        <w:rPr>
          <w:rFonts w:asciiTheme="minorHAnsi" w:hAnsiTheme="minorHAnsi"/>
        </w:rPr>
      </w:pPr>
      <w:r w:rsidRPr="005B5FA2">
        <w:rPr>
          <w:rFonts w:asciiTheme="minorHAnsi" w:hAnsiTheme="minorHAnsi"/>
        </w:rPr>
        <w:t>OCCI</w:t>
      </w:r>
      <w:r w:rsidR="004C0E8D" w:rsidRPr="005B5FA2">
        <w:rPr>
          <w:rFonts w:asciiTheme="minorHAnsi" w:hAnsiTheme="minorHAnsi"/>
        </w:rPr>
        <w:t xml:space="preserve"> </w:t>
      </w:r>
      <w:r w:rsidR="00AE09F2" w:rsidRPr="005B5FA2">
        <w:rPr>
          <w:rFonts w:asciiTheme="minorHAnsi" w:hAnsiTheme="minorHAnsi"/>
        </w:rPr>
        <w:t>observes</w:t>
      </w:r>
      <w:r w:rsidR="004C0E8D" w:rsidRPr="005B5FA2">
        <w:rPr>
          <w:rFonts w:asciiTheme="minorHAnsi" w:hAnsiTheme="minorHAnsi"/>
        </w:rPr>
        <w:t xml:space="preserve"> there is ‘</w:t>
      </w:r>
      <w:proofErr w:type="gramStart"/>
      <w:r w:rsidR="004C0E8D" w:rsidRPr="005B5FA2">
        <w:rPr>
          <w:rFonts w:asciiTheme="minorHAnsi" w:hAnsiTheme="minorHAnsi"/>
        </w:rPr>
        <w:t xml:space="preserve">a </w:t>
      </w:r>
      <w:r w:rsidR="00AE09F2" w:rsidRPr="005B5FA2">
        <w:rPr>
          <w:rFonts w:asciiTheme="minorHAnsi" w:hAnsiTheme="minorHAnsi"/>
        </w:rPr>
        <w:t>recognition</w:t>
      </w:r>
      <w:proofErr w:type="gramEnd"/>
      <w:r w:rsidR="00AE09F2" w:rsidRPr="005B5FA2">
        <w:rPr>
          <w:rFonts w:asciiTheme="minorHAnsi" w:hAnsiTheme="minorHAnsi"/>
        </w:rPr>
        <w:t xml:space="preserve"> of </w:t>
      </w:r>
      <w:r w:rsidR="004C0E8D" w:rsidRPr="005B5FA2">
        <w:rPr>
          <w:rFonts w:asciiTheme="minorHAnsi" w:hAnsiTheme="minorHAnsi"/>
        </w:rPr>
        <w:t xml:space="preserve">the need for a data policy, but this is </w:t>
      </w:r>
      <w:r w:rsidR="00AE09F2" w:rsidRPr="005B5FA2">
        <w:rPr>
          <w:rFonts w:asciiTheme="minorHAnsi" w:hAnsiTheme="minorHAnsi"/>
        </w:rPr>
        <w:t xml:space="preserve">a long process and </w:t>
      </w:r>
      <w:r w:rsidR="004C0E8D" w:rsidRPr="005B5FA2">
        <w:rPr>
          <w:rFonts w:asciiTheme="minorHAnsi" w:hAnsiTheme="minorHAnsi"/>
        </w:rPr>
        <w:t xml:space="preserve">not yet brought into practice’. </w:t>
      </w:r>
      <w:r w:rsidR="00CC3673" w:rsidRPr="005B5FA2" w:rsidDel="00CC3673">
        <w:rPr>
          <w:rFonts w:asciiTheme="minorHAnsi" w:hAnsiTheme="minorHAnsi"/>
        </w:rPr>
        <w:t xml:space="preserve"> </w:t>
      </w:r>
      <w:r w:rsidR="004C0E8D" w:rsidRPr="005B5FA2">
        <w:rPr>
          <w:rFonts w:asciiTheme="minorHAnsi" w:hAnsiTheme="minorHAnsi"/>
        </w:rPr>
        <w:t xml:space="preserve"> </w:t>
      </w:r>
      <w:r w:rsidRPr="005B5FA2">
        <w:rPr>
          <w:rFonts w:asciiTheme="minorHAnsi" w:hAnsiTheme="minorHAnsi"/>
        </w:rPr>
        <w:t>OCCI</w:t>
      </w:r>
      <w:r w:rsidR="00CC3673" w:rsidRPr="005B5FA2">
        <w:rPr>
          <w:rFonts w:asciiTheme="minorHAnsi" w:hAnsiTheme="minorHAnsi"/>
        </w:rPr>
        <w:t xml:space="preserve"> </w:t>
      </w:r>
      <w:r w:rsidR="004C0E8D" w:rsidRPr="005B5FA2">
        <w:rPr>
          <w:rFonts w:asciiTheme="minorHAnsi" w:hAnsiTheme="minorHAnsi"/>
        </w:rPr>
        <w:t xml:space="preserve">spends a substantial amount of time assessing whether and how data can be published. This is a tedious process and should be streamlined according to </w:t>
      </w:r>
      <w:r w:rsidRPr="005B5FA2">
        <w:rPr>
          <w:rFonts w:asciiTheme="minorHAnsi" w:hAnsiTheme="minorHAnsi"/>
        </w:rPr>
        <w:t>OCCI</w:t>
      </w:r>
      <w:r w:rsidR="00CC3673" w:rsidRPr="005B5FA2">
        <w:rPr>
          <w:rFonts w:asciiTheme="minorHAnsi" w:hAnsiTheme="minorHAnsi"/>
        </w:rPr>
        <w:t>, and here a data policy is needed</w:t>
      </w:r>
      <w:r w:rsidR="004C0E8D" w:rsidRPr="005B5FA2">
        <w:rPr>
          <w:rFonts w:asciiTheme="minorHAnsi" w:hAnsiTheme="minorHAnsi"/>
        </w:rPr>
        <w:t xml:space="preserve">. </w:t>
      </w:r>
    </w:p>
    <w:p w14:paraId="61ABE737" w14:textId="58FA2A46" w:rsidR="004C0E8D" w:rsidRPr="005B5FA2" w:rsidRDefault="004C0E8D" w:rsidP="004C0E8D">
      <w:pPr>
        <w:rPr>
          <w:rFonts w:asciiTheme="minorHAnsi" w:hAnsiTheme="minorHAnsi"/>
        </w:rPr>
      </w:pPr>
      <w:r w:rsidRPr="005B5FA2">
        <w:rPr>
          <w:rFonts w:asciiTheme="minorHAnsi" w:hAnsiTheme="minorHAnsi"/>
        </w:rPr>
        <w:t>The two main challenges when formulating a data policy are (</w:t>
      </w:r>
      <w:proofErr w:type="spellStart"/>
      <w:r w:rsidRPr="005B5FA2">
        <w:rPr>
          <w:rFonts w:asciiTheme="minorHAnsi" w:hAnsiTheme="minorHAnsi"/>
        </w:rPr>
        <w:t>i</w:t>
      </w:r>
      <w:proofErr w:type="spellEnd"/>
      <w:r w:rsidRPr="005B5FA2">
        <w:rPr>
          <w:rFonts w:asciiTheme="minorHAnsi" w:hAnsiTheme="minorHAnsi"/>
        </w:rPr>
        <w:t xml:space="preserve">) the origin of the data and (ii) the purpose of the data. In some cases it is not clear what the exact origin of the data is. Before deciding what to do with a copyright, you first have to know who owns the Intellectual Property Rights. Therefore clarity on the origin of data is required. Secondly, due to the </w:t>
      </w:r>
      <w:r w:rsidR="00CC3673" w:rsidRPr="005B5FA2">
        <w:rPr>
          <w:rFonts w:asciiTheme="minorHAnsi" w:hAnsiTheme="minorHAnsi"/>
        </w:rPr>
        <w:t xml:space="preserve">public and non-profit </w:t>
      </w:r>
      <w:r w:rsidRPr="005B5FA2">
        <w:rPr>
          <w:rFonts w:asciiTheme="minorHAnsi" w:hAnsiTheme="minorHAnsi"/>
        </w:rPr>
        <w:t>character of FAO</w:t>
      </w:r>
      <w:r w:rsidR="00CC3673" w:rsidRPr="005B5FA2">
        <w:rPr>
          <w:rFonts w:asciiTheme="minorHAnsi" w:hAnsiTheme="minorHAnsi"/>
        </w:rPr>
        <w:t xml:space="preserve"> of the UN</w:t>
      </w:r>
      <w:r w:rsidRPr="005B5FA2">
        <w:rPr>
          <w:rFonts w:asciiTheme="minorHAnsi" w:hAnsiTheme="minorHAnsi"/>
        </w:rPr>
        <w:t xml:space="preserve"> it is important to assess the purpose of the data requested. </w:t>
      </w:r>
      <w:r w:rsidR="002C0EAD" w:rsidRPr="005B5FA2">
        <w:rPr>
          <w:rFonts w:asciiTheme="minorHAnsi" w:hAnsiTheme="minorHAnsi"/>
        </w:rPr>
        <w:t>OCCI</w:t>
      </w:r>
      <w:r w:rsidRPr="005B5FA2">
        <w:rPr>
          <w:rFonts w:asciiTheme="minorHAnsi" w:hAnsiTheme="minorHAnsi"/>
        </w:rPr>
        <w:t xml:space="preserve"> mentions an example where a party wanted to conduct a market analysis for investment in agro-alimentary industry. This party wanted to include FAO’s commodity prices in its algorithm to assess where and when to buy food products. The aim of this party appeared not to be aligned with FAO’s strategic objectives, as would merely financially exploit periods of food shortage.</w:t>
      </w:r>
    </w:p>
    <w:p w14:paraId="06E27708" w14:textId="4EBA68C9" w:rsidR="004C0E8D" w:rsidRPr="005B5FA2" w:rsidRDefault="004C0E8D" w:rsidP="004C0E8D">
      <w:pPr>
        <w:rPr>
          <w:rFonts w:asciiTheme="minorHAnsi" w:hAnsiTheme="minorHAnsi"/>
        </w:rPr>
      </w:pPr>
      <w:r w:rsidRPr="005B5FA2">
        <w:rPr>
          <w:rFonts w:asciiTheme="minorHAnsi" w:hAnsiTheme="minorHAnsi"/>
        </w:rPr>
        <w:t xml:space="preserve">Furthermore, </w:t>
      </w:r>
      <w:r w:rsidR="002C0EAD" w:rsidRPr="005B5FA2">
        <w:rPr>
          <w:rFonts w:asciiTheme="minorHAnsi" w:hAnsiTheme="minorHAnsi"/>
        </w:rPr>
        <w:t>OCCI</w:t>
      </w:r>
      <w:r w:rsidRPr="005B5FA2">
        <w:rPr>
          <w:rFonts w:asciiTheme="minorHAnsi" w:hAnsiTheme="minorHAnsi"/>
        </w:rPr>
        <w:t xml:space="preserve"> mentions that OCCI has decided to publish all internal administrative data in compliance with the International Aid Transparency Initiative (IATI). Although this is merely one dataset, it can be seen as a good step towards publication of FAO data.</w:t>
      </w:r>
      <w:r w:rsidR="00CC3673" w:rsidRPr="005B5FA2">
        <w:rPr>
          <w:rFonts w:asciiTheme="minorHAnsi" w:hAnsiTheme="minorHAnsi"/>
        </w:rPr>
        <w:t xml:space="preserve"> </w:t>
      </w:r>
      <w:r w:rsidR="002C0EAD" w:rsidRPr="005B5FA2">
        <w:rPr>
          <w:rFonts w:asciiTheme="minorHAnsi" w:hAnsiTheme="minorHAnsi"/>
        </w:rPr>
        <w:t>OCCI</w:t>
      </w:r>
      <w:r w:rsidRPr="005B5FA2">
        <w:rPr>
          <w:rFonts w:asciiTheme="minorHAnsi" w:hAnsiTheme="minorHAnsi"/>
        </w:rPr>
        <w:t xml:space="preserve"> also states that FAO is currently working on the publication of all SDG indicators. </w:t>
      </w:r>
      <w:proofErr w:type="gramStart"/>
      <w:r w:rsidRPr="005B5FA2">
        <w:rPr>
          <w:rFonts w:asciiTheme="minorHAnsi" w:hAnsiTheme="minorHAnsi"/>
        </w:rPr>
        <w:t>The</w:t>
      </w:r>
      <w:r w:rsidR="00CC3673" w:rsidRPr="005B5FA2">
        <w:rPr>
          <w:rFonts w:asciiTheme="minorHAnsi" w:hAnsiTheme="minorHAnsi"/>
        </w:rPr>
        <w:t>se</w:t>
      </w:r>
      <w:r w:rsidRPr="005B5FA2">
        <w:rPr>
          <w:rFonts w:asciiTheme="minorHAnsi" w:hAnsiTheme="minorHAnsi"/>
        </w:rPr>
        <w:t xml:space="preserve"> experience</w:t>
      </w:r>
      <w:proofErr w:type="gramEnd"/>
      <w:r w:rsidRPr="005B5FA2">
        <w:rPr>
          <w:rFonts w:asciiTheme="minorHAnsi" w:hAnsiTheme="minorHAnsi"/>
        </w:rPr>
        <w:t xml:space="preserve"> could also be used when developing a broader FAO data policy.</w:t>
      </w:r>
    </w:p>
    <w:p w14:paraId="38FD2AD3" w14:textId="651BE2CB" w:rsidR="004C0E8D" w:rsidRPr="005B5FA2" w:rsidRDefault="002C0EAD" w:rsidP="004C0E8D">
      <w:pPr>
        <w:rPr>
          <w:rFonts w:asciiTheme="minorHAnsi" w:hAnsiTheme="minorHAnsi"/>
        </w:rPr>
      </w:pPr>
      <w:r w:rsidRPr="005B5FA2">
        <w:rPr>
          <w:rFonts w:asciiTheme="minorHAnsi" w:hAnsiTheme="minorHAnsi"/>
        </w:rPr>
        <w:t>OCCI</w:t>
      </w:r>
      <w:r w:rsidR="004C0E8D" w:rsidRPr="005B5FA2">
        <w:rPr>
          <w:rFonts w:asciiTheme="minorHAnsi" w:hAnsiTheme="minorHAnsi"/>
        </w:rPr>
        <w:t xml:space="preserve"> states that more background </w:t>
      </w:r>
      <w:r w:rsidR="00CC3673" w:rsidRPr="005B5FA2">
        <w:rPr>
          <w:rFonts w:asciiTheme="minorHAnsi" w:hAnsiTheme="minorHAnsi"/>
        </w:rPr>
        <w:t xml:space="preserve">is needed </w:t>
      </w:r>
      <w:r w:rsidR="004C0E8D" w:rsidRPr="005B5FA2">
        <w:rPr>
          <w:rFonts w:asciiTheme="minorHAnsi" w:hAnsiTheme="minorHAnsi"/>
        </w:rPr>
        <w:t>to assess whether the proposed Service Delivery Model (SDM) is clear enough for implementation.</w:t>
      </w:r>
    </w:p>
    <w:p w14:paraId="6360ADFA" w14:textId="77777777" w:rsidR="004C0E8D" w:rsidRPr="005B5FA2" w:rsidRDefault="00E0715B" w:rsidP="004C0E8D">
      <w:pPr>
        <w:rPr>
          <w:rFonts w:asciiTheme="minorHAnsi" w:hAnsiTheme="minorHAnsi"/>
        </w:rPr>
      </w:pPr>
      <w:r w:rsidRPr="005B5FA2">
        <w:rPr>
          <w:rFonts w:asciiTheme="minorHAnsi" w:hAnsiTheme="minorHAnsi"/>
          <w:b/>
          <w:bCs/>
        </w:rPr>
        <w:t>LEGN</w:t>
      </w:r>
    </w:p>
    <w:p w14:paraId="7088EC0F" w14:textId="63B55734" w:rsidR="004C0E8D" w:rsidRPr="005B5FA2" w:rsidRDefault="004C0E8D" w:rsidP="004C0E8D">
      <w:pPr>
        <w:rPr>
          <w:rFonts w:asciiTheme="minorHAnsi" w:hAnsiTheme="minorHAnsi"/>
        </w:rPr>
      </w:pPr>
      <w:r w:rsidRPr="005B5FA2">
        <w:rPr>
          <w:rFonts w:asciiTheme="minorHAnsi" w:hAnsiTheme="minorHAnsi"/>
        </w:rPr>
        <w:t xml:space="preserve">The interview with </w:t>
      </w:r>
      <w:r w:rsidR="00E0715B" w:rsidRPr="005B5FA2">
        <w:rPr>
          <w:rFonts w:asciiTheme="minorHAnsi" w:hAnsiTheme="minorHAnsi"/>
        </w:rPr>
        <w:t>LEGN</w:t>
      </w:r>
      <w:r w:rsidRPr="005B5FA2">
        <w:rPr>
          <w:rFonts w:asciiTheme="minorHAnsi" w:hAnsiTheme="minorHAnsi"/>
        </w:rPr>
        <w:t xml:space="preserve"> </w:t>
      </w:r>
      <w:r w:rsidR="00CC3673" w:rsidRPr="005B5FA2">
        <w:rPr>
          <w:rFonts w:asciiTheme="minorHAnsi" w:hAnsiTheme="minorHAnsi"/>
        </w:rPr>
        <w:t xml:space="preserve">confirmed that little </w:t>
      </w:r>
      <w:r w:rsidRPr="005B5FA2">
        <w:rPr>
          <w:rFonts w:asciiTheme="minorHAnsi" w:hAnsiTheme="minorHAnsi"/>
        </w:rPr>
        <w:t>has changed</w:t>
      </w:r>
      <w:r w:rsidR="00CC3673" w:rsidRPr="005B5FA2">
        <w:rPr>
          <w:rFonts w:asciiTheme="minorHAnsi" w:hAnsiTheme="minorHAnsi"/>
        </w:rPr>
        <w:t xml:space="preserve"> in data policies, and that the effort to prepare this policy is ongoing.</w:t>
      </w:r>
      <w:r w:rsidRPr="005B5FA2">
        <w:rPr>
          <w:rFonts w:asciiTheme="minorHAnsi" w:hAnsiTheme="minorHAnsi"/>
        </w:rPr>
        <w:t xml:space="preserve"> </w:t>
      </w:r>
      <w:r w:rsidR="00CC3673" w:rsidRPr="005B5FA2">
        <w:rPr>
          <w:rFonts w:asciiTheme="minorHAnsi" w:hAnsiTheme="minorHAnsi"/>
        </w:rPr>
        <w:t>S</w:t>
      </w:r>
      <w:r w:rsidRPr="005B5FA2">
        <w:rPr>
          <w:rFonts w:asciiTheme="minorHAnsi" w:hAnsiTheme="minorHAnsi"/>
        </w:rPr>
        <w:t xml:space="preserve">ince </w:t>
      </w:r>
      <w:r w:rsidR="00CC3673" w:rsidRPr="005B5FA2">
        <w:rPr>
          <w:rFonts w:asciiTheme="minorHAnsi" w:hAnsiTheme="minorHAnsi"/>
        </w:rPr>
        <w:t xml:space="preserve">the previous </w:t>
      </w:r>
      <w:r w:rsidRPr="005B5FA2">
        <w:rPr>
          <w:rFonts w:asciiTheme="minorHAnsi" w:hAnsiTheme="minorHAnsi"/>
        </w:rPr>
        <w:t>interview</w:t>
      </w:r>
      <w:r w:rsidR="00CC3673" w:rsidRPr="005B5FA2">
        <w:rPr>
          <w:rFonts w:asciiTheme="minorHAnsi" w:hAnsiTheme="minorHAnsi"/>
        </w:rPr>
        <w:t xml:space="preserve"> of</w:t>
      </w:r>
      <w:r w:rsidRPr="005B5FA2">
        <w:rPr>
          <w:rFonts w:asciiTheme="minorHAnsi" w:hAnsiTheme="minorHAnsi"/>
        </w:rPr>
        <w:t xml:space="preserve"> March 2016 concerning legal interoperability </w:t>
      </w:r>
      <w:r w:rsidR="00CC3673" w:rsidRPr="005B5FA2">
        <w:rPr>
          <w:rFonts w:asciiTheme="minorHAnsi" w:hAnsiTheme="minorHAnsi"/>
        </w:rPr>
        <w:t xml:space="preserve">and </w:t>
      </w:r>
      <w:r w:rsidRPr="005B5FA2">
        <w:rPr>
          <w:rFonts w:asciiTheme="minorHAnsi" w:hAnsiTheme="minorHAnsi"/>
        </w:rPr>
        <w:t xml:space="preserve">data </w:t>
      </w:r>
      <w:r w:rsidR="00CC3673" w:rsidRPr="005B5FA2">
        <w:rPr>
          <w:rFonts w:asciiTheme="minorHAnsi" w:hAnsiTheme="minorHAnsi"/>
        </w:rPr>
        <w:t xml:space="preserve">related </w:t>
      </w:r>
      <w:r w:rsidRPr="005B5FA2">
        <w:rPr>
          <w:rFonts w:asciiTheme="minorHAnsi" w:hAnsiTheme="minorHAnsi"/>
        </w:rPr>
        <w:t xml:space="preserve">policies </w:t>
      </w:r>
      <w:r w:rsidR="00CC3673" w:rsidRPr="005B5FA2">
        <w:rPr>
          <w:rFonts w:asciiTheme="minorHAnsi" w:hAnsiTheme="minorHAnsi"/>
        </w:rPr>
        <w:t xml:space="preserve"> FAO has taken steps to organize itself, e.g. through </w:t>
      </w:r>
      <w:r w:rsidRPr="005B5FA2">
        <w:rPr>
          <w:rFonts w:asciiTheme="minorHAnsi" w:hAnsiTheme="minorHAnsi"/>
        </w:rPr>
        <w:t>the appointment of Chief Statistician Officer (a</w:t>
      </w:r>
      <w:r w:rsidR="00CC3673" w:rsidRPr="005B5FA2">
        <w:rPr>
          <w:rFonts w:asciiTheme="minorHAnsi" w:hAnsiTheme="minorHAnsi"/>
        </w:rPr>
        <w:t>l</w:t>
      </w:r>
      <w:r w:rsidRPr="005B5FA2">
        <w:rPr>
          <w:rFonts w:asciiTheme="minorHAnsi" w:hAnsiTheme="minorHAnsi"/>
        </w:rPr>
        <w:t>s</w:t>
      </w:r>
      <w:r w:rsidR="00CC3673" w:rsidRPr="005B5FA2">
        <w:rPr>
          <w:rFonts w:asciiTheme="minorHAnsi" w:hAnsiTheme="minorHAnsi"/>
        </w:rPr>
        <w:t>o</w:t>
      </w:r>
      <w:r w:rsidRPr="005B5FA2">
        <w:rPr>
          <w:rFonts w:asciiTheme="minorHAnsi" w:hAnsiTheme="minorHAnsi"/>
        </w:rPr>
        <w:t xml:space="preserve"> mentioned by </w:t>
      </w:r>
      <w:r w:rsidR="00E0715B" w:rsidRPr="005B5FA2">
        <w:rPr>
          <w:rFonts w:asciiTheme="minorHAnsi" w:hAnsiTheme="minorHAnsi"/>
        </w:rPr>
        <w:t>ESS</w:t>
      </w:r>
      <w:r w:rsidRPr="005B5FA2">
        <w:rPr>
          <w:rFonts w:asciiTheme="minorHAnsi" w:hAnsiTheme="minorHAnsi"/>
        </w:rPr>
        <w:t>) as a significant change towards a uniform data policy in FAO.</w:t>
      </w:r>
    </w:p>
    <w:p w14:paraId="4FD4FE33" w14:textId="5C13E92F" w:rsidR="004C0E8D" w:rsidRPr="005B5FA2" w:rsidRDefault="00E0715B" w:rsidP="004C0E8D">
      <w:pPr>
        <w:rPr>
          <w:rFonts w:asciiTheme="minorHAnsi" w:hAnsiTheme="minorHAnsi"/>
        </w:rPr>
      </w:pPr>
      <w:r w:rsidRPr="005B5FA2">
        <w:rPr>
          <w:rFonts w:asciiTheme="minorHAnsi" w:hAnsiTheme="minorHAnsi"/>
        </w:rPr>
        <w:t>LEGN</w:t>
      </w:r>
      <w:r w:rsidR="004C0E8D" w:rsidRPr="005B5FA2">
        <w:rPr>
          <w:rFonts w:asciiTheme="minorHAnsi" w:hAnsiTheme="minorHAnsi"/>
        </w:rPr>
        <w:t xml:space="preserve"> explains </w:t>
      </w:r>
      <w:r w:rsidR="00CC3673" w:rsidRPr="005B5FA2">
        <w:rPr>
          <w:rFonts w:asciiTheme="minorHAnsi" w:hAnsiTheme="minorHAnsi"/>
        </w:rPr>
        <w:t xml:space="preserve">there </w:t>
      </w:r>
      <w:r w:rsidR="004C0E8D" w:rsidRPr="005B5FA2">
        <w:rPr>
          <w:rFonts w:asciiTheme="minorHAnsi" w:hAnsiTheme="minorHAnsi"/>
        </w:rPr>
        <w:t xml:space="preserve">is concern with ensuring the legal status of FAO as </w:t>
      </w:r>
      <w:r w:rsidR="00CC3673" w:rsidRPr="005B5FA2">
        <w:rPr>
          <w:rFonts w:asciiTheme="minorHAnsi" w:hAnsiTheme="minorHAnsi"/>
        </w:rPr>
        <w:t xml:space="preserve">an </w:t>
      </w:r>
      <w:r w:rsidR="004C0E8D" w:rsidRPr="005B5FA2">
        <w:rPr>
          <w:rFonts w:asciiTheme="minorHAnsi" w:hAnsiTheme="minorHAnsi"/>
        </w:rPr>
        <w:t xml:space="preserve">international organization (not subject to national laws) in data sharing issues. </w:t>
      </w:r>
      <w:r w:rsidR="00CC3673" w:rsidRPr="005B5FA2">
        <w:rPr>
          <w:rFonts w:asciiTheme="minorHAnsi" w:hAnsiTheme="minorHAnsi"/>
        </w:rPr>
        <w:t>T</w:t>
      </w:r>
      <w:r w:rsidR="004C0E8D" w:rsidRPr="005B5FA2">
        <w:rPr>
          <w:rFonts w:asciiTheme="minorHAnsi" w:hAnsiTheme="minorHAnsi"/>
        </w:rPr>
        <w:t xml:space="preserve">he International Maritime Organization (IMO) </w:t>
      </w:r>
      <w:r w:rsidR="00CC3673" w:rsidRPr="005B5FA2">
        <w:rPr>
          <w:rFonts w:asciiTheme="minorHAnsi" w:hAnsiTheme="minorHAnsi"/>
        </w:rPr>
        <w:t xml:space="preserve">was given </w:t>
      </w:r>
      <w:r w:rsidR="004C0E8D" w:rsidRPr="005B5FA2">
        <w:rPr>
          <w:rFonts w:asciiTheme="minorHAnsi" w:hAnsiTheme="minorHAnsi"/>
        </w:rPr>
        <w:t xml:space="preserve">as </w:t>
      </w:r>
      <w:r w:rsidR="00CC3673" w:rsidRPr="005B5FA2">
        <w:rPr>
          <w:rFonts w:asciiTheme="minorHAnsi" w:hAnsiTheme="minorHAnsi"/>
        </w:rPr>
        <w:t xml:space="preserve">an </w:t>
      </w:r>
      <w:r w:rsidR="004C0E8D" w:rsidRPr="005B5FA2">
        <w:rPr>
          <w:rFonts w:asciiTheme="minorHAnsi" w:hAnsiTheme="minorHAnsi"/>
        </w:rPr>
        <w:t xml:space="preserve">example of an organization that is not fully ensuring </w:t>
      </w:r>
      <w:r w:rsidR="00CC3673" w:rsidRPr="005B5FA2">
        <w:rPr>
          <w:rFonts w:asciiTheme="minorHAnsi" w:hAnsiTheme="minorHAnsi"/>
        </w:rPr>
        <w:t xml:space="preserve">its </w:t>
      </w:r>
      <w:r w:rsidR="004C0E8D" w:rsidRPr="005B5FA2">
        <w:rPr>
          <w:rFonts w:asciiTheme="minorHAnsi" w:hAnsiTheme="minorHAnsi"/>
        </w:rPr>
        <w:t>legal status as international organization</w:t>
      </w:r>
      <w:r w:rsidR="00CC3673" w:rsidRPr="005B5FA2">
        <w:rPr>
          <w:rFonts w:asciiTheme="minorHAnsi" w:hAnsiTheme="minorHAnsi"/>
        </w:rPr>
        <w:t xml:space="preserve"> (it also has a different mandate) and FAO is studying other organizations to prepare its data policy</w:t>
      </w:r>
      <w:r w:rsidR="004C0E8D" w:rsidRPr="005B5FA2">
        <w:rPr>
          <w:rFonts w:asciiTheme="minorHAnsi" w:hAnsiTheme="minorHAnsi"/>
        </w:rPr>
        <w:t>.</w:t>
      </w:r>
    </w:p>
    <w:p w14:paraId="3928C305" w14:textId="77777777" w:rsidR="004C0E8D" w:rsidRPr="005B5FA2" w:rsidRDefault="00E0715B" w:rsidP="004C0E8D">
      <w:pPr>
        <w:rPr>
          <w:rFonts w:asciiTheme="minorHAnsi" w:hAnsiTheme="minorHAnsi"/>
        </w:rPr>
      </w:pPr>
      <w:r w:rsidRPr="005B5FA2">
        <w:rPr>
          <w:rFonts w:asciiTheme="minorHAnsi" w:hAnsiTheme="minorHAnsi"/>
          <w:b/>
          <w:bCs/>
        </w:rPr>
        <w:t>ESS-I</w:t>
      </w:r>
    </w:p>
    <w:p w14:paraId="6BCE5E25" w14:textId="5BF8AFDD" w:rsidR="004C0E8D" w:rsidRPr="005B5FA2" w:rsidRDefault="00E0715B" w:rsidP="004C0E8D">
      <w:pPr>
        <w:rPr>
          <w:rFonts w:asciiTheme="minorHAnsi" w:hAnsiTheme="minorHAnsi"/>
        </w:rPr>
      </w:pPr>
      <w:r w:rsidRPr="005B5FA2">
        <w:rPr>
          <w:rFonts w:asciiTheme="minorHAnsi" w:hAnsiTheme="minorHAnsi"/>
        </w:rPr>
        <w:t>ESS</w:t>
      </w:r>
      <w:r w:rsidR="004C0E8D" w:rsidRPr="005B5FA2">
        <w:rPr>
          <w:rFonts w:asciiTheme="minorHAnsi" w:hAnsiTheme="minorHAnsi"/>
        </w:rPr>
        <w:t xml:space="preserve"> </w:t>
      </w:r>
      <w:r w:rsidR="00CC3673" w:rsidRPr="005B5FA2">
        <w:rPr>
          <w:rFonts w:asciiTheme="minorHAnsi" w:hAnsiTheme="minorHAnsi"/>
        </w:rPr>
        <w:t xml:space="preserve">confirms </w:t>
      </w:r>
      <w:r w:rsidR="004C0E8D" w:rsidRPr="005B5FA2">
        <w:rPr>
          <w:rFonts w:asciiTheme="minorHAnsi" w:hAnsiTheme="minorHAnsi"/>
        </w:rPr>
        <w:t xml:space="preserve">that there have not been any </w:t>
      </w:r>
      <w:r w:rsidR="00CC3673" w:rsidRPr="005B5FA2">
        <w:rPr>
          <w:rFonts w:asciiTheme="minorHAnsi" w:hAnsiTheme="minorHAnsi"/>
        </w:rPr>
        <w:t xml:space="preserve">many </w:t>
      </w:r>
      <w:r w:rsidR="004C0E8D" w:rsidRPr="005B5FA2">
        <w:rPr>
          <w:rFonts w:asciiTheme="minorHAnsi" w:hAnsiTheme="minorHAnsi"/>
        </w:rPr>
        <w:t>changes in FAO’s data policy over the year 2016/2017</w:t>
      </w:r>
      <w:r w:rsidR="00CC3673" w:rsidRPr="005B5FA2">
        <w:rPr>
          <w:rFonts w:asciiTheme="minorHAnsi" w:hAnsiTheme="minorHAnsi"/>
        </w:rPr>
        <w:t xml:space="preserve">. FAO has become more active in data policy related initiatives, such as </w:t>
      </w:r>
      <w:r w:rsidR="004C0E8D" w:rsidRPr="005B5FA2">
        <w:rPr>
          <w:rFonts w:asciiTheme="minorHAnsi" w:hAnsiTheme="minorHAnsi"/>
        </w:rPr>
        <w:t>GODAN.</w:t>
      </w:r>
      <w:r w:rsidR="00CC3673" w:rsidRPr="005B5FA2">
        <w:rPr>
          <w:rFonts w:asciiTheme="minorHAnsi" w:hAnsiTheme="minorHAnsi"/>
        </w:rPr>
        <w:t xml:space="preserve"> </w:t>
      </w:r>
      <w:r w:rsidRPr="005B5FA2">
        <w:rPr>
          <w:rFonts w:asciiTheme="minorHAnsi" w:hAnsiTheme="minorHAnsi"/>
        </w:rPr>
        <w:t>ESS-I</w:t>
      </w:r>
      <w:r w:rsidR="00E005FC" w:rsidRPr="005B5FA2">
        <w:rPr>
          <w:rFonts w:asciiTheme="minorHAnsi" w:hAnsiTheme="minorHAnsi"/>
        </w:rPr>
        <w:t xml:space="preserve"> </w:t>
      </w:r>
      <w:r w:rsidR="004C0E8D" w:rsidRPr="005B5FA2">
        <w:rPr>
          <w:rFonts w:asciiTheme="minorHAnsi" w:hAnsiTheme="minorHAnsi"/>
        </w:rPr>
        <w:lastRenderedPageBreak/>
        <w:t xml:space="preserve">does notice a growing interest in data sharing and open data since </w:t>
      </w:r>
      <w:r w:rsidR="00CC3673" w:rsidRPr="005B5FA2">
        <w:rPr>
          <w:rFonts w:asciiTheme="minorHAnsi" w:hAnsiTheme="minorHAnsi"/>
        </w:rPr>
        <w:t>the</w:t>
      </w:r>
      <w:r w:rsidR="004C0E8D" w:rsidRPr="005B5FA2">
        <w:rPr>
          <w:rFonts w:asciiTheme="minorHAnsi" w:hAnsiTheme="minorHAnsi"/>
        </w:rPr>
        <w:t xml:space="preserve"> interviewed </w:t>
      </w:r>
      <w:r w:rsidR="00CC3673" w:rsidRPr="005B5FA2">
        <w:rPr>
          <w:rFonts w:asciiTheme="minorHAnsi" w:hAnsiTheme="minorHAnsi"/>
        </w:rPr>
        <w:t xml:space="preserve">of </w:t>
      </w:r>
      <w:r w:rsidR="004C0E8D" w:rsidRPr="005B5FA2">
        <w:rPr>
          <w:rFonts w:asciiTheme="minorHAnsi" w:hAnsiTheme="minorHAnsi"/>
        </w:rPr>
        <w:t>March 2016.</w:t>
      </w:r>
      <w:r w:rsidR="00CC3673" w:rsidRPr="005B5FA2">
        <w:rPr>
          <w:rFonts w:asciiTheme="minorHAnsi" w:hAnsiTheme="minorHAnsi"/>
        </w:rPr>
        <w:t xml:space="preserve"> </w:t>
      </w:r>
      <w:proofErr w:type="gramStart"/>
      <w:r w:rsidRPr="005B5FA2">
        <w:rPr>
          <w:rFonts w:asciiTheme="minorHAnsi" w:hAnsiTheme="minorHAnsi"/>
        </w:rPr>
        <w:t>ESS-</w:t>
      </w:r>
      <w:r w:rsidR="004C0E8D" w:rsidRPr="005B5FA2">
        <w:rPr>
          <w:rFonts w:asciiTheme="minorHAnsi" w:hAnsiTheme="minorHAnsi"/>
        </w:rPr>
        <w:t>states that the presentation given last year about legal interoperability evoked the interest of more people in this topic, but this has not resulted in any concrete changes yet.</w:t>
      </w:r>
      <w:proofErr w:type="gramEnd"/>
    </w:p>
    <w:p w14:paraId="66FEAEA5" w14:textId="77777777" w:rsidR="004C0E8D" w:rsidRPr="005B5FA2" w:rsidRDefault="00E0715B" w:rsidP="004C0E8D">
      <w:pPr>
        <w:rPr>
          <w:rFonts w:asciiTheme="minorHAnsi" w:hAnsiTheme="minorHAnsi"/>
        </w:rPr>
      </w:pPr>
      <w:r w:rsidRPr="005B5FA2">
        <w:rPr>
          <w:rFonts w:asciiTheme="minorHAnsi" w:hAnsiTheme="minorHAnsi"/>
        </w:rPr>
        <w:t>ESS</w:t>
      </w:r>
      <w:r w:rsidR="004C0E8D" w:rsidRPr="005B5FA2">
        <w:rPr>
          <w:rFonts w:asciiTheme="minorHAnsi" w:hAnsiTheme="minorHAnsi"/>
        </w:rPr>
        <w:t xml:space="preserve"> mentions ‘a major internal change within ESS’, i.e. the appointment of a Chief Statistician Officer. The aim of this appointment is to decentralize data policy within ESS, which could be beneficial towards developing a data policy. According to </w:t>
      </w:r>
      <w:r w:rsidRPr="005B5FA2">
        <w:rPr>
          <w:rFonts w:asciiTheme="minorHAnsi" w:hAnsiTheme="minorHAnsi"/>
        </w:rPr>
        <w:t>ESS</w:t>
      </w:r>
      <w:r w:rsidR="004C0E8D" w:rsidRPr="005B5FA2">
        <w:rPr>
          <w:rFonts w:asciiTheme="minorHAnsi" w:hAnsiTheme="minorHAnsi"/>
        </w:rPr>
        <w:t>, this data policy should include accountability and should be implemented for every step in the ‘data value chain’.</w:t>
      </w:r>
    </w:p>
    <w:p w14:paraId="537EDDDC" w14:textId="77777777" w:rsidR="004C0E8D" w:rsidRPr="005B5FA2" w:rsidRDefault="004C0E8D" w:rsidP="004C0E8D">
      <w:pPr>
        <w:rPr>
          <w:rFonts w:asciiTheme="minorHAnsi" w:hAnsiTheme="minorHAnsi"/>
        </w:rPr>
      </w:pPr>
      <w:r w:rsidRPr="005B5FA2">
        <w:rPr>
          <w:rFonts w:asciiTheme="minorHAnsi" w:hAnsiTheme="minorHAnsi"/>
        </w:rPr>
        <w:t>The current developments around the data policy of FAOSTAT data can be used as ‘guinea pig’. When</w:t>
      </w:r>
      <w:r w:rsidR="00E005FC" w:rsidRPr="005B5FA2">
        <w:rPr>
          <w:rFonts w:asciiTheme="minorHAnsi" w:hAnsiTheme="minorHAnsi"/>
        </w:rPr>
        <w:t xml:space="preserve"> </w:t>
      </w:r>
      <w:r w:rsidR="00E0715B" w:rsidRPr="005B5FA2">
        <w:rPr>
          <w:rFonts w:asciiTheme="minorHAnsi" w:hAnsiTheme="minorHAnsi"/>
        </w:rPr>
        <w:t>ESS-I</w:t>
      </w:r>
      <w:r w:rsidR="00E005FC" w:rsidRPr="005B5FA2">
        <w:rPr>
          <w:rFonts w:asciiTheme="minorHAnsi" w:hAnsiTheme="minorHAnsi"/>
        </w:rPr>
        <w:t xml:space="preserve"> </w:t>
      </w:r>
      <w:r w:rsidRPr="005B5FA2">
        <w:rPr>
          <w:rFonts w:asciiTheme="minorHAnsi" w:hAnsiTheme="minorHAnsi"/>
        </w:rPr>
        <w:t>pioneers a data policy with FAOSTAT, experience can be used to develop a broader data policy.</w:t>
      </w:r>
      <w:r w:rsidR="00E005FC" w:rsidRPr="005B5FA2">
        <w:rPr>
          <w:rFonts w:asciiTheme="minorHAnsi" w:hAnsiTheme="minorHAnsi"/>
        </w:rPr>
        <w:t xml:space="preserve"> </w:t>
      </w:r>
      <w:r w:rsidR="00E0715B" w:rsidRPr="005B5FA2">
        <w:rPr>
          <w:rFonts w:asciiTheme="minorHAnsi" w:hAnsiTheme="minorHAnsi"/>
        </w:rPr>
        <w:t xml:space="preserve">ESS-I </w:t>
      </w:r>
      <w:r w:rsidRPr="005B5FA2">
        <w:rPr>
          <w:rFonts w:asciiTheme="minorHAnsi" w:hAnsiTheme="minorHAnsi"/>
        </w:rPr>
        <w:t>mentions that there should be a balance between pioneering and collaboration. All relevant stakeholders should be included in the process of developing a data policy.</w:t>
      </w:r>
    </w:p>
    <w:p w14:paraId="45122CAB" w14:textId="77777777" w:rsidR="004C0E8D" w:rsidRPr="005B5FA2" w:rsidRDefault="00E0715B" w:rsidP="004C0E8D">
      <w:pPr>
        <w:rPr>
          <w:rFonts w:asciiTheme="minorHAnsi" w:hAnsiTheme="minorHAnsi"/>
        </w:rPr>
      </w:pPr>
      <w:r w:rsidRPr="005B5FA2">
        <w:rPr>
          <w:rFonts w:asciiTheme="minorHAnsi" w:hAnsiTheme="minorHAnsi"/>
        </w:rPr>
        <w:t>ESS</w:t>
      </w:r>
      <w:r w:rsidR="004C0E8D" w:rsidRPr="005B5FA2">
        <w:rPr>
          <w:rFonts w:asciiTheme="minorHAnsi" w:hAnsiTheme="minorHAnsi"/>
        </w:rPr>
        <w:t xml:space="preserve"> states that he is not the right person to assess whether the proposed SDM is clear enough for implementation.</w:t>
      </w:r>
    </w:p>
    <w:p w14:paraId="65487D9A" w14:textId="6E7F8E32" w:rsidR="004C0E8D" w:rsidRPr="005B5FA2" w:rsidRDefault="00E0715B" w:rsidP="004C0E8D">
      <w:pPr>
        <w:rPr>
          <w:rFonts w:asciiTheme="minorHAnsi" w:hAnsiTheme="minorHAnsi"/>
        </w:rPr>
      </w:pPr>
      <w:r w:rsidRPr="005B5FA2">
        <w:rPr>
          <w:rFonts w:asciiTheme="minorHAnsi" w:hAnsiTheme="minorHAnsi"/>
          <w:b/>
          <w:bCs/>
        </w:rPr>
        <w:t>FI</w:t>
      </w:r>
      <w:r w:rsidR="00602C3B" w:rsidRPr="005B5FA2">
        <w:rPr>
          <w:rFonts w:asciiTheme="minorHAnsi" w:hAnsiTheme="minorHAnsi"/>
          <w:b/>
          <w:bCs/>
        </w:rPr>
        <w:t>A</w:t>
      </w:r>
      <w:r w:rsidRPr="005B5FA2">
        <w:rPr>
          <w:rFonts w:asciiTheme="minorHAnsi" w:hAnsiTheme="minorHAnsi"/>
          <w:b/>
          <w:bCs/>
        </w:rPr>
        <w:t>S</w:t>
      </w:r>
      <w:r w:rsidR="00602C3B" w:rsidRPr="005B5FA2">
        <w:rPr>
          <w:rFonts w:asciiTheme="minorHAnsi" w:hAnsiTheme="minorHAnsi"/>
          <w:b/>
          <w:bCs/>
        </w:rPr>
        <w:t xml:space="preserve"> (Fisheries Statistics and Information Branch)</w:t>
      </w:r>
    </w:p>
    <w:p w14:paraId="290762D9" w14:textId="57D65E97" w:rsidR="004C0E8D" w:rsidRPr="005B5FA2" w:rsidRDefault="00E0715B" w:rsidP="004C0E8D">
      <w:pPr>
        <w:rPr>
          <w:rFonts w:asciiTheme="minorHAnsi" w:hAnsiTheme="minorHAnsi"/>
        </w:rPr>
      </w:pPr>
      <w:r w:rsidRPr="005B5FA2">
        <w:rPr>
          <w:rFonts w:asciiTheme="minorHAnsi" w:hAnsiTheme="minorHAnsi"/>
        </w:rPr>
        <w:t>FI</w:t>
      </w:r>
      <w:r w:rsidR="00602C3B" w:rsidRPr="005B5FA2">
        <w:rPr>
          <w:rFonts w:asciiTheme="minorHAnsi" w:hAnsiTheme="minorHAnsi"/>
        </w:rPr>
        <w:t>A</w:t>
      </w:r>
      <w:r w:rsidRPr="005B5FA2">
        <w:rPr>
          <w:rFonts w:asciiTheme="minorHAnsi" w:hAnsiTheme="minorHAnsi"/>
        </w:rPr>
        <w:t>S</w:t>
      </w:r>
      <w:r w:rsidR="004C0E8D" w:rsidRPr="005B5FA2">
        <w:rPr>
          <w:rFonts w:asciiTheme="minorHAnsi" w:hAnsiTheme="minorHAnsi"/>
        </w:rPr>
        <w:t xml:space="preserve"> states that there is a lack of clarity of the origin of data, and thus the ownership of Intellectual Property Rights. An example of this is </w:t>
      </w:r>
      <w:r w:rsidRPr="005B5FA2">
        <w:rPr>
          <w:rFonts w:asciiTheme="minorHAnsi" w:hAnsiTheme="minorHAnsi"/>
        </w:rPr>
        <w:t>FI</w:t>
      </w:r>
      <w:r w:rsidR="00602C3B" w:rsidRPr="005B5FA2">
        <w:rPr>
          <w:rFonts w:asciiTheme="minorHAnsi" w:hAnsiTheme="minorHAnsi"/>
        </w:rPr>
        <w:t>A</w:t>
      </w:r>
      <w:r w:rsidRPr="005B5FA2">
        <w:rPr>
          <w:rFonts w:asciiTheme="minorHAnsi" w:hAnsiTheme="minorHAnsi"/>
        </w:rPr>
        <w:t>S</w:t>
      </w:r>
      <w:r w:rsidR="004C0E8D" w:rsidRPr="005B5FA2">
        <w:rPr>
          <w:rFonts w:asciiTheme="minorHAnsi" w:hAnsiTheme="minorHAnsi"/>
        </w:rPr>
        <w:t>’s work on VRMS where he sometimes experiences a lack of clarity of the provider of data. ‘Sometimes a data provider delivers an observation, and FAO adds an image to this observation: who has the ownership of the Intellectual Property Rights of this combination?’</w:t>
      </w:r>
    </w:p>
    <w:p w14:paraId="1B67F9DF" w14:textId="55F7AB69" w:rsidR="004C0E8D" w:rsidRPr="005B5FA2" w:rsidRDefault="00E0715B" w:rsidP="004C0E8D">
      <w:pPr>
        <w:rPr>
          <w:rFonts w:asciiTheme="minorHAnsi" w:hAnsiTheme="minorHAnsi"/>
        </w:rPr>
      </w:pPr>
      <w:r w:rsidRPr="005B5FA2">
        <w:rPr>
          <w:rFonts w:asciiTheme="minorHAnsi" w:hAnsiTheme="minorHAnsi"/>
        </w:rPr>
        <w:t>FI</w:t>
      </w:r>
      <w:r w:rsidR="00602C3B" w:rsidRPr="005B5FA2">
        <w:rPr>
          <w:rFonts w:asciiTheme="minorHAnsi" w:hAnsiTheme="minorHAnsi"/>
        </w:rPr>
        <w:t>A</w:t>
      </w:r>
      <w:r w:rsidRPr="005B5FA2">
        <w:rPr>
          <w:rFonts w:asciiTheme="minorHAnsi" w:hAnsiTheme="minorHAnsi"/>
        </w:rPr>
        <w:t>S</w:t>
      </w:r>
      <w:r w:rsidR="004C0E8D" w:rsidRPr="005B5FA2">
        <w:rPr>
          <w:rFonts w:asciiTheme="minorHAnsi" w:hAnsiTheme="minorHAnsi"/>
        </w:rPr>
        <w:t xml:space="preserve"> also states that there is a lack of clarity on (</w:t>
      </w:r>
      <w:proofErr w:type="spellStart"/>
      <w:r w:rsidR="004C0E8D" w:rsidRPr="005B5FA2">
        <w:rPr>
          <w:rFonts w:asciiTheme="minorHAnsi" w:hAnsiTheme="minorHAnsi"/>
        </w:rPr>
        <w:t>i</w:t>
      </w:r>
      <w:proofErr w:type="spellEnd"/>
      <w:r w:rsidR="004C0E8D" w:rsidRPr="005B5FA2">
        <w:rPr>
          <w:rFonts w:asciiTheme="minorHAnsi" w:hAnsiTheme="minorHAnsi"/>
        </w:rPr>
        <w:t xml:space="preserve">) the applicability of FAO’s terms of use, (ii) the selection of licensing options FAO is offering, and (iii) the legal approach of definitions of content/data/information. </w:t>
      </w:r>
    </w:p>
    <w:p w14:paraId="7EE9AE15" w14:textId="1977ABD8" w:rsidR="004C0E8D" w:rsidRPr="005B5FA2" w:rsidRDefault="00E0715B" w:rsidP="004C0E8D">
      <w:pPr>
        <w:rPr>
          <w:rFonts w:asciiTheme="minorHAnsi" w:hAnsiTheme="minorHAnsi"/>
        </w:rPr>
      </w:pPr>
      <w:r w:rsidRPr="005B5FA2">
        <w:rPr>
          <w:rFonts w:asciiTheme="minorHAnsi" w:hAnsiTheme="minorHAnsi"/>
        </w:rPr>
        <w:t>FI</w:t>
      </w:r>
      <w:r w:rsidR="00602C3B" w:rsidRPr="005B5FA2">
        <w:rPr>
          <w:rFonts w:asciiTheme="minorHAnsi" w:hAnsiTheme="minorHAnsi"/>
        </w:rPr>
        <w:t>A</w:t>
      </w:r>
      <w:r w:rsidRPr="005B5FA2">
        <w:rPr>
          <w:rFonts w:asciiTheme="minorHAnsi" w:hAnsiTheme="minorHAnsi"/>
        </w:rPr>
        <w:t>S</w:t>
      </w:r>
      <w:r w:rsidR="004C0E8D" w:rsidRPr="005B5FA2">
        <w:rPr>
          <w:rFonts w:asciiTheme="minorHAnsi" w:hAnsiTheme="minorHAnsi"/>
        </w:rPr>
        <w:t xml:space="preserve"> is convinced that legal aspects (including a clear disclaimer) of data sharing should be included in the business metadata.</w:t>
      </w:r>
    </w:p>
    <w:p w14:paraId="65C8662B" w14:textId="1F084900" w:rsidR="004C0E8D" w:rsidRPr="005B5FA2" w:rsidRDefault="00E0715B" w:rsidP="004C0E8D">
      <w:pPr>
        <w:rPr>
          <w:rFonts w:asciiTheme="minorHAnsi" w:hAnsiTheme="minorHAnsi"/>
        </w:rPr>
      </w:pPr>
      <w:r w:rsidRPr="005B5FA2">
        <w:rPr>
          <w:rFonts w:asciiTheme="minorHAnsi" w:hAnsiTheme="minorHAnsi"/>
        </w:rPr>
        <w:t>FI</w:t>
      </w:r>
      <w:r w:rsidR="00602C3B" w:rsidRPr="005B5FA2">
        <w:rPr>
          <w:rFonts w:asciiTheme="minorHAnsi" w:hAnsiTheme="minorHAnsi"/>
        </w:rPr>
        <w:t>A</w:t>
      </w:r>
      <w:r w:rsidRPr="005B5FA2">
        <w:rPr>
          <w:rFonts w:asciiTheme="minorHAnsi" w:hAnsiTheme="minorHAnsi"/>
        </w:rPr>
        <w:t>S</w:t>
      </w:r>
      <w:r w:rsidR="004C0E8D" w:rsidRPr="005B5FA2">
        <w:rPr>
          <w:rFonts w:asciiTheme="minorHAnsi" w:hAnsiTheme="minorHAnsi"/>
        </w:rPr>
        <w:t xml:space="preserve"> furthermore states that FAO’s terms of use should be reconsidered to assess whether it is complete and clear enough.</w:t>
      </w:r>
    </w:p>
    <w:p w14:paraId="54047A47" w14:textId="77777777" w:rsidR="004C0E8D" w:rsidRPr="005B5FA2" w:rsidRDefault="00E005FC" w:rsidP="004C0E8D">
      <w:pPr>
        <w:rPr>
          <w:rFonts w:asciiTheme="minorHAnsi" w:hAnsiTheme="minorHAnsi"/>
        </w:rPr>
      </w:pPr>
      <w:r w:rsidRPr="005B5FA2">
        <w:rPr>
          <w:rFonts w:asciiTheme="minorHAnsi" w:hAnsiTheme="minorHAnsi"/>
          <w:b/>
          <w:bCs/>
        </w:rPr>
        <w:t>ESS-II</w:t>
      </w:r>
    </w:p>
    <w:p w14:paraId="4AD3DCE5" w14:textId="29B9D16B" w:rsidR="004C0E8D" w:rsidRPr="005B5FA2" w:rsidRDefault="00E005FC" w:rsidP="004C0E8D">
      <w:pPr>
        <w:rPr>
          <w:rFonts w:asciiTheme="minorHAnsi" w:hAnsiTheme="minorHAnsi"/>
        </w:rPr>
      </w:pPr>
      <w:r w:rsidRPr="005B5FA2">
        <w:rPr>
          <w:rFonts w:asciiTheme="minorHAnsi" w:hAnsiTheme="minorHAnsi"/>
        </w:rPr>
        <w:t>ESS-II</w:t>
      </w:r>
      <w:r w:rsidR="004C0E8D" w:rsidRPr="005B5FA2">
        <w:rPr>
          <w:rFonts w:asciiTheme="minorHAnsi" w:hAnsiTheme="minorHAnsi"/>
        </w:rPr>
        <w:t xml:space="preserve"> mainly works on topics such as metadata for text, linked data and the semantic web. </w:t>
      </w:r>
      <w:r w:rsidRPr="005B5FA2">
        <w:rPr>
          <w:rFonts w:asciiTheme="minorHAnsi" w:hAnsiTheme="minorHAnsi"/>
        </w:rPr>
        <w:t xml:space="preserve">ESS-II </w:t>
      </w:r>
      <w:r w:rsidR="004C0E8D" w:rsidRPr="005B5FA2">
        <w:rPr>
          <w:rFonts w:asciiTheme="minorHAnsi" w:hAnsiTheme="minorHAnsi"/>
        </w:rPr>
        <w:t xml:space="preserve">states there is a lack of clear data policy within FAO. </w:t>
      </w:r>
      <w:r w:rsidRPr="005B5FA2">
        <w:rPr>
          <w:rFonts w:asciiTheme="minorHAnsi" w:hAnsiTheme="minorHAnsi"/>
        </w:rPr>
        <w:t xml:space="preserve">ESS-II </w:t>
      </w:r>
      <w:r w:rsidR="004C0E8D" w:rsidRPr="005B5FA2">
        <w:rPr>
          <w:rFonts w:asciiTheme="minorHAnsi" w:hAnsiTheme="minorHAnsi"/>
        </w:rPr>
        <w:t xml:space="preserve">mentions that a colleague from ESS is currently developing a data policy for FAOSTAT </w:t>
      </w:r>
      <w:r w:rsidR="00602C3B" w:rsidRPr="005B5FA2">
        <w:rPr>
          <w:rFonts w:asciiTheme="minorHAnsi" w:hAnsiTheme="minorHAnsi"/>
        </w:rPr>
        <w:t xml:space="preserve">statistical </w:t>
      </w:r>
      <w:r w:rsidR="004C0E8D" w:rsidRPr="005B5FA2">
        <w:rPr>
          <w:rFonts w:asciiTheme="minorHAnsi" w:hAnsiTheme="minorHAnsi"/>
        </w:rPr>
        <w:t xml:space="preserve">data. OCCI is aware of this development and might want to apply this data policy to other types of data according to </w:t>
      </w:r>
      <w:r w:rsidRPr="005B5FA2">
        <w:rPr>
          <w:rFonts w:asciiTheme="minorHAnsi" w:hAnsiTheme="minorHAnsi"/>
        </w:rPr>
        <w:t>ESS-II</w:t>
      </w:r>
      <w:r w:rsidR="004C0E8D" w:rsidRPr="005B5FA2">
        <w:rPr>
          <w:rFonts w:asciiTheme="minorHAnsi" w:hAnsiTheme="minorHAnsi"/>
        </w:rPr>
        <w:t>.</w:t>
      </w:r>
    </w:p>
    <w:p w14:paraId="3CCE14A2" w14:textId="77777777" w:rsidR="004C0E8D" w:rsidRPr="005B5FA2" w:rsidRDefault="00E005FC" w:rsidP="004C0E8D">
      <w:pPr>
        <w:rPr>
          <w:rFonts w:asciiTheme="minorHAnsi" w:hAnsiTheme="minorHAnsi"/>
        </w:rPr>
      </w:pPr>
      <w:r w:rsidRPr="005B5FA2">
        <w:rPr>
          <w:rFonts w:asciiTheme="minorHAnsi" w:hAnsiTheme="minorHAnsi"/>
        </w:rPr>
        <w:t xml:space="preserve">ESS-II </w:t>
      </w:r>
      <w:r w:rsidR="004C0E8D" w:rsidRPr="005B5FA2">
        <w:rPr>
          <w:rFonts w:asciiTheme="minorHAnsi" w:hAnsiTheme="minorHAnsi"/>
        </w:rPr>
        <w:t>needs more background to assess whether the proposed SDM is clear enough for implementation.</w:t>
      </w:r>
    </w:p>
    <w:sectPr w:rsidR="004C0E8D" w:rsidRPr="005B5FA2" w:rsidSect="00D065EF">
      <w:headerReference w:type="default" r:id="rId15"/>
      <w:footerReference w:type="default" r:id="rId16"/>
      <w:footerReference w:type="first" r:id="rId17"/>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4F1D97" w14:textId="77777777" w:rsidR="004E3EA8" w:rsidRDefault="004E3EA8" w:rsidP="00835E24">
      <w:pPr>
        <w:spacing w:after="0" w:line="240" w:lineRule="auto"/>
      </w:pPr>
      <w:r>
        <w:separator/>
      </w:r>
    </w:p>
  </w:endnote>
  <w:endnote w:type="continuationSeparator" w:id="0">
    <w:p w14:paraId="2F940D85" w14:textId="77777777" w:rsidR="004E3EA8" w:rsidRDefault="004E3EA8"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7B791D" w14:textId="77777777" w:rsidR="00057573" w:rsidRDefault="00057573"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057573" w14:paraId="1588C1F7" w14:textId="77777777" w:rsidTr="00D065EF">
      <w:trPr>
        <w:trHeight w:val="857"/>
      </w:trPr>
      <w:tc>
        <w:tcPr>
          <w:tcW w:w="3060" w:type="dxa"/>
          <w:vAlign w:val="bottom"/>
        </w:tcPr>
        <w:p w14:paraId="05E247BF" w14:textId="77777777" w:rsidR="00057573" w:rsidRDefault="00057573" w:rsidP="00D065EF">
          <w:pPr>
            <w:pStyle w:val="Header"/>
            <w:jc w:val="left"/>
          </w:pPr>
          <w:r>
            <w:rPr>
              <w:noProof/>
              <w:lang w:eastAsia="en-GB"/>
            </w:rPr>
            <w:drawing>
              <wp:inline distT="0" distB="0" distL="0" distR="0" wp14:anchorId="17E11623" wp14:editId="311B0030">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54E727C1" w14:textId="77777777" w:rsidR="00057573" w:rsidRDefault="004E3EA8" w:rsidP="00434968">
          <w:pPr>
            <w:pStyle w:val="Header"/>
            <w:jc w:val="center"/>
          </w:pPr>
          <w:sdt>
            <w:sdtPr>
              <w:id w:val="1030074310"/>
              <w:docPartObj>
                <w:docPartGallery w:val="Page Numbers (Bottom of Page)"/>
                <w:docPartUnique/>
              </w:docPartObj>
            </w:sdtPr>
            <w:sdtEndPr>
              <w:rPr>
                <w:noProof/>
              </w:rPr>
            </w:sdtEndPr>
            <w:sdtContent>
              <w:r w:rsidR="00057573">
                <w:fldChar w:fldCharType="begin"/>
              </w:r>
              <w:r w:rsidR="00057573">
                <w:instrText xml:space="preserve"> PAGE   \* MERGEFORMAT </w:instrText>
              </w:r>
              <w:r w:rsidR="00057573">
                <w:fldChar w:fldCharType="separate"/>
              </w:r>
              <w:r w:rsidR="000C7FDA">
                <w:rPr>
                  <w:noProof/>
                </w:rPr>
                <w:t>2</w:t>
              </w:r>
              <w:r w:rsidR="00057573">
                <w:rPr>
                  <w:noProof/>
                </w:rPr>
                <w:fldChar w:fldCharType="end"/>
              </w:r>
            </w:sdtContent>
          </w:sdt>
        </w:p>
      </w:tc>
      <w:tc>
        <w:tcPr>
          <w:tcW w:w="3060" w:type="dxa"/>
          <w:vAlign w:val="bottom"/>
        </w:tcPr>
        <w:p w14:paraId="42ECE7E3" w14:textId="77777777" w:rsidR="00057573" w:rsidRDefault="00057573" w:rsidP="00434968">
          <w:pPr>
            <w:pStyle w:val="Header"/>
            <w:jc w:val="right"/>
          </w:pPr>
          <w:r>
            <w:rPr>
              <w:noProof/>
              <w:lang w:eastAsia="en-GB"/>
            </w:rPr>
            <w:drawing>
              <wp:inline distT="0" distB="0" distL="0" distR="0" wp14:anchorId="73E30DDC" wp14:editId="6897A000">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3A85D3AF" w14:textId="77777777" w:rsidR="00057573" w:rsidRDefault="00057573"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057573" w14:paraId="0955619A" w14:textId="77777777" w:rsidTr="0010672E">
      <w:tc>
        <w:tcPr>
          <w:tcW w:w="1242" w:type="dxa"/>
          <w:vAlign w:val="center"/>
        </w:tcPr>
        <w:p w14:paraId="6F316640" w14:textId="77777777" w:rsidR="00057573" w:rsidRDefault="00057573" w:rsidP="0010672E">
          <w:pPr>
            <w:pStyle w:val="Footer"/>
            <w:jc w:val="center"/>
          </w:pPr>
          <w:r>
            <w:rPr>
              <w:noProof/>
              <w:lang w:eastAsia="en-GB"/>
            </w:rPr>
            <w:drawing>
              <wp:inline distT="0" distB="0" distL="0" distR="0" wp14:anchorId="1BE217F6" wp14:editId="4BBE0ACA">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552C9737" w14:textId="77777777" w:rsidR="00057573" w:rsidRPr="00962667" w:rsidRDefault="00057573" w:rsidP="00434968">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2AB1FD76" w14:textId="77777777" w:rsidR="00057573" w:rsidRPr="00962667" w:rsidRDefault="00057573" w:rsidP="00434968">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2B8DFA3B" w14:textId="77777777" w:rsidR="00057573" w:rsidRDefault="000575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22BA52" w14:textId="77777777" w:rsidR="004E3EA8" w:rsidRDefault="004E3EA8" w:rsidP="00835E24">
      <w:pPr>
        <w:spacing w:after="0" w:line="240" w:lineRule="auto"/>
      </w:pPr>
      <w:r>
        <w:separator/>
      </w:r>
    </w:p>
  </w:footnote>
  <w:footnote w:type="continuationSeparator" w:id="0">
    <w:p w14:paraId="157B6BB8" w14:textId="77777777" w:rsidR="004E3EA8" w:rsidRDefault="004E3EA8" w:rsidP="00835E24">
      <w:pPr>
        <w:spacing w:after="0" w:line="240" w:lineRule="auto"/>
      </w:pPr>
      <w:r>
        <w:continuationSeparator/>
      </w:r>
    </w:p>
  </w:footnote>
  <w:footnote w:id="1">
    <w:p w14:paraId="54B0B9BA" w14:textId="0BE90578" w:rsidR="00057573" w:rsidRPr="00A95C7F" w:rsidRDefault="00057573" w:rsidP="008023B4">
      <w:pPr>
        <w:pStyle w:val="FootnoteText"/>
        <w:jc w:val="left"/>
        <w:rPr>
          <w:rFonts w:asciiTheme="minorHAnsi" w:hAnsiTheme="minorHAnsi"/>
          <w:sz w:val="20"/>
          <w:szCs w:val="20"/>
          <w:lang w:val="nl-NL"/>
        </w:rPr>
      </w:pPr>
      <w:r w:rsidRPr="006306E2">
        <w:rPr>
          <w:rStyle w:val="FootnoteReference"/>
          <w:sz w:val="20"/>
          <w:szCs w:val="20"/>
        </w:rPr>
        <w:footnoteRef/>
      </w:r>
      <w:r w:rsidRPr="006306E2">
        <w:rPr>
          <w:sz w:val="20"/>
          <w:szCs w:val="20"/>
        </w:rPr>
        <w:t xml:space="preserve"> </w:t>
      </w:r>
      <w:hyperlink r:id="rId1" w:history="1">
        <w:r w:rsidR="00BE0280" w:rsidRPr="00B82EE8">
          <w:rPr>
            <w:rStyle w:val="Hyperlink"/>
            <w:sz w:val="20"/>
          </w:rPr>
          <w:t>http://www.ship-technology.com/features/featureusing-big-data-to-combat-illegal-fishing-5688984/</w:t>
        </w:r>
      </w:hyperlink>
      <w:r w:rsidR="00BE0280">
        <w:rPr>
          <w:rFonts w:asciiTheme="minorHAnsi" w:hAnsiTheme="minorHAnsi"/>
          <w:sz w:val="20"/>
          <w:szCs w:val="20"/>
          <w:lang w:val="nl-NL"/>
        </w:rPr>
        <w:t xml:space="preserve"> </w:t>
      </w:r>
      <w:r w:rsidR="00BE0280" w:rsidRPr="00BE0280">
        <w:rPr>
          <w:rFonts w:asciiTheme="minorHAnsi" w:hAnsiTheme="minorHAnsi"/>
          <w:sz w:val="20"/>
          <w:szCs w:val="20"/>
          <w:lang w:val="nl-NL"/>
        </w:rPr>
        <w:t xml:space="preserve"> </w:t>
      </w:r>
    </w:p>
  </w:footnote>
  <w:footnote w:id="2">
    <w:p w14:paraId="1AD20650" w14:textId="654EA4C5" w:rsidR="00057573" w:rsidRPr="008023B4" w:rsidRDefault="00057573" w:rsidP="008023B4">
      <w:pPr>
        <w:pStyle w:val="FootnoteText"/>
        <w:jc w:val="left"/>
        <w:rPr>
          <w:sz w:val="20"/>
          <w:szCs w:val="20"/>
          <w:lang w:val="en-US"/>
        </w:rPr>
      </w:pPr>
      <w:r w:rsidRPr="006306E2">
        <w:rPr>
          <w:rStyle w:val="FootnoteReference"/>
          <w:sz w:val="20"/>
          <w:szCs w:val="20"/>
        </w:rPr>
        <w:footnoteRef/>
      </w:r>
      <w:r w:rsidRPr="006306E2">
        <w:rPr>
          <w:sz w:val="20"/>
          <w:szCs w:val="20"/>
        </w:rPr>
        <w:t xml:space="preserve">   This fr</w:t>
      </w:r>
      <w:r w:rsidRPr="00A95C7F">
        <w:rPr>
          <w:sz w:val="20"/>
          <w:szCs w:val="20"/>
        </w:rPr>
        <w:t xml:space="preserve">amework gives specific guidance on how to set up interoperable digital public services. Retrieved on July 17th 2017 at: </w:t>
      </w:r>
      <w:hyperlink r:id="rId2" w:history="1">
        <w:r w:rsidR="00BE0280" w:rsidRPr="00B82EE8">
          <w:rPr>
            <w:rStyle w:val="Hyperlink"/>
            <w:sz w:val="20"/>
            <w:szCs w:val="20"/>
          </w:rPr>
          <w:t>https://ec.europa.eu/isa2/sites/isa/files/eif2.png</w:t>
        </w:r>
      </w:hyperlink>
      <w:r w:rsidR="00BE0280">
        <w:rPr>
          <w:sz w:val="20"/>
          <w:szCs w:val="20"/>
        </w:rPr>
        <w:t xml:space="preserve"> </w:t>
      </w:r>
    </w:p>
  </w:footnote>
  <w:footnote w:id="3">
    <w:p w14:paraId="0648FA91" w14:textId="5812C5A0" w:rsidR="00057573" w:rsidRPr="00E37AEB" w:rsidRDefault="00057573" w:rsidP="008023B4">
      <w:pPr>
        <w:pStyle w:val="FootnoteText"/>
        <w:jc w:val="left"/>
        <w:rPr>
          <w:sz w:val="20"/>
          <w:szCs w:val="20"/>
          <w:lang w:val="en-US"/>
        </w:rPr>
      </w:pPr>
      <w:r w:rsidRPr="006306E2">
        <w:rPr>
          <w:rStyle w:val="FootnoteReference"/>
          <w:sz w:val="20"/>
          <w:szCs w:val="20"/>
        </w:rPr>
        <w:footnoteRef/>
      </w:r>
      <w:r w:rsidRPr="00E37AEB">
        <w:rPr>
          <w:sz w:val="20"/>
          <w:szCs w:val="20"/>
          <w:lang w:val="en-US"/>
        </w:rPr>
        <w:t xml:space="preserve">   </w:t>
      </w:r>
      <w:hyperlink r:id="rId3" w:history="1">
        <w:r w:rsidR="00BE0280" w:rsidRPr="00B82EE8">
          <w:rPr>
            <w:rStyle w:val="Hyperlink"/>
            <w:sz w:val="20"/>
            <w:szCs w:val="20"/>
            <w:lang w:val="en-US"/>
          </w:rPr>
          <w:t>https://documents.egi.eu/public/ShowDocument?docid=2699</w:t>
        </w:r>
      </w:hyperlink>
      <w:r w:rsidR="00BE0280">
        <w:rPr>
          <w:sz w:val="20"/>
          <w:szCs w:val="20"/>
          <w:lang w:val="en-US"/>
        </w:rPr>
        <w:t xml:space="preserve"> </w:t>
      </w:r>
    </w:p>
  </w:footnote>
  <w:footnote w:id="4">
    <w:p w14:paraId="38C13570" w14:textId="52CAF3D2" w:rsidR="00057573" w:rsidRPr="00E37AEB" w:rsidRDefault="00057573" w:rsidP="008023B4">
      <w:pPr>
        <w:pStyle w:val="FootnoteText"/>
        <w:jc w:val="left"/>
        <w:rPr>
          <w:rFonts w:asciiTheme="minorHAnsi" w:hAnsiTheme="minorHAnsi"/>
          <w:sz w:val="20"/>
          <w:szCs w:val="20"/>
          <w:lang w:val="en-US"/>
        </w:rPr>
      </w:pPr>
      <w:r w:rsidRPr="006306E2">
        <w:rPr>
          <w:rStyle w:val="FootnoteReference"/>
          <w:sz w:val="20"/>
          <w:szCs w:val="20"/>
        </w:rPr>
        <w:footnoteRef/>
      </w:r>
      <w:hyperlink r:id="rId4" w:history="1">
        <w:r w:rsidR="00BE0280" w:rsidRPr="00B82EE8">
          <w:rPr>
            <w:rStyle w:val="Hyperlink"/>
            <w:rFonts w:asciiTheme="minorHAnsi" w:hAnsiTheme="minorHAnsi"/>
            <w:sz w:val="20"/>
            <w:szCs w:val="20"/>
            <w:lang w:val="en-US"/>
          </w:rPr>
          <w:t>https://wiki.egi.eu/wiki/EGI_OLA_SLA_framework#Operational_Level_Agreements</w:t>
        </w:r>
      </w:hyperlink>
      <w:r w:rsidR="00BE0280">
        <w:rPr>
          <w:rFonts w:asciiTheme="minorHAnsi" w:hAnsiTheme="minorHAnsi"/>
          <w:sz w:val="20"/>
          <w:szCs w:val="20"/>
          <w:lang w:val="en-US"/>
        </w:rPr>
        <w:t xml:space="preserve"> </w:t>
      </w:r>
    </w:p>
  </w:footnote>
  <w:footnote w:id="5">
    <w:p w14:paraId="672BDC55" w14:textId="465EB393" w:rsidR="00057573" w:rsidRPr="008023B4" w:rsidRDefault="00057573" w:rsidP="008023B4">
      <w:pPr>
        <w:pStyle w:val="FootnoteText"/>
        <w:jc w:val="left"/>
        <w:rPr>
          <w:sz w:val="20"/>
          <w:szCs w:val="20"/>
          <w:lang w:val="en-US"/>
        </w:rPr>
      </w:pPr>
      <w:r w:rsidRPr="006306E2">
        <w:rPr>
          <w:rStyle w:val="FootnoteReference"/>
          <w:sz w:val="20"/>
          <w:szCs w:val="20"/>
        </w:rPr>
        <w:footnoteRef/>
      </w:r>
      <w:r w:rsidRPr="00A95C7F">
        <w:rPr>
          <w:sz w:val="20"/>
          <w:szCs w:val="20"/>
        </w:rPr>
        <w:t>Data in themselves are fairly useless. But when these data are interpreted and processe</w:t>
      </w:r>
      <w:r w:rsidRPr="006306E2">
        <w:rPr>
          <w:sz w:val="20"/>
          <w:szCs w:val="20"/>
        </w:rPr>
        <w:t>d to determine their true meaning, they become useful and can be called information. Data is the computer’s language. Information is our translation of this language.</w:t>
      </w:r>
    </w:p>
  </w:footnote>
  <w:footnote w:id="6">
    <w:p w14:paraId="18B09022" w14:textId="08199AB7" w:rsidR="00057573" w:rsidRPr="008023B4" w:rsidRDefault="00057573" w:rsidP="008023B4">
      <w:pPr>
        <w:pStyle w:val="FootnoteText"/>
        <w:jc w:val="left"/>
        <w:rPr>
          <w:sz w:val="20"/>
          <w:szCs w:val="20"/>
          <w:lang w:val="en-US"/>
        </w:rPr>
      </w:pPr>
      <w:r w:rsidRPr="006306E2">
        <w:rPr>
          <w:rStyle w:val="FootnoteReference"/>
          <w:sz w:val="20"/>
          <w:szCs w:val="20"/>
        </w:rPr>
        <w:footnoteRef/>
      </w:r>
      <w:hyperlink r:id="rId5" w:history="1">
        <w:r w:rsidR="00BE0280" w:rsidRPr="00B82EE8">
          <w:rPr>
            <w:rStyle w:val="Hyperlink"/>
            <w:rFonts w:asciiTheme="minorHAnsi" w:hAnsiTheme="minorHAnsi"/>
            <w:sz w:val="20"/>
            <w:szCs w:val="20"/>
          </w:rPr>
          <w:t>https://wiki.egi.eu/wiki/EGI_OLA_SLA_framework#Service_Level_Agreemens</w:t>
        </w:r>
      </w:hyperlink>
      <w:r w:rsidR="00BE0280">
        <w:rPr>
          <w:rFonts w:asciiTheme="minorHAnsi" w:hAnsiTheme="minorHAnsi"/>
          <w:sz w:val="20"/>
          <w:szCs w:val="20"/>
        </w:rPr>
        <w:t xml:space="preserve"> </w:t>
      </w:r>
    </w:p>
  </w:footnote>
  <w:footnote w:id="7">
    <w:p w14:paraId="4896275E" w14:textId="77777777" w:rsidR="00057573" w:rsidRPr="008023B4" w:rsidRDefault="00057573" w:rsidP="008023B4">
      <w:pPr>
        <w:pStyle w:val="FootnoteText"/>
        <w:jc w:val="left"/>
        <w:rPr>
          <w:sz w:val="20"/>
          <w:szCs w:val="20"/>
          <w:lang w:val="en-US"/>
        </w:rPr>
      </w:pPr>
      <w:r w:rsidRPr="006306E2">
        <w:rPr>
          <w:rStyle w:val="FootnoteReference"/>
          <w:sz w:val="20"/>
          <w:szCs w:val="20"/>
        </w:rPr>
        <w:footnoteRef/>
      </w:r>
      <w:r w:rsidRPr="006306E2">
        <w:rPr>
          <w:sz w:val="20"/>
          <w:szCs w:val="20"/>
        </w:rPr>
        <w:t xml:space="preserve"> </w:t>
      </w:r>
      <w:proofErr w:type="gramStart"/>
      <w:r w:rsidRPr="006306E2">
        <w:rPr>
          <w:sz w:val="20"/>
          <w:szCs w:val="20"/>
        </w:rPr>
        <w:t>The act of making data accessible under a certain set of conditions without restraining policies for entities.</w:t>
      </w:r>
      <w:proofErr w:type="gramEnd"/>
    </w:p>
  </w:footnote>
  <w:footnote w:id="8">
    <w:p w14:paraId="437111C5" w14:textId="77777777" w:rsidR="00057573" w:rsidRPr="008023B4" w:rsidRDefault="00057573" w:rsidP="008023B4">
      <w:pPr>
        <w:pStyle w:val="FootnoteText"/>
        <w:jc w:val="left"/>
        <w:rPr>
          <w:sz w:val="20"/>
          <w:szCs w:val="20"/>
          <w:lang w:val="en-US"/>
        </w:rPr>
      </w:pPr>
      <w:r w:rsidRPr="006306E2">
        <w:rPr>
          <w:rStyle w:val="FootnoteReference"/>
          <w:sz w:val="20"/>
          <w:szCs w:val="20"/>
        </w:rPr>
        <w:footnoteRef/>
      </w:r>
      <w:r w:rsidRPr="006306E2">
        <w:rPr>
          <w:sz w:val="20"/>
          <w:szCs w:val="20"/>
        </w:rPr>
        <w:t xml:space="preserve"> The act of mak</w:t>
      </w:r>
      <w:r w:rsidRPr="006F3C61">
        <w:rPr>
          <w:sz w:val="20"/>
          <w:szCs w:val="20"/>
        </w:rPr>
        <w:t>ing data accessible under a certain set of conditions to selected people either directly or indirectly (such as all members of a group, all user</w:t>
      </w:r>
      <w:r w:rsidRPr="00A95C7F">
        <w:rPr>
          <w:sz w:val="20"/>
          <w:szCs w:val="20"/>
        </w:rPr>
        <w:t>s having a specific role, all members of a VRE) identifiable.</w:t>
      </w:r>
    </w:p>
  </w:footnote>
  <w:footnote w:id="9">
    <w:p w14:paraId="63C39D7D" w14:textId="7790E628" w:rsidR="00057573" w:rsidRPr="008023B4" w:rsidRDefault="00057573" w:rsidP="008023B4">
      <w:pPr>
        <w:pStyle w:val="FootnoteText"/>
        <w:jc w:val="left"/>
        <w:rPr>
          <w:sz w:val="20"/>
          <w:szCs w:val="20"/>
          <w:lang w:val="en-US"/>
        </w:rPr>
      </w:pPr>
      <w:r w:rsidRPr="006306E2">
        <w:rPr>
          <w:rStyle w:val="FootnoteReference"/>
          <w:sz w:val="20"/>
          <w:szCs w:val="20"/>
        </w:rPr>
        <w:footnoteRef/>
      </w:r>
      <w:r w:rsidRPr="00E918AD">
        <w:rPr>
          <w:sz w:val="20"/>
          <w:szCs w:val="20"/>
        </w:rPr>
        <w:t>Based on University of Edinburgh Data Management Plan, Retrieved on July 19th 2017 at:</w:t>
      </w:r>
      <w:r w:rsidR="00BE0280">
        <w:rPr>
          <w:sz w:val="20"/>
          <w:szCs w:val="20"/>
        </w:rPr>
        <w:t xml:space="preserve"> </w:t>
      </w:r>
      <w:hyperlink r:id="rId6" w:history="1">
        <w:r w:rsidR="00BE0280" w:rsidRPr="00B82EE8">
          <w:rPr>
            <w:rStyle w:val="Hyperlink"/>
            <w:sz w:val="20"/>
            <w:szCs w:val="20"/>
          </w:rPr>
          <w:t>http://www.ed.ac.uk/information-services/research-support/research-data-service/planning-your-data/writing-a-data-management-plan</w:t>
        </w:r>
      </w:hyperlink>
      <w:r w:rsidR="00BE0280">
        <w:rPr>
          <w:sz w:val="20"/>
          <w:szCs w:val="20"/>
        </w:rPr>
        <w:t xml:space="preserve">  </w:t>
      </w:r>
    </w:p>
  </w:footnote>
  <w:footnote w:id="10">
    <w:p w14:paraId="627DA5F7" w14:textId="6A5931CE" w:rsidR="00057573" w:rsidRPr="008023B4" w:rsidRDefault="00057573" w:rsidP="008023B4">
      <w:pPr>
        <w:pStyle w:val="FootnoteText"/>
        <w:jc w:val="left"/>
        <w:rPr>
          <w:sz w:val="20"/>
          <w:szCs w:val="20"/>
          <w:lang w:val="en-US"/>
        </w:rPr>
      </w:pPr>
      <w:r w:rsidRPr="008023B4">
        <w:rPr>
          <w:rStyle w:val="FootnoteReference"/>
          <w:sz w:val="20"/>
          <w:szCs w:val="20"/>
        </w:rPr>
        <w:footnoteRef/>
      </w:r>
      <w:r w:rsidRPr="006306E2">
        <w:rPr>
          <w:sz w:val="20"/>
          <w:szCs w:val="20"/>
        </w:rPr>
        <w:t xml:space="preserve"> </w:t>
      </w:r>
      <w:hyperlink r:id="rId7" w:history="1">
        <w:r w:rsidR="00BE0280" w:rsidRPr="00B82EE8">
          <w:rPr>
            <w:rStyle w:val="Hyperlink"/>
            <w:sz w:val="20"/>
            <w:szCs w:val="20"/>
          </w:rPr>
          <w:t>https://documents.egi.eu/public/ShowDocument?docid=2875</w:t>
        </w:r>
      </w:hyperlink>
      <w:r w:rsidR="00BE0280">
        <w:rPr>
          <w:sz w:val="20"/>
          <w:szCs w:val="20"/>
        </w:rPr>
        <w:t xml:space="preserve"> </w:t>
      </w:r>
      <w:r w:rsidRPr="00E918AD">
        <w:rPr>
          <w:sz w:val="20"/>
          <w:szCs w:val="20"/>
        </w:rPr>
        <w:t xml:space="preserve"> </w:t>
      </w:r>
      <w:r w:rsidR="00BE0280">
        <w:rPr>
          <w:sz w:val="20"/>
          <w:szCs w:val="20"/>
        </w:rPr>
        <w:t xml:space="preserve"> </w:t>
      </w:r>
    </w:p>
  </w:footnote>
  <w:footnote w:id="11">
    <w:p w14:paraId="0954E19B" w14:textId="77777777" w:rsidR="00057573" w:rsidRPr="008023B4" w:rsidRDefault="00057573" w:rsidP="008023B4">
      <w:pPr>
        <w:pStyle w:val="FootnoteText"/>
        <w:jc w:val="left"/>
        <w:rPr>
          <w:sz w:val="20"/>
          <w:szCs w:val="20"/>
        </w:rPr>
      </w:pPr>
      <w:r w:rsidRPr="008023B4">
        <w:rPr>
          <w:rStyle w:val="FootnoteReference"/>
          <w:sz w:val="20"/>
          <w:szCs w:val="20"/>
        </w:rPr>
        <w:footnoteRef/>
      </w:r>
      <w:hyperlink r:id="rId8" w:tgtFrame="_blank" w:history="1">
        <w:r w:rsidRPr="008023B4">
          <w:rPr>
            <w:rStyle w:val="Hyperlink"/>
            <w:sz w:val="20"/>
            <w:szCs w:val="20"/>
          </w:rPr>
          <w:t>https://goo.gl/UgXmUq</w:t>
        </w:r>
      </w:hyperlink>
    </w:p>
  </w:footnote>
  <w:footnote w:id="12">
    <w:p w14:paraId="185FA7DD" w14:textId="77777777" w:rsidR="00057573" w:rsidRPr="008023B4" w:rsidRDefault="00057573" w:rsidP="008023B4">
      <w:pPr>
        <w:pStyle w:val="FootnoteText"/>
        <w:jc w:val="left"/>
        <w:rPr>
          <w:sz w:val="20"/>
          <w:szCs w:val="20"/>
          <w:lang w:val="en-US"/>
        </w:rPr>
      </w:pPr>
      <w:r w:rsidRPr="006306E2">
        <w:rPr>
          <w:rStyle w:val="FootnoteReference"/>
          <w:sz w:val="20"/>
          <w:szCs w:val="20"/>
        </w:rPr>
        <w:footnoteRef/>
      </w:r>
      <w:proofErr w:type="gramStart"/>
      <w:r w:rsidRPr="006306E2">
        <w:rPr>
          <w:sz w:val="20"/>
          <w:szCs w:val="20"/>
        </w:rPr>
        <w:t>Such as security and quota management, CRUD, provenance/business/ownershi</w:t>
      </w:r>
      <w:r w:rsidRPr="006F3C61">
        <w:rPr>
          <w:sz w:val="20"/>
          <w:szCs w:val="20"/>
        </w:rPr>
        <w:t>p metadata, and the responsibility of dynamic metadata.</w:t>
      </w:r>
      <w:proofErr w:type="gramEnd"/>
    </w:p>
  </w:footnote>
  <w:footnote w:id="13">
    <w:p w14:paraId="28B797BD" w14:textId="77777777" w:rsidR="00057573" w:rsidRPr="006306E2" w:rsidRDefault="00057573" w:rsidP="008023B4">
      <w:pPr>
        <w:pStyle w:val="FootnoteText"/>
        <w:jc w:val="left"/>
        <w:rPr>
          <w:sz w:val="20"/>
          <w:szCs w:val="20"/>
        </w:rPr>
      </w:pPr>
      <w:r w:rsidRPr="006306E2">
        <w:rPr>
          <w:rStyle w:val="FootnoteReference"/>
          <w:sz w:val="20"/>
          <w:szCs w:val="20"/>
        </w:rPr>
        <w:footnoteRef/>
      </w:r>
      <w:r w:rsidRPr="006306E2">
        <w:rPr>
          <w:sz w:val="20"/>
          <w:szCs w:val="20"/>
        </w:rPr>
        <w:t xml:space="preserve">   Section 9: ‘Amendments, comments and suggestions must be addressed to the Provider and the Customer (...)’</w:t>
      </w:r>
    </w:p>
  </w:footnote>
  <w:footnote w:id="14">
    <w:p w14:paraId="2644E7F5" w14:textId="77777777" w:rsidR="00057573" w:rsidRPr="008023B4" w:rsidRDefault="00057573" w:rsidP="008023B4">
      <w:pPr>
        <w:pStyle w:val="FootnoteText"/>
        <w:jc w:val="left"/>
        <w:rPr>
          <w:sz w:val="20"/>
          <w:szCs w:val="20"/>
          <w:lang w:val="en-US"/>
        </w:rPr>
      </w:pPr>
      <w:r w:rsidRPr="006306E2">
        <w:rPr>
          <w:rStyle w:val="FootnoteReference"/>
          <w:sz w:val="20"/>
          <w:szCs w:val="20"/>
        </w:rPr>
        <w:footnoteRef/>
      </w:r>
      <w:r w:rsidRPr="006306E2">
        <w:rPr>
          <w:sz w:val="20"/>
          <w:szCs w:val="20"/>
        </w:rPr>
        <w:t xml:space="preserve">   Art 12: ‘This MoU may be modified by the written mutual consent of the Parties, in ac</w:t>
      </w:r>
      <w:r w:rsidRPr="006F3C61">
        <w:rPr>
          <w:sz w:val="20"/>
          <w:szCs w:val="20"/>
        </w:rPr>
        <w:t>cordance with their res</w:t>
      </w:r>
      <w:r w:rsidRPr="00A95C7F">
        <w:rPr>
          <w:sz w:val="20"/>
          <w:szCs w:val="20"/>
        </w:rPr>
        <w:t>pective rules. Such amendments will enter into force one month following notifications of consent by both Parties.’</w:t>
      </w:r>
    </w:p>
  </w:footnote>
  <w:footnote w:id="15">
    <w:p w14:paraId="3C83619E" w14:textId="741356B6" w:rsidR="00057573" w:rsidRPr="008023B4" w:rsidRDefault="00057573" w:rsidP="008023B4">
      <w:pPr>
        <w:pStyle w:val="FootnoteText"/>
        <w:jc w:val="left"/>
        <w:rPr>
          <w:sz w:val="20"/>
          <w:szCs w:val="20"/>
          <w:lang w:val="en-US"/>
        </w:rPr>
      </w:pPr>
      <w:r w:rsidRPr="006306E2">
        <w:rPr>
          <w:rStyle w:val="FootnoteReference"/>
          <w:sz w:val="20"/>
          <w:szCs w:val="20"/>
        </w:rPr>
        <w:footnoteRef/>
      </w:r>
      <w:r w:rsidRPr="006306E2">
        <w:rPr>
          <w:sz w:val="20"/>
          <w:szCs w:val="20"/>
        </w:rPr>
        <w:t xml:space="preserve"> </w:t>
      </w:r>
      <w:hyperlink r:id="rId9" w:history="1">
        <w:r w:rsidR="00BE0280" w:rsidRPr="00B82EE8">
          <w:rPr>
            <w:rStyle w:val="Hyperlink"/>
            <w:sz w:val="20"/>
            <w:szCs w:val="20"/>
          </w:rPr>
          <w:t>https://ico.org.uk/for-organisations/guide-to-data-protection/key-definitions/</w:t>
        </w:r>
      </w:hyperlink>
      <w:r w:rsidR="00BE0280">
        <w:rPr>
          <w:sz w:val="20"/>
          <w:szCs w:val="20"/>
        </w:rPr>
        <w:t xml:space="preserve"> </w:t>
      </w:r>
    </w:p>
  </w:footnote>
  <w:footnote w:id="16">
    <w:p w14:paraId="1744CC68" w14:textId="49B07E63" w:rsidR="00057573" w:rsidRPr="008023B4" w:rsidRDefault="00057573" w:rsidP="008023B4">
      <w:pPr>
        <w:pStyle w:val="FootnoteText"/>
        <w:jc w:val="left"/>
        <w:rPr>
          <w:sz w:val="20"/>
          <w:szCs w:val="20"/>
          <w:lang w:val="en-US"/>
        </w:rPr>
      </w:pPr>
      <w:r w:rsidRPr="006306E2">
        <w:rPr>
          <w:rStyle w:val="FootnoteReference"/>
          <w:sz w:val="20"/>
          <w:szCs w:val="20"/>
        </w:rPr>
        <w:footnoteRef/>
      </w:r>
      <w:hyperlink r:id="rId10" w:history="1">
        <w:r w:rsidR="00BE0280" w:rsidRPr="00B82EE8">
          <w:rPr>
            <w:rStyle w:val="Hyperlink"/>
            <w:sz w:val="20"/>
            <w:szCs w:val="20"/>
            <w:lang w:val="en-US"/>
          </w:rPr>
          <w:t>http://law.leiden.edu/organisation/meijers/research-institute/data-management-2016.html</w:t>
        </w:r>
      </w:hyperlink>
      <w:r w:rsidR="00BE0280">
        <w:rPr>
          <w:sz w:val="20"/>
          <w:szCs w:val="20"/>
          <w:lang w:val="en-US"/>
        </w:rPr>
        <w:t xml:space="preserve"> </w:t>
      </w:r>
    </w:p>
  </w:footnote>
  <w:footnote w:id="17">
    <w:p w14:paraId="45627BBC" w14:textId="52EE3545" w:rsidR="00057573" w:rsidRPr="008023B4" w:rsidRDefault="00057573" w:rsidP="008023B4">
      <w:pPr>
        <w:pStyle w:val="FootnoteText"/>
        <w:jc w:val="left"/>
        <w:rPr>
          <w:sz w:val="20"/>
          <w:szCs w:val="20"/>
          <w:lang w:val="en-US"/>
        </w:rPr>
      </w:pPr>
      <w:r w:rsidRPr="006306E2">
        <w:rPr>
          <w:rStyle w:val="FootnoteReference"/>
          <w:sz w:val="20"/>
          <w:szCs w:val="20"/>
        </w:rPr>
        <w:footnoteRef/>
      </w:r>
      <w:r w:rsidRPr="008023B4">
        <w:rPr>
          <w:sz w:val="20"/>
          <w:szCs w:val="20"/>
          <w:lang w:val="en-US"/>
        </w:rPr>
        <w:t xml:space="preserve"> </w:t>
      </w:r>
      <w:hyperlink r:id="rId11" w:history="1">
        <w:r w:rsidR="00BE0280" w:rsidRPr="00B82EE8">
          <w:rPr>
            <w:rStyle w:val="Hyperlink"/>
            <w:sz w:val="20"/>
            <w:szCs w:val="20"/>
            <w:lang w:val="en-US"/>
          </w:rPr>
          <w:t>http://www.b-eye-network.com/view/15697</w:t>
        </w:r>
      </w:hyperlink>
      <w:r w:rsidR="00BE0280">
        <w:rPr>
          <w:sz w:val="20"/>
          <w:szCs w:val="20"/>
          <w:lang w:val="en-US"/>
        </w:rPr>
        <w:t xml:space="preserve"> </w:t>
      </w:r>
    </w:p>
  </w:footnote>
  <w:footnote w:id="18">
    <w:p w14:paraId="6E31BFD9" w14:textId="6361017C" w:rsidR="00057573" w:rsidRPr="008023B4" w:rsidRDefault="00057573" w:rsidP="008023B4">
      <w:pPr>
        <w:pStyle w:val="FootnoteText"/>
        <w:jc w:val="left"/>
        <w:rPr>
          <w:sz w:val="20"/>
          <w:szCs w:val="20"/>
          <w:lang w:val="en-US"/>
        </w:rPr>
      </w:pPr>
      <w:r w:rsidRPr="006306E2">
        <w:rPr>
          <w:rStyle w:val="FootnoteReference"/>
          <w:sz w:val="20"/>
          <w:szCs w:val="20"/>
        </w:rPr>
        <w:footnoteRef/>
      </w:r>
      <w:r w:rsidRPr="008023B4">
        <w:rPr>
          <w:sz w:val="20"/>
          <w:szCs w:val="20"/>
          <w:lang w:val="en-US"/>
        </w:rPr>
        <w:t xml:space="preserve"> </w:t>
      </w:r>
      <w:hyperlink r:id="rId12" w:history="1">
        <w:r w:rsidR="00BE0280" w:rsidRPr="00B82EE8">
          <w:rPr>
            <w:rStyle w:val="Hyperlink"/>
            <w:sz w:val="20"/>
            <w:szCs w:val="20"/>
            <w:lang w:val="en-US"/>
          </w:rPr>
          <w:t>http://www.wipo.int/wipolex/en/details.jsp?id=12214</w:t>
        </w:r>
      </w:hyperlink>
      <w:r w:rsidR="00BE0280">
        <w:rPr>
          <w:sz w:val="20"/>
          <w:szCs w:val="20"/>
          <w:lang w:val="en-U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057573" w14:paraId="40BA3237" w14:textId="77777777" w:rsidTr="00D065EF">
      <w:tc>
        <w:tcPr>
          <w:tcW w:w="4621" w:type="dxa"/>
        </w:tcPr>
        <w:p w14:paraId="58E94AA3" w14:textId="77777777" w:rsidR="00057573" w:rsidRDefault="00057573" w:rsidP="00163455"/>
      </w:tc>
      <w:tc>
        <w:tcPr>
          <w:tcW w:w="4621" w:type="dxa"/>
        </w:tcPr>
        <w:p w14:paraId="08E127A2" w14:textId="77777777" w:rsidR="00057573" w:rsidRDefault="00057573" w:rsidP="00D065EF">
          <w:pPr>
            <w:jc w:val="right"/>
          </w:pPr>
          <w:r>
            <w:t>EGI-Engage</w:t>
          </w:r>
        </w:p>
      </w:tc>
    </w:tr>
  </w:tbl>
  <w:p w14:paraId="422542F2" w14:textId="77777777" w:rsidR="00057573" w:rsidRDefault="00057573" w:rsidP="00B440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EEB7910"/>
    <w:multiLevelType w:val="hybridMultilevel"/>
    <w:tmpl w:val="86F00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AEA0AB4"/>
    <w:multiLevelType w:val="hybridMultilevel"/>
    <w:tmpl w:val="8E7A6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B2E35A7"/>
    <w:multiLevelType w:val="multilevel"/>
    <w:tmpl w:val="EB9EA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9">
    <w:nsid w:val="2C725E2F"/>
    <w:multiLevelType w:val="hybridMultilevel"/>
    <w:tmpl w:val="07A48F42"/>
    <w:lvl w:ilvl="0" w:tplc="25488B2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803BF4"/>
    <w:multiLevelType w:val="multilevel"/>
    <w:tmpl w:val="69CC3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3D4242BF"/>
    <w:multiLevelType w:val="multilevel"/>
    <w:tmpl w:val="A0F20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7B63A3"/>
    <w:multiLevelType w:val="hybridMultilevel"/>
    <w:tmpl w:val="3D32F0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50A17BE"/>
    <w:multiLevelType w:val="multilevel"/>
    <w:tmpl w:val="17266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5A20217"/>
    <w:multiLevelType w:val="multilevel"/>
    <w:tmpl w:val="9B64C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A84A8D"/>
    <w:multiLevelType w:val="multilevel"/>
    <w:tmpl w:val="B53A1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09D2826"/>
    <w:multiLevelType w:val="hybridMultilevel"/>
    <w:tmpl w:val="006A1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9E339EA"/>
    <w:multiLevelType w:val="multilevel"/>
    <w:tmpl w:val="2AC2D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D5456E9"/>
    <w:multiLevelType w:val="multilevel"/>
    <w:tmpl w:val="070C9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20"/>
  </w:num>
  <w:num w:numId="3">
    <w:abstractNumId w:val="22"/>
  </w:num>
  <w:num w:numId="4">
    <w:abstractNumId w:val="0"/>
  </w:num>
  <w:num w:numId="5">
    <w:abstractNumId w:val="3"/>
  </w:num>
  <w:num w:numId="6">
    <w:abstractNumId w:val="11"/>
  </w:num>
  <w:num w:numId="7">
    <w:abstractNumId w:val="11"/>
    <w:lvlOverride w:ilvl="0">
      <w:startOverride w:val="1"/>
    </w:lvlOverride>
  </w:num>
  <w:num w:numId="8">
    <w:abstractNumId w:val="8"/>
  </w:num>
  <w:num w:numId="9">
    <w:abstractNumId w:val="4"/>
  </w:num>
  <w:num w:numId="10">
    <w:abstractNumId w:val="5"/>
  </w:num>
  <w:num w:numId="11">
    <w:abstractNumId w:val="2"/>
  </w:num>
  <w:num w:numId="12">
    <w:abstractNumId w:val="24"/>
  </w:num>
  <w:num w:numId="13">
    <w:abstractNumId w:val="21"/>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9"/>
  </w:num>
  <w:num w:numId="18">
    <w:abstractNumId w:val="6"/>
  </w:num>
  <w:num w:numId="19">
    <w:abstractNumId w:val="1"/>
  </w:num>
  <w:num w:numId="20">
    <w:abstractNumId w:val="16"/>
  </w:num>
  <w:num w:numId="21">
    <w:abstractNumId w:val="25"/>
  </w:num>
  <w:num w:numId="22">
    <w:abstractNumId w:val="23"/>
  </w:num>
  <w:num w:numId="23">
    <w:abstractNumId w:val="13"/>
  </w:num>
  <w:num w:numId="24">
    <w:abstractNumId w:val="17"/>
  </w:num>
  <w:num w:numId="25">
    <w:abstractNumId w:val="10"/>
  </w:num>
  <w:num w:numId="26">
    <w:abstractNumId w:val="18"/>
  </w:num>
  <w:num w:numId="27">
    <w:abstractNumId w:val="7"/>
  </w:num>
  <w:num w:numId="28">
    <w:abstractNumId w:val="14"/>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31CEA"/>
    <w:rsid w:val="0004732E"/>
    <w:rsid w:val="000502D5"/>
    <w:rsid w:val="00057573"/>
    <w:rsid w:val="0006123A"/>
    <w:rsid w:val="00062C7D"/>
    <w:rsid w:val="00074CDB"/>
    <w:rsid w:val="00082FD6"/>
    <w:rsid w:val="000852E1"/>
    <w:rsid w:val="00087984"/>
    <w:rsid w:val="000A4851"/>
    <w:rsid w:val="000A79B9"/>
    <w:rsid w:val="000C2D31"/>
    <w:rsid w:val="000C7194"/>
    <w:rsid w:val="000C7FDA"/>
    <w:rsid w:val="000D1DF2"/>
    <w:rsid w:val="000E00D2"/>
    <w:rsid w:val="000E17FC"/>
    <w:rsid w:val="000E6E94"/>
    <w:rsid w:val="000F017D"/>
    <w:rsid w:val="000F13BA"/>
    <w:rsid w:val="001013F4"/>
    <w:rsid w:val="00104253"/>
    <w:rsid w:val="0010672E"/>
    <w:rsid w:val="001100E5"/>
    <w:rsid w:val="00116D82"/>
    <w:rsid w:val="001201DD"/>
    <w:rsid w:val="00130F8B"/>
    <w:rsid w:val="0013384B"/>
    <w:rsid w:val="00142039"/>
    <w:rsid w:val="00154CDE"/>
    <w:rsid w:val="001622C9"/>
    <w:rsid w:val="001624FB"/>
    <w:rsid w:val="00163455"/>
    <w:rsid w:val="001675FC"/>
    <w:rsid w:val="00177CE8"/>
    <w:rsid w:val="00181735"/>
    <w:rsid w:val="0019370A"/>
    <w:rsid w:val="001941AC"/>
    <w:rsid w:val="00197DCC"/>
    <w:rsid w:val="001B12ED"/>
    <w:rsid w:val="001B6C45"/>
    <w:rsid w:val="001C4124"/>
    <w:rsid w:val="001C5D2E"/>
    <w:rsid w:val="001C68FD"/>
    <w:rsid w:val="001E1458"/>
    <w:rsid w:val="001F1BD6"/>
    <w:rsid w:val="001F6AE5"/>
    <w:rsid w:val="00216E35"/>
    <w:rsid w:val="00217348"/>
    <w:rsid w:val="00220B5E"/>
    <w:rsid w:val="00221D0C"/>
    <w:rsid w:val="002260CF"/>
    <w:rsid w:val="00227F47"/>
    <w:rsid w:val="002303C6"/>
    <w:rsid w:val="002375B5"/>
    <w:rsid w:val="00240AA4"/>
    <w:rsid w:val="002436F0"/>
    <w:rsid w:val="00244088"/>
    <w:rsid w:val="00252005"/>
    <w:rsid w:val="002539A4"/>
    <w:rsid w:val="00256C56"/>
    <w:rsid w:val="00275DC4"/>
    <w:rsid w:val="002815D7"/>
    <w:rsid w:val="00283160"/>
    <w:rsid w:val="0029640D"/>
    <w:rsid w:val="00297E5B"/>
    <w:rsid w:val="002A3C5A"/>
    <w:rsid w:val="002A7241"/>
    <w:rsid w:val="002C0EAD"/>
    <w:rsid w:val="002D6B2A"/>
    <w:rsid w:val="002D7DA3"/>
    <w:rsid w:val="002E1BF0"/>
    <w:rsid w:val="002E2CD8"/>
    <w:rsid w:val="002E5F1F"/>
    <w:rsid w:val="003113A3"/>
    <w:rsid w:val="00316AC2"/>
    <w:rsid w:val="0031738D"/>
    <w:rsid w:val="00323D20"/>
    <w:rsid w:val="00332363"/>
    <w:rsid w:val="003354C5"/>
    <w:rsid w:val="00336512"/>
    <w:rsid w:val="00337DFA"/>
    <w:rsid w:val="0035124F"/>
    <w:rsid w:val="00356069"/>
    <w:rsid w:val="00361D4F"/>
    <w:rsid w:val="00367315"/>
    <w:rsid w:val="00375C73"/>
    <w:rsid w:val="00376354"/>
    <w:rsid w:val="00377A01"/>
    <w:rsid w:val="0038721F"/>
    <w:rsid w:val="00395445"/>
    <w:rsid w:val="0039618B"/>
    <w:rsid w:val="003A07D2"/>
    <w:rsid w:val="003A2E80"/>
    <w:rsid w:val="003A2FEE"/>
    <w:rsid w:val="003A6B81"/>
    <w:rsid w:val="003B3135"/>
    <w:rsid w:val="003B5C1F"/>
    <w:rsid w:val="003C4718"/>
    <w:rsid w:val="003D1A69"/>
    <w:rsid w:val="003D1BBF"/>
    <w:rsid w:val="003E0A7E"/>
    <w:rsid w:val="003E529C"/>
    <w:rsid w:val="0040108D"/>
    <w:rsid w:val="00403A7A"/>
    <w:rsid w:val="00403F31"/>
    <w:rsid w:val="0041074C"/>
    <w:rsid w:val="00411D91"/>
    <w:rsid w:val="00415C15"/>
    <w:rsid w:val="004161FD"/>
    <w:rsid w:val="00416C17"/>
    <w:rsid w:val="004338C6"/>
    <w:rsid w:val="00434968"/>
    <w:rsid w:val="00454D75"/>
    <w:rsid w:val="004564B9"/>
    <w:rsid w:val="00466A6B"/>
    <w:rsid w:val="004827F4"/>
    <w:rsid w:val="00490034"/>
    <w:rsid w:val="0049232C"/>
    <w:rsid w:val="0049281E"/>
    <w:rsid w:val="0049700B"/>
    <w:rsid w:val="004A3ECF"/>
    <w:rsid w:val="004A5273"/>
    <w:rsid w:val="004B04FF"/>
    <w:rsid w:val="004B108D"/>
    <w:rsid w:val="004C00EF"/>
    <w:rsid w:val="004C0E8D"/>
    <w:rsid w:val="004D0F4C"/>
    <w:rsid w:val="004D249B"/>
    <w:rsid w:val="004D35E5"/>
    <w:rsid w:val="004D5CFC"/>
    <w:rsid w:val="004D6707"/>
    <w:rsid w:val="004E24E2"/>
    <w:rsid w:val="004E3633"/>
    <w:rsid w:val="004E3EA8"/>
    <w:rsid w:val="004F2B8B"/>
    <w:rsid w:val="00501E2A"/>
    <w:rsid w:val="005244DA"/>
    <w:rsid w:val="00536CA1"/>
    <w:rsid w:val="005427EF"/>
    <w:rsid w:val="00551BFA"/>
    <w:rsid w:val="005552AD"/>
    <w:rsid w:val="0056684B"/>
    <w:rsid w:val="0056751B"/>
    <w:rsid w:val="005720D2"/>
    <w:rsid w:val="00591785"/>
    <w:rsid w:val="00592E7B"/>
    <w:rsid w:val="005962E0"/>
    <w:rsid w:val="005A339C"/>
    <w:rsid w:val="005B5FA2"/>
    <w:rsid w:val="005C2935"/>
    <w:rsid w:val="005C36D6"/>
    <w:rsid w:val="005C7214"/>
    <w:rsid w:val="005C7E3E"/>
    <w:rsid w:val="005D14DF"/>
    <w:rsid w:val="005E1901"/>
    <w:rsid w:val="005E46B4"/>
    <w:rsid w:val="005E5D31"/>
    <w:rsid w:val="005F0334"/>
    <w:rsid w:val="005F1EF6"/>
    <w:rsid w:val="005F55F3"/>
    <w:rsid w:val="00600555"/>
    <w:rsid w:val="006022B2"/>
    <w:rsid w:val="00602C3B"/>
    <w:rsid w:val="0060732D"/>
    <w:rsid w:val="0062062D"/>
    <w:rsid w:val="006306E2"/>
    <w:rsid w:val="00634C24"/>
    <w:rsid w:val="00634FC8"/>
    <w:rsid w:val="00640533"/>
    <w:rsid w:val="006669E7"/>
    <w:rsid w:val="00667672"/>
    <w:rsid w:val="00674443"/>
    <w:rsid w:val="00692A69"/>
    <w:rsid w:val="006971E0"/>
    <w:rsid w:val="006A5C3B"/>
    <w:rsid w:val="006D527C"/>
    <w:rsid w:val="006D727A"/>
    <w:rsid w:val="006E1E43"/>
    <w:rsid w:val="006E2C22"/>
    <w:rsid w:val="006E41E8"/>
    <w:rsid w:val="006E4270"/>
    <w:rsid w:val="006E664E"/>
    <w:rsid w:val="006E761B"/>
    <w:rsid w:val="006F3C61"/>
    <w:rsid w:val="006F5563"/>
    <w:rsid w:val="006F7556"/>
    <w:rsid w:val="0070058F"/>
    <w:rsid w:val="00706698"/>
    <w:rsid w:val="0072045A"/>
    <w:rsid w:val="007308C8"/>
    <w:rsid w:val="007309FA"/>
    <w:rsid w:val="00730BC0"/>
    <w:rsid w:val="00731539"/>
    <w:rsid w:val="00733386"/>
    <w:rsid w:val="00734F19"/>
    <w:rsid w:val="007417D3"/>
    <w:rsid w:val="00756303"/>
    <w:rsid w:val="00756D83"/>
    <w:rsid w:val="00762789"/>
    <w:rsid w:val="0076687D"/>
    <w:rsid w:val="007677CF"/>
    <w:rsid w:val="00781AD4"/>
    <w:rsid w:val="00782A92"/>
    <w:rsid w:val="00783F42"/>
    <w:rsid w:val="0079517F"/>
    <w:rsid w:val="0079539D"/>
    <w:rsid w:val="007B5ED4"/>
    <w:rsid w:val="007C075D"/>
    <w:rsid w:val="007C78CA"/>
    <w:rsid w:val="007E6F6C"/>
    <w:rsid w:val="008023B4"/>
    <w:rsid w:val="00811AC1"/>
    <w:rsid w:val="00813ED4"/>
    <w:rsid w:val="00822CAB"/>
    <w:rsid w:val="0083237F"/>
    <w:rsid w:val="0083564B"/>
    <w:rsid w:val="00835E24"/>
    <w:rsid w:val="00840515"/>
    <w:rsid w:val="008700F8"/>
    <w:rsid w:val="008802A9"/>
    <w:rsid w:val="00883C15"/>
    <w:rsid w:val="008956F8"/>
    <w:rsid w:val="008A3498"/>
    <w:rsid w:val="008B1E35"/>
    <w:rsid w:val="008B2F11"/>
    <w:rsid w:val="008B3DB5"/>
    <w:rsid w:val="008B614C"/>
    <w:rsid w:val="008B6611"/>
    <w:rsid w:val="008D0F23"/>
    <w:rsid w:val="008D1EC3"/>
    <w:rsid w:val="008D4DDD"/>
    <w:rsid w:val="008D75C7"/>
    <w:rsid w:val="008E13E9"/>
    <w:rsid w:val="008E4A79"/>
    <w:rsid w:val="008F112B"/>
    <w:rsid w:val="00900BA7"/>
    <w:rsid w:val="009138D4"/>
    <w:rsid w:val="00916652"/>
    <w:rsid w:val="00920875"/>
    <w:rsid w:val="00931656"/>
    <w:rsid w:val="00936A7B"/>
    <w:rsid w:val="00947A45"/>
    <w:rsid w:val="009509BF"/>
    <w:rsid w:val="009513CB"/>
    <w:rsid w:val="00970186"/>
    <w:rsid w:val="009762E3"/>
    <w:rsid w:val="009767E1"/>
    <w:rsid w:val="00976A73"/>
    <w:rsid w:val="009917C0"/>
    <w:rsid w:val="00997D5D"/>
    <w:rsid w:val="009A27F3"/>
    <w:rsid w:val="009A72EA"/>
    <w:rsid w:val="009F0BF5"/>
    <w:rsid w:val="009F1E23"/>
    <w:rsid w:val="00A060EB"/>
    <w:rsid w:val="00A1053F"/>
    <w:rsid w:val="00A15D09"/>
    <w:rsid w:val="00A234F1"/>
    <w:rsid w:val="00A30982"/>
    <w:rsid w:val="00A312B2"/>
    <w:rsid w:val="00A35A58"/>
    <w:rsid w:val="00A378DA"/>
    <w:rsid w:val="00A42FC9"/>
    <w:rsid w:val="00A5267D"/>
    <w:rsid w:val="00A53F7F"/>
    <w:rsid w:val="00A60DDA"/>
    <w:rsid w:val="00A67816"/>
    <w:rsid w:val="00A6789C"/>
    <w:rsid w:val="00A7121F"/>
    <w:rsid w:val="00A72CF7"/>
    <w:rsid w:val="00A74387"/>
    <w:rsid w:val="00A8554F"/>
    <w:rsid w:val="00A8792F"/>
    <w:rsid w:val="00A90B1E"/>
    <w:rsid w:val="00A91788"/>
    <w:rsid w:val="00A95C7F"/>
    <w:rsid w:val="00AA207A"/>
    <w:rsid w:val="00AB4E78"/>
    <w:rsid w:val="00AC6722"/>
    <w:rsid w:val="00AD4FE6"/>
    <w:rsid w:val="00AD5492"/>
    <w:rsid w:val="00AE09F2"/>
    <w:rsid w:val="00AE3532"/>
    <w:rsid w:val="00AE6D59"/>
    <w:rsid w:val="00AF6692"/>
    <w:rsid w:val="00B107DD"/>
    <w:rsid w:val="00B225D9"/>
    <w:rsid w:val="00B2471B"/>
    <w:rsid w:val="00B26839"/>
    <w:rsid w:val="00B32588"/>
    <w:rsid w:val="00B440D5"/>
    <w:rsid w:val="00B50FDB"/>
    <w:rsid w:val="00B55405"/>
    <w:rsid w:val="00B608D3"/>
    <w:rsid w:val="00B60B62"/>
    <w:rsid w:val="00B60F00"/>
    <w:rsid w:val="00B73128"/>
    <w:rsid w:val="00B74864"/>
    <w:rsid w:val="00B773FC"/>
    <w:rsid w:val="00B80FB4"/>
    <w:rsid w:val="00B84282"/>
    <w:rsid w:val="00B85B70"/>
    <w:rsid w:val="00B87343"/>
    <w:rsid w:val="00BA3464"/>
    <w:rsid w:val="00BB169A"/>
    <w:rsid w:val="00BB5A65"/>
    <w:rsid w:val="00BB6672"/>
    <w:rsid w:val="00BE0280"/>
    <w:rsid w:val="00BE4DF1"/>
    <w:rsid w:val="00BE513B"/>
    <w:rsid w:val="00BE6EA7"/>
    <w:rsid w:val="00BF281F"/>
    <w:rsid w:val="00BF79BD"/>
    <w:rsid w:val="00C1280D"/>
    <w:rsid w:val="00C23B97"/>
    <w:rsid w:val="00C24053"/>
    <w:rsid w:val="00C25728"/>
    <w:rsid w:val="00C36662"/>
    <w:rsid w:val="00C37279"/>
    <w:rsid w:val="00C40D39"/>
    <w:rsid w:val="00C41F2C"/>
    <w:rsid w:val="00C45A2E"/>
    <w:rsid w:val="00C5438C"/>
    <w:rsid w:val="00C56B15"/>
    <w:rsid w:val="00C56C19"/>
    <w:rsid w:val="00C610B5"/>
    <w:rsid w:val="00C634B2"/>
    <w:rsid w:val="00C642C2"/>
    <w:rsid w:val="00C744FF"/>
    <w:rsid w:val="00C74FC1"/>
    <w:rsid w:val="00C75579"/>
    <w:rsid w:val="00C76877"/>
    <w:rsid w:val="00C82428"/>
    <w:rsid w:val="00C84353"/>
    <w:rsid w:val="00C844A9"/>
    <w:rsid w:val="00C96C8F"/>
    <w:rsid w:val="00CB0BD4"/>
    <w:rsid w:val="00CB28A9"/>
    <w:rsid w:val="00CC3673"/>
    <w:rsid w:val="00CD1DEB"/>
    <w:rsid w:val="00CD57DB"/>
    <w:rsid w:val="00CE3582"/>
    <w:rsid w:val="00CE7CEA"/>
    <w:rsid w:val="00CF1E31"/>
    <w:rsid w:val="00D00452"/>
    <w:rsid w:val="00D0462C"/>
    <w:rsid w:val="00D04EA5"/>
    <w:rsid w:val="00D065EF"/>
    <w:rsid w:val="00D075E1"/>
    <w:rsid w:val="00D10586"/>
    <w:rsid w:val="00D21147"/>
    <w:rsid w:val="00D24716"/>
    <w:rsid w:val="00D26F29"/>
    <w:rsid w:val="00D273F5"/>
    <w:rsid w:val="00D4033B"/>
    <w:rsid w:val="00D42568"/>
    <w:rsid w:val="00D53E9E"/>
    <w:rsid w:val="00D559CF"/>
    <w:rsid w:val="00D5706F"/>
    <w:rsid w:val="00D6120A"/>
    <w:rsid w:val="00D61B40"/>
    <w:rsid w:val="00D727FF"/>
    <w:rsid w:val="00D9315C"/>
    <w:rsid w:val="00D94DAD"/>
    <w:rsid w:val="00D95F48"/>
    <w:rsid w:val="00DB03EA"/>
    <w:rsid w:val="00DE1BFB"/>
    <w:rsid w:val="00DF187E"/>
    <w:rsid w:val="00E005FC"/>
    <w:rsid w:val="00E04C11"/>
    <w:rsid w:val="00E06D2A"/>
    <w:rsid w:val="00E0715B"/>
    <w:rsid w:val="00E1220E"/>
    <w:rsid w:val="00E208DA"/>
    <w:rsid w:val="00E233D3"/>
    <w:rsid w:val="00E25230"/>
    <w:rsid w:val="00E31E09"/>
    <w:rsid w:val="00E37AEB"/>
    <w:rsid w:val="00E424C5"/>
    <w:rsid w:val="00E573F5"/>
    <w:rsid w:val="00E759DE"/>
    <w:rsid w:val="00E766C3"/>
    <w:rsid w:val="00E8128D"/>
    <w:rsid w:val="00E8661C"/>
    <w:rsid w:val="00E918AD"/>
    <w:rsid w:val="00EA3582"/>
    <w:rsid w:val="00EA36E6"/>
    <w:rsid w:val="00EA41AF"/>
    <w:rsid w:val="00EA73F8"/>
    <w:rsid w:val="00EB1A97"/>
    <w:rsid w:val="00EB1D9D"/>
    <w:rsid w:val="00EB7FFD"/>
    <w:rsid w:val="00EC1681"/>
    <w:rsid w:val="00EC75A5"/>
    <w:rsid w:val="00ED0931"/>
    <w:rsid w:val="00ED5E06"/>
    <w:rsid w:val="00ED5E51"/>
    <w:rsid w:val="00EF1461"/>
    <w:rsid w:val="00F1053B"/>
    <w:rsid w:val="00F1168E"/>
    <w:rsid w:val="00F2570F"/>
    <w:rsid w:val="00F2595F"/>
    <w:rsid w:val="00F30B26"/>
    <w:rsid w:val="00F337DD"/>
    <w:rsid w:val="00F42F91"/>
    <w:rsid w:val="00F430DC"/>
    <w:rsid w:val="00F43D75"/>
    <w:rsid w:val="00F461B1"/>
    <w:rsid w:val="00F53C04"/>
    <w:rsid w:val="00F562BA"/>
    <w:rsid w:val="00F56A74"/>
    <w:rsid w:val="00F63CFB"/>
    <w:rsid w:val="00F730C5"/>
    <w:rsid w:val="00F80C63"/>
    <w:rsid w:val="00F81A6C"/>
    <w:rsid w:val="00F82519"/>
    <w:rsid w:val="00F92BD0"/>
    <w:rsid w:val="00F96551"/>
    <w:rsid w:val="00F972E7"/>
    <w:rsid w:val="00FA1A85"/>
    <w:rsid w:val="00FB5C97"/>
    <w:rsid w:val="00FC441C"/>
    <w:rsid w:val="00FD2513"/>
    <w:rsid w:val="00FD4A9E"/>
    <w:rsid w:val="00FD56BF"/>
    <w:rsid w:val="00FD6C16"/>
    <w:rsid w:val="00FE2B44"/>
    <w:rsid w:val="00FE666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25C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CD1DEB"/>
    <w:pPr>
      <w:spacing w:before="120" w:after="0"/>
      <w:jc w:val="left"/>
    </w:pPr>
    <w:rPr>
      <w:rFonts w:asciiTheme="majorHAnsi" w:hAnsiTheme="majorHAnsi"/>
      <w:b/>
      <w:color w:val="548DD4"/>
      <w:sz w:val="24"/>
      <w:szCs w:val="24"/>
    </w:rPr>
  </w:style>
  <w:style w:type="paragraph" w:styleId="TOC2">
    <w:name w:val="toc 2"/>
    <w:basedOn w:val="Normal"/>
    <w:next w:val="Normal"/>
    <w:autoRedefine/>
    <w:uiPriority w:val="39"/>
    <w:unhideWhenUsed/>
    <w:rsid w:val="00D95F48"/>
    <w:pPr>
      <w:spacing w:after="0"/>
      <w:jc w:val="left"/>
    </w:pPr>
    <w:rPr>
      <w:rFonts w:asciiTheme="minorHAnsi" w:hAnsiTheme="minorHAnsi"/>
    </w:rPr>
  </w:style>
  <w:style w:type="paragraph" w:styleId="TOC3">
    <w:name w:val="toc 3"/>
    <w:basedOn w:val="Normal"/>
    <w:next w:val="Normal"/>
    <w:autoRedefine/>
    <w:uiPriority w:val="39"/>
    <w:unhideWhenUsed/>
    <w:rsid w:val="00D95F48"/>
    <w:pPr>
      <w:spacing w:after="0"/>
      <w:ind w:left="220"/>
      <w:jc w:val="left"/>
    </w:pPr>
    <w:rPr>
      <w:rFonts w:asciiTheme="minorHAnsi" w:hAnsiTheme="minorHAnsi"/>
      <w:i/>
    </w:r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table" w:styleId="LightGrid-Accent1">
    <w:name w:val="Light Grid Accent 1"/>
    <w:basedOn w:val="TableNormal"/>
    <w:uiPriority w:val="62"/>
    <w:rsid w:val="008802A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NormalWeb">
    <w:name w:val="Normal (Web)"/>
    <w:basedOn w:val="Normal"/>
    <w:uiPriority w:val="99"/>
    <w:semiHidden/>
    <w:unhideWhenUsed/>
    <w:rsid w:val="008B614C"/>
    <w:pPr>
      <w:spacing w:before="100" w:beforeAutospacing="1" w:after="100" w:afterAutospacing="1" w:line="240" w:lineRule="auto"/>
      <w:jc w:val="left"/>
    </w:pPr>
    <w:rPr>
      <w:rFonts w:ascii="Times" w:hAnsi="Times" w:cs="Times New Roman"/>
      <w:spacing w:val="0"/>
      <w:sz w:val="20"/>
      <w:szCs w:val="20"/>
    </w:rPr>
  </w:style>
  <w:style w:type="paragraph" w:styleId="FootnoteText">
    <w:name w:val="footnote text"/>
    <w:basedOn w:val="Normal"/>
    <w:link w:val="FootnoteTextChar"/>
    <w:uiPriority w:val="99"/>
    <w:unhideWhenUsed/>
    <w:rsid w:val="00D00452"/>
    <w:pPr>
      <w:spacing w:after="0" w:line="240" w:lineRule="auto"/>
    </w:pPr>
    <w:rPr>
      <w:sz w:val="24"/>
      <w:szCs w:val="24"/>
    </w:rPr>
  </w:style>
  <w:style w:type="character" w:customStyle="1" w:styleId="FootnoteTextChar">
    <w:name w:val="Footnote Text Char"/>
    <w:basedOn w:val="DefaultParagraphFont"/>
    <w:link w:val="FootnoteText"/>
    <w:uiPriority w:val="99"/>
    <w:rsid w:val="00D00452"/>
    <w:rPr>
      <w:rFonts w:ascii="Calibri" w:hAnsi="Calibri"/>
      <w:spacing w:val="2"/>
      <w:sz w:val="24"/>
      <w:szCs w:val="24"/>
    </w:rPr>
  </w:style>
  <w:style w:type="character" w:styleId="FootnoteReference">
    <w:name w:val="footnote reference"/>
    <w:basedOn w:val="DefaultParagraphFont"/>
    <w:uiPriority w:val="99"/>
    <w:unhideWhenUsed/>
    <w:rsid w:val="00D00452"/>
    <w:rPr>
      <w:vertAlign w:val="superscript"/>
    </w:rPr>
  </w:style>
  <w:style w:type="character" w:styleId="FollowedHyperlink">
    <w:name w:val="FollowedHyperlink"/>
    <w:basedOn w:val="DefaultParagraphFont"/>
    <w:uiPriority w:val="99"/>
    <w:semiHidden/>
    <w:unhideWhenUsed/>
    <w:rsid w:val="00CB0BD4"/>
    <w:rPr>
      <w:color w:val="800080" w:themeColor="followedHyperlink"/>
      <w:u w:val="single"/>
    </w:rPr>
  </w:style>
  <w:style w:type="paragraph" w:styleId="TOC4">
    <w:name w:val="toc 4"/>
    <w:basedOn w:val="Normal"/>
    <w:next w:val="Normal"/>
    <w:autoRedefine/>
    <w:uiPriority w:val="39"/>
    <w:semiHidden/>
    <w:unhideWhenUsed/>
    <w:rsid w:val="006E761B"/>
    <w:pPr>
      <w:pBdr>
        <w:between w:val="double" w:sz="6" w:space="0" w:color="auto"/>
      </w:pBdr>
      <w:spacing w:after="0"/>
      <w:ind w:left="440"/>
      <w:jc w:val="left"/>
    </w:pPr>
    <w:rPr>
      <w:rFonts w:asciiTheme="minorHAnsi" w:hAnsiTheme="minorHAnsi"/>
      <w:sz w:val="20"/>
      <w:szCs w:val="20"/>
    </w:rPr>
  </w:style>
  <w:style w:type="paragraph" w:styleId="TOC5">
    <w:name w:val="toc 5"/>
    <w:basedOn w:val="Normal"/>
    <w:next w:val="Normal"/>
    <w:autoRedefine/>
    <w:uiPriority w:val="39"/>
    <w:semiHidden/>
    <w:unhideWhenUsed/>
    <w:rsid w:val="006E761B"/>
    <w:pPr>
      <w:pBdr>
        <w:between w:val="double" w:sz="6" w:space="0" w:color="auto"/>
      </w:pBdr>
      <w:spacing w:after="0"/>
      <w:ind w:left="660"/>
      <w:jc w:val="left"/>
    </w:pPr>
    <w:rPr>
      <w:rFonts w:asciiTheme="minorHAnsi" w:hAnsiTheme="minorHAnsi"/>
      <w:sz w:val="20"/>
      <w:szCs w:val="20"/>
    </w:rPr>
  </w:style>
  <w:style w:type="paragraph" w:styleId="TOC6">
    <w:name w:val="toc 6"/>
    <w:basedOn w:val="Normal"/>
    <w:next w:val="Normal"/>
    <w:autoRedefine/>
    <w:uiPriority w:val="39"/>
    <w:semiHidden/>
    <w:unhideWhenUsed/>
    <w:rsid w:val="006E761B"/>
    <w:pPr>
      <w:pBdr>
        <w:between w:val="double" w:sz="6" w:space="0" w:color="auto"/>
      </w:pBdr>
      <w:spacing w:after="0"/>
      <w:ind w:left="880"/>
      <w:jc w:val="left"/>
    </w:pPr>
    <w:rPr>
      <w:rFonts w:asciiTheme="minorHAnsi" w:hAnsiTheme="minorHAnsi"/>
      <w:sz w:val="20"/>
      <w:szCs w:val="20"/>
    </w:rPr>
  </w:style>
  <w:style w:type="paragraph" w:styleId="TOC7">
    <w:name w:val="toc 7"/>
    <w:basedOn w:val="Normal"/>
    <w:next w:val="Normal"/>
    <w:autoRedefine/>
    <w:uiPriority w:val="39"/>
    <w:semiHidden/>
    <w:unhideWhenUsed/>
    <w:rsid w:val="006E761B"/>
    <w:pPr>
      <w:pBdr>
        <w:between w:val="double" w:sz="6" w:space="0" w:color="auto"/>
      </w:pBdr>
      <w:spacing w:after="0"/>
      <w:ind w:left="1100"/>
      <w:jc w:val="left"/>
    </w:pPr>
    <w:rPr>
      <w:rFonts w:asciiTheme="minorHAnsi" w:hAnsiTheme="minorHAnsi"/>
      <w:sz w:val="20"/>
      <w:szCs w:val="20"/>
    </w:rPr>
  </w:style>
  <w:style w:type="paragraph" w:styleId="TOC8">
    <w:name w:val="toc 8"/>
    <w:basedOn w:val="Normal"/>
    <w:next w:val="Normal"/>
    <w:autoRedefine/>
    <w:uiPriority w:val="39"/>
    <w:semiHidden/>
    <w:unhideWhenUsed/>
    <w:rsid w:val="006E761B"/>
    <w:pPr>
      <w:pBdr>
        <w:between w:val="double" w:sz="6" w:space="0" w:color="auto"/>
      </w:pBdr>
      <w:spacing w:after="0"/>
      <w:ind w:left="1320"/>
      <w:jc w:val="left"/>
    </w:pPr>
    <w:rPr>
      <w:rFonts w:asciiTheme="minorHAnsi" w:hAnsiTheme="minorHAnsi"/>
      <w:sz w:val="20"/>
      <w:szCs w:val="20"/>
    </w:rPr>
  </w:style>
  <w:style w:type="paragraph" w:styleId="TOC9">
    <w:name w:val="toc 9"/>
    <w:basedOn w:val="Normal"/>
    <w:next w:val="Normal"/>
    <w:autoRedefine/>
    <w:uiPriority w:val="39"/>
    <w:semiHidden/>
    <w:unhideWhenUsed/>
    <w:rsid w:val="006E761B"/>
    <w:pPr>
      <w:pBdr>
        <w:between w:val="double" w:sz="6" w:space="0" w:color="auto"/>
      </w:pBdr>
      <w:spacing w:after="0"/>
      <w:ind w:left="1540"/>
      <w:jc w:val="left"/>
    </w:pPr>
    <w:rPr>
      <w:rFonts w:asciiTheme="minorHAnsi" w:hAnsiTheme="minorHAns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CD1DEB"/>
    <w:pPr>
      <w:spacing w:before="120" w:after="0"/>
      <w:jc w:val="left"/>
    </w:pPr>
    <w:rPr>
      <w:rFonts w:asciiTheme="majorHAnsi" w:hAnsiTheme="majorHAnsi"/>
      <w:b/>
      <w:color w:val="548DD4"/>
      <w:sz w:val="24"/>
      <w:szCs w:val="24"/>
    </w:rPr>
  </w:style>
  <w:style w:type="paragraph" w:styleId="TOC2">
    <w:name w:val="toc 2"/>
    <w:basedOn w:val="Normal"/>
    <w:next w:val="Normal"/>
    <w:autoRedefine/>
    <w:uiPriority w:val="39"/>
    <w:unhideWhenUsed/>
    <w:rsid w:val="00D95F48"/>
    <w:pPr>
      <w:spacing w:after="0"/>
      <w:jc w:val="left"/>
    </w:pPr>
    <w:rPr>
      <w:rFonts w:asciiTheme="minorHAnsi" w:hAnsiTheme="minorHAnsi"/>
    </w:rPr>
  </w:style>
  <w:style w:type="paragraph" w:styleId="TOC3">
    <w:name w:val="toc 3"/>
    <w:basedOn w:val="Normal"/>
    <w:next w:val="Normal"/>
    <w:autoRedefine/>
    <w:uiPriority w:val="39"/>
    <w:unhideWhenUsed/>
    <w:rsid w:val="00D95F48"/>
    <w:pPr>
      <w:spacing w:after="0"/>
      <w:ind w:left="220"/>
      <w:jc w:val="left"/>
    </w:pPr>
    <w:rPr>
      <w:rFonts w:asciiTheme="minorHAnsi" w:hAnsiTheme="minorHAnsi"/>
      <w:i/>
    </w:r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table" w:styleId="LightGrid-Accent1">
    <w:name w:val="Light Grid Accent 1"/>
    <w:basedOn w:val="TableNormal"/>
    <w:uiPriority w:val="62"/>
    <w:rsid w:val="008802A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NormalWeb">
    <w:name w:val="Normal (Web)"/>
    <w:basedOn w:val="Normal"/>
    <w:uiPriority w:val="99"/>
    <w:semiHidden/>
    <w:unhideWhenUsed/>
    <w:rsid w:val="008B614C"/>
    <w:pPr>
      <w:spacing w:before="100" w:beforeAutospacing="1" w:after="100" w:afterAutospacing="1" w:line="240" w:lineRule="auto"/>
      <w:jc w:val="left"/>
    </w:pPr>
    <w:rPr>
      <w:rFonts w:ascii="Times" w:hAnsi="Times" w:cs="Times New Roman"/>
      <w:spacing w:val="0"/>
      <w:sz w:val="20"/>
      <w:szCs w:val="20"/>
    </w:rPr>
  </w:style>
  <w:style w:type="paragraph" w:styleId="FootnoteText">
    <w:name w:val="footnote text"/>
    <w:basedOn w:val="Normal"/>
    <w:link w:val="FootnoteTextChar"/>
    <w:uiPriority w:val="99"/>
    <w:unhideWhenUsed/>
    <w:rsid w:val="00D00452"/>
    <w:pPr>
      <w:spacing w:after="0" w:line="240" w:lineRule="auto"/>
    </w:pPr>
    <w:rPr>
      <w:sz w:val="24"/>
      <w:szCs w:val="24"/>
    </w:rPr>
  </w:style>
  <w:style w:type="character" w:customStyle="1" w:styleId="FootnoteTextChar">
    <w:name w:val="Footnote Text Char"/>
    <w:basedOn w:val="DefaultParagraphFont"/>
    <w:link w:val="FootnoteText"/>
    <w:uiPriority w:val="99"/>
    <w:rsid w:val="00D00452"/>
    <w:rPr>
      <w:rFonts w:ascii="Calibri" w:hAnsi="Calibri"/>
      <w:spacing w:val="2"/>
      <w:sz w:val="24"/>
      <w:szCs w:val="24"/>
    </w:rPr>
  </w:style>
  <w:style w:type="character" w:styleId="FootnoteReference">
    <w:name w:val="footnote reference"/>
    <w:basedOn w:val="DefaultParagraphFont"/>
    <w:uiPriority w:val="99"/>
    <w:unhideWhenUsed/>
    <w:rsid w:val="00D00452"/>
    <w:rPr>
      <w:vertAlign w:val="superscript"/>
    </w:rPr>
  </w:style>
  <w:style w:type="character" w:styleId="FollowedHyperlink">
    <w:name w:val="FollowedHyperlink"/>
    <w:basedOn w:val="DefaultParagraphFont"/>
    <w:uiPriority w:val="99"/>
    <w:semiHidden/>
    <w:unhideWhenUsed/>
    <w:rsid w:val="00CB0BD4"/>
    <w:rPr>
      <w:color w:val="800080" w:themeColor="followedHyperlink"/>
      <w:u w:val="single"/>
    </w:rPr>
  </w:style>
  <w:style w:type="paragraph" w:styleId="TOC4">
    <w:name w:val="toc 4"/>
    <w:basedOn w:val="Normal"/>
    <w:next w:val="Normal"/>
    <w:autoRedefine/>
    <w:uiPriority w:val="39"/>
    <w:semiHidden/>
    <w:unhideWhenUsed/>
    <w:rsid w:val="006E761B"/>
    <w:pPr>
      <w:pBdr>
        <w:between w:val="double" w:sz="6" w:space="0" w:color="auto"/>
      </w:pBdr>
      <w:spacing w:after="0"/>
      <w:ind w:left="440"/>
      <w:jc w:val="left"/>
    </w:pPr>
    <w:rPr>
      <w:rFonts w:asciiTheme="minorHAnsi" w:hAnsiTheme="minorHAnsi"/>
      <w:sz w:val="20"/>
      <w:szCs w:val="20"/>
    </w:rPr>
  </w:style>
  <w:style w:type="paragraph" w:styleId="TOC5">
    <w:name w:val="toc 5"/>
    <w:basedOn w:val="Normal"/>
    <w:next w:val="Normal"/>
    <w:autoRedefine/>
    <w:uiPriority w:val="39"/>
    <w:semiHidden/>
    <w:unhideWhenUsed/>
    <w:rsid w:val="006E761B"/>
    <w:pPr>
      <w:pBdr>
        <w:between w:val="double" w:sz="6" w:space="0" w:color="auto"/>
      </w:pBdr>
      <w:spacing w:after="0"/>
      <w:ind w:left="660"/>
      <w:jc w:val="left"/>
    </w:pPr>
    <w:rPr>
      <w:rFonts w:asciiTheme="minorHAnsi" w:hAnsiTheme="minorHAnsi"/>
      <w:sz w:val="20"/>
      <w:szCs w:val="20"/>
    </w:rPr>
  </w:style>
  <w:style w:type="paragraph" w:styleId="TOC6">
    <w:name w:val="toc 6"/>
    <w:basedOn w:val="Normal"/>
    <w:next w:val="Normal"/>
    <w:autoRedefine/>
    <w:uiPriority w:val="39"/>
    <w:semiHidden/>
    <w:unhideWhenUsed/>
    <w:rsid w:val="006E761B"/>
    <w:pPr>
      <w:pBdr>
        <w:between w:val="double" w:sz="6" w:space="0" w:color="auto"/>
      </w:pBdr>
      <w:spacing w:after="0"/>
      <w:ind w:left="880"/>
      <w:jc w:val="left"/>
    </w:pPr>
    <w:rPr>
      <w:rFonts w:asciiTheme="minorHAnsi" w:hAnsiTheme="minorHAnsi"/>
      <w:sz w:val="20"/>
      <w:szCs w:val="20"/>
    </w:rPr>
  </w:style>
  <w:style w:type="paragraph" w:styleId="TOC7">
    <w:name w:val="toc 7"/>
    <w:basedOn w:val="Normal"/>
    <w:next w:val="Normal"/>
    <w:autoRedefine/>
    <w:uiPriority w:val="39"/>
    <w:semiHidden/>
    <w:unhideWhenUsed/>
    <w:rsid w:val="006E761B"/>
    <w:pPr>
      <w:pBdr>
        <w:between w:val="double" w:sz="6" w:space="0" w:color="auto"/>
      </w:pBdr>
      <w:spacing w:after="0"/>
      <w:ind w:left="1100"/>
      <w:jc w:val="left"/>
    </w:pPr>
    <w:rPr>
      <w:rFonts w:asciiTheme="minorHAnsi" w:hAnsiTheme="minorHAnsi"/>
      <w:sz w:val="20"/>
      <w:szCs w:val="20"/>
    </w:rPr>
  </w:style>
  <w:style w:type="paragraph" w:styleId="TOC8">
    <w:name w:val="toc 8"/>
    <w:basedOn w:val="Normal"/>
    <w:next w:val="Normal"/>
    <w:autoRedefine/>
    <w:uiPriority w:val="39"/>
    <w:semiHidden/>
    <w:unhideWhenUsed/>
    <w:rsid w:val="006E761B"/>
    <w:pPr>
      <w:pBdr>
        <w:between w:val="double" w:sz="6" w:space="0" w:color="auto"/>
      </w:pBdr>
      <w:spacing w:after="0"/>
      <w:ind w:left="1320"/>
      <w:jc w:val="left"/>
    </w:pPr>
    <w:rPr>
      <w:rFonts w:asciiTheme="minorHAnsi" w:hAnsiTheme="minorHAnsi"/>
      <w:sz w:val="20"/>
      <w:szCs w:val="20"/>
    </w:rPr>
  </w:style>
  <w:style w:type="paragraph" w:styleId="TOC9">
    <w:name w:val="toc 9"/>
    <w:basedOn w:val="Normal"/>
    <w:next w:val="Normal"/>
    <w:autoRedefine/>
    <w:uiPriority w:val="39"/>
    <w:semiHidden/>
    <w:unhideWhenUsed/>
    <w:rsid w:val="006E761B"/>
    <w:pPr>
      <w:pBdr>
        <w:between w:val="double" w:sz="6" w:space="0" w:color="auto"/>
      </w:pBdr>
      <w:spacing w:after="0"/>
      <w:ind w:left="1540"/>
      <w:jc w:val="left"/>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1014">
      <w:bodyDiv w:val="1"/>
      <w:marLeft w:val="0"/>
      <w:marRight w:val="0"/>
      <w:marTop w:val="0"/>
      <w:marBottom w:val="0"/>
      <w:divBdr>
        <w:top w:val="none" w:sz="0" w:space="0" w:color="auto"/>
        <w:left w:val="none" w:sz="0" w:space="0" w:color="auto"/>
        <w:bottom w:val="none" w:sz="0" w:space="0" w:color="auto"/>
        <w:right w:val="none" w:sz="0" w:space="0" w:color="auto"/>
      </w:divBdr>
    </w:div>
    <w:div w:id="16856261">
      <w:bodyDiv w:val="1"/>
      <w:marLeft w:val="0"/>
      <w:marRight w:val="0"/>
      <w:marTop w:val="0"/>
      <w:marBottom w:val="0"/>
      <w:divBdr>
        <w:top w:val="none" w:sz="0" w:space="0" w:color="auto"/>
        <w:left w:val="none" w:sz="0" w:space="0" w:color="auto"/>
        <w:bottom w:val="none" w:sz="0" w:space="0" w:color="auto"/>
        <w:right w:val="none" w:sz="0" w:space="0" w:color="auto"/>
      </w:divBdr>
    </w:div>
    <w:div w:id="23554948">
      <w:bodyDiv w:val="1"/>
      <w:marLeft w:val="0"/>
      <w:marRight w:val="0"/>
      <w:marTop w:val="0"/>
      <w:marBottom w:val="0"/>
      <w:divBdr>
        <w:top w:val="none" w:sz="0" w:space="0" w:color="auto"/>
        <w:left w:val="none" w:sz="0" w:space="0" w:color="auto"/>
        <w:bottom w:val="none" w:sz="0" w:space="0" w:color="auto"/>
        <w:right w:val="none" w:sz="0" w:space="0" w:color="auto"/>
      </w:divBdr>
    </w:div>
    <w:div w:id="109052028">
      <w:bodyDiv w:val="1"/>
      <w:marLeft w:val="0"/>
      <w:marRight w:val="0"/>
      <w:marTop w:val="0"/>
      <w:marBottom w:val="0"/>
      <w:divBdr>
        <w:top w:val="none" w:sz="0" w:space="0" w:color="auto"/>
        <w:left w:val="none" w:sz="0" w:space="0" w:color="auto"/>
        <w:bottom w:val="none" w:sz="0" w:space="0" w:color="auto"/>
        <w:right w:val="none" w:sz="0" w:space="0" w:color="auto"/>
      </w:divBdr>
    </w:div>
    <w:div w:id="124857230">
      <w:bodyDiv w:val="1"/>
      <w:marLeft w:val="0"/>
      <w:marRight w:val="0"/>
      <w:marTop w:val="0"/>
      <w:marBottom w:val="0"/>
      <w:divBdr>
        <w:top w:val="none" w:sz="0" w:space="0" w:color="auto"/>
        <w:left w:val="none" w:sz="0" w:space="0" w:color="auto"/>
        <w:bottom w:val="none" w:sz="0" w:space="0" w:color="auto"/>
        <w:right w:val="none" w:sz="0" w:space="0" w:color="auto"/>
      </w:divBdr>
    </w:div>
    <w:div w:id="190149872">
      <w:bodyDiv w:val="1"/>
      <w:marLeft w:val="0"/>
      <w:marRight w:val="0"/>
      <w:marTop w:val="0"/>
      <w:marBottom w:val="0"/>
      <w:divBdr>
        <w:top w:val="none" w:sz="0" w:space="0" w:color="auto"/>
        <w:left w:val="none" w:sz="0" w:space="0" w:color="auto"/>
        <w:bottom w:val="none" w:sz="0" w:space="0" w:color="auto"/>
        <w:right w:val="none" w:sz="0" w:space="0" w:color="auto"/>
      </w:divBdr>
    </w:div>
    <w:div w:id="196281770">
      <w:bodyDiv w:val="1"/>
      <w:marLeft w:val="0"/>
      <w:marRight w:val="0"/>
      <w:marTop w:val="0"/>
      <w:marBottom w:val="0"/>
      <w:divBdr>
        <w:top w:val="none" w:sz="0" w:space="0" w:color="auto"/>
        <w:left w:val="none" w:sz="0" w:space="0" w:color="auto"/>
        <w:bottom w:val="none" w:sz="0" w:space="0" w:color="auto"/>
        <w:right w:val="none" w:sz="0" w:space="0" w:color="auto"/>
      </w:divBdr>
    </w:div>
    <w:div w:id="226188545">
      <w:bodyDiv w:val="1"/>
      <w:marLeft w:val="0"/>
      <w:marRight w:val="0"/>
      <w:marTop w:val="0"/>
      <w:marBottom w:val="0"/>
      <w:divBdr>
        <w:top w:val="none" w:sz="0" w:space="0" w:color="auto"/>
        <w:left w:val="none" w:sz="0" w:space="0" w:color="auto"/>
        <w:bottom w:val="none" w:sz="0" w:space="0" w:color="auto"/>
        <w:right w:val="none" w:sz="0" w:space="0" w:color="auto"/>
      </w:divBdr>
    </w:div>
    <w:div w:id="282008422">
      <w:bodyDiv w:val="1"/>
      <w:marLeft w:val="0"/>
      <w:marRight w:val="0"/>
      <w:marTop w:val="0"/>
      <w:marBottom w:val="0"/>
      <w:divBdr>
        <w:top w:val="none" w:sz="0" w:space="0" w:color="auto"/>
        <w:left w:val="none" w:sz="0" w:space="0" w:color="auto"/>
        <w:bottom w:val="none" w:sz="0" w:space="0" w:color="auto"/>
        <w:right w:val="none" w:sz="0" w:space="0" w:color="auto"/>
      </w:divBdr>
    </w:div>
    <w:div w:id="321005811">
      <w:bodyDiv w:val="1"/>
      <w:marLeft w:val="0"/>
      <w:marRight w:val="0"/>
      <w:marTop w:val="0"/>
      <w:marBottom w:val="0"/>
      <w:divBdr>
        <w:top w:val="none" w:sz="0" w:space="0" w:color="auto"/>
        <w:left w:val="none" w:sz="0" w:space="0" w:color="auto"/>
        <w:bottom w:val="none" w:sz="0" w:space="0" w:color="auto"/>
        <w:right w:val="none" w:sz="0" w:space="0" w:color="auto"/>
      </w:divBdr>
    </w:div>
    <w:div w:id="322897031">
      <w:bodyDiv w:val="1"/>
      <w:marLeft w:val="0"/>
      <w:marRight w:val="0"/>
      <w:marTop w:val="0"/>
      <w:marBottom w:val="0"/>
      <w:divBdr>
        <w:top w:val="none" w:sz="0" w:space="0" w:color="auto"/>
        <w:left w:val="none" w:sz="0" w:space="0" w:color="auto"/>
        <w:bottom w:val="none" w:sz="0" w:space="0" w:color="auto"/>
        <w:right w:val="none" w:sz="0" w:space="0" w:color="auto"/>
      </w:divBdr>
    </w:div>
    <w:div w:id="366298395">
      <w:bodyDiv w:val="1"/>
      <w:marLeft w:val="0"/>
      <w:marRight w:val="0"/>
      <w:marTop w:val="0"/>
      <w:marBottom w:val="0"/>
      <w:divBdr>
        <w:top w:val="none" w:sz="0" w:space="0" w:color="auto"/>
        <w:left w:val="none" w:sz="0" w:space="0" w:color="auto"/>
        <w:bottom w:val="none" w:sz="0" w:space="0" w:color="auto"/>
        <w:right w:val="none" w:sz="0" w:space="0" w:color="auto"/>
      </w:divBdr>
    </w:div>
    <w:div w:id="392893084">
      <w:bodyDiv w:val="1"/>
      <w:marLeft w:val="0"/>
      <w:marRight w:val="0"/>
      <w:marTop w:val="0"/>
      <w:marBottom w:val="0"/>
      <w:divBdr>
        <w:top w:val="none" w:sz="0" w:space="0" w:color="auto"/>
        <w:left w:val="none" w:sz="0" w:space="0" w:color="auto"/>
        <w:bottom w:val="none" w:sz="0" w:space="0" w:color="auto"/>
        <w:right w:val="none" w:sz="0" w:space="0" w:color="auto"/>
      </w:divBdr>
    </w:div>
    <w:div w:id="403534317">
      <w:bodyDiv w:val="1"/>
      <w:marLeft w:val="0"/>
      <w:marRight w:val="0"/>
      <w:marTop w:val="0"/>
      <w:marBottom w:val="0"/>
      <w:divBdr>
        <w:top w:val="none" w:sz="0" w:space="0" w:color="auto"/>
        <w:left w:val="none" w:sz="0" w:space="0" w:color="auto"/>
        <w:bottom w:val="none" w:sz="0" w:space="0" w:color="auto"/>
        <w:right w:val="none" w:sz="0" w:space="0" w:color="auto"/>
      </w:divBdr>
    </w:div>
    <w:div w:id="438337284">
      <w:bodyDiv w:val="1"/>
      <w:marLeft w:val="0"/>
      <w:marRight w:val="0"/>
      <w:marTop w:val="0"/>
      <w:marBottom w:val="0"/>
      <w:divBdr>
        <w:top w:val="none" w:sz="0" w:space="0" w:color="auto"/>
        <w:left w:val="none" w:sz="0" w:space="0" w:color="auto"/>
        <w:bottom w:val="none" w:sz="0" w:space="0" w:color="auto"/>
        <w:right w:val="none" w:sz="0" w:space="0" w:color="auto"/>
      </w:divBdr>
    </w:div>
    <w:div w:id="456265001">
      <w:bodyDiv w:val="1"/>
      <w:marLeft w:val="0"/>
      <w:marRight w:val="0"/>
      <w:marTop w:val="0"/>
      <w:marBottom w:val="0"/>
      <w:divBdr>
        <w:top w:val="none" w:sz="0" w:space="0" w:color="auto"/>
        <w:left w:val="none" w:sz="0" w:space="0" w:color="auto"/>
        <w:bottom w:val="none" w:sz="0" w:space="0" w:color="auto"/>
        <w:right w:val="none" w:sz="0" w:space="0" w:color="auto"/>
      </w:divBdr>
    </w:div>
    <w:div w:id="525095540">
      <w:bodyDiv w:val="1"/>
      <w:marLeft w:val="0"/>
      <w:marRight w:val="0"/>
      <w:marTop w:val="0"/>
      <w:marBottom w:val="0"/>
      <w:divBdr>
        <w:top w:val="none" w:sz="0" w:space="0" w:color="auto"/>
        <w:left w:val="none" w:sz="0" w:space="0" w:color="auto"/>
        <w:bottom w:val="none" w:sz="0" w:space="0" w:color="auto"/>
        <w:right w:val="none" w:sz="0" w:space="0" w:color="auto"/>
      </w:divBdr>
    </w:div>
    <w:div w:id="542597534">
      <w:bodyDiv w:val="1"/>
      <w:marLeft w:val="0"/>
      <w:marRight w:val="0"/>
      <w:marTop w:val="0"/>
      <w:marBottom w:val="0"/>
      <w:divBdr>
        <w:top w:val="none" w:sz="0" w:space="0" w:color="auto"/>
        <w:left w:val="none" w:sz="0" w:space="0" w:color="auto"/>
        <w:bottom w:val="none" w:sz="0" w:space="0" w:color="auto"/>
        <w:right w:val="none" w:sz="0" w:space="0" w:color="auto"/>
      </w:divBdr>
    </w:div>
    <w:div w:id="594170504">
      <w:bodyDiv w:val="1"/>
      <w:marLeft w:val="0"/>
      <w:marRight w:val="0"/>
      <w:marTop w:val="0"/>
      <w:marBottom w:val="0"/>
      <w:divBdr>
        <w:top w:val="none" w:sz="0" w:space="0" w:color="auto"/>
        <w:left w:val="none" w:sz="0" w:space="0" w:color="auto"/>
        <w:bottom w:val="none" w:sz="0" w:space="0" w:color="auto"/>
        <w:right w:val="none" w:sz="0" w:space="0" w:color="auto"/>
      </w:divBdr>
    </w:div>
    <w:div w:id="635063019">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824124818">
      <w:bodyDiv w:val="1"/>
      <w:marLeft w:val="0"/>
      <w:marRight w:val="0"/>
      <w:marTop w:val="0"/>
      <w:marBottom w:val="0"/>
      <w:divBdr>
        <w:top w:val="none" w:sz="0" w:space="0" w:color="auto"/>
        <w:left w:val="none" w:sz="0" w:space="0" w:color="auto"/>
        <w:bottom w:val="none" w:sz="0" w:space="0" w:color="auto"/>
        <w:right w:val="none" w:sz="0" w:space="0" w:color="auto"/>
      </w:divBdr>
    </w:div>
    <w:div w:id="830681093">
      <w:bodyDiv w:val="1"/>
      <w:marLeft w:val="0"/>
      <w:marRight w:val="0"/>
      <w:marTop w:val="0"/>
      <w:marBottom w:val="0"/>
      <w:divBdr>
        <w:top w:val="none" w:sz="0" w:space="0" w:color="auto"/>
        <w:left w:val="none" w:sz="0" w:space="0" w:color="auto"/>
        <w:bottom w:val="none" w:sz="0" w:space="0" w:color="auto"/>
        <w:right w:val="none" w:sz="0" w:space="0" w:color="auto"/>
      </w:divBdr>
    </w:div>
    <w:div w:id="885221642">
      <w:bodyDiv w:val="1"/>
      <w:marLeft w:val="0"/>
      <w:marRight w:val="0"/>
      <w:marTop w:val="0"/>
      <w:marBottom w:val="0"/>
      <w:divBdr>
        <w:top w:val="none" w:sz="0" w:space="0" w:color="auto"/>
        <w:left w:val="none" w:sz="0" w:space="0" w:color="auto"/>
        <w:bottom w:val="none" w:sz="0" w:space="0" w:color="auto"/>
        <w:right w:val="none" w:sz="0" w:space="0" w:color="auto"/>
      </w:divBdr>
    </w:div>
    <w:div w:id="896555510">
      <w:bodyDiv w:val="1"/>
      <w:marLeft w:val="0"/>
      <w:marRight w:val="0"/>
      <w:marTop w:val="0"/>
      <w:marBottom w:val="0"/>
      <w:divBdr>
        <w:top w:val="none" w:sz="0" w:space="0" w:color="auto"/>
        <w:left w:val="none" w:sz="0" w:space="0" w:color="auto"/>
        <w:bottom w:val="none" w:sz="0" w:space="0" w:color="auto"/>
        <w:right w:val="none" w:sz="0" w:space="0" w:color="auto"/>
      </w:divBdr>
    </w:div>
    <w:div w:id="935988134">
      <w:bodyDiv w:val="1"/>
      <w:marLeft w:val="0"/>
      <w:marRight w:val="0"/>
      <w:marTop w:val="0"/>
      <w:marBottom w:val="0"/>
      <w:divBdr>
        <w:top w:val="none" w:sz="0" w:space="0" w:color="auto"/>
        <w:left w:val="none" w:sz="0" w:space="0" w:color="auto"/>
        <w:bottom w:val="none" w:sz="0" w:space="0" w:color="auto"/>
        <w:right w:val="none" w:sz="0" w:space="0" w:color="auto"/>
      </w:divBdr>
    </w:div>
    <w:div w:id="996419906">
      <w:bodyDiv w:val="1"/>
      <w:marLeft w:val="0"/>
      <w:marRight w:val="0"/>
      <w:marTop w:val="0"/>
      <w:marBottom w:val="0"/>
      <w:divBdr>
        <w:top w:val="none" w:sz="0" w:space="0" w:color="auto"/>
        <w:left w:val="none" w:sz="0" w:space="0" w:color="auto"/>
        <w:bottom w:val="none" w:sz="0" w:space="0" w:color="auto"/>
        <w:right w:val="none" w:sz="0" w:space="0" w:color="auto"/>
      </w:divBdr>
    </w:div>
    <w:div w:id="996878505">
      <w:bodyDiv w:val="1"/>
      <w:marLeft w:val="0"/>
      <w:marRight w:val="0"/>
      <w:marTop w:val="0"/>
      <w:marBottom w:val="0"/>
      <w:divBdr>
        <w:top w:val="none" w:sz="0" w:space="0" w:color="auto"/>
        <w:left w:val="none" w:sz="0" w:space="0" w:color="auto"/>
        <w:bottom w:val="none" w:sz="0" w:space="0" w:color="auto"/>
        <w:right w:val="none" w:sz="0" w:space="0" w:color="auto"/>
      </w:divBdr>
    </w:div>
    <w:div w:id="1017148499">
      <w:bodyDiv w:val="1"/>
      <w:marLeft w:val="0"/>
      <w:marRight w:val="0"/>
      <w:marTop w:val="0"/>
      <w:marBottom w:val="0"/>
      <w:divBdr>
        <w:top w:val="none" w:sz="0" w:space="0" w:color="auto"/>
        <w:left w:val="none" w:sz="0" w:space="0" w:color="auto"/>
        <w:bottom w:val="none" w:sz="0" w:space="0" w:color="auto"/>
        <w:right w:val="none" w:sz="0" w:space="0" w:color="auto"/>
      </w:divBdr>
    </w:div>
    <w:div w:id="1056121423">
      <w:bodyDiv w:val="1"/>
      <w:marLeft w:val="0"/>
      <w:marRight w:val="0"/>
      <w:marTop w:val="0"/>
      <w:marBottom w:val="0"/>
      <w:divBdr>
        <w:top w:val="none" w:sz="0" w:space="0" w:color="auto"/>
        <w:left w:val="none" w:sz="0" w:space="0" w:color="auto"/>
        <w:bottom w:val="none" w:sz="0" w:space="0" w:color="auto"/>
        <w:right w:val="none" w:sz="0" w:space="0" w:color="auto"/>
      </w:divBdr>
    </w:div>
    <w:div w:id="1058161563">
      <w:bodyDiv w:val="1"/>
      <w:marLeft w:val="0"/>
      <w:marRight w:val="0"/>
      <w:marTop w:val="0"/>
      <w:marBottom w:val="0"/>
      <w:divBdr>
        <w:top w:val="none" w:sz="0" w:space="0" w:color="auto"/>
        <w:left w:val="none" w:sz="0" w:space="0" w:color="auto"/>
        <w:bottom w:val="none" w:sz="0" w:space="0" w:color="auto"/>
        <w:right w:val="none" w:sz="0" w:space="0" w:color="auto"/>
      </w:divBdr>
    </w:div>
    <w:div w:id="1083062373">
      <w:bodyDiv w:val="1"/>
      <w:marLeft w:val="0"/>
      <w:marRight w:val="0"/>
      <w:marTop w:val="0"/>
      <w:marBottom w:val="0"/>
      <w:divBdr>
        <w:top w:val="none" w:sz="0" w:space="0" w:color="auto"/>
        <w:left w:val="none" w:sz="0" w:space="0" w:color="auto"/>
        <w:bottom w:val="none" w:sz="0" w:space="0" w:color="auto"/>
        <w:right w:val="none" w:sz="0" w:space="0" w:color="auto"/>
      </w:divBdr>
    </w:div>
    <w:div w:id="1237587962">
      <w:bodyDiv w:val="1"/>
      <w:marLeft w:val="0"/>
      <w:marRight w:val="0"/>
      <w:marTop w:val="0"/>
      <w:marBottom w:val="0"/>
      <w:divBdr>
        <w:top w:val="none" w:sz="0" w:space="0" w:color="auto"/>
        <w:left w:val="none" w:sz="0" w:space="0" w:color="auto"/>
        <w:bottom w:val="none" w:sz="0" w:space="0" w:color="auto"/>
        <w:right w:val="none" w:sz="0" w:space="0" w:color="auto"/>
      </w:divBdr>
    </w:div>
    <w:div w:id="1246955195">
      <w:bodyDiv w:val="1"/>
      <w:marLeft w:val="0"/>
      <w:marRight w:val="0"/>
      <w:marTop w:val="0"/>
      <w:marBottom w:val="0"/>
      <w:divBdr>
        <w:top w:val="none" w:sz="0" w:space="0" w:color="auto"/>
        <w:left w:val="none" w:sz="0" w:space="0" w:color="auto"/>
        <w:bottom w:val="none" w:sz="0" w:space="0" w:color="auto"/>
        <w:right w:val="none" w:sz="0" w:space="0" w:color="auto"/>
      </w:divBdr>
    </w:div>
    <w:div w:id="1341541585">
      <w:bodyDiv w:val="1"/>
      <w:marLeft w:val="0"/>
      <w:marRight w:val="0"/>
      <w:marTop w:val="0"/>
      <w:marBottom w:val="0"/>
      <w:divBdr>
        <w:top w:val="none" w:sz="0" w:space="0" w:color="auto"/>
        <w:left w:val="none" w:sz="0" w:space="0" w:color="auto"/>
        <w:bottom w:val="none" w:sz="0" w:space="0" w:color="auto"/>
        <w:right w:val="none" w:sz="0" w:space="0" w:color="auto"/>
      </w:divBdr>
    </w:div>
    <w:div w:id="1443958909">
      <w:bodyDiv w:val="1"/>
      <w:marLeft w:val="0"/>
      <w:marRight w:val="0"/>
      <w:marTop w:val="0"/>
      <w:marBottom w:val="0"/>
      <w:divBdr>
        <w:top w:val="none" w:sz="0" w:space="0" w:color="auto"/>
        <w:left w:val="none" w:sz="0" w:space="0" w:color="auto"/>
        <w:bottom w:val="none" w:sz="0" w:space="0" w:color="auto"/>
        <w:right w:val="none" w:sz="0" w:space="0" w:color="auto"/>
      </w:divBdr>
    </w:div>
    <w:div w:id="1458599372">
      <w:bodyDiv w:val="1"/>
      <w:marLeft w:val="0"/>
      <w:marRight w:val="0"/>
      <w:marTop w:val="0"/>
      <w:marBottom w:val="0"/>
      <w:divBdr>
        <w:top w:val="none" w:sz="0" w:space="0" w:color="auto"/>
        <w:left w:val="none" w:sz="0" w:space="0" w:color="auto"/>
        <w:bottom w:val="none" w:sz="0" w:space="0" w:color="auto"/>
        <w:right w:val="none" w:sz="0" w:space="0" w:color="auto"/>
      </w:divBdr>
    </w:div>
    <w:div w:id="1484858628">
      <w:bodyDiv w:val="1"/>
      <w:marLeft w:val="0"/>
      <w:marRight w:val="0"/>
      <w:marTop w:val="0"/>
      <w:marBottom w:val="0"/>
      <w:divBdr>
        <w:top w:val="none" w:sz="0" w:space="0" w:color="auto"/>
        <w:left w:val="none" w:sz="0" w:space="0" w:color="auto"/>
        <w:bottom w:val="none" w:sz="0" w:space="0" w:color="auto"/>
        <w:right w:val="none" w:sz="0" w:space="0" w:color="auto"/>
      </w:divBdr>
    </w:div>
    <w:div w:id="1544516615">
      <w:bodyDiv w:val="1"/>
      <w:marLeft w:val="0"/>
      <w:marRight w:val="0"/>
      <w:marTop w:val="0"/>
      <w:marBottom w:val="0"/>
      <w:divBdr>
        <w:top w:val="none" w:sz="0" w:space="0" w:color="auto"/>
        <w:left w:val="none" w:sz="0" w:space="0" w:color="auto"/>
        <w:bottom w:val="none" w:sz="0" w:space="0" w:color="auto"/>
        <w:right w:val="none" w:sz="0" w:space="0" w:color="auto"/>
      </w:divBdr>
    </w:div>
    <w:div w:id="1570657004">
      <w:bodyDiv w:val="1"/>
      <w:marLeft w:val="0"/>
      <w:marRight w:val="0"/>
      <w:marTop w:val="0"/>
      <w:marBottom w:val="0"/>
      <w:divBdr>
        <w:top w:val="none" w:sz="0" w:space="0" w:color="auto"/>
        <w:left w:val="none" w:sz="0" w:space="0" w:color="auto"/>
        <w:bottom w:val="none" w:sz="0" w:space="0" w:color="auto"/>
        <w:right w:val="none" w:sz="0" w:space="0" w:color="auto"/>
      </w:divBdr>
      <w:divsChild>
        <w:div w:id="640620077">
          <w:marLeft w:val="0"/>
          <w:marRight w:val="0"/>
          <w:marTop w:val="0"/>
          <w:marBottom w:val="0"/>
          <w:divBdr>
            <w:top w:val="none" w:sz="0" w:space="0" w:color="auto"/>
            <w:left w:val="none" w:sz="0" w:space="0" w:color="auto"/>
            <w:bottom w:val="none" w:sz="0" w:space="0" w:color="auto"/>
            <w:right w:val="none" w:sz="0" w:space="0" w:color="auto"/>
          </w:divBdr>
        </w:div>
      </w:divsChild>
    </w:div>
    <w:div w:id="1609846746">
      <w:bodyDiv w:val="1"/>
      <w:marLeft w:val="0"/>
      <w:marRight w:val="0"/>
      <w:marTop w:val="0"/>
      <w:marBottom w:val="0"/>
      <w:divBdr>
        <w:top w:val="none" w:sz="0" w:space="0" w:color="auto"/>
        <w:left w:val="none" w:sz="0" w:space="0" w:color="auto"/>
        <w:bottom w:val="none" w:sz="0" w:space="0" w:color="auto"/>
        <w:right w:val="none" w:sz="0" w:space="0" w:color="auto"/>
      </w:divBdr>
    </w:div>
    <w:div w:id="1633248387">
      <w:bodyDiv w:val="1"/>
      <w:marLeft w:val="0"/>
      <w:marRight w:val="0"/>
      <w:marTop w:val="0"/>
      <w:marBottom w:val="0"/>
      <w:divBdr>
        <w:top w:val="none" w:sz="0" w:space="0" w:color="auto"/>
        <w:left w:val="none" w:sz="0" w:space="0" w:color="auto"/>
        <w:bottom w:val="none" w:sz="0" w:space="0" w:color="auto"/>
        <w:right w:val="none" w:sz="0" w:space="0" w:color="auto"/>
      </w:divBdr>
    </w:div>
    <w:div w:id="1828016021">
      <w:bodyDiv w:val="1"/>
      <w:marLeft w:val="0"/>
      <w:marRight w:val="0"/>
      <w:marTop w:val="0"/>
      <w:marBottom w:val="0"/>
      <w:divBdr>
        <w:top w:val="none" w:sz="0" w:space="0" w:color="auto"/>
        <w:left w:val="none" w:sz="0" w:space="0" w:color="auto"/>
        <w:bottom w:val="none" w:sz="0" w:space="0" w:color="auto"/>
        <w:right w:val="none" w:sz="0" w:space="0" w:color="auto"/>
      </w:divBdr>
    </w:div>
    <w:div w:id="1843667885">
      <w:bodyDiv w:val="1"/>
      <w:marLeft w:val="0"/>
      <w:marRight w:val="0"/>
      <w:marTop w:val="0"/>
      <w:marBottom w:val="0"/>
      <w:divBdr>
        <w:top w:val="none" w:sz="0" w:space="0" w:color="auto"/>
        <w:left w:val="none" w:sz="0" w:space="0" w:color="auto"/>
        <w:bottom w:val="none" w:sz="0" w:space="0" w:color="auto"/>
        <w:right w:val="none" w:sz="0" w:space="0" w:color="auto"/>
      </w:divBdr>
    </w:div>
    <w:div w:id="1907840694">
      <w:bodyDiv w:val="1"/>
      <w:marLeft w:val="0"/>
      <w:marRight w:val="0"/>
      <w:marTop w:val="0"/>
      <w:marBottom w:val="0"/>
      <w:divBdr>
        <w:top w:val="none" w:sz="0" w:space="0" w:color="auto"/>
        <w:left w:val="none" w:sz="0" w:space="0" w:color="auto"/>
        <w:bottom w:val="none" w:sz="0" w:space="0" w:color="auto"/>
        <w:right w:val="none" w:sz="0" w:space="0" w:color="auto"/>
      </w:divBdr>
    </w:div>
    <w:div w:id="1943370249">
      <w:bodyDiv w:val="1"/>
      <w:marLeft w:val="0"/>
      <w:marRight w:val="0"/>
      <w:marTop w:val="0"/>
      <w:marBottom w:val="0"/>
      <w:divBdr>
        <w:top w:val="none" w:sz="0" w:space="0" w:color="auto"/>
        <w:left w:val="none" w:sz="0" w:space="0" w:color="auto"/>
        <w:bottom w:val="none" w:sz="0" w:space="0" w:color="auto"/>
        <w:right w:val="none" w:sz="0" w:space="0" w:color="auto"/>
      </w:divBdr>
    </w:div>
    <w:div w:id="2003585019">
      <w:bodyDiv w:val="1"/>
      <w:marLeft w:val="0"/>
      <w:marRight w:val="0"/>
      <w:marTop w:val="0"/>
      <w:marBottom w:val="0"/>
      <w:divBdr>
        <w:top w:val="none" w:sz="0" w:space="0" w:color="auto"/>
        <w:left w:val="none" w:sz="0" w:space="0" w:color="auto"/>
        <w:bottom w:val="none" w:sz="0" w:space="0" w:color="auto"/>
        <w:right w:val="none" w:sz="0" w:space="0" w:color="auto"/>
      </w:divBdr>
    </w:div>
    <w:div w:id="2052341594">
      <w:bodyDiv w:val="1"/>
      <w:marLeft w:val="0"/>
      <w:marRight w:val="0"/>
      <w:marTop w:val="0"/>
      <w:marBottom w:val="0"/>
      <w:divBdr>
        <w:top w:val="none" w:sz="0" w:space="0" w:color="auto"/>
        <w:left w:val="none" w:sz="0" w:space="0" w:color="auto"/>
        <w:bottom w:val="none" w:sz="0" w:space="0" w:color="auto"/>
        <w:right w:val="none" w:sz="0" w:space="0" w:color="auto"/>
      </w:divBdr>
    </w:div>
    <w:div w:id="2097171780">
      <w:bodyDiv w:val="1"/>
      <w:marLeft w:val="0"/>
      <w:marRight w:val="0"/>
      <w:marTop w:val="0"/>
      <w:marBottom w:val="0"/>
      <w:divBdr>
        <w:top w:val="none" w:sz="0" w:space="0" w:color="auto"/>
        <w:left w:val="none" w:sz="0" w:space="0" w:color="auto"/>
        <w:bottom w:val="none" w:sz="0" w:space="0" w:color="auto"/>
        <w:right w:val="none" w:sz="0" w:space="0" w:color="auto"/>
      </w:divBdr>
    </w:div>
    <w:div w:id="214048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iki.egi.eu/wiki/Acronym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iki.egi.eu/wiki/Glossar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documents.egi.eu/document/269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8" Type="http://schemas.openxmlformats.org/officeDocument/2006/relationships/hyperlink" Target="https://goo.gl/UgXmUq" TargetMode="External"/><Relationship Id="rId3" Type="http://schemas.openxmlformats.org/officeDocument/2006/relationships/hyperlink" Target="https://documents.egi.eu/public/ShowDocument?docid=2699" TargetMode="External"/><Relationship Id="rId7" Type="http://schemas.openxmlformats.org/officeDocument/2006/relationships/hyperlink" Target="https://documents.egi.eu/public/ShowDocument?docid=2875" TargetMode="External"/><Relationship Id="rId12" Type="http://schemas.openxmlformats.org/officeDocument/2006/relationships/hyperlink" Target="http://www.wipo.int/wipolex/en/details.jsp?id=12214" TargetMode="External"/><Relationship Id="rId2" Type="http://schemas.openxmlformats.org/officeDocument/2006/relationships/hyperlink" Target="https://ec.europa.eu/isa2/sites/isa/files/eif2.png" TargetMode="External"/><Relationship Id="rId1" Type="http://schemas.openxmlformats.org/officeDocument/2006/relationships/hyperlink" Target="http://www.ship-technology.com/features/featureusing-big-data-to-combat-illegal-fishing-5688984/" TargetMode="External"/><Relationship Id="rId6" Type="http://schemas.openxmlformats.org/officeDocument/2006/relationships/hyperlink" Target="http://www.ed.ac.uk/information-services/research-support/research-data-service/planning-your-data/writing-a-data-management-plan" TargetMode="External"/><Relationship Id="rId11" Type="http://schemas.openxmlformats.org/officeDocument/2006/relationships/hyperlink" Target="http://www.b-eye-network.com/view/15697" TargetMode="External"/><Relationship Id="rId5" Type="http://schemas.openxmlformats.org/officeDocument/2006/relationships/hyperlink" Target="https://wiki.egi.eu/wiki/EGI_OLA_SLA_framework#Service_Level_Agreemens" TargetMode="External"/><Relationship Id="rId10" Type="http://schemas.openxmlformats.org/officeDocument/2006/relationships/hyperlink" Target="http://law.leiden.edu/organisation/meijers/research-institute/data-management-2016.html" TargetMode="External"/><Relationship Id="rId4" Type="http://schemas.openxmlformats.org/officeDocument/2006/relationships/hyperlink" Target="https://wiki.egi.eu/wiki/EGI_OLA_SLA_framework#Operational_Level_Agreements" TargetMode="External"/><Relationship Id="rId9" Type="http://schemas.openxmlformats.org/officeDocument/2006/relationships/hyperlink" Target="https://ico.org.uk/for-organisations/guide-to-data-protection/key-defin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DF31E-14F4-48BA-9514-654250C79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21</Pages>
  <Words>6558</Words>
  <Characters>37386</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43857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5</cp:revision>
  <cp:lastPrinted>2017-10-19T10:38:00Z</cp:lastPrinted>
  <dcterms:created xsi:type="dcterms:W3CDTF">2017-08-31T15:17:00Z</dcterms:created>
  <dcterms:modified xsi:type="dcterms:W3CDTF">2017-10-19T10:38:00Z</dcterms:modified>
</cp:coreProperties>
</file>