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EDFCFB" w14:textId="77777777" w:rsidR="0040570A" w:rsidRPr="007255C2" w:rsidRDefault="0052784D" w:rsidP="0092234F">
      <w:pPr>
        <w:jc w:val="center"/>
        <w:rPr>
          <w:rFonts w:ascii="Calibri" w:hAnsi="Calibri" w:cs="Open Sans"/>
        </w:rPr>
      </w:pPr>
      <w:r>
        <w:rPr>
          <w:rFonts w:ascii="Calibri" w:hAnsi="Calibri" w:cs="Open Sans"/>
          <w:noProof/>
          <w:lang w:val="en-US"/>
        </w:rPr>
        <w:drawing>
          <wp:inline distT="0" distB="0" distL="0" distR="0" wp14:anchorId="4E79F32F" wp14:editId="3773383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29F9BA1B" w14:textId="3AD73544" w:rsidR="0040570A" w:rsidRPr="0092234F" w:rsidRDefault="00C76F12" w:rsidP="0092234F">
      <w:pPr>
        <w:jc w:val="center"/>
        <w:rPr>
          <w:rFonts w:ascii="Calibri" w:hAnsi="Calibri" w:cs="Open Sans"/>
          <w:b/>
          <w:sz w:val="44"/>
          <w:szCs w:val="44"/>
        </w:rPr>
      </w:pPr>
      <w:r>
        <w:rPr>
          <w:rFonts w:ascii="Calibri" w:hAnsi="Calibri" w:cs="Open Sans"/>
          <w:b/>
          <w:sz w:val="44"/>
          <w:szCs w:val="44"/>
        </w:rPr>
        <w:t>EGI Access</w:t>
      </w:r>
      <w:r w:rsidR="0092234F">
        <w:rPr>
          <w:rFonts w:ascii="Calibri" w:hAnsi="Calibri" w:cs="Open Sans"/>
          <w:b/>
          <w:sz w:val="44"/>
          <w:szCs w:val="44"/>
        </w:rPr>
        <w:t xml:space="preserve"> Platform</w:t>
      </w:r>
      <w:r>
        <w:rPr>
          <w:rFonts w:ascii="Calibri" w:hAnsi="Calibri" w:cs="Open Sans"/>
          <w:b/>
          <w:sz w:val="44"/>
          <w:szCs w:val="44"/>
        </w:rPr>
        <w:t xml:space="preserve"> </w:t>
      </w:r>
      <w:r w:rsidR="000934D0">
        <w:rPr>
          <w:rFonts w:ascii="Calibri" w:hAnsi="Calibri" w:cs="Open Sans"/>
          <w:b/>
          <w:sz w:val="44"/>
          <w:szCs w:val="44"/>
        </w:rPr>
        <w:t xml:space="preserve">- </w:t>
      </w:r>
      <w:r w:rsidR="0092234F" w:rsidRPr="0092234F">
        <w:rPr>
          <w:rFonts w:ascii="Calibri" w:hAnsi="Calibri" w:cs="Open Sans"/>
          <w:b/>
          <w:sz w:val="44"/>
          <w:szCs w:val="44"/>
        </w:rPr>
        <w:t>Security Policy</w:t>
      </w:r>
    </w:p>
    <w:p w14:paraId="6C655E18" w14:textId="77777777"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14:paraId="3AD04C92" w14:textId="77777777" w:rsidTr="0092234F">
        <w:trPr>
          <w:cantSplit/>
          <w:trHeight w:val="607"/>
          <w:jc w:val="center"/>
        </w:trPr>
        <w:tc>
          <w:tcPr>
            <w:tcW w:w="2484" w:type="dxa"/>
            <w:tcBorders>
              <w:top w:val="single" w:sz="24" w:space="0" w:color="000080"/>
            </w:tcBorders>
            <w:vAlign w:val="center"/>
          </w:tcPr>
          <w:p w14:paraId="07D7B915" w14:textId="77777777" w:rsidR="0037441B" w:rsidRPr="001B7332" w:rsidRDefault="0037441B" w:rsidP="000705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E3FF91" w14:textId="3363760A" w:rsidR="0037441B" w:rsidRPr="001B7332" w:rsidRDefault="0037441B" w:rsidP="000705B7">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w:t>
            </w:r>
            <w:r w:rsidR="00C76F12">
              <w:rPr>
                <w:rFonts w:ascii="Calibri" w:hAnsi="Calibri" w:cs="Calibri"/>
              </w:rPr>
              <w:t>Access</w:t>
            </w:r>
            <w:r w:rsidR="00245077">
              <w:rPr>
                <w:rFonts w:ascii="Calibri" w:hAnsi="Calibri" w:cs="Calibri"/>
              </w:rPr>
              <w:t>Platform</w:t>
            </w:r>
            <w:r w:rsidR="00262D91">
              <w:rPr>
                <w:rFonts w:ascii="Calibri" w:hAnsi="Calibri" w:cs="Calibri"/>
              </w:rPr>
              <w:t>-Security-Policy-v</w:t>
            </w:r>
            <w:r w:rsidR="00C76F12">
              <w:rPr>
                <w:rFonts w:ascii="Calibri" w:hAnsi="Calibri" w:cs="Calibri"/>
              </w:rPr>
              <w:t>5</w:t>
            </w:r>
          </w:p>
        </w:tc>
      </w:tr>
      <w:tr w:rsidR="0037441B" w:rsidRPr="001B7332" w14:paraId="382D7A28" w14:textId="77777777" w:rsidTr="0092234F">
        <w:trPr>
          <w:cantSplit/>
          <w:trHeight w:val="588"/>
          <w:jc w:val="center"/>
        </w:trPr>
        <w:tc>
          <w:tcPr>
            <w:tcW w:w="2484" w:type="dxa"/>
            <w:vAlign w:val="center"/>
          </w:tcPr>
          <w:p w14:paraId="64165048" w14:textId="77777777" w:rsidR="0037441B" w:rsidRPr="001B7332" w:rsidRDefault="0037441B" w:rsidP="000705B7">
            <w:pPr>
              <w:rPr>
                <w:rFonts w:ascii="Calibri" w:hAnsi="Calibri" w:cs="Calibri"/>
                <w:b/>
              </w:rPr>
            </w:pPr>
            <w:r w:rsidRPr="001B7332">
              <w:rPr>
                <w:rFonts w:ascii="Calibri" w:hAnsi="Calibri" w:cs="Calibri"/>
              </w:rPr>
              <w:t>Document Link</w:t>
            </w:r>
          </w:p>
        </w:tc>
        <w:tc>
          <w:tcPr>
            <w:tcW w:w="5877" w:type="dxa"/>
            <w:vAlign w:val="center"/>
          </w:tcPr>
          <w:p w14:paraId="4712D2CA" w14:textId="77777777" w:rsidR="0037441B" w:rsidRPr="001B7332" w:rsidRDefault="00E521AC" w:rsidP="000705B7">
            <w:pPr>
              <w:rPr>
                <w:rFonts w:ascii="Calibri" w:hAnsi="Calibri" w:cs="Calibri"/>
                <w:highlight w:val="yellow"/>
              </w:rPr>
            </w:pPr>
            <w:hyperlink r:id="rId10" w:history="1">
              <w:r w:rsidR="00262D91" w:rsidRPr="00332F39">
                <w:rPr>
                  <w:rStyle w:val="Hyperlink"/>
                  <w:rFonts w:ascii="Calibri" w:hAnsi="Calibri" w:cs="Calibri"/>
                </w:rPr>
                <w:t>https://documents.egi.eu/document/2734</w:t>
              </w:r>
            </w:hyperlink>
            <w:r w:rsidR="00262D91">
              <w:rPr>
                <w:rFonts w:ascii="Calibri" w:hAnsi="Calibri" w:cs="Calibri"/>
              </w:rPr>
              <w:t xml:space="preserve"> </w:t>
            </w:r>
          </w:p>
        </w:tc>
      </w:tr>
      <w:tr w:rsidR="0037441B" w:rsidRPr="001B7332" w14:paraId="389E9F8A" w14:textId="77777777" w:rsidTr="0092234F">
        <w:trPr>
          <w:cantSplit/>
          <w:trHeight w:val="496"/>
          <w:jc w:val="center"/>
        </w:trPr>
        <w:tc>
          <w:tcPr>
            <w:tcW w:w="2484" w:type="dxa"/>
            <w:vAlign w:val="center"/>
          </w:tcPr>
          <w:p w14:paraId="43B42427" w14:textId="77777777" w:rsidR="0037441B" w:rsidRPr="001B7332" w:rsidRDefault="0037441B" w:rsidP="000705B7">
            <w:pPr>
              <w:rPr>
                <w:rFonts w:ascii="Calibri" w:hAnsi="Calibri" w:cs="Calibri"/>
                <w:snapToGrid w:val="0"/>
              </w:rPr>
            </w:pPr>
            <w:r w:rsidRPr="001B7332">
              <w:rPr>
                <w:rFonts w:ascii="Calibri" w:hAnsi="Calibri" w:cs="Calibri"/>
                <w:snapToGrid w:val="0"/>
              </w:rPr>
              <w:t>Last Modified</w:t>
            </w:r>
          </w:p>
        </w:tc>
        <w:tc>
          <w:tcPr>
            <w:tcW w:w="5877" w:type="dxa"/>
            <w:vAlign w:val="center"/>
          </w:tcPr>
          <w:p w14:paraId="70DBBAEA" w14:textId="72F2F8B6" w:rsidR="0037441B" w:rsidRPr="006558DF" w:rsidRDefault="00C76F12" w:rsidP="000705B7">
            <w:pPr>
              <w:rPr>
                <w:rFonts w:ascii="Calibri" w:hAnsi="Calibri" w:cs="Calibri"/>
              </w:rPr>
            </w:pPr>
            <w:r>
              <w:rPr>
                <w:rFonts w:ascii="Calibri" w:hAnsi="Calibri" w:cs="Calibri"/>
              </w:rPr>
              <w:t>21</w:t>
            </w:r>
            <w:r w:rsidR="0037441B" w:rsidRPr="006558DF">
              <w:rPr>
                <w:rFonts w:ascii="Calibri" w:hAnsi="Calibri" w:cs="Calibri"/>
              </w:rPr>
              <w:t>/</w:t>
            </w:r>
            <w:r>
              <w:rPr>
                <w:rFonts w:ascii="Calibri" w:hAnsi="Calibri" w:cs="Calibri"/>
              </w:rPr>
              <w:t>10</w:t>
            </w:r>
            <w:r w:rsidR="0037441B" w:rsidRPr="006558DF">
              <w:rPr>
                <w:rFonts w:ascii="Calibri" w:hAnsi="Calibri" w:cs="Calibri"/>
              </w:rPr>
              <w:t>/</w:t>
            </w:r>
            <w:r w:rsidR="00E8729E" w:rsidRPr="006558DF">
              <w:rPr>
                <w:rFonts w:ascii="Calibri" w:hAnsi="Calibri" w:cs="Calibri"/>
              </w:rPr>
              <w:t>2016</w:t>
            </w:r>
          </w:p>
        </w:tc>
      </w:tr>
      <w:tr w:rsidR="0037441B" w:rsidRPr="001B7332" w14:paraId="293C1581" w14:textId="77777777" w:rsidTr="0092234F">
        <w:trPr>
          <w:cantSplit/>
          <w:trHeight w:val="496"/>
          <w:jc w:val="center"/>
        </w:trPr>
        <w:tc>
          <w:tcPr>
            <w:tcW w:w="2484" w:type="dxa"/>
            <w:vAlign w:val="center"/>
          </w:tcPr>
          <w:p w14:paraId="385B46C7" w14:textId="77777777" w:rsidR="0037441B" w:rsidRPr="001B7332" w:rsidRDefault="0037441B" w:rsidP="000705B7">
            <w:pPr>
              <w:rPr>
                <w:rFonts w:ascii="Calibri" w:hAnsi="Calibri" w:cs="Calibri"/>
                <w:snapToGrid w:val="0"/>
              </w:rPr>
            </w:pPr>
            <w:r w:rsidRPr="001B7332">
              <w:rPr>
                <w:rFonts w:ascii="Calibri" w:hAnsi="Calibri" w:cs="Calibri"/>
                <w:snapToGrid w:val="0"/>
              </w:rPr>
              <w:t>Version</w:t>
            </w:r>
          </w:p>
        </w:tc>
        <w:tc>
          <w:tcPr>
            <w:tcW w:w="5877" w:type="dxa"/>
            <w:vAlign w:val="center"/>
          </w:tcPr>
          <w:p w14:paraId="20B70B60" w14:textId="4AF77688" w:rsidR="0037441B" w:rsidRPr="006558DF" w:rsidRDefault="00C76F12" w:rsidP="000705B7">
            <w:pPr>
              <w:rPr>
                <w:rFonts w:ascii="Calibri" w:hAnsi="Calibri" w:cs="Calibri"/>
              </w:rPr>
            </w:pPr>
            <w:r>
              <w:rPr>
                <w:rFonts w:ascii="Calibri" w:hAnsi="Calibri" w:cs="Calibri"/>
              </w:rPr>
              <w:t>5</w:t>
            </w:r>
          </w:p>
        </w:tc>
      </w:tr>
      <w:tr w:rsidR="0037441B" w:rsidRPr="001B7332" w14:paraId="6CCE96C3" w14:textId="77777777" w:rsidTr="0092234F">
        <w:trPr>
          <w:cantSplit/>
          <w:trHeight w:val="496"/>
          <w:jc w:val="center"/>
        </w:trPr>
        <w:tc>
          <w:tcPr>
            <w:tcW w:w="2484" w:type="dxa"/>
            <w:vAlign w:val="center"/>
          </w:tcPr>
          <w:p w14:paraId="0111AF1D" w14:textId="77777777" w:rsidR="0037441B" w:rsidRPr="001B7332" w:rsidRDefault="0037441B" w:rsidP="000705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1E779652" w14:textId="77777777" w:rsidR="0037441B" w:rsidRPr="006558DF" w:rsidRDefault="00E8729E" w:rsidP="000705B7">
            <w:pPr>
              <w:rPr>
                <w:rFonts w:ascii="Calibri" w:hAnsi="Calibri" w:cs="Calibri"/>
              </w:rPr>
            </w:pPr>
            <w:r w:rsidRPr="006558DF">
              <w:rPr>
                <w:rFonts w:ascii="Calibri" w:hAnsi="Calibri" w:cs="Calibri"/>
              </w:rPr>
              <w:t>SPG</w:t>
            </w:r>
          </w:p>
        </w:tc>
      </w:tr>
      <w:tr w:rsidR="0037441B" w:rsidRPr="001B7332" w14:paraId="69328C5D" w14:textId="77777777" w:rsidTr="0092234F">
        <w:trPr>
          <w:cantSplit/>
          <w:trHeight w:val="496"/>
          <w:jc w:val="center"/>
        </w:trPr>
        <w:tc>
          <w:tcPr>
            <w:tcW w:w="2484" w:type="dxa"/>
            <w:vAlign w:val="center"/>
          </w:tcPr>
          <w:p w14:paraId="4C7AAD6A" w14:textId="77777777" w:rsidR="0037441B" w:rsidRPr="001B7332" w:rsidRDefault="0037441B" w:rsidP="000705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195B9367" w14:textId="77777777" w:rsidR="0037441B" w:rsidRPr="006558DF" w:rsidRDefault="00E8729E" w:rsidP="000705B7">
            <w:pPr>
              <w:rPr>
                <w:rFonts w:ascii="Calibri" w:hAnsi="Calibri" w:cs="Calibri"/>
              </w:rPr>
            </w:pPr>
            <w:r w:rsidRPr="006558DF">
              <w:rPr>
                <w:rFonts w:ascii="Calibri" w:hAnsi="Calibri" w:cs="Calibri"/>
              </w:rPr>
              <w:t>Security Policy Group</w:t>
            </w:r>
          </w:p>
        </w:tc>
      </w:tr>
      <w:tr w:rsidR="0037441B" w:rsidRPr="001B7332" w14:paraId="307A2BC4" w14:textId="77777777" w:rsidTr="0092234F">
        <w:trPr>
          <w:cantSplit/>
          <w:trHeight w:val="496"/>
          <w:jc w:val="center"/>
        </w:trPr>
        <w:tc>
          <w:tcPr>
            <w:tcW w:w="2484" w:type="dxa"/>
            <w:vAlign w:val="center"/>
          </w:tcPr>
          <w:p w14:paraId="533FC398" w14:textId="77777777" w:rsidR="0037441B" w:rsidRPr="001B7332" w:rsidRDefault="0037441B" w:rsidP="000705B7">
            <w:pPr>
              <w:pStyle w:val="Header"/>
              <w:rPr>
                <w:rFonts w:ascii="Calibri" w:hAnsi="Calibri" w:cs="Calibri"/>
              </w:rPr>
            </w:pPr>
            <w:r w:rsidRPr="001B7332">
              <w:rPr>
                <w:rFonts w:ascii="Calibri" w:hAnsi="Calibri" w:cs="Calibri"/>
              </w:rPr>
              <w:t>Contact Person</w:t>
            </w:r>
          </w:p>
        </w:tc>
        <w:tc>
          <w:tcPr>
            <w:tcW w:w="5877" w:type="dxa"/>
            <w:vAlign w:val="center"/>
          </w:tcPr>
          <w:p w14:paraId="503F8911" w14:textId="77777777" w:rsidR="0037441B" w:rsidRPr="006558DF" w:rsidRDefault="00E8729E" w:rsidP="000705B7">
            <w:pPr>
              <w:rPr>
                <w:rFonts w:ascii="Calibri" w:hAnsi="Calibri" w:cs="Calibri"/>
              </w:rPr>
            </w:pPr>
            <w:r w:rsidRPr="006558DF">
              <w:rPr>
                <w:rFonts w:ascii="Calibri" w:hAnsi="Calibri" w:cs="Calibri"/>
              </w:rPr>
              <w:t>David Kelsey</w:t>
            </w:r>
            <w:r w:rsidR="0092234F">
              <w:rPr>
                <w:rFonts w:ascii="Calibri" w:hAnsi="Calibri" w:cs="Calibri"/>
              </w:rPr>
              <w:t xml:space="preserve"> </w:t>
            </w:r>
            <w:r w:rsidRPr="006558DF">
              <w:rPr>
                <w:rFonts w:ascii="Calibri" w:hAnsi="Calibri" w:cs="Calibri"/>
              </w:rPr>
              <w:t>/</w:t>
            </w:r>
            <w:r w:rsidR="0092234F">
              <w:rPr>
                <w:rFonts w:ascii="Calibri" w:hAnsi="Calibri" w:cs="Calibri"/>
              </w:rPr>
              <w:t xml:space="preserve"> </w:t>
            </w:r>
            <w:r w:rsidRPr="006558DF">
              <w:rPr>
                <w:rFonts w:ascii="Calibri" w:hAnsi="Calibri" w:cs="Calibri"/>
              </w:rPr>
              <w:t>STFC</w:t>
            </w:r>
          </w:p>
        </w:tc>
      </w:tr>
      <w:tr w:rsidR="0037441B" w:rsidRPr="001B7332" w14:paraId="7F7254B4" w14:textId="77777777" w:rsidTr="0092234F">
        <w:trPr>
          <w:cantSplit/>
          <w:trHeight w:val="496"/>
          <w:jc w:val="center"/>
        </w:trPr>
        <w:tc>
          <w:tcPr>
            <w:tcW w:w="2484" w:type="dxa"/>
            <w:vAlign w:val="center"/>
          </w:tcPr>
          <w:p w14:paraId="59EDC8D5" w14:textId="77777777" w:rsidR="0037441B" w:rsidRPr="001B7332" w:rsidRDefault="0037441B" w:rsidP="000705B7">
            <w:pPr>
              <w:pStyle w:val="Header"/>
              <w:rPr>
                <w:rFonts w:ascii="Calibri" w:hAnsi="Calibri" w:cs="Calibri"/>
              </w:rPr>
            </w:pPr>
            <w:r w:rsidRPr="001B7332">
              <w:rPr>
                <w:rFonts w:ascii="Calibri" w:hAnsi="Calibri" w:cs="Calibri"/>
              </w:rPr>
              <w:t>Document Type</w:t>
            </w:r>
          </w:p>
        </w:tc>
        <w:tc>
          <w:tcPr>
            <w:tcW w:w="5877" w:type="dxa"/>
            <w:vAlign w:val="center"/>
          </w:tcPr>
          <w:p w14:paraId="123E69ED" w14:textId="77777777" w:rsidR="0037441B" w:rsidRPr="006558DF" w:rsidRDefault="0092234F" w:rsidP="000705B7">
            <w:pPr>
              <w:rPr>
                <w:rFonts w:ascii="Calibri" w:hAnsi="Calibri" w:cs="Calibri"/>
              </w:rPr>
            </w:pPr>
            <w:r>
              <w:rPr>
                <w:rFonts w:ascii="Calibri" w:hAnsi="Calibri" w:cs="Calibri"/>
              </w:rPr>
              <w:t xml:space="preserve">Security </w:t>
            </w:r>
            <w:r w:rsidR="00E8729E" w:rsidRPr="006558DF">
              <w:rPr>
                <w:rFonts w:ascii="Calibri" w:hAnsi="Calibri" w:cs="Calibri"/>
              </w:rPr>
              <w:t>Policy</w:t>
            </w:r>
          </w:p>
        </w:tc>
      </w:tr>
      <w:tr w:rsidR="0037441B" w:rsidRPr="001B7332" w14:paraId="50B2A0BF" w14:textId="77777777" w:rsidTr="0092234F">
        <w:trPr>
          <w:cantSplit/>
          <w:trHeight w:val="514"/>
          <w:jc w:val="center"/>
        </w:trPr>
        <w:tc>
          <w:tcPr>
            <w:tcW w:w="2484" w:type="dxa"/>
            <w:vAlign w:val="center"/>
          </w:tcPr>
          <w:p w14:paraId="0A1F1BDC" w14:textId="77777777" w:rsidR="0037441B" w:rsidRPr="001B7332" w:rsidRDefault="0037441B" w:rsidP="000705B7">
            <w:pPr>
              <w:pStyle w:val="Header"/>
              <w:rPr>
                <w:rFonts w:ascii="Calibri" w:hAnsi="Calibri" w:cs="Calibri"/>
              </w:rPr>
            </w:pPr>
            <w:r w:rsidRPr="001B7332">
              <w:rPr>
                <w:rFonts w:ascii="Calibri" w:hAnsi="Calibri" w:cs="Calibri"/>
              </w:rPr>
              <w:t>Approved by</w:t>
            </w:r>
          </w:p>
        </w:tc>
        <w:tc>
          <w:tcPr>
            <w:tcW w:w="5877" w:type="dxa"/>
            <w:vAlign w:val="center"/>
          </w:tcPr>
          <w:p w14:paraId="667C7C1F" w14:textId="712CB633" w:rsidR="0037441B" w:rsidRPr="001B7332" w:rsidRDefault="0014705E" w:rsidP="000705B7">
            <w:pPr>
              <w:rPr>
                <w:rFonts w:ascii="Calibri" w:hAnsi="Calibri" w:cs="Calibri"/>
                <w:highlight w:val="yellow"/>
              </w:rPr>
            </w:pPr>
            <w:r w:rsidRPr="0081228D">
              <w:rPr>
                <w:rFonts w:ascii="Calibri" w:hAnsi="Calibri" w:cs="Calibri"/>
              </w:rPr>
              <w:t>EGI Foundation Executive Board</w:t>
            </w:r>
          </w:p>
        </w:tc>
      </w:tr>
      <w:tr w:rsidR="0037441B" w:rsidRPr="001B7332" w14:paraId="0426DC20" w14:textId="77777777" w:rsidTr="0092234F">
        <w:trPr>
          <w:cantSplit/>
          <w:trHeight w:val="496"/>
          <w:jc w:val="center"/>
        </w:trPr>
        <w:tc>
          <w:tcPr>
            <w:tcW w:w="2484" w:type="dxa"/>
            <w:tcBorders>
              <w:bottom w:val="single" w:sz="24" w:space="0" w:color="000080"/>
            </w:tcBorders>
            <w:vAlign w:val="center"/>
          </w:tcPr>
          <w:p w14:paraId="6FCD94BA" w14:textId="77777777" w:rsidR="0037441B" w:rsidRPr="000934D0" w:rsidRDefault="0037441B" w:rsidP="000705B7">
            <w:pPr>
              <w:pStyle w:val="Header"/>
              <w:rPr>
                <w:rFonts w:ascii="Calibri" w:hAnsi="Calibri" w:cs="Calibri"/>
              </w:rPr>
            </w:pPr>
            <w:r w:rsidRPr="000934D0">
              <w:rPr>
                <w:rFonts w:ascii="Calibri" w:hAnsi="Calibri" w:cs="Calibri"/>
              </w:rPr>
              <w:t>Approved Date</w:t>
            </w:r>
          </w:p>
        </w:tc>
        <w:tc>
          <w:tcPr>
            <w:tcW w:w="5877" w:type="dxa"/>
            <w:tcBorders>
              <w:bottom w:val="single" w:sz="24" w:space="0" w:color="000080"/>
            </w:tcBorders>
            <w:vAlign w:val="center"/>
          </w:tcPr>
          <w:p w14:paraId="3CCF9F81" w14:textId="66DEF0CF" w:rsidR="0037441B" w:rsidRPr="00262D91" w:rsidRDefault="000934D0" w:rsidP="000705B7">
            <w:pPr>
              <w:rPr>
                <w:rFonts w:ascii="Calibri" w:hAnsi="Calibri" w:cs="Calibri"/>
              </w:rPr>
            </w:pPr>
            <w:r w:rsidRPr="000934D0">
              <w:rPr>
                <w:rFonts w:ascii="Calibri" w:hAnsi="Calibri" w:cs="Calibri"/>
              </w:rPr>
              <w:t>10/10/2016</w:t>
            </w:r>
          </w:p>
        </w:tc>
      </w:tr>
    </w:tbl>
    <w:p w14:paraId="61D77D4E" w14:textId="77777777" w:rsidR="00856934" w:rsidRPr="007255C2" w:rsidRDefault="00856934">
      <w:pPr>
        <w:rPr>
          <w:rFonts w:ascii="Calibri" w:hAnsi="Calibri" w:cs="Open Sans"/>
        </w:rPr>
        <w:sectPr w:rsidR="00856934" w:rsidRPr="007255C2" w:rsidSect="0092234F">
          <w:footerReference w:type="default" r:id="rId11"/>
          <w:pgSz w:w="11906" w:h="16838"/>
          <w:pgMar w:top="1276" w:right="1418" w:bottom="1418" w:left="1418" w:header="708" w:footer="248" w:gutter="0"/>
          <w:cols w:space="720"/>
          <w:docGrid w:linePitch="360"/>
        </w:sectPr>
      </w:pPr>
      <w:bookmarkStart w:id="0" w:name="_GoBack"/>
      <w:bookmarkEnd w:id="0"/>
    </w:p>
    <w:p w14:paraId="22EF16B1" w14:textId="77777777" w:rsidR="0040570A" w:rsidRPr="007255C2" w:rsidRDefault="0040570A">
      <w:pPr>
        <w:pStyle w:val="TOC1"/>
        <w:rPr>
          <w:rFonts w:ascii="Calibri" w:hAnsi="Calibri" w:cs="Open Sans"/>
        </w:rPr>
        <w:sectPr w:rsidR="0040570A" w:rsidRPr="007255C2" w:rsidSect="009223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C99651" w14:textId="77777777" w:rsidR="003E690B" w:rsidRDefault="0040570A">
      <w:pPr>
        <w:pStyle w:val="TOC1"/>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E690B" w:rsidRPr="00524A48">
        <w:rPr>
          <w:rFonts w:ascii="Calibri" w:hAnsi="Calibri" w:cs="Open Sans"/>
          <w:noProof/>
        </w:rPr>
        <w:t>1</w:t>
      </w:r>
      <w:r w:rsidR="003E690B">
        <w:rPr>
          <w:rFonts w:asciiTheme="minorHAnsi" w:eastAsiaTheme="minorEastAsia" w:hAnsiTheme="minorHAnsi" w:cstheme="minorBidi"/>
          <w:b w:val="0"/>
          <w:caps w:val="0"/>
          <w:noProof/>
          <w:sz w:val="24"/>
          <w:lang w:val="en-US" w:eastAsia="ja-JP"/>
        </w:rPr>
        <w:tab/>
      </w:r>
      <w:r w:rsidR="003E690B" w:rsidRPr="00524A48">
        <w:rPr>
          <w:rFonts w:ascii="Calibri" w:hAnsi="Calibri" w:cs="Open Sans"/>
          <w:noProof/>
        </w:rPr>
        <w:t>Introduction</w:t>
      </w:r>
      <w:r w:rsidR="003E690B">
        <w:rPr>
          <w:noProof/>
        </w:rPr>
        <w:tab/>
      </w:r>
      <w:r w:rsidR="003E690B">
        <w:rPr>
          <w:noProof/>
        </w:rPr>
        <w:fldChar w:fldCharType="begin"/>
      </w:r>
      <w:r w:rsidR="003E690B">
        <w:rPr>
          <w:noProof/>
        </w:rPr>
        <w:instrText xml:space="preserve"> PAGEREF _Toc338670797 \h </w:instrText>
      </w:r>
      <w:r w:rsidR="003E690B">
        <w:rPr>
          <w:noProof/>
        </w:rPr>
      </w:r>
      <w:r w:rsidR="003E690B">
        <w:rPr>
          <w:noProof/>
        </w:rPr>
        <w:fldChar w:fldCharType="separate"/>
      </w:r>
      <w:r w:rsidR="000705B7">
        <w:rPr>
          <w:noProof/>
        </w:rPr>
        <w:t>4</w:t>
      </w:r>
      <w:r w:rsidR="003E690B">
        <w:rPr>
          <w:noProof/>
        </w:rPr>
        <w:fldChar w:fldCharType="end"/>
      </w:r>
    </w:p>
    <w:p w14:paraId="7B985E1D"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Scope</w:t>
      </w:r>
      <w:r>
        <w:rPr>
          <w:noProof/>
        </w:rPr>
        <w:tab/>
      </w:r>
      <w:r>
        <w:rPr>
          <w:noProof/>
        </w:rPr>
        <w:fldChar w:fldCharType="begin"/>
      </w:r>
      <w:r>
        <w:rPr>
          <w:noProof/>
        </w:rPr>
        <w:instrText xml:space="preserve"> PAGEREF _Toc338670798 \h </w:instrText>
      </w:r>
      <w:r>
        <w:rPr>
          <w:noProof/>
        </w:rPr>
      </w:r>
      <w:r>
        <w:rPr>
          <w:noProof/>
        </w:rPr>
        <w:fldChar w:fldCharType="separate"/>
      </w:r>
      <w:r w:rsidR="000705B7">
        <w:rPr>
          <w:noProof/>
        </w:rPr>
        <w:t>4</w:t>
      </w:r>
      <w:r>
        <w:rPr>
          <w:noProof/>
        </w:rPr>
        <w:fldChar w:fldCharType="end"/>
      </w:r>
    </w:p>
    <w:p w14:paraId="1F5F83AF"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Vocabulary</w:t>
      </w:r>
      <w:r>
        <w:rPr>
          <w:noProof/>
        </w:rPr>
        <w:tab/>
      </w:r>
      <w:r>
        <w:rPr>
          <w:noProof/>
        </w:rPr>
        <w:fldChar w:fldCharType="begin"/>
      </w:r>
      <w:r>
        <w:rPr>
          <w:noProof/>
        </w:rPr>
        <w:instrText xml:space="preserve"> PAGEREF _Toc338670799 \h </w:instrText>
      </w:r>
      <w:r>
        <w:rPr>
          <w:noProof/>
        </w:rPr>
      </w:r>
      <w:r>
        <w:rPr>
          <w:noProof/>
        </w:rPr>
        <w:fldChar w:fldCharType="separate"/>
      </w:r>
      <w:r w:rsidR="000705B7">
        <w:rPr>
          <w:noProof/>
        </w:rPr>
        <w:t>4</w:t>
      </w:r>
      <w:r>
        <w:rPr>
          <w:noProof/>
        </w:rPr>
        <w:fldChar w:fldCharType="end"/>
      </w:r>
    </w:p>
    <w:p w14:paraId="2E4BA1DF"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Aims</w:t>
      </w:r>
      <w:r>
        <w:rPr>
          <w:noProof/>
        </w:rPr>
        <w:tab/>
      </w:r>
      <w:r>
        <w:rPr>
          <w:noProof/>
        </w:rPr>
        <w:fldChar w:fldCharType="begin"/>
      </w:r>
      <w:r>
        <w:rPr>
          <w:noProof/>
        </w:rPr>
        <w:instrText xml:space="preserve"> PAGEREF _Toc338670800 \h </w:instrText>
      </w:r>
      <w:r>
        <w:rPr>
          <w:noProof/>
        </w:rPr>
      </w:r>
      <w:r>
        <w:rPr>
          <w:noProof/>
        </w:rPr>
        <w:fldChar w:fldCharType="separate"/>
      </w:r>
      <w:r w:rsidR="000705B7">
        <w:rPr>
          <w:noProof/>
        </w:rPr>
        <w:t>5</w:t>
      </w:r>
      <w:r>
        <w:rPr>
          <w:noProof/>
        </w:rPr>
        <w:fldChar w:fldCharType="end"/>
      </w:r>
    </w:p>
    <w:p w14:paraId="268DC4ED" w14:textId="77777777" w:rsidR="003E690B" w:rsidRDefault="003E690B">
      <w:pPr>
        <w:pStyle w:val="TOC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policy</w:t>
      </w:r>
      <w:r>
        <w:rPr>
          <w:noProof/>
        </w:rPr>
        <w:tab/>
      </w:r>
      <w:r>
        <w:rPr>
          <w:noProof/>
        </w:rPr>
        <w:fldChar w:fldCharType="begin"/>
      </w:r>
      <w:r>
        <w:rPr>
          <w:noProof/>
        </w:rPr>
        <w:instrText xml:space="preserve"> PAGEREF _Toc338670801 \h </w:instrText>
      </w:r>
      <w:r>
        <w:rPr>
          <w:noProof/>
        </w:rPr>
      </w:r>
      <w:r>
        <w:rPr>
          <w:noProof/>
        </w:rPr>
        <w:fldChar w:fldCharType="separate"/>
      </w:r>
      <w:r w:rsidR="000705B7">
        <w:rPr>
          <w:noProof/>
        </w:rPr>
        <w:t>6</w:t>
      </w:r>
      <w:r>
        <w:rPr>
          <w:noProof/>
        </w:rPr>
        <w:fldChar w:fldCharType="end"/>
      </w:r>
    </w:p>
    <w:p w14:paraId="27C87491" w14:textId="77777777" w:rsidR="003E690B" w:rsidRDefault="003E690B">
      <w:pPr>
        <w:pStyle w:val="TOC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implementation guidelines</w:t>
      </w:r>
      <w:r>
        <w:rPr>
          <w:noProof/>
        </w:rPr>
        <w:tab/>
      </w:r>
      <w:r>
        <w:rPr>
          <w:noProof/>
        </w:rPr>
        <w:fldChar w:fldCharType="begin"/>
      </w:r>
      <w:r>
        <w:rPr>
          <w:noProof/>
        </w:rPr>
        <w:instrText xml:space="preserve"> PAGEREF _Toc338670802 \h </w:instrText>
      </w:r>
      <w:r>
        <w:rPr>
          <w:noProof/>
        </w:rPr>
      </w:r>
      <w:r>
        <w:rPr>
          <w:noProof/>
        </w:rPr>
        <w:fldChar w:fldCharType="separate"/>
      </w:r>
      <w:r w:rsidR="000705B7">
        <w:rPr>
          <w:noProof/>
        </w:rPr>
        <w:t>7</w:t>
      </w:r>
      <w:r>
        <w:rPr>
          <w:noProof/>
        </w:rPr>
        <w:fldChar w:fldCharType="end"/>
      </w:r>
    </w:p>
    <w:p w14:paraId="502CA88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Operational Security Capability</w:t>
      </w:r>
      <w:r>
        <w:rPr>
          <w:noProof/>
        </w:rPr>
        <w:tab/>
      </w:r>
      <w:r>
        <w:rPr>
          <w:noProof/>
        </w:rPr>
        <w:fldChar w:fldCharType="begin"/>
      </w:r>
      <w:r>
        <w:rPr>
          <w:noProof/>
        </w:rPr>
        <w:instrText xml:space="preserve"> PAGEREF _Toc338670803 \h </w:instrText>
      </w:r>
      <w:r>
        <w:rPr>
          <w:noProof/>
        </w:rPr>
      </w:r>
      <w:r>
        <w:rPr>
          <w:noProof/>
        </w:rPr>
        <w:fldChar w:fldCharType="separate"/>
      </w:r>
      <w:r w:rsidR="000705B7">
        <w:rPr>
          <w:noProof/>
        </w:rPr>
        <w:t>7</w:t>
      </w:r>
      <w:r>
        <w:rPr>
          <w:noProof/>
        </w:rPr>
        <w:fldChar w:fldCharType="end"/>
      </w:r>
    </w:p>
    <w:p w14:paraId="5C4B2D2C"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Application and allocation</w:t>
      </w:r>
      <w:r>
        <w:rPr>
          <w:noProof/>
        </w:rPr>
        <w:tab/>
      </w:r>
      <w:r>
        <w:rPr>
          <w:noProof/>
        </w:rPr>
        <w:fldChar w:fldCharType="begin"/>
      </w:r>
      <w:r>
        <w:rPr>
          <w:noProof/>
        </w:rPr>
        <w:instrText xml:space="preserve"> PAGEREF _Toc338670804 \h </w:instrText>
      </w:r>
      <w:r>
        <w:rPr>
          <w:noProof/>
        </w:rPr>
      </w:r>
      <w:r>
        <w:rPr>
          <w:noProof/>
        </w:rPr>
        <w:fldChar w:fldCharType="separate"/>
      </w:r>
      <w:r w:rsidR="000705B7">
        <w:rPr>
          <w:noProof/>
        </w:rPr>
        <w:t>7</w:t>
      </w:r>
      <w:r>
        <w:rPr>
          <w:noProof/>
        </w:rPr>
        <w:fldChar w:fldCharType="end"/>
      </w:r>
    </w:p>
    <w:p w14:paraId="4B10C5C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Identification and registration</w:t>
      </w:r>
      <w:r>
        <w:rPr>
          <w:noProof/>
        </w:rPr>
        <w:tab/>
      </w:r>
      <w:r>
        <w:rPr>
          <w:noProof/>
        </w:rPr>
        <w:fldChar w:fldCharType="begin"/>
      </w:r>
      <w:r>
        <w:rPr>
          <w:noProof/>
        </w:rPr>
        <w:instrText xml:space="preserve"> PAGEREF _Toc338670805 \h </w:instrText>
      </w:r>
      <w:r>
        <w:rPr>
          <w:noProof/>
        </w:rPr>
      </w:r>
      <w:r>
        <w:rPr>
          <w:noProof/>
        </w:rPr>
        <w:fldChar w:fldCharType="separate"/>
      </w:r>
      <w:r w:rsidR="000705B7">
        <w:rPr>
          <w:noProof/>
        </w:rPr>
        <w:t>8</w:t>
      </w:r>
      <w:r>
        <w:rPr>
          <w:noProof/>
        </w:rPr>
        <w:fldChar w:fldCharType="end"/>
      </w:r>
    </w:p>
    <w:p w14:paraId="5D813AFD"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3.4</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Compensatory Controls</w:t>
      </w:r>
      <w:r>
        <w:rPr>
          <w:noProof/>
        </w:rPr>
        <w:tab/>
      </w:r>
      <w:r>
        <w:rPr>
          <w:noProof/>
        </w:rPr>
        <w:fldChar w:fldCharType="begin"/>
      </w:r>
      <w:r>
        <w:rPr>
          <w:noProof/>
        </w:rPr>
        <w:instrText xml:space="preserve"> PAGEREF _Toc338670806 \h </w:instrText>
      </w:r>
      <w:r>
        <w:rPr>
          <w:noProof/>
        </w:rPr>
      </w:r>
      <w:r>
        <w:rPr>
          <w:noProof/>
        </w:rPr>
        <w:fldChar w:fldCharType="separate"/>
      </w:r>
      <w:r w:rsidR="000705B7">
        <w:rPr>
          <w:noProof/>
        </w:rPr>
        <w:t>9</w:t>
      </w:r>
      <w:r>
        <w:rPr>
          <w:noProof/>
        </w:rPr>
        <w:fldChar w:fldCharType="end"/>
      </w:r>
    </w:p>
    <w:p w14:paraId="41C0DCD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3.5</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User awareness and permissible use</w:t>
      </w:r>
      <w:r>
        <w:rPr>
          <w:noProof/>
        </w:rPr>
        <w:tab/>
      </w:r>
      <w:r>
        <w:rPr>
          <w:noProof/>
        </w:rPr>
        <w:fldChar w:fldCharType="begin"/>
      </w:r>
      <w:r>
        <w:rPr>
          <w:noProof/>
        </w:rPr>
        <w:instrText xml:space="preserve"> PAGEREF _Toc338670807 \h </w:instrText>
      </w:r>
      <w:r>
        <w:rPr>
          <w:noProof/>
        </w:rPr>
      </w:r>
      <w:r>
        <w:rPr>
          <w:noProof/>
        </w:rPr>
        <w:fldChar w:fldCharType="separate"/>
      </w:r>
      <w:r w:rsidR="000705B7">
        <w:rPr>
          <w:noProof/>
        </w:rPr>
        <w:t>10</w:t>
      </w:r>
      <w:r>
        <w:rPr>
          <w:noProof/>
        </w:rPr>
        <w:fldChar w:fldCharType="end"/>
      </w:r>
    </w:p>
    <w:p w14:paraId="181E9FBF" w14:textId="77777777" w:rsidR="0040570A" w:rsidRPr="007255C2" w:rsidRDefault="0040570A">
      <w:pPr>
        <w:pStyle w:val="TOC1"/>
        <w:tabs>
          <w:tab w:val="clear" w:pos="9054"/>
          <w:tab w:val="right" w:leader="dot" w:pos="9070"/>
        </w:tabs>
        <w:rPr>
          <w:rFonts w:ascii="Calibri" w:hAnsi="Calibri" w:cs="Open Sans"/>
        </w:rPr>
        <w:sectPr w:rsidR="0040570A" w:rsidRPr="007255C2" w:rsidSect="0092234F">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9E30E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46A55E26"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119AF8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5A3FEC78" wp14:editId="615F9FAB">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1705C3C" w14:textId="77777777" w:rsidR="0037441B" w:rsidRDefault="0092234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2E8F437D"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410"/>
        <w:gridCol w:w="3867"/>
        <w:gridCol w:w="2016"/>
      </w:tblGrid>
      <w:tr w:rsidR="0092234F" w:rsidRPr="00800CB1" w14:paraId="78AC80D5" w14:textId="77777777" w:rsidTr="0092234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CD625" w14:textId="77777777" w:rsidR="0037441B" w:rsidRPr="00800CB1" w:rsidRDefault="0037441B" w:rsidP="0092234F">
            <w:pPr>
              <w:spacing w:before="60" w:after="60"/>
              <w:jc w:val="center"/>
              <w:rPr>
                <w:rFonts w:ascii="Calibri" w:hAnsi="Calibri" w:cs="Calibri"/>
                <w:b/>
                <w:szCs w:val="24"/>
              </w:rPr>
            </w:pPr>
          </w:p>
        </w:tc>
        <w:tc>
          <w:tcPr>
            <w:tcW w:w="2410" w:type="dxa"/>
            <w:tcBorders>
              <w:top w:val="single" w:sz="4" w:space="0" w:color="auto"/>
              <w:left w:val="nil"/>
              <w:bottom w:val="single" w:sz="4" w:space="0" w:color="auto"/>
            </w:tcBorders>
            <w:shd w:val="clear" w:color="auto" w:fill="B8CCE4" w:themeFill="accent1" w:themeFillTint="66"/>
          </w:tcPr>
          <w:p w14:paraId="72502B12"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Name</w:t>
            </w:r>
          </w:p>
        </w:tc>
        <w:tc>
          <w:tcPr>
            <w:tcW w:w="3867" w:type="dxa"/>
            <w:tcBorders>
              <w:top w:val="single" w:sz="4" w:space="0" w:color="auto"/>
              <w:bottom w:val="single" w:sz="4" w:space="0" w:color="auto"/>
              <w:right w:val="single" w:sz="4" w:space="0" w:color="auto"/>
            </w:tcBorders>
            <w:shd w:val="clear" w:color="auto" w:fill="B8CCE4" w:themeFill="accent1" w:themeFillTint="66"/>
          </w:tcPr>
          <w:p w14:paraId="08914562" w14:textId="2520AE99" w:rsidR="0037441B" w:rsidRPr="00800CB1" w:rsidRDefault="0037441B" w:rsidP="00C76F12">
            <w:pPr>
              <w:spacing w:before="60" w:after="60"/>
              <w:jc w:val="center"/>
              <w:rPr>
                <w:rFonts w:ascii="Calibri" w:hAnsi="Calibri" w:cs="Calibri"/>
                <w:b/>
                <w:szCs w:val="24"/>
              </w:rPr>
            </w:pPr>
            <w:r w:rsidRPr="00353152">
              <w:rPr>
                <w:rFonts w:ascii="Calibri" w:hAnsi="Calibri" w:cs="Calibri"/>
                <w:b/>
                <w:szCs w:val="24"/>
              </w:rPr>
              <w:t>Partner</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F6D2F"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Date</w:t>
            </w:r>
          </w:p>
        </w:tc>
      </w:tr>
      <w:tr w:rsidR="0092234F" w:rsidRPr="00800CB1" w14:paraId="4B70E031" w14:textId="77777777" w:rsidTr="0092234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0CD766A4" w14:textId="77777777" w:rsidR="0037441B" w:rsidRPr="00800CB1" w:rsidRDefault="0037441B" w:rsidP="0092234F">
            <w:pPr>
              <w:spacing w:before="60" w:after="60"/>
              <w:jc w:val="center"/>
              <w:rPr>
                <w:rFonts w:ascii="Calibri" w:hAnsi="Calibri" w:cs="Calibri"/>
                <w:szCs w:val="24"/>
              </w:rPr>
            </w:pPr>
            <w:r w:rsidRPr="00800CB1">
              <w:rPr>
                <w:rFonts w:ascii="Calibri" w:hAnsi="Calibri" w:cs="Calibri"/>
                <w:b/>
                <w:szCs w:val="24"/>
              </w:rPr>
              <w:t>From</w:t>
            </w:r>
          </w:p>
        </w:tc>
        <w:tc>
          <w:tcPr>
            <w:tcW w:w="2410" w:type="dxa"/>
            <w:tcBorders>
              <w:top w:val="nil"/>
              <w:left w:val="nil"/>
              <w:bottom w:val="single" w:sz="2" w:space="0" w:color="auto"/>
              <w:right w:val="single" w:sz="2" w:space="0" w:color="auto"/>
            </w:tcBorders>
            <w:vAlign w:val="center"/>
          </w:tcPr>
          <w:p w14:paraId="3E894D69" w14:textId="77777777" w:rsidR="0037441B" w:rsidRPr="00800CB1" w:rsidRDefault="004E030B" w:rsidP="0092234F">
            <w:pPr>
              <w:spacing w:before="60" w:after="60"/>
              <w:rPr>
                <w:rFonts w:ascii="Calibri" w:hAnsi="Calibri" w:cs="Calibri"/>
                <w:szCs w:val="24"/>
              </w:rPr>
            </w:pPr>
            <w:r>
              <w:rPr>
                <w:rFonts w:ascii="Calibri" w:hAnsi="Calibri" w:cs="Calibri"/>
                <w:szCs w:val="24"/>
              </w:rPr>
              <w:t xml:space="preserve">David </w:t>
            </w:r>
            <w:proofErr w:type="spellStart"/>
            <w:r>
              <w:rPr>
                <w:rFonts w:ascii="Calibri" w:hAnsi="Calibri" w:cs="Calibri"/>
                <w:szCs w:val="24"/>
              </w:rPr>
              <w:t>Groep</w:t>
            </w:r>
            <w:proofErr w:type="spellEnd"/>
          </w:p>
        </w:tc>
        <w:tc>
          <w:tcPr>
            <w:tcW w:w="3867" w:type="dxa"/>
            <w:tcBorders>
              <w:top w:val="nil"/>
              <w:left w:val="single" w:sz="2" w:space="0" w:color="auto"/>
              <w:bottom w:val="single" w:sz="2" w:space="0" w:color="auto"/>
              <w:right w:val="single" w:sz="4" w:space="0" w:color="auto"/>
            </w:tcBorders>
            <w:vAlign w:val="center"/>
          </w:tcPr>
          <w:p w14:paraId="346B98F3" w14:textId="77777777" w:rsidR="0037441B" w:rsidRPr="00800CB1" w:rsidRDefault="004E030B" w:rsidP="0092234F">
            <w:pPr>
              <w:spacing w:before="60" w:after="60"/>
              <w:rPr>
                <w:rFonts w:ascii="Calibri" w:hAnsi="Calibri" w:cs="Calibri"/>
                <w:szCs w:val="24"/>
              </w:rPr>
            </w:pPr>
            <w:proofErr w:type="spellStart"/>
            <w:r>
              <w:rPr>
                <w:rFonts w:ascii="Calibri" w:hAnsi="Calibri" w:cs="Calibri"/>
                <w:szCs w:val="24"/>
              </w:rPr>
              <w:t>Nikhef</w:t>
            </w:r>
            <w:proofErr w:type="spellEnd"/>
          </w:p>
        </w:tc>
        <w:tc>
          <w:tcPr>
            <w:tcW w:w="2016" w:type="dxa"/>
            <w:tcBorders>
              <w:top w:val="nil"/>
              <w:left w:val="single" w:sz="4" w:space="0" w:color="auto"/>
              <w:bottom w:val="single" w:sz="2" w:space="0" w:color="auto"/>
              <w:right w:val="single" w:sz="2" w:space="0" w:color="auto"/>
            </w:tcBorders>
            <w:vAlign w:val="center"/>
          </w:tcPr>
          <w:p w14:paraId="1ED77A05" w14:textId="77777777" w:rsidR="0037441B" w:rsidRPr="00800CB1" w:rsidRDefault="004E030B" w:rsidP="0092234F">
            <w:pPr>
              <w:spacing w:before="60" w:after="60"/>
              <w:rPr>
                <w:rFonts w:ascii="Calibri" w:hAnsi="Calibri" w:cs="Calibri"/>
                <w:szCs w:val="24"/>
              </w:rPr>
            </w:pPr>
            <w:r>
              <w:rPr>
                <w:rFonts w:ascii="Calibri" w:hAnsi="Calibri" w:cs="Calibri"/>
                <w:szCs w:val="24"/>
              </w:rPr>
              <w:t>11/01/2016</w:t>
            </w:r>
          </w:p>
        </w:tc>
      </w:tr>
    </w:tbl>
    <w:p w14:paraId="4455917D" w14:textId="77777777" w:rsidR="0037441B" w:rsidRPr="0092234F"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21BB528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0833B406" w14:textId="77777777" w:rsidTr="0037441B">
        <w:tc>
          <w:tcPr>
            <w:tcW w:w="2310" w:type="dxa"/>
            <w:shd w:val="clear" w:color="auto" w:fill="B8CCE4" w:themeFill="accent1" w:themeFillTint="66"/>
          </w:tcPr>
          <w:p w14:paraId="2A5926DC"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349366"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10782D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3B438CE" w14:textId="77777777" w:rsidTr="0037441B">
        <w:tc>
          <w:tcPr>
            <w:tcW w:w="2310" w:type="dxa"/>
            <w:shd w:val="clear" w:color="auto" w:fill="B8CCE4" w:themeFill="accent1" w:themeFillTint="66"/>
          </w:tcPr>
          <w:p w14:paraId="428E00F4"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CC76203" w14:textId="77777777" w:rsidR="0037441B" w:rsidRPr="0037441B" w:rsidRDefault="0092234F" w:rsidP="0037441B">
            <w:pPr>
              <w:keepLines w:val="0"/>
              <w:widowControl/>
              <w:suppressAutoHyphens w:val="0"/>
              <w:spacing w:before="0" w:after="0"/>
              <w:rPr>
                <w:rFonts w:ascii="Calibri" w:hAnsi="Calibri"/>
                <w:spacing w:val="2"/>
              </w:rPr>
            </w:pPr>
            <w:r>
              <w:rPr>
                <w:rFonts w:ascii="Calibri" w:hAnsi="Calibri"/>
                <w:spacing w:val="2"/>
              </w:rPr>
              <w:t>EGI Operations Management Board (</w:t>
            </w:r>
            <w:r w:rsidR="00262D91">
              <w:rPr>
                <w:rFonts w:ascii="Calibri" w:hAnsi="Calibri"/>
                <w:spacing w:val="2"/>
              </w:rPr>
              <w:t>OMB</w:t>
            </w:r>
            <w:r>
              <w:rPr>
                <w:rFonts w:ascii="Calibri" w:hAnsi="Calibri"/>
                <w:spacing w:val="2"/>
              </w:rPr>
              <w:t>)</w:t>
            </w:r>
          </w:p>
        </w:tc>
        <w:tc>
          <w:tcPr>
            <w:tcW w:w="1701" w:type="dxa"/>
          </w:tcPr>
          <w:p w14:paraId="6807F0F8" w14:textId="77777777"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r w:rsidR="0092234F" w:rsidRPr="0037441B" w14:paraId="438E8CCE" w14:textId="77777777" w:rsidTr="0037441B">
        <w:tc>
          <w:tcPr>
            <w:tcW w:w="2310" w:type="dxa"/>
            <w:shd w:val="clear" w:color="auto" w:fill="B8CCE4" w:themeFill="accent1" w:themeFillTint="66"/>
          </w:tcPr>
          <w:p w14:paraId="03F40118" w14:textId="77777777" w:rsidR="0092234F" w:rsidRPr="0037441B" w:rsidRDefault="0092234F" w:rsidP="0092234F">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42DAA96B" w14:textId="65EA5D54" w:rsidR="0092234F" w:rsidRPr="0037441B" w:rsidRDefault="0092234F" w:rsidP="003874B4">
            <w:pPr>
              <w:keepLines w:val="0"/>
              <w:widowControl/>
              <w:suppressAutoHyphens w:val="0"/>
              <w:spacing w:before="0" w:after="0"/>
              <w:rPr>
                <w:rFonts w:ascii="Calibri" w:hAnsi="Calibri"/>
                <w:spacing w:val="2"/>
              </w:rPr>
            </w:pPr>
            <w:r>
              <w:rPr>
                <w:rFonts w:ascii="Calibri" w:hAnsi="Calibri"/>
                <w:spacing w:val="2"/>
              </w:rPr>
              <w:t xml:space="preserve">EGI </w:t>
            </w:r>
            <w:r w:rsidR="003874B4">
              <w:rPr>
                <w:rFonts w:ascii="Calibri" w:hAnsi="Calibri"/>
                <w:spacing w:val="2"/>
              </w:rPr>
              <w:t>Foundation Executive Board</w:t>
            </w:r>
          </w:p>
        </w:tc>
        <w:tc>
          <w:tcPr>
            <w:tcW w:w="1701" w:type="dxa"/>
          </w:tcPr>
          <w:p w14:paraId="59A25472" w14:textId="71D6DDE0" w:rsidR="0092234F" w:rsidRPr="00262D91" w:rsidRDefault="00C76F12" w:rsidP="0037441B">
            <w:pPr>
              <w:keepLines w:val="0"/>
              <w:widowControl/>
              <w:suppressAutoHyphens w:val="0"/>
              <w:spacing w:before="0" w:after="0"/>
              <w:rPr>
                <w:rFonts w:ascii="Calibri" w:hAnsi="Calibri" w:cs="Calibri"/>
              </w:rPr>
            </w:pPr>
            <w:r>
              <w:rPr>
                <w:rFonts w:ascii="Calibri" w:hAnsi="Calibri" w:cs="Calibri"/>
              </w:rPr>
              <w:t>10/10/2016</w:t>
            </w:r>
          </w:p>
        </w:tc>
      </w:tr>
    </w:tbl>
    <w:p w14:paraId="4EBC8A2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320E14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683"/>
        <w:gridCol w:w="1410"/>
        <w:gridCol w:w="4961"/>
        <w:gridCol w:w="2232"/>
      </w:tblGrid>
      <w:tr w:rsidR="0037441B" w:rsidRPr="0037441B" w14:paraId="5F920784" w14:textId="77777777" w:rsidTr="00654A8B">
        <w:tc>
          <w:tcPr>
            <w:tcW w:w="683" w:type="dxa"/>
            <w:shd w:val="clear" w:color="auto" w:fill="B8CCE4" w:themeFill="accent1" w:themeFillTint="66"/>
          </w:tcPr>
          <w:p w14:paraId="613A19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0" w:type="dxa"/>
            <w:shd w:val="clear" w:color="auto" w:fill="B8CCE4" w:themeFill="accent1" w:themeFillTint="66"/>
          </w:tcPr>
          <w:p w14:paraId="0CDE6E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4961" w:type="dxa"/>
            <w:shd w:val="clear" w:color="auto" w:fill="B8CCE4" w:themeFill="accent1" w:themeFillTint="66"/>
          </w:tcPr>
          <w:p w14:paraId="4C458347"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2232" w:type="dxa"/>
            <w:shd w:val="clear" w:color="auto" w:fill="B8CCE4" w:themeFill="accent1" w:themeFillTint="66"/>
          </w:tcPr>
          <w:p w14:paraId="21CA0E4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245077" w:rsidRPr="0037441B" w14:paraId="51CE91A8" w14:textId="77777777" w:rsidTr="00654A8B">
        <w:tc>
          <w:tcPr>
            <w:tcW w:w="683" w:type="dxa"/>
            <w:shd w:val="clear" w:color="auto" w:fill="auto"/>
          </w:tcPr>
          <w:p w14:paraId="5E2FB840" w14:textId="12A22BF0" w:rsidR="00245077" w:rsidRDefault="00245077" w:rsidP="0047092D">
            <w:pPr>
              <w:keepLines w:val="0"/>
              <w:widowControl/>
              <w:suppressAutoHyphens w:val="0"/>
              <w:spacing w:before="0" w:after="0"/>
              <w:rPr>
                <w:rFonts w:ascii="Calibri" w:hAnsi="Calibri"/>
                <w:b/>
                <w:spacing w:val="2"/>
              </w:rPr>
            </w:pPr>
            <w:r>
              <w:rPr>
                <w:rFonts w:ascii="Calibri" w:hAnsi="Calibri"/>
                <w:b/>
                <w:spacing w:val="2"/>
              </w:rPr>
              <w:t>V1-3</w:t>
            </w:r>
          </w:p>
        </w:tc>
        <w:tc>
          <w:tcPr>
            <w:tcW w:w="1410" w:type="dxa"/>
            <w:shd w:val="clear" w:color="auto" w:fill="auto"/>
          </w:tcPr>
          <w:p w14:paraId="67BC4950" w14:textId="727C3F2C" w:rsidR="00245077" w:rsidRDefault="00245077" w:rsidP="0047092D">
            <w:pPr>
              <w:keepLines w:val="0"/>
              <w:widowControl/>
              <w:suppressAutoHyphens w:val="0"/>
              <w:spacing w:before="0" w:after="0"/>
              <w:rPr>
                <w:rFonts w:ascii="Calibri" w:hAnsi="Calibri"/>
                <w:spacing w:val="2"/>
              </w:rPr>
            </w:pPr>
            <w:r>
              <w:rPr>
                <w:rFonts w:ascii="Calibri" w:hAnsi="Calibri"/>
                <w:spacing w:val="2"/>
              </w:rPr>
              <w:t>2015</w:t>
            </w:r>
          </w:p>
        </w:tc>
        <w:tc>
          <w:tcPr>
            <w:tcW w:w="4961" w:type="dxa"/>
            <w:shd w:val="clear" w:color="auto" w:fill="auto"/>
          </w:tcPr>
          <w:p w14:paraId="3D5568A4" w14:textId="2390628A" w:rsidR="00245077" w:rsidRDefault="00245077" w:rsidP="0047092D">
            <w:pPr>
              <w:keepLines w:val="0"/>
              <w:widowControl/>
              <w:suppressAutoHyphens w:val="0"/>
              <w:spacing w:before="0" w:after="0"/>
              <w:rPr>
                <w:rFonts w:ascii="Calibri" w:hAnsi="Calibri"/>
                <w:spacing w:val="2"/>
              </w:rPr>
            </w:pPr>
            <w:r>
              <w:rPr>
                <w:rFonts w:ascii="Calibri" w:hAnsi="Calibri"/>
                <w:spacing w:val="2"/>
              </w:rPr>
              <w:t>Internal versions</w:t>
            </w:r>
          </w:p>
        </w:tc>
        <w:tc>
          <w:tcPr>
            <w:tcW w:w="2232" w:type="dxa"/>
            <w:shd w:val="clear" w:color="auto" w:fill="auto"/>
          </w:tcPr>
          <w:p w14:paraId="109C289C" w14:textId="0D8F5F47" w:rsidR="00245077"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245077" w:rsidRPr="0037441B" w14:paraId="08E3C63F" w14:textId="77777777" w:rsidTr="00654A8B">
        <w:tc>
          <w:tcPr>
            <w:tcW w:w="683" w:type="dxa"/>
            <w:shd w:val="clear" w:color="auto" w:fill="auto"/>
          </w:tcPr>
          <w:p w14:paraId="4BDE947F" w14:textId="417A4649" w:rsidR="00245077" w:rsidRPr="0037441B" w:rsidRDefault="00654A8B" w:rsidP="0047092D">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4</w:t>
            </w:r>
          </w:p>
        </w:tc>
        <w:tc>
          <w:tcPr>
            <w:tcW w:w="1410" w:type="dxa"/>
            <w:shd w:val="clear" w:color="auto" w:fill="auto"/>
          </w:tcPr>
          <w:p w14:paraId="34F3A4C7"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11/01/2016</w:t>
            </w:r>
          </w:p>
        </w:tc>
        <w:tc>
          <w:tcPr>
            <w:tcW w:w="4961" w:type="dxa"/>
            <w:shd w:val="clear" w:color="auto" w:fill="auto"/>
          </w:tcPr>
          <w:p w14:paraId="02053B91"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2232" w:type="dxa"/>
            <w:shd w:val="clear" w:color="auto" w:fill="auto"/>
          </w:tcPr>
          <w:p w14:paraId="1DCAD1EA"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C9121B" w:rsidRPr="0037441B" w14:paraId="71FBDB0C" w14:textId="77777777" w:rsidTr="00654A8B">
        <w:tc>
          <w:tcPr>
            <w:tcW w:w="683" w:type="dxa"/>
            <w:shd w:val="clear" w:color="auto" w:fill="auto"/>
          </w:tcPr>
          <w:p w14:paraId="11733530" w14:textId="77777777" w:rsidR="00C9121B" w:rsidRDefault="00C9121B" w:rsidP="0037441B">
            <w:pPr>
              <w:keepLines w:val="0"/>
              <w:widowControl/>
              <w:suppressAutoHyphens w:val="0"/>
              <w:spacing w:before="0" w:after="0"/>
              <w:rPr>
                <w:rFonts w:ascii="Calibri" w:hAnsi="Calibri"/>
                <w:b/>
                <w:spacing w:val="2"/>
              </w:rPr>
            </w:pPr>
          </w:p>
        </w:tc>
        <w:tc>
          <w:tcPr>
            <w:tcW w:w="1410" w:type="dxa"/>
            <w:shd w:val="clear" w:color="auto" w:fill="auto"/>
          </w:tcPr>
          <w:p w14:paraId="0BCC3859" w14:textId="660F5D82" w:rsidR="00C9121B" w:rsidRDefault="00C9121B" w:rsidP="0037441B">
            <w:pPr>
              <w:keepLines w:val="0"/>
              <w:widowControl/>
              <w:suppressAutoHyphens w:val="0"/>
              <w:spacing w:before="0" w:after="0"/>
              <w:rPr>
                <w:rFonts w:ascii="Calibri" w:hAnsi="Calibri"/>
                <w:spacing w:val="2"/>
              </w:rPr>
            </w:pPr>
            <w:r>
              <w:rPr>
                <w:rFonts w:ascii="Calibri" w:hAnsi="Calibri"/>
                <w:spacing w:val="2"/>
              </w:rPr>
              <w:t>10/10/2016</w:t>
            </w:r>
          </w:p>
        </w:tc>
        <w:tc>
          <w:tcPr>
            <w:tcW w:w="4961" w:type="dxa"/>
            <w:shd w:val="clear" w:color="auto" w:fill="auto"/>
          </w:tcPr>
          <w:p w14:paraId="349A73DE" w14:textId="4DB51C41" w:rsidR="00C9121B" w:rsidRDefault="00C9121B" w:rsidP="00C912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2232" w:type="dxa"/>
            <w:shd w:val="clear" w:color="auto" w:fill="auto"/>
          </w:tcPr>
          <w:p w14:paraId="245BD4B5" w14:textId="77777777" w:rsidR="00C9121B" w:rsidRDefault="00C9121B" w:rsidP="0037441B">
            <w:pPr>
              <w:keepLines w:val="0"/>
              <w:widowControl/>
              <w:suppressAutoHyphens w:val="0"/>
              <w:spacing w:before="0" w:after="0"/>
              <w:rPr>
                <w:rFonts w:ascii="Calibri" w:hAnsi="Calibri"/>
                <w:spacing w:val="2"/>
              </w:rPr>
            </w:pPr>
          </w:p>
        </w:tc>
      </w:tr>
      <w:tr w:rsidR="00245077" w:rsidRPr="0037441B" w14:paraId="6B5EB6A6" w14:textId="77777777" w:rsidTr="00654A8B">
        <w:tc>
          <w:tcPr>
            <w:tcW w:w="683" w:type="dxa"/>
            <w:shd w:val="clear" w:color="auto" w:fill="auto"/>
          </w:tcPr>
          <w:p w14:paraId="1BF9B9CC" w14:textId="63DFCDCA" w:rsidR="00245077" w:rsidRDefault="00654A8B" w:rsidP="0037441B">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5</w:t>
            </w:r>
          </w:p>
        </w:tc>
        <w:tc>
          <w:tcPr>
            <w:tcW w:w="1410" w:type="dxa"/>
            <w:shd w:val="clear" w:color="auto" w:fill="auto"/>
          </w:tcPr>
          <w:p w14:paraId="565988AC" w14:textId="5046E4C2" w:rsidR="00245077" w:rsidRDefault="00245077" w:rsidP="0037441B">
            <w:pPr>
              <w:keepLines w:val="0"/>
              <w:widowControl/>
              <w:suppressAutoHyphens w:val="0"/>
              <w:spacing w:before="0" w:after="0"/>
              <w:rPr>
                <w:rFonts w:ascii="Calibri" w:hAnsi="Calibri"/>
                <w:spacing w:val="2"/>
              </w:rPr>
            </w:pPr>
            <w:r>
              <w:rPr>
                <w:rFonts w:ascii="Calibri" w:hAnsi="Calibri"/>
                <w:spacing w:val="2"/>
              </w:rPr>
              <w:t>21/10/2016</w:t>
            </w:r>
          </w:p>
        </w:tc>
        <w:tc>
          <w:tcPr>
            <w:tcW w:w="4961" w:type="dxa"/>
            <w:shd w:val="clear" w:color="auto" w:fill="auto"/>
          </w:tcPr>
          <w:p w14:paraId="43DD05DA" w14:textId="2D97C6BE" w:rsidR="00245077" w:rsidRDefault="00245077" w:rsidP="0037441B">
            <w:pPr>
              <w:keepLines w:val="0"/>
              <w:widowControl/>
              <w:suppressAutoHyphens w:val="0"/>
              <w:spacing w:before="0" w:after="0"/>
              <w:rPr>
                <w:rFonts w:ascii="Calibri" w:hAnsi="Calibri"/>
                <w:spacing w:val="2"/>
              </w:rPr>
            </w:pPr>
            <w:r>
              <w:rPr>
                <w:rFonts w:ascii="Calibri" w:hAnsi="Calibri"/>
                <w:spacing w:val="2"/>
              </w:rPr>
              <w:t>Updated terminology (Access Platform instead of LToS), fixed metadata</w:t>
            </w:r>
          </w:p>
        </w:tc>
        <w:tc>
          <w:tcPr>
            <w:tcW w:w="2232" w:type="dxa"/>
            <w:shd w:val="clear" w:color="auto" w:fill="auto"/>
          </w:tcPr>
          <w:p w14:paraId="11364E18" w14:textId="32B04356" w:rsidR="00245077" w:rsidRDefault="00245077" w:rsidP="0037441B">
            <w:pPr>
              <w:keepLines w:val="0"/>
              <w:widowControl/>
              <w:suppressAutoHyphens w:val="0"/>
              <w:spacing w:before="0" w:after="0"/>
              <w:rPr>
                <w:rFonts w:ascii="Calibri" w:hAnsi="Calibri"/>
                <w:spacing w:val="2"/>
              </w:rPr>
            </w:pPr>
            <w:r>
              <w:rPr>
                <w:rFonts w:ascii="Calibri" w:hAnsi="Calibri"/>
                <w:spacing w:val="2"/>
              </w:rPr>
              <w:t>Gergely Sipos/EGI.eu</w:t>
            </w:r>
          </w:p>
        </w:tc>
      </w:tr>
    </w:tbl>
    <w:p w14:paraId="077CDD3E"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C40486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9273A37" w14:textId="77777777" w:rsidR="0092234F" w:rsidRPr="0097072D" w:rsidRDefault="0092234F" w:rsidP="0092234F">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60F127C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1E909274" w14:textId="77777777" w:rsidR="008F3F06" w:rsidRDefault="008F3F06"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 xml:space="preserve">This document is a formal EGI </w:t>
      </w:r>
      <w:r w:rsidR="0037441B" w:rsidRPr="0037441B">
        <w:rPr>
          <w:rFonts w:ascii="Calibri" w:eastAsiaTheme="minorHAnsi" w:hAnsi="Calibri" w:cstheme="minorBidi"/>
          <w:spacing w:val="2"/>
        </w:rPr>
        <w:t>policy or procedure applicable to all participants and associate participants, beneficiaries and Joint Research Unit members, as well as its collaborating projects.</w:t>
      </w:r>
    </w:p>
    <w:p w14:paraId="2B4F41B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1A98A73B" w14:textId="77777777" w:rsidR="008F3F06"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8F3F06">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14:paraId="6D543A2E" w14:textId="77777777" w:rsidR="008F3F06" w:rsidRDefault="008F3F06">
      <w:pPr>
        <w:keepLines w:val="0"/>
        <w:widowControl/>
        <w:suppressAutoHyphens w:val="0"/>
        <w:spacing w:before="0" w:after="0"/>
        <w:jc w:val="left"/>
      </w:pPr>
      <w:r>
        <w:br w:type="page"/>
      </w:r>
    </w:p>
    <w:p w14:paraId="5348D5F2" w14:textId="77777777" w:rsidR="008F3F06" w:rsidRPr="008F3F06" w:rsidRDefault="008F3F06" w:rsidP="00150C2C">
      <w:pPr>
        <w:jc w:val="left"/>
      </w:pPr>
    </w:p>
    <w:p w14:paraId="2C4479A9" w14:textId="54AA9492" w:rsidR="00AF0C0A" w:rsidRPr="002C1DEB" w:rsidRDefault="000934D0" w:rsidP="00AF0C0A">
      <w:pPr>
        <w:pStyle w:val="Heading1"/>
        <w:rPr>
          <w:rFonts w:ascii="Calibri" w:hAnsi="Calibri" w:cs="Open Sans"/>
        </w:rPr>
      </w:pPr>
      <w:bookmarkStart w:id="2" w:name="_Toc338670797"/>
      <w:bookmarkStart w:id="3" w:name="id.bd2622a07241"/>
      <w:bookmarkStart w:id="4" w:name="id.105932e7f75c"/>
      <w:r>
        <w:rPr>
          <w:rFonts w:ascii="Calibri" w:hAnsi="Calibri" w:cs="Open Sans"/>
        </w:rPr>
        <w:t>Introduction</w:t>
      </w:r>
      <w:bookmarkEnd w:id="2"/>
    </w:p>
    <w:p w14:paraId="59FC0C94" w14:textId="77777777" w:rsidR="00AF0C0A" w:rsidRPr="002C1DEB" w:rsidRDefault="00AF0C0A" w:rsidP="00AF0C0A">
      <w:pPr>
        <w:pStyle w:val="Heading2"/>
        <w:tabs>
          <w:tab w:val="num" w:pos="567"/>
        </w:tabs>
        <w:ind w:left="567"/>
        <w:rPr>
          <w:rFonts w:ascii="Calibri" w:hAnsi="Calibri" w:cs="Open Sans"/>
        </w:rPr>
      </w:pPr>
      <w:bookmarkStart w:id="5" w:name="_Toc338670798"/>
      <w:r w:rsidRPr="007255C2">
        <w:rPr>
          <w:rFonts w:ascii="Calibri" w:hAnsi="Calibri" w:cs="Open Sans"/>
        </w:rPr>
        <w:t>S</w:t>
      </w:r>
      <w:r w:rsidR="002C1DEB">
        <w:rPr>
          <w:rFonts w:ascii="Calibri" w:hAnsi="Calibri" w:cs="Open Sans"/>
        </w:rPr>
        <w:t>cope</w:t>
      </w:r>
      <w:bookmarkEnd w:id="5"/>
    </w:p>
    <w:p w14:paraId="5B582F95" w14:textId="0D7C90AC" w:rsidR="002C1DEB" w:rsidRDefault="00C76F12" w:rsidP="00C76F12">
      <w:pPr>
        <w:spacing w:before="0" w:after="120" w:line="276" w:lineRule="auto"/>
        <w:rPr>
          <w:rFonts w:ascii="Calibri" w:hAnsi="Calibri" w:cs="Open Sans"/>
        </w:rPr>
      </w:pPr>
      <w:r w:rsidRPr="00AD401E">
        <w:rPr>
          <w:rFonts w:asciiTheme="minorHAnsi" w:hAnsiTheme="minorHAnsi" w:cs="Arial"/>
          <w:color w:val="000000"/>
        </w:rPr>
        <w:t xml:space="preserve">This </w:t>
      </w:r>
      <w:r w:rsidR="0001720D">
        <w:rPr>
          <w:rFonts w:asciiTheme="minorHAnsi" w:hAnsiTheme="minorHAnsi" w:cs="Arial"/>
          <w:color w:val="000000"/>
        </w:rPr>
        <w:t>document</w:t>
      </w:r>
      <w:r>
        <w:rPr>
          <w:rFonts w:asciiTheme="minorHAnsi" w:hAnsiTheme="minorHAnsi" w:cs="Arial"/>
          <w:color w:val="000000"/>
        </w:rPr>
        <w:t xml:space="preserve"> </w:t>
      </w:r>
      <w:r w:rsidRPr="002C1DEB">
        <w:rPr>
          <w:rFonts w:asciiTheme="minorHAnsi" w:hAnsiTheme="minorHAnsi"/>
        </w:rPr>
        <w:t>is applicable to all and only the P</w:t>
      </w:r>
      <w:r>
        <w:rPr>
          <w:rFonts w:asciiTheme="minorHAnsi" w:hAnsiTheme="minorHAnsi"/>
        </w:rPr>
        <w:t xml:space="preserve">articipants involved in the provisioning of the </w:t>
      </w:r>
      <w:r w:rsidRPr="00AD401E">
        <w:rPr>
          <w:rFonts w:asciiTheme="minorHAnsi" w:hAnsiTheme="minorHAnsi" w:cs="Arial"/>
          <w:color w:val="000000"/>
        </w:rPr>
        <w:t xml:space="preserve">‘EGI </w:t>
      </w:r>
      <w:r>
        <w:rPr>
          <w:rFonts w:asciiTheme="minorHAnsi" w:hAnsiTheme="minorHAnsi" w:cs="Arial"/>
          <w:color w:val="000000"/>
        </w:rPr>
        <w:t>Access p</w:t>
      </w:r>
      <w:r w:rsidRPr="00AD401E">
        <w:rPr>
          <w:rFonts w:asciiTheme="minorHAnsi" w:hAnsiTheme="minorHAnsi" w:cs="Arial"/>
          <w:color w:val="000000"/>
        </w:rPr>
        <w:t>latform’, hereafter ref</w:t>
      </w:r>
      <w:r>
        <w:rPr>
          <w:rFonts w:asciiTheme="minorHAnsi" w:hAnsiTheme="minorHAnsi" w:cs="Arial"/>
          <w:color w:val="000000"/>
        </w:rPr>
        <w:t xml:space="preserve">erred to as the Platform. </w:t>
      </w:r>
      <w:r w:rsidR="007F07BB" w:rsidRPr="00F95DDE">
        <w:rPr>
          <w:rFonts w:ascii="Calibri" w:hAnsi="Calibri" w:cs="Open Sans"/>
        </w:rPr>
        <w:t>This policy is one of a set of documents that together</w:t>
      </w:r>
      <w:r w:rsidR="007F07BB">
        <w:rPr>
          <w:rFonts w:ascii="Calibri" w:hAnsi="Calibri" w:cs="Open Sans"/>
        </w:rPr>
        <w:t xml:space="preserve"> define the Security Policy</w:t>
      </w:r>
      <w:r w:rsidR="007F07BB">
        <w:rPr>
          <w:rStyle w:val="FootnoteReference"/>
          <w:rFonts w:ascii="Calibri" w:hAnsi="Calibri" w:cs="Open Sans"/>
        </w:rPr>
        <w:footnoteReference w:id="1"/>
      </w:r>
      <w:r w:rsidR="007F07BB" w:rsidRPr="00F95DDE">
        <w:rPr>
          <w:rFonts w:ascii="Calibri" w:hAnsi="Calibri" w:cs="Open Sans"/>
        </w:rPr>
        <w:t>.</w:t>
      </w:r>
    </w:p>
    <w:p w14:paraId="540095E6" w14:textId="4590976A" w:rsidR="00CC146B" w:rsidRPr="00AD401E" w:rsidRDefault="00CC146B" w:rsidP="00CC146B">
      <w:pPr>
        <w:pStyle w:val="Normal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p>
    <w:p w14:paraId="61263C2C" w14:textId="77777777" w:rsidR="002C1DEB" w:rsidRDefault="002C1DEB" w:rsidP="002C1DEB">
      <w:pPr>
        <w:pStyle w:val="Heading2"/>
        <w:tabs>
          <w:tab w:val="num" w:pos="567"/>
        </w:tabs>
        <w:ind w:left="567"/>
        <w:rPr>
          <w:rFonts w:ascii="Calibri" w:hAnsi="Calibri" w:cs="Open Sans"/>
        </w:rPr>
      </w:pPr>
      <w:bookmarkStart w:id="6" w:name="_Toc338670799"/>
      <w:r w:rsidRPr="002C1DEB">
        <w:rPr>
          <w:rFonts w:ascii="Calibri" w:hAnsi="Calibri" w:cs="Open Sans"/>
        </w:rPr>
        <w:t>Vocabulary</w:t>
      </w:r>
      <w:bookmarkEnd w:id="6"/>
    </w:p>
    <w:p w14:paraId="12DF440C"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FootnoteReference"/>
          <w:rFonts w:asciiTheme="minorHAnsi" w:hAnsiTheme="minorHAnsi"/>
        </w:rPr>
        <w:footnoteReference w:id="2"/>
      </w:r>
      <w:r w:rsidR="00262D91">
        <w:rPr>
          <w:rFonts w:asciiTheme="minorHAnsi" w:hAnsiTheme="minorHAnsi"/>
        </w:rPr>
        <w:t xml:space="preserve">, the </w:t>
      </w:r>
      <w:r w:rsidRPr="002C1DEB">
        <w:rPr>
          <w:rFonts w:asciiTheme="minorHAnsi" w:hAnsiTheme="minorHAnsi"/>
        </w:rPr>
        <w:t>Security Policy Glossary of Terms</w:t>
      </w:r>
      <w:r w:rsidRPr="002C1DEB">
        <w:rPr>
          <w:rStyle w:val="FootnoteReference"/>
          <w:rFonts w:asciiTheme="minorHAnsi" w:hAnsiTheme="minorHAnsi"/>
        </w:rPr>
        <w:footnoteReference w:id="3"/>
      </w:r>
      <w:r w:rsidRPr="002C1DEB">
        <w:rPr>
          <w:rFonts w:asciiTheme="minorHAnsi" w:hAnsiTheme="minorHAnsi"/>
        </w:rPr>
        <w:t>, and Glossary of the Security for Collaborating Infrastructures (SCI) document</w:t>
      </w:r>
      <w:r w:rsidRPr="002C1DEB">
        <w:rPr>
          <w:rStyle w:val="FootnoteReference"/>
          <w:rFonts w:asciiTheme="minorHAnsi" w:hAnsiTheme="minorHAnsi"/>
        </w:rPr>
        <w:footnoteReference w:id="4"/>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14:paraId="077D498E" w14:textId="77777777" w:rsidTr="00262D91">
        <w:tc>
          <w:tcPr>
            <w:tcW w:w="2127" w:type="dxa"/>
            <w:shd w:val="clear" w:color="auto" w:fill="C6D9F1" w:themeFill="text2" w:themeFillTint="33"/>
          </w:tcPr>
          <w:p w14:paraId="1A422E98" w14:textId="77777777" w:rsidR="00E943C4" w:rsidRPr="008F3F06" w:rsidRDefault="00E943C4" w:rsidP="0092234F">
            <w:pPr>
              <w:spacing w:after="0"/>
              <w:rPr>
                <w:rFonts w:asciiTheme="minorHAnsi" w:hAnsiTheme="minorHAnsi"/>
                <w:b/>
              </w:rPr>
            </w:pPr>
            <w:r w:rsidRPr="008F3F06">
              <w:rPr>
                <w:rFonts w:asciiTheme="minorHAnsi" w:hAnsiTheme="minorHAnsi"/>
                <w:b/>
              </w:rPr>
              <w:t>Application</w:t>
            </w:r>
          </w:p>
        </w:tc>
        <w:tc>
          <w:tcPr>
            <w:tcW w:w="6804" w:type="dxa"/>
            <w:shd w:val="clear" w:color="auto" w:fill="auto"/>
          </w:tcPr>
          <w:p w14:paraId="78023377" w14:textId="77777777" w:rsidR="00E943C4" w:rsidRPr="00E943C4" w:rsidRDefault="00E943C4" w:rsidP="0092234F">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14:paraId="7E7B38B5" w14:textId="77777777" w:rsidTr="00262D91">
        <w:tc>
          <w:tcPr>
            <w:tcW w:w="2127" w:type="dxa"/>
            <w:shd w:val="clear" w:color="auto" w:fill="C6D9F1" w:themeFill="text2" w:themeFillTint="33"/>
          </w:tcPr>
          <w:p w14:paraId="6C7B80A9" w14:textId="77777777" w:rsidR="00E943C4" w:rsidRPr="008F3F06" w:rsidRDefault="00E943C4" w:rsidP="0092234F">
            <w:pPr>
              <w:spacing w:after="0"/>
              <w:rPr>
                <w:rFonts w:asciiTheme="minorHAnsi" w:hAnsiTheme="minorHAnsi"/>
                <w:b/>
              </w:rPr>
            </w:pPr>
            <w:r w:rsidRPr="008F3F06">
              <w:rPr>
                <w:rFonts w:asciiTheme="minorHAnsi" w:hAnsiTheme="minorHAnsi"/>
                <w:b/>
              </w:rPr>
              <w:t>Applicant</w:t>
            </w:r>
          </w:p>
        </w:tc>
        <w:tc>
          <w:tcPr>
            <w:tcW w:w="6804" w:type="dxa"/>
            <w:shd w:val="clear" w:color="auto" w:fill="auto"/>
          </w:tcPr>
          <w:p w14:paraId="5903B673" w14:textId="41F79468" w:rsidR="00E943C4" w:rsidRPr="00E943C4" w:rsidRDefault="00E943C4" w:rsidP="00C76F12">
            <w:pPr>
              <w:spacing w:after="0"/>
              <w:rPr>
                <w:rFonts w:asciiTheme="minorHAnsi" w:hAnsiTheme="minorHAnsi"/>
              </w:rPr>
            </w:pPr>
            <w:r w:rsidRPr="00E943C4">
              <w:rPr>
                <w:rFonts w:asciiTheme="minorHAnsi" w:hAnsiTheme="minorHAnsi"/>
              </w:rPr>
              <w:t xml:space="preserve">A natural person that seeks to gain access to the </w:t>
            </w:r>
            <w:r w:rsidR="00C76F12">
              <w:rPr>
                <w:rFonts w:asciiTheme="minorHAnsi" w:hAnsiTheme="minorHAnsi"/>
              </w:rPr>
              <w:t>Platform</w:t>
            </w:r>
            <w:r w:rsidRPr="00E943C4">
              <w:rPr>
                <w:rFonts w:asciiTheme="minorHAnsi" w:hAnsiTheme="minorHAnsi"/>
              </w:rPr>
              <w:t xml:space="preserve"> by providing information to the Registry</w:t>
            </w:r>
          </w:p>
        </w:tc>
      </w:tr>
      <w:tr w:rsidR="00E943C4" w:rsidRPr="00BD5E54" w14:paraId="626DBB37" w14:textId="77777777" w:rsidTr="00262D91">
        <w:tc>
          <w:tcPr>
            <w:tcW w:w="2127" w:type="dxa"/>
            <w:shd w:val="clear" w:color="auto" w:fill="C6D9F1" w:themeFill="text2" w:themeFillTint="33"/>
          </w:tcPr>
          <w:p w14:paraId="583B7D46" w14:textId="77777777" w:rsidR="00E943C4" w:rsidRPr="008F3F06" w:rsidRDefault="00E943C4" w:rsidP="0092234F">
            <w:pPr>
              <w:spacing w:after="0"/>
              <w:rPr>
                <w:rFonts w:asciiTheme="minorHAnsi" w:hAnsiTheme="minorHAnsi"/>
                <w:b/>
              </w:rPr>
            </w:pPr>
            <w:r w:rsidRPr="008F3F06">
              <w:rPr>
                <w:rFonts w:asciiTheme="minorHAnsi" w:hAnsiTheme="minorHAnsi"/>
                <w:b/>
              </w:rPr>
              <w:t>Registry</w:t>
            </w:r>
          </w:p>
        </w:tc>
        <w:tc>
          <w:tcPr>
            <w:tcW w:w="6804" w:type="dxa"/>
            <w:shd w:val="clear" w:color="auto" w:fill="auto"/>
          </w:tcPr>
          <w:p w14:paraId="7D41DAA4" w14:textId="64E4BA13" w:rsidR="00E943C4" w:rsidRPr="00E943C4" w:rsidRDefault="00E943C4" w:rsidP="0092234F">
            <w:pPr>
              <w:spacing w:after="0"/>
              <w:rPr>
                <w:rFonts w:asciiTheme="minorHAnsi" w:hAnsiTheme="minorHAnsi"/>
              </w:rPr>
            </w:pPr>
            <w:r w:rsidRPr="00E943C4">
              <w:rPr>
                <w:rFonts w:asciiTheme="minorHAnsi" w:hAnsiTheme="minorHAnsi"/>
              </w:rPr>
              <w:t xml:space="preserve">The Service that holds information about the </w:t>
            </w:r>
            <w:r w:rsidR="00C76F12">
              <w:rPr>
                <w:rFonts w:asciiTheme="minorHAnsi" w:hAnsiTheme="minorHAnsi"/>
              </w:rPr>
              <w:t xml:space="preserve">Platform </w:t>
            </w:r>
            <w:r w:rsidRPr="00E943C4">
              <w:rPr>
                <w:rFonts w:asciiTheme="minorHAnsi" w:hAnsiTheme="minorHAnsi"/>
              </w:rPr>
              <w:t xml:space="preserve">Users and/or Applicants (also known as the User Management Portal </w:t>
            </w:r>
            <w:r w:rsidR="00C76F12">
              <w:rPr>
                <w:rFonts w:asciiTheme="minorHAnsi" w:hAnsiTheme="minorHAnsi"/>
              </w:rPr>
              <w:t>(</w:t>
            </w:r>
            <w:r w:rsidRPr="00E943C4">
              <w:rPr>
                <w:rFonts w:asciiTheme="minorHAnsi" w:hAnsiTheme="minorHAnsi"/>
              </w:rPr>
              <w:t>UMP</w:t>
            </w:r>
            <w:r w:rsidR="00C76F12">
              <w:rPr>
                <w:rFonts w:asciiTheme="minorHAnsi" w:hAnsiTheme="minorHAnsi"/>
              </w:rPr>
              <w:t>)</w:t>
            </w:r>
            <w:r w:rsidRPr="00E943C4">
              <w:rPr>
                <w:rFonts w:asciiTheme="minorHAnsi" w:hAnsiTheme="minorHAnsi"/>
              </w:rPr>
              <w:t xml:space="preserve"> and any supporting systems that hold data about Users or Applicants)</w:t>
            </w:r>
          </w:p>
        </w:tc>
      </w:tr>
      <w:tr w:rsidR="00E943C4" w:rsidRPr="00BD5E54" w14:paraId="7432FFB2" w14:textId="77777777" w:rsidTr="00262D91">
        <w:tc>
          <w:tcPr>
            <w:tcW w:w="2127" w:type="dxa"/>
            <w:shd w:val="clear" w:color="auto" w:fill="C6D9F1" w:themeFill="text2" w:themeFillTint="33"/>
          </w:tcPr>
          <w:p w14:paraId="26B40DB7" w14:textId="77777777" w:rsidR="00E943C4" w:rsidRPr="008F3F06" w:rsidRDefault="00E943C4" w:rsidP="0092234F">
            <w:pPr>
              <w:spacing w:after="0"/>
              <w:rPr>
                <w:rFonts w:asciiTheme="minorHAnsi" w:hAnsiTheme="minorHAnsi"/>
                <w:b/>
              </w:rPr>
            </w:pPr>
            <w:r w:rsidRPr="008F3F06">
              <w:rPr>
                <w:rFonts w:asciiTheme="minorHAnsi" w:hAnsiTheme="minorHAnsi"/>
                <w:b/>
              </w:rPr>
              <w:t>Management</w:t>
            </w:r>
          </w:p>
        </w:tc>
        <w:tc>
          <w:tcPr>
            <w:tcW w:w="6804" w:type="dxa"/>
            <w:shd w:val="clear" w:color="auto" w:fill="auto"/>
          </w:tcPr>
          <w:p w14:paraId="647EEC10" w14:textId="77777777" w:rsidR="00E943C4" w:rsidRPr="00E943C4" w:rsidRDefault="00E943C4" w:rsidP="0092234F">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14:paraId="608488CF" w14:textId="77777777" w:rsidTr="00262D91">
        <w:tc>
          <w:tcPr>
            <w:tcW w:w="2127" w:type="dxa"/>
            <w:shd w:val="clear" w:color="auto" w:fill="C6D9F1" w:themeFill="text2" w:themeFillTint="33"/>
          </w:tcPr>
          <w:p w14:paraId="6388405B" w14:textId="77777777" w:rsidR="00E943C4" w:rsidRPr="008F3F06" w:rsidRDefault="00E943C4" w:rsidP="0092234F">
            <w:pPr>
              <w:spacing w:after="0"/>
              <w:rPr>
                <w:rFonts w:asciiTheme="minorHAnsi" w:hAnsiTheme="minorHAnsi"/>
                <w:b/>
              </w:rPr>
            </w:pPr>
            <w:proofErr w:type="spellStart"/>
            <w:proofErr w:type="gramStart"/>
            <w:r w:rsidRPr="008F3F06">
              <w:rPr>
                <w:rFonts w:asciiTheme="minorHAnsi" w:hAnsiTheme="minorHAnsi"/>
                <w:b/>
              </w:rPr>
              <w:t>eduGAIN</w:t>
            </w:r>
            <w:proofErr w:type="spellEnd"/>
            <w:proofErr w:type="gramEnd"/>
          </w:p>
        </w:tc>
        <w:tc>
          <w:tcPr>
            <w:tcW w:w="6804" w:type="dxa"/>
            <w:shd w:val="clear" w:color="auto" w:fill="auto"/>
          </w:tcPr>
          <w:p w14:paraId="7D19C416" w14:textId="77777777" w:rsidR="00E943C4" w:rsidRPr="00E943C4" w:rsidRDefault="00E943C4" w:rsidP="0092234F">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FootnoteReference"/>
                <w:rFonts w:asciiTheme="minorHAnsi" w:hAnsiTheme="minorHAnsi"/>
              </w:rPr>
              <w:footnoteReference w:id="5"/>
            </w:r>
            <w:r w:rsidRPr="00E943C4">
              <w:rPr>
                <w:rFonts w:asciiTheme="minorHAnsi" w:hAnsiTheme="minorHAnsi"/>
              </w:rPr>
              <w:t xml:space="preserve"> </w:t>
            </w:r>
          </w:p>
        </w:tc>
      </w:tr>
    </w:tbl>
    <w:p w14:paraId="0C2E755D" w14:textId="77777777" w:rsidR="00E943C4" w:rsidRPr="002C1DEB" w:rsidRDefault="00E943C4" w:rsidP="002C1DEB">
      <w:pPr>
        <w:rPr>
          <w:rFonts w:asciiTheme="minorHAnsi" w:hAnsiTheme="minorHAnsi"/>
        </w:rPr>
      </w:pPr>
    </w:p>
    <w:p w14:paraId="71924E1F" w14:textId="35DED8F4" w:rsidR="00631C00" w:rsidRDefault="00631C00" w:rsidP="00C76F12">
      <w:pPr>
        <w:spacing w:before="0" w:after="120" w:line="276" w:lineRule="auto"/>
        <w:rPr>
          <w:rFonts w:ascii="Calibri" w:hAnsi="Calibri" w:cs="Open Sans"/>
        </w:rPr>
      </w:pPr>
      <w:r w:rsidRPr="00631C00">
        <w:rPr>
          <w:rFonts w:asciiTheme="minorHAnsi" w:hAnsiTheme="minorHAnsi"/>
        </w:rPr>
        <w:t>The key words "must", "must not", "required", "shall", "shall not", "should", "should not", "recommended",  "may", and "optional" in this document are to be interpreted as described in RFC 2119.</w:t>
      </w:r>
      <w:r>
        <w:rPr>
          <w:rFonts w:ascii="Calibri" w:hAnsi="Calibri" w:cs="Open Sans"/>
        </w:rPr>
        <w:br w:type="page"/>
      </w:r>
    </w:p>
    <w:p w14:paraId="14CBE836" w14:textId="77777777" w:rsidR="002C1DEB" w:rsidRPr="00631C00" w:rsidRDefault="00631C00" w:rsidP="00631C00">
      <w:pPr>
        <w:pStyle w:val="Heading2"/>
        <w:tabs>
          <w:tab w:val="num" w:pos="567"/>
        </w:tabs>
        <w:ind w:left="567"/>
        <w:rPr>
          <w:rFonts w:ascii="Calibri" w:hAnsi="Calibri" w:cs="Open Sans"/>
        </w:rPr>
      </w:pPr>
      <w:bookmarkStart w:id="7" w:name="_Toc338670800"/>
      <w:r w:rsidRPr="00631C00">
        <w:rPr>
          <w:rFonts w:ascii="Calibri" w:hAnsi="Calibri" w:cs="Open Sans"/>
        </w:rPr>
        <w:lastRenderedPageBreak/>
        <w:t>Aims</w:t>
      </w:r>
      <w:bookmarkEnd w:id="7"/>
    </w:p>
    <w:p w14:paraId="6D981749" w14:textId="031B9EBC" w:rsidR="00631C00" w:rsidRPr="00631C00" w:rsidRDefault="00631C00" w:rsidP="008F3F06">
      <w:pPr>
        <w:spacing w:before="0" w:after="120" w:line="276" w:lineRule="auto"/>
        <w:rPr>
          <w:rFonts w:asciiTheme="minorHAnsi" w:hAnsiTheme="minorHAnsi"/>
        </w:rPr>
      </w:pPr>
      <w:r w:rsidRPr="00631C00">
        <w:rPr>
          <w:rFonts w:asciiTheme="minorHAnsi" w:hAnsiTheme="minorHAnsi"/>
        </w:rPr>
        <w:t xml:space="preserve">This Policy and the Implementation Guidelines aim to enable a low-barrier Service to be offered to a wide range of research users in Europe and their collaborators </w:t>
      </w:r>
      <w:proofErr w:type="gramStart"/>
      <w:r w:rsidRPr="00631C00">
        <w:rPr>
          <w:rFonts w:asciiTheme="minorHAnsi" w:hAnsiTheme="minorHAnsi"/>
        </w:rPr>
        <w:t>world-wide</w:t>
      </w:r>
      <w:proofErr w:type="gramEnd"/>
      <w:r w:rsidRPr="00631C00">
        <w:rPr>
          <w:rFonts w:asciiTheme="minorHAnsi" w:hAnsiTheme="minorHAnsi"/>
        </w:rPr>
        <w:t xml:space="preserve">, by any Resource Centre organisation that elects to do so. In offering such </w:t>
      </w:r>
      <w:r w:rsidR="00C76F12">
        <w:rPr>
          <w:rFonts w:asciiTheme="minorHAnsi" w:hAnsiTheme="minorHAnsi"/>
        </w:rPr>
        <w:t>Platform</w:t>
      </w:r>
      <w:r w:rsidRPr="00631C00">
        <w:rPr>
          <w:rFonts w:asciiTheme="minorHAnsi" w:hAnsiTheme="minorHAnsi"/>
        </w:rPr>
        <w:t xml:space="preserve">, the Resource Centre shall not negatively affect the security or change the security risk of any other Resource Centre or any other part of the e-Infrastructure. In particular, security incidents originating in the </w:t>
      </w:r>
      <w:r w:rsidR="00C76F12">
        <w:rPr>
          <w:rFonts w:asciiTheme="minorHAnsi" w:hAnsiTheme="minorHAnsi"/>
        </w:rPr>
        <w:t>Platform</w:t>
      </w:r>
      <w:r w:rsidRPr="00631C00">
        <w:rPr>
          <w:rFonts w:asciiTheme="minorHAnsi" w:hAnsiTheme="minorHAnsi"/>
        </w:rPr>
        <w:t xml:space="preserv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14:paraId="7EC24A25" w14:textId="77777777"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14:paraId="7EA36CBE" w14:textId="4D208BF4" w:rsidR="00AF0C0A" w:rsidRDefault="009F5173" w:rsidP="009F5173">
      <w:pPr>
        <w:pStyle w:val="Heading1"/>
        <w:rPr>
          <w:rFonts w:asciiTheme="minorHAnsi" w:hAnsiTheme="minorHAnsi"/>
        </w:rPr>
      </w:pPr>
      <w:bookmarkStart w:id="8" w:name="_Toc338670801"/>
      <w:r w:rsidRPr="009F5173">
        <w:rPr>
          <w:rFonts w:asciiTheme="minorHAnsi" w:hAnsiTheme="minorHAnsi"/>
        </w:rPr>
        <w:lastRenderedPageBreak/>
        <w:t>SECUrity policy</w:t>
      </w:r>
      <w:bookmarkEnd w:id="8"/>
    </w:p>
    <w:p w14:paraId="5E8FA63D"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Within the scope of this Policy:</w:t>
      </w:r>
    </w:p>
    <w:p w14:paraId="47E95DAF"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14:paraId="5EBBCF26"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FootnoteReference"/>
          <w:rFonts w:asciiTheme="minorHAnsi" w:hAnsiTheme="minorHAnsi"/>
        </w:rPr>
        <w:footnoteReference w:id="6"/>
      </w:r>
    </w:p>
    <w:p w14:paraId="6606D711"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14:paraId="2F75A774" w14:textId="341E6D3C"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Information about Users shall be kept in the Registry for at least 13 months and no more than 18 months after terminating access to the </w:t>
      </w:r>
      <w:r w:rsidR="00C76F12">
        <w:rPr>
          <w:rFonts w:asciiTheme="minorHAnsi" w:hAnsiTheme="minorHAnsi"/>
        </w:rPr>
        <w:t>Platform</w:t>
      </w:r>
      <w:r w:rsidRPr="009F5173">
        <w:rPr>
          <w:rFonts w:asciiTheme="minorHAnsi" w:hAnsiTheme="minorHAnsi"/>
        </w:rPr>
        <w:t xml:space="preserve"> for the User.</w:t>
      </w:r>
    </w:p>
    <w:p w14:paraId="4FA5E5C8"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14:paraId="2A6CFEED" w14:textId="0E5170DD"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r w:rsidR="00C76F12">
        <w:rPr>
          <w:rFonts w:asciiTheme="minorHAnsi" w:hAnsiTheme="minorHAnsi"/>
        </w:rPr>
        <w:t>Platform</w:t>
      </w:r>
      <w:r w:rsidRPr="009F5173">
        <w:rPr>
          <w:rFonts w:asciiTheme="minorHAnsi" w:hAnsiTheme="minorHAnsi"/>
        </w:rPr>
        <w:t>.</w:t>
      </w:r>
    </w:p>
    <w:p w14:paraId="327C98B3" w14:textId="375E918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t>
      </w:r>
      <w:r w:rsidR="0047092D">
        <w:rPr>
          <w:rFonts w:asciiTheme="minorHAnsi" w:hAnsiTheme="minorHAnsi"/>
        </w:rPr>
        <w:t>w</w:t>
      </w:r>
      <w:r w:rsidRPr="009F5173">
        <w:rPr>
          <w:rFonts w:asciiTheme="minorHAnsi" w:hAnsiTheme="minorHAnsi"/>
        </w:rPr>
        <w:t xml:space="preserve">orkflows. </w:t>
      </w:r>
    </w:p>
    <w:p w14:paraId="70FAD341" w14:textId="4201B764"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apply any controls necessary to ensure that the risk posed to other Resource Providers and to the Infrastructure Participants does not change in a significant way as a result of its participation in the </w:t>
      </w:r>
      <w:r w:rsidR="00C76F12">
        <w:rPr>
          <w:rFonts w:asciiTheme="minorHAnsi" w:hAnsiTheme="minorHAnsi"/>
        </w:rPr>
        <w:t>Platform</w:t>
      </w:r>
      <w:r w:rsidRPr="009F5173">
        <w:rPr>
          <w:rFonts w:asciiTheme="minorHAnsi" w:hAnsiTheme="minorHAnsi"/>
        </w:rPr>
        <w:t>.</w:t>
      </w:r>
    </w:p>
    <w:p w14:paraId="618768B6" w14:textId="56E55EE1"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Management of the Resource Centre and of the Resource Infrastructure Provider shall accept the risk involved with participation in the </w:t>
      </w:r>
      <w:r w:rsidR="00C76F12">
        <w:rPr>
          <w:rFonts w:asciiTheme="minorHAnsi" w:hAnsiTheme="minorHAnsi"/>
        </w:rPr>
        <w:t>Platform</w:t>
      </w:r>
      <w:r w:rsidRPr="009F5173">
        <w:rPr>
          <w:rFonts w:asciiTheme="minorHAnsi" w:hAnsiTheme="minorHAnsi"/>
        </w:rPr>
        <w:t>, and shall have the capability to absorb the consequences of any residual risk with respect to the other Participants.</w:t>
      </w:r>
    </w:p>
    <w:p w14:paraId="22C8F0F3" w14:textId="760FBE8B"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Users shall comply with the Acceptable Use Policy</w:t>
      </w:r>
      <w:r w:rsidR="0047092D">
        <w:rPr>
          <w:rStyle w:val="FootnoteReference"/>
          <w:rFonts w:asciiTheme="minorHAnsi" w:hAnsiTheme="minorHAnsi"/>
        </w:rPr>
        <w:footnoteReference w:id="7"/>
      </w:r>
      <w:r w:rsidRPr="009F5173">
        <w:rPr>
          <w:rFonts w:asciiTheme="minorHAnsi" w:hAnsiTheme="minorHAnsi"/>
        </w:rPr>
        <w:t>, and shall respect any further restrictions placed on permissible use by Resource Centres and Science Gateways.</w:t>
      </w:r>
    </w:p>
    <w:p w14:paraId="11D06429" w14:textId="42A98F72" w:rsidR="009F5173" w:rsidRPr="009F5173" w:rsidRDefault="009F5173" w:rsidP="008F3F06">
      <w:pPr>
        <w:spacing w:before="0" w:after="120" w:line="276" w:lineRule="auto"/>
        <w:rPr>
          <w:rFonts w:asciiTheme="minorHAnsi" w:hAnsiTheme="minorHAnsi"/>
        </w:rPr>
      </w:pPr>
      <w:r w:rsidRPr="009F5173">
        <w:rPr>
          <w:rFonts w:asciiTheme="minorHAnsi" w:hAnsiTheme="minorHAnsi"/>
        </w:rPr>
        <w:t xml:space="preserve">By adopting this policy, the </w:t>
      </w:r>
      <w:proofErr w:type="spellStart"/>
      <w:r w:rsidR="0047092D">
        <w:rPr>
          <w:rFonts w:asciiTheme="minorHAnsi" w:hAnsiTheme="minorHAnsi"/>
        </w:rPr>
        <w:t>Platfpr</w:t>
      </w:r>
      <w:proofErr w:type="spellEnd"/>
      <w:r w:rsidR="0047092D">
        <w:rPr>
          <w:rFonts w:asciiTheme="minorHAnsi" w:hAnsiTheme="minorHAnsi"/>
        </w:rPr>
        <w:t>,</w:t>
      </w:r>
      <w:r w:rsidRPr="009F5173">
        <w:rPr>
          <w:rFonts w:asciiTheme="minorHAnsi" w:hAnsiTheme="minorHAnsi"/>
        </w:rPr>
        <w:t xml:space="preserve"> shall qualify as having security controls sufficient for the operation of Job Management Portals as meant in the VO Portal Policy</w:t>
      </w:r>
      <w:r w:rsidRPr="009F5173">
        <w:rPr>
          <w:rStyle w:val="FootnoteReference"/>
          <w:rFonts w:asciiTheme="minorHAnsi" w:hAnsiTheme="minorHAnsi"/>
        </w:rPr>
        <w:footnoteReference w:id="8"/>
      </w:r>
      <w:r w:rsidRPr="009F5173">
        <w:rPr>
          <w:rFonts w:asciiTheme="minorHAnsi" w:hAnsiTheme="minorHAnsi"/>
        </w:rPr>
        <w:t xml:space="preserve"> for </w:t>
      </w:r>
      <w:r w:rsidR="0047092D">
        <w:rPr>
          <w:rFonts w:asciiTheme="minorHAnsi" w:hAnsiTheme="minorHAnsi"/>
        </w:rPr>
        <w:t>members of the long tail of science</w:t>
      </w:r>
      <w:r w:rsidRPr="009F5173">
        <w:rPr>
          <w:rFonts w:asciiTheme="minorHAnsi" w:hAnsiTheme="minorHAnsi"/>
        </w:rPr>
        <w:t xml:space="preserve">, when used within the ensemble of Service Providers participating in the </w:t>
      </w:r>
      <w:r w:rsidR="0047092D">
        <w:rPr>
          <w:rFonts w:asciiTheme="minorHAnsi" w:hAnsiTheme="minorHAnsi"/>
        </w:rPr>
        <w:t xml:space="preserve">Platform. </w:t>
      </w:r>
    </w:p>
    <w:p w14:paraId="029F301F" w14:textId="52051E57" w:rsidR="009D3F82" w:rsidRDefault="009D3F82" w:rsidP="009D3F82">
      <w:pPr>
        <w:pStyle w:val="Heading1"/>
        <w:rPr>
          <w:rFonts w:asciiTheme="minorHAnsi" w:hAnsiTheme="minorHAnsi"/>
        </w:rPr>
      </w:pPr>
      <w:bookmarkStart w:id="9" w:name="_Toc338670802"/>
      <w:r w:rsidRPr="009D3F82">
        <w:rPr>
          <w:rFonts w:asciiTheme="minorHAnsi" w:hAnsiTheme="minorHAnsi"/>
        </w:rPr>
        <w:lastRenderedPageBreak/>
        <w:t>security implementation guidelines</w:t>
      </w:r>
      <w:bookmarkEnd w:id="3"/>
      <w:bookmarkEnd w:id="4"/>
      <w:bookmarkEnd w:id="9"/>
    </w:p>
    <w:p w14:paraId="3005C3B8" w14:textId="1E3B7CBE"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r w:rsidR="0047092D">
        <w:rPr>
          <w:rFonts w:asciiTheme="minorHAnsi" w:hAnsiTheme="minorHAnsi"/>
        </w:rPr>
        <w:t>Platform</w:t>
      </w:r>
      <w:r w:rsidRPr="009D3F82">
        <w:rPr>
          <w:rFonts w:asciiTheme="minorHAnsi" w:hAnsiTheme="minorHAnsi"/>
        </w:rPr>
        <w:t>.</w:t>
      </w:r>
    </w:p>
    <w:p w14:paraId="683234FF" w14:textId="77777777" w:rsidR="009D3F82" w:rsidRPr="009D3F82" w:rsidRDefault="009D3F82" w:rsidP="009D3F82">
      <w:pPr>
        <w:pStyle w:val="Heading2"/>
        <w:tabs>
          <w:tab w:val="num" w:pos="567"/>
        </w:tabs>
        <w:ind w:left="567"/>
        <w:rPr>
          <w:rFonts w:ascii="Calibri" w:hAnsi="Calibri" w:cs="Open Sans"/>
        </w:rPr>
      </w:pPr>
      <w:bookmarkStart w:id="10" w:name="_Toc413321472"/>
      <w:bookmarkStart w:id="11" w:name="_Toc338670803"/>
      <w:r w:rsidRPr="009D3F82">
        <w:rPr>
          <w:rFonts w:ascii="Calibri" w:hAnsi="Calibri" w:cs="Open Sans"/>
        </w:rPr>
        <w:t>Operational Security Capability</w:t>
      </w:r>
      <w:bookmarkEnd w:id="10"/>
      <w:bookmarkEnd w:id="11"/>
    </w:p>
    <w:p w14:paraId="69281298" w14:textId="4424B269"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FootnoteReference"/>
          <w:rFonts w:asciiTheme="minorHAnsi" w:hAnsiTheme="minorHAnsi"/>
        </w:rPr>
        <w:footnoteReference w:id="9"/>
      </w:r>
      <w:r w:rsidRPr="009D3F82">
        <w:rPr>
          <w:rFonts w:asciiTheme="minorHAnsi" w:hAnsiTheme="minorHAnsi"/>
        </w:rPr>
        <w:t xml:space="preserve"> by sharing information about suspect activity, and should provide qualified personnel to joint teams that deal with incidents related to the </w:t>
      </w:r>
      <w:r w:rsidR="0047092D">
        <w:rPr>
          <w:rFonts w:asciiTheme="minorHAnsi" w:hAnsiTheme="minorHAnsi"/>
        </w:rPr>
        <w:t xml:space="preserve">Platform. </w:t>
      </w:r>
    </w:p>
    <w:p w14:paraId="415E4A0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14:paraId="5949DAB5" w14:textId="698C12BD"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All suspect activity detected at a Service must be reported immediately to both the EGI CSIRT </w:t>
      </w:r>
      <w:r w:rsidR="0047092D">
        <w:rPr>
          <w:rFonts w:asciiTheme="minorHAnsi" w:hAnsiTheme="minorHAnsi"/>
        </w:rPr>
        <w:t>(</w:t>
      </w:r>
      <w:hyperlink r:id="rId21" w:history="1">
        <w:r w:rsidR="0047092D" w:rsidRPr="00080271">
          <w:rPr>
            <w:rStyle w:val="Hyperlink"/>
            <w:rFonts w:asciiTheme="minorHAnsi" w:hAnsiTheme="minorHAnsi"/>
          </w:rPr>
          <w:t>abuse@egi.eu</w:t>
        </w:r>
      </w:hyperlink>
      <w:r w:rsidR="0047092D">
        <w:rPr>
          <w:rFonts w:asciiTheme="minorHAnsi" w:hAnsiTheme="minorHAnsi"/>
        </w:rPr>
        <w:t xml:space="preserve">) </w:t>
      </w:r>
      <w:r w:rsidRPr="009D3F82">
        <w:rPr>
          <w:rFonts w:asciiTheme="minorHAnsi" w:hAnsiTheme="minorHAnsi"/>
        </w:rPr>
        <w:t>as well as to the Registry administrators and the administrators of known Science Gateways</w:t>
      </w:r>
      <w:r w:rsidR="0047092D">
        <w:rPr>
          <w:rFonts w:asciiTheme="minorHAnsi" w:hAnsiTheme="minorHAnsi"/>
        </w:rPr>
        <w:t xml:space="preserve"> (accessible through </w:t>
      </w:r>
      <w:hyperlink r:id="rId22" w:history="1">
        <w:r w:rsidR="00A04ADD" w:rsidRPr="00080271">
          <w:rPr>
            <w:rStyle w:val="Hyperlink"/>
            <w:rFonts w:asciiTheme="minorHAnsi" w:hAnsiTheme="minorHAnsi"/>
          </w:rPr>
          <w:t>long-tail-providers@mailman.egi.eu</w:t>
        </w:r>
      </w:hyperlink>
      <w:r w:rsidR="0047092D">
        <w:rPr>
          <w:rFonts w:asciiTheme="minorHAnsi" w:hAnsiTheme="minorHAnsi"/>
        </w:rPr>
        <w:t>)</w:t>
      </w:r>
      <w:r w:rsidRPr="009D3F82">
        <w:rPr>
          <w:rFonts w:asciiTheme="minorHAnsi" w:hAnsiTheme="minorHAnsi"/>
        </w:rPr>
        <w:t>.</w:t>
      </w:r>
      <w:r w:rsidR="00A04ADD">
        <w:rPr>
          <w:rFonts w:asciiTheme="minorHAnsi" w:hAnsiTheme="minorHAnsi"/>
        </w:rPr>
        <w:t xml:space="preserve"> </w:t>
      </w:r>
      <w:r w:rsidRPr="009D3F82">
        <w:rPr>
          <w:rFonts w:asciiTheme="minorHAnsi" w:hAnsiTheme="minorHAnsi"/>
        </w:rPr>
        <w:t>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14:paraId="01584380" w14:textId="2D441CC3"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EGI CSIRT centrally maintains a list of entities for which access is to be suspend</w:t>
      </w:r>
      <w:r w:rsidR="00A04ADD">
        <w:rPr>
          <w:rFonts w:asciiTheme="minorHAnsi" w:hAnsiTheme="minorHAnsi"/>
        </w:rPr>
        <w:t>ed</w:t>
      </w:r>
      <w:r w:rsidRPr="009D3F82">
        <w:rPr>
          <w:rFonts w:asciiTheme="minorHAnsi" w:hAnsiTheme="minorHAnsi"/>
        </w:rPr>
        <w:t xml:space="preserve"> because of an emergency situation</w:t>
      </w:r>
      <w:r w:rsidRPr="009D3F82">
        <w:rPr>
          <w:rStyle w:val="FootnoteReference"/>
          <w:rFonts w:asciiTheme="minorHAnsi" w:hAnsiTheme="minorHAnsi"/>
        </w:rPr>
        <w:footnoteReference w:id="10"/>
      </w:r>
      <w:r w:rsidRPr="009D3F82">
        <w:rPr>
          <w:rFonts w:asciiTheme="minorHAnsi" w:hAnsiTheme="minorHAnsi"/>
        </w:rP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r w:rsidR="00CC146B">
        <w:rPr>
          <w:rFonts w:asciiTheme="minorHAnsi" w:hAnsiTheme="minorHAnsi"/>
        </w:rPr>
        <w:t>Platform</w:t>
      </w:r>
      <w:r w:rsidRPr="009D3F82">
        <w:rPr>
          <w:rFonts w:asciiTheme="minorHAnsi" w:hAnsiTheme="minorHAnsi"/>
        </w:rPr>
        <w:t xml:space="preserve"> Users whilst the emergency suspension lasts.</w:t>
      </w:r>
    </w:p>
    <w:p w14:paraId="32222EA3"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14:paraId="6463F257" w14:textId="77777777" w:rsidR="009D3F82" w:rsidRPr="009D3F82" w:rsidRDefault="009D3F82" w:rsidP="009D3F82">
      <w:pPr>
        <w:pStyle w:val="Heading2"/>
        <w:tabs>
          <w:tab w:val="num" w:pos="567"/>
        </w:tabs>
        <w:ind w:left="567"/>
        <w:rPr>
          <w:rFonts w:ascii="Calibri" w:hAnsi="Calibri" w:cs="Open Sans"/>
        </w:rPr>
      </w:pPr>
      <w:bookmarkStart w:id="12" w:name="_Toc413321473"/>
      <w:bookmarkStart w:id="13" w:name="_Toc338670804"/>
      <w:r w:rsidRPr="009D3F82">
        <w:rPr>
          <w:rFonts w:ascii="Calibri" w:hAnsi="Calibri" w:cs="Open Sans"/>
        </w:rPr>
        <w:t>Application and allocation</w:t>
      </w:r>
      <w:bookmarkEnd w:id="12"/>
      <w:bookmarkEnd w:id="13"/>
    </w:p>
    <w:p w14:paraId="6954D1C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w:t>
      </w:r>
      <w:r w:rsidRPr="009D3F82">
        <w:rPr>
          <w:rFonts w:asciiTheme="minorHAnsi" w:hAnsiTheme="minorHAnsi"/>
        </w:rPr>
        <w:lastRenderedPageBreak/>
        <w:t xml:space="preserve">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14:paraId="75FFA8A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application shall include an estimate of the quantity and type of resources needed.</w:t>
      </w:r>
    </w:p>
    <w:p w14:paraId="6BF73E07" w14:textId="18B946AE" w:rsidR="009D3F82" w:rsidRPr="009D3F82" w:rsidRDefault="00A04ADD"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Pr>
          <w:rFonts w:asciiTheme="minorHAnsi" w:hAnsiTheme="minorHAnsi"/>
        </w:rPr>
        <w:t>The research use case –</w:t>
      </w:r>
      <w:r w:rsidR="009D3F82" w:rsidRPr="009D3F82">
        <w:rPr>
          <w:rFonts w:asciiTheme="minorHAnsi" w:hAnsiTheme="minorHAnsi"/>
        </w:rPr>
        <w:t xml:space="preserve"> elaborated in the Application</w:t>
      </w:r>
      <w:r>
        <w:rPr>
          <w:rFonts w:asciiTheme="minorHAnsi" w:hAnsiTheme="minorHAnsi"/>
        </w:rPr>
        <w:t xml:space="preserve"> –</w:t>
      </w:r>
      <w:r w:rsidR="009D3F82" w:rsidRPr="009D3F82">
        <w:rPr>
          <w:rFonts w:asciiTheme="minorHAnsi" w:hAnsiTheme="minorHAnsi"/>
        </w:rPr>
        <w:t xml:space="preserve"> shall be rev</w:t>
      </w:r>
      <w:r>
        <w:rPr>
          <w:rFonts w:asciiTheme="minorHAnsi" w:hAnsiTheme="minorHAnsi"/>
        </w:rPr>
        <w:t>iewed by a designated Registrar</w:t>
      </w:r>
      <w:proofErr w:type="gramEnd"/>
      <w:r>
        <w:rPr>
          <w:rFonts w:asciiTheme="minorHAnsi" w:hAnsiTheme="minorHAnsi"/>
        </w:rPr>
        <w:t>.</w:t>
      </w:r>
      <w:r w:rsidR="009D3F82" w:rsidRPr="009D3F82">
        <w:rPr>
          <w:rFonts w:asciiTheme="minorHAnsi" w:hAnsiTheme="minorHAnsi"/>
        </w:rPr>
        <w:t xml:space="preserve"> These may be NGI International Liaisons, the EGI.eu User Support team and their designates, people so designated by an EGI.eu Council member, or any Registrar so appointed by relevant Management. </w:t>
      </w:r>
      <w:r w:rsidR="002B0818">
        <w:rPr>
          <w:rFonts w:asciiTheme="minorHAnsi" w:hAnsiTheme="minorHAnsi"/>
        </w:rPr>
        <w:t xml:space="preserve"> </w:t>
      </w:r>
      <w:r w:rsidR="009D3F82" w:rsidRPr="009D3F82">
        <w:rPr>
          <w:rFonts w:asciiTheme="minorHAnsi" w:hAnsiTheme="minorHAnsi"/>
        </w:rPr>
        <w:t>The results of such a review, specifically the identity of the Registrar, the time of review, and the outcome, shall be recorded for audit purposes.</w:t>
      </w:r>
    </w:p>
    <w:p w14:paraId="07138783" w14:textId="75738F72"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Management of the </w:t>
      </w:r>
      <w:r w:rsidR="00A04ADD">
        <w:rPr>
          <w:rFonts w:asciiTheme="minorHAnsi" w:hAnsiTheme="minorHAnsi"/>
        </w:rPr>
        <w:t>Platform</w:t>
      </w:r>
      <w:r w:rsidRPr="009D3F82">
        <w:rPr>
          <w:rFonts w:asciiTheme="minorHAnsi" w:hAnsiTheme="minorHAnsi"/>
        </w:rPr>
        <w:t xml:space="preserve"> may specify a quantitative threshold below which applications are only reviewed for correctness of contact details (and European sponsor information where relevant) and the mere reasonable presence of a research use case description.</w:t>
      </w:r>
    </w:p>
    <w:p w14:paraId="13424E89" w14:textId="77777777" w:rsidR="009D3F82" w:rsidRPr="009D3F82" w:rsidRDefault="009D3F82" w:rsidP="009D3F82">
      <w:pPr>
        <w:pStyle w:val="Heading2"/>
        <w:tabs>
          <w:tab w:val="num" w:pos="567"/>
        </w:tabs>
        <w:ind w:left="567"/>
        <w:rPr>
          <w:rFonts w:ascii="Calibri" w:hAnsi="Calibri" w:cs="Open Sans"/>
        </w:rPr>
      </w:pPr>
      <w:bookmarkStart w:id="14" w:name="_Toc413321474"/>
      <w:bookmarkStart w:id="15" w:name="_Toc338670805"/>
      <w:r w:rsidRPr="009D3F82">
        <w:rPr>
          <w:rFonts w:ascii="Calibri" w:hAnsi="Calibri" w:cs="Open Sans"/>
        </w:rPr>
        <w:t>Identification and registration</w:t>
      </w:r>
      <w:bookmarkEnd w:id="14"/>
      <w:bookmarkEnd w:id="15"/>
    </w:p>
    <w:p w14:paraId="71CB9C1B" w14:textId="242B3668"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 Applicant of the </w:t>
      </w:r>
      <w:r w:rsidR="00A04ADD">
        <w:rPr>
          <w:rFonts w:asciiTheme="minorHAnsi" w:hAnsiTheme="minorHAnsi"/>
        </w:rPr>
        <w:t xml:space="preserve">Platform </w:t>
      </w:r>
      <w:r w:rsidRPr="009D3F82">
        <w:rPr>
          <w:rFonts w:asciiTheme="minorHAnsi" w:hAnsiTheme="minorHAnsi"/>
        </w:rPr>
        <w:t xml:space="preserve">should be identified via authentication through </w:t>
      </w:r>
      <w:proofErr w:type="spellStart"/>
      <w:r w:rsidRPr="009D3F82">
        <w:rPr>
          <w:rFonts w:asciiTheme="minorHAnsi" w:hAnsiTheme="minorHAnsi"/>
        </w:rPr>
        <w:t>eduGAIN</w:t>
      </w:r>
      <w:proofErr w:type="spellEnd"/>
      <w:r w:rsidRPr="009D3F82">
        <w:rPr>
          <w:rFonts w:asciiTheme="minorHAnsi" w:hAnsiTheme="minorHAnsi"/>
        </w:rPr>
        <w:t>, and may be identified by other appropriate means when such an authentication is not possible.</w:t>
      </w:r>
    </w:p>
    <w:p w14:paraId="2B30BCC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07C8149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Ability to authenticate with </w:t>
      </w:r>
      <w:proofErr w:type="spellStart"/>
      <w:r w:rsidRPr="009D3F82">
        <w:rPr>
          <w:rFonts w:asciiTheme="minorHAnsi" w:hAnsiTheme="minorHAnsi"/>
        </w:rPr>
        <w:t>eduGAIN</w:t>
      </w:r>
      <w:proofErr w:type="spellEnd"/>
      <w:r w:rsidRPr="009D3F82">
        <w:rPr>
          <w:rFonts w:asciiTheme="minorHAnsi" w:hAnsiTheme="minorHAnsi"/>
        </w:rPr>
        <w:t xml:space="preserve"> should not be taken to mean that the User or Applicant is within the European EGI scope. Through </w:t>
      </w:r>
      <w:proofErr w:type="spellStart"/>
      <w:r w:rsidRPr="009D3F82">
        <w:rPr>
          <w:rFonts w:asciiTheme="minorHAnsi" w:hAnsiTheme="minorHAnsi"/>
        </w:rPr>
        <w:t>eduGAIN</w:t>
      </w:r>
      <w:proofErr w:type="spellEnd"/>
      <w:r w:rsidRPr="009D3F82">
        <w:rPr>
          <w:rFonts w:asciiTheme="minorHAnsi" w:hAnsiTheme="minorHAnsi"/>
        </w:rPr>
        <w:t xml:space="preserve">, it will be possible to identify the affiliation of the </w:t>
      </w:r>
      <w:proofErr w:type="spellStart"/>
      <w:r w:rsidRPr="009D3F82">
        <w:rPr>
          <w:rFonts w:asciiTheme="minorHAnsi" w:hAnsiTheme="minorHAnsi"/>
        </w:rPr>
        <w:t>IdP</w:t>
      </w:r>
      <w:proofErr w:type="spellEnd"/>
      <w:r w:rsidRPr="009D3F82">
        <w:rPr>
          <w:rFonts w:asciiTheme="minorHAnsi" w:hAnsiTheme="minorHAnsi"/>
        </w:rPr>
        <w:t xml:space="preserve"> and (possibly indirectly) the originating national federation.</w:t>
      </w:r>
    </w:p>
    <w:p w14:paraId="21C9971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 xml:space="preserve">When attributes are released by an </w:t>
      </w:r>
      <w:proofErr w:type="spellStart"/>
      <w:r w:rsidRPr="009D3F82">
        <w:rPr>
          <w:rFonts w:asciiTheme="minorHAnsi" w:hAnsiTheme="minorHAnsi"/>
        </w:rPr>
        <w:t>IdP</w:t>
      </w:r>
      <w:proofErr w:type="spellEnd"/>
      <w:r w:rsidRPr="009D3F82">
        <w:rPr>
          <w:rFonts w:asciiTheme="minorHAnsi" w:hAnsiTheme="minorHAnsi"/>
        </w:rPr>
        <w:t xml:space="preserve"> (“Identity Provider” as conventionally used in a federation context) or federation through </w:t>
      </w:r>
      <w:proofErr w:type="spellStart"/>
      <w:r w:rsidRPr="009D3F82">
        <w:rPr>
          <w:rFonts w:asciiTheme="minorHAnsi" w:hAnsiTheme="minorHAnsi"/>
        </w:rPr>
        <w:t>eduGAIN</w:t>
      </w:r>
      <w:proofErr w:type="spellEnd"/>
      <w:proofErr w:type="gramEnd"/>
      <w:r w:rsidRPr="009D3F82">
        <w:rPr>
          <w:rFonts w:asciiTheme="minorHAnsi" w:hAnsiTheme="minorHAnsi"/>
        </w:rPr>
        <w:t xml:space="preserve">, it is reasonable to assume that those attributes are linked to the authenticating entity at time of issuance. </w:t>
      </w:r>
    </w:p>
    <w:p w14:paraId="4DB6A287"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Any entity inside </w:t>
      </w:r>
      <w:proofErr w:type="spellStart"/>
      <w:r w:rsidRPr="009D3F82">
        <w:rPr>
          <w:rFonts w:asciiTheme="minorHAnsi" w:hAnsiTheme="minorHAnsi"/>
        </w:rPr>
        <w:t>eduGAIN</w:t>
      </w:r>
      <w:proofErr w:type="spellEnd"/>
      <w:r w:rsidRPr="009D3F82">
        <w:rPr>
          <w:rFonts w:asciiTheme="minorHAnsi" w:hAnsiTheme="minorHAnsi"/>
        </w:rPr>
        <w:t xml:space="preserve"> could of course be compromised at any point in time. Implementers should not expect that the ability to authenticate to </w:t>
      </w:r>
      <w:proofErr w:type="spellStart"/>
      <w:r w:rsidRPr="009D3F82">
        <w:rPr>
          <w:rFonts w:asciiTheme="minorHAnsi" w:hAnsiTheme="minorHAnsi"/>
        </w:rPr>
        <w:t>eduGAIN</w:t>
      </w:r>
      <w:proofErr w:type="spellEnd"/>
      <w:r w:rsidRPr="009D3F82">
        <w:rPr>
          <w:rFonts w:asciiTheme="minorHAnsi" w:hAnsiTheme="minorHAnsi"/>
        </w:rPr>
        <w:t xml:space="preserve"> is suspended during account compromise, and they should not expect to be informed of compromised identities.</w:t>
      </w:r>
    </w:p>
    <w:p w14:paraId="7285E5F6" w14:textId="5FC55E3E"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may release only a limited set of attributes for a user. It may be only an identifier that is specific to the combination of user-</w:t>
      </w:r>
      <w:proofErr w:type="spellStart"/>
      <w:r w:rsidRPr="009D3F82">
        <w:rPr>
          <w:rFonts w:asciiTheme="minorHAnsi" w:hAnsiTheme="minorHAnsi"/>
        </w:rPr>
        <w:t>IdP</w:t>
      </w:r>
      <w:proofErr w:type="spellEnd"/>
      <w:r w:rsidRPr="009D3F82">
        <w:rPr>
          <w:rFonts w:asciiTheme="minorHAnsi" w:hAnsiTheme="minorHAnsi"/>
        </w:rPr>
        <w:t xml:space="preserve">-SP – where the SP (“Service Provider” in conventional federation context) is the specific Service that receives assertions from the </w:t>
      </w:r>
      <w:proofErr w:type="spellStart"/>
      <w:r w:rsidRPr="009D3F82">
        <w:rPr>
          <w:rFonts w:asciiTheme="minorHAnsi" w:hAnsiTheme="minorHAnsi"/>
        </w:rPr>
        <w:t>IdP</w:t>
      </w:r>
      <w:proofErr w:type="spellEnd"/>
      <w:r w:rsidRPr="009D3F82">
        <w:rPr>
          <w:rFonts w:asciiTheme="minorHAnsi" w:hAnsiTheme="minorHAnsi"/>
        </w:rPr>
        <w:t xml:space="preserve"> (e.g. the Registry or a ‘SP Proxy’ operated for the </w:t>
      </w:r>
      <w:r w:rsidR="00A04ADD">
        <w:rPr>
          <w:rFonts w:asciiTheme="minorHAnsi" w:hAnsiTheme="minorHAnsi"/>
        </w:rPr>
        <w:t>Platform)</w:t>
      </w:r>
      <w:r w:rsidRPr="009D3F82">
        <w:rPr>
          <w:rFonts w:asciiTheme="minorHAnsi" w:hAnsiTheme="minorHAnsi"/>
        </w:rPr>
        <w:t>.</w:t>
      </w:r>
    </w:p>
    <w:p w14:paraId="15D4152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may need to augment </w:t>
      </w:r>
      <w:proofErr w:type="spellStart"/>
      <w:r w:rsidRPr="009D3F82">
        <w:rPr>
          <w:rFonts w:asciiTheme="minorHAnsi" w:hAnsiTheme="minorHAnsi"/>
        </w:rPr>
        <w:t>eduGAIN</w:t>
      </w:r>
      <w:proofErr w:type="spellEnd"/>
      <w:r w:rsidRPr="009D3F82">
        <w:rPr>
          <w:rFonts w:asciiTheme="minorHAnsi" w:hAnsiTheme="minorHAnsi"/>
        </w:rPr>
        <w:t xml:space="preserve"> provided attributes with Applicant-provided contact information. In such cases, </w:t>
      </w:r>
      <w:proofErr w:type="gramStart"/>
      <w:r w:rsidRPr="009D3F82">
        <w:rPr>
          <w:rFonts w:asciiTheme="minorHAnsi" w:hAnsiTheme="minorHAnsi"/>
        </w:rPr>
        <w:t>the Applicant-provided contact information shall be reviewed by a Registrar</w:t>
      </w:r>
      <w:proofErr w:type="gramEnd"/>
      <w:r w:rsidRPr="009D3F82">
        <w:rPr>
          <w:rFonts w:asciiTheme="minorHAnsi" w:hAnsiTheme="minorHAnsi"/>
        </w:rPr>
        <w:t>.</w:t>
      </w:r>
    </w:p>
    <w:p w14:paraId="043CBD69" w14:textId="3F3D795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There may be one or more ‘catch-all’ self-service </w:t>
      </w:r>
      <w:proofErr w:type="spellStart"/>
      <w:r w:rsidRPr="009D3F82">
        <w:rPr>
          <w:rFonts w:asciiTheme="minorHAnsi" w:hAnsiTheme="minorHAnsi"/>
        </w:rPr>
        <w:t>IdPs</w:t>
      </w:r>
      <w:proofErr w:type="spellEnd"/>
      <w:r w:rsidRPr="009D3F82">
        <w:rPr>
          <w:rFonts w:asciiTheme="minorHAnsi" w:hAnsiTheme="minorHAnsi"/>
        </w:rPr>
        <w:t xml:space="preserve"> that permit authenticating to the Registry and </w:t>
      </w:r>
      <w:proofErr w:type="spellStart"/>
      <w:r w:rsidR="00A04ADD">
        <w:rPr>
          <w:rFonts w:asciiTheme="minorHAnsi" w:hAnsiTheme="minorHAnsi"/>
        </w:rPr>
        <w:t>and</w:t>
      </w:r>
      <w:proofErr w:type="spellEnd"/>
      <w:r w:rsidR="00A04ADD">
        <w:rPr>
          <w:rFonts w:asciiTheme="minorHAnsi" w:hAnsiTheme="minorHAnsi"/>
        </w:rPr>
        <w:t xml:space="preserve"> other services of the Platform</w:t>
      </w:r>
      <w:r w:rsidRPr="009D3F82">
        <w:rPr>
          <w:rFonts w:asciiTheme="minorHAnsi" w:hAnsiTheme="minorHAnsi"/>
        </w:rPr>
        <w:t xml:space="preserve"> (including the Science Gateways). </w:t>
      </w:r>
      <w:proofErr w:type="gramStart"/>
      <w:r w:rsidRPr="009D3F82">
        <w:rPr>
          <w:rFonts w:asciiTheme="minorHAnsi" w:hAnsiTheme="minorHAnsi"/>
        </w:rPr>
        <w:t>Any contact and affiliation information provided by the User or Applicant shall be verified by a Registrar</w:t>
      </w:r>
      <w:proofErr w:type="gramEnd"/>
      <w:r w:rsidRPr="009D3F82">
        <w:rPr>
          <w:rFonts w:asciiTheme="minorHAnsi" w:hAnsiTheme="minorHAnsi"/>
        </w:rPr>
        <w:t xml:space="preserve"> before access is granted to the </w:t>
      </w:r>
      <w:r w:rsidR="00A04ADD">
        <w:rPr>
          <w:rFonts w:asciiTheme="minorHAnsi" w:hAnsiTheme="minorHAnsi"/>
        </w:rPr>
        <w:t xml:space="preserve">Platform. </w:t>
      </w:r>
    </w:p>
    <w:p w14:paraId="293B0DC2"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User contact information contained in the Registry shall be verified at least once every 13 months, e.g. by sending an electronic email challenge to the User.</w:t>
      </w:r>
    </w:p>
    <w:p w14:paraId="598B902F" w14:textId="2910317E"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It should not be possible for a User to register multiple times with the Registry, and it must not be possible for the same User to re-register with a different identifier within a </w:t>
      </w:r>
      <w:proofErr w:type="gramStart"/>
      <w:r w:rsidRPr="009D3F82">
        <w:rPr>
          <w:rFonts w:asciiTheme="minorHAnsi" w:hAnsiTheme="minorHAnsi"/>
        </w:rPr>
        <w:t>1 month</w:t>
      </w:r>
      <w:proofErr w:type="gramEnd"/>
      <w:r w:rsidRPr="009D3F82">
        <w:rPr>
          <w:rFonts w:asciiTheme="minorHAnsi" w:hAnsiTheme="minorHAnsi"/>
        </w:rPr>
        <w:t xml:space="preserve"> period.</w:t>
      </w:r>
    </w:p>
    <w:p w14:paraId="5A274A9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14:paraId="3064814E" w14:textId="765E2F22"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or Services co-located with the Registry (such as an ‘SP Proxy’) may act as a trusted source of User data and attributed for any Science Gateway participating in the </w:t>
      </w:r>
      <w:r w:rsidR="00A04ADD">
        <w:rPr>
          <w:rFonts w:asciiTheme="minorHAnsi" w:hAnsiTheme="minorHAnsi"/>
        </w:rPr>
        <w:t>Platform</w:t>
      </w:r>
      <w:r w:rsidRPr="009D3F82">
        <w:rPr>
          <w:rFonts w:asciiTheme="minorHAnsi" w:hAnsiTheme="minorHAnsi"/>
        </w:rPr>
        <w:t xml:space="preserve">. The Science Gateways may treat positive assertions by the Registry as sufficient proof of compliance and </w:t>
      </w:r>
      <w:proofErr w:type="gramStart"/>
      <w:r w:rsidRPr="009D3F82">
        <w:rPr>
          <w:rFonts w:asciiTheme="minorHAnsi" w:hAnsiTheme="minorHAnsi"/>
        </w:rPr>
        <w:t>offer</w:t>
      </w:r>
      <w:proofErr w:type="gramEnd"/>
      <w:r w:rsidRPr="009D3F82">
        <w:rPr>
          <w:rFonts w:asciiTheme="minorHAnsi" w:hAnsiTheme="minorHAnsi"/>
        </w:rPr>
        <w:t xml:space="preserve"> the </w:t>
      </w:r>
      <w:r w:rsidR="00A04ADD">
        <w:rPr>
          <w:rFonts w:asciiTheme="minorHAnsi" w:hAnsiTheme="minorHAnsi"/>
        </w:rPr>
        <w:t>Platform</w:t>
      </w:r>
      <w:r w:rsidRPr="009D3F82">
        <w:rPr>
          <w:rFonts w:asciiTheme="minorHAnsi" w:hAnsiTheme="minorHAnsi"/>
        </w:rPr>
        <w:t xml:space="preserve"> to an authenticated User, provided the User is not explicitly suspended.</w:t>
      </w:r>
    </w:p>
    <w:p w14:paraId="1AC16501" w14:textId="77777777" w:rsidR="009D3F82" w:rsidRPr="009D3F82" w:rsidRDefault="009D3F82" w:rsidP="009D3F82">
      <w:pPr>
        <w:pStyle w:val="Heading2"/>
        <w:tabs>
          <w:tab w:val="num" w:pos="567"/>
        </w:tabs>
        <w:ind w:left="567"/>
        <w:rPr>
          <w:rFonts w:ascii="Calibri" w:hAnsi="Calibri" w:cs="Open Sans"/>
        </w:rPr>
      </w:pPr>
      <w:bookmarkStart w:id="16" w:name="_Toc413321475"/>
      <w:bookmarkStart w:id="17" w:name="_Toc338670806"/>
      <w:r w:rsidRPr="009D3F82">
        <w:rPr>
          <w:rFonts w:ascii="Calibri" w:hAnsi="Calibri" w:cs="Open Sans"/>
        </w:rPr>
        <w:t>Compensatory Controls</w:t>
      </w:r>
      <w:bookmarkEnd w:id="16"/>
      <w:bookmarkEnd w:id="17"/>
    </w:p>
    <w:p w14:paraId="084C9EC6" w14:textId="048E8C64"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r w:rsidR="00A04ADD">
        <w:rPr>
          <w:rFonts w:asciiTheme="minorHAnsi" w:hAnsiTheme="minorHAnsi"/>
        </w:rPr>
        <w:t>Platform</w:t>
      </w:r>
      <w:r w:rsidRPr="009D3F82">
        <w:rPr>
          <w:rFonts w:asciiTheme="minorHAnsi" w:hAnsiTheme="minorHAnsi"/>
        </w:rPr>
        <w:t>, and are therefore made explicit here</w:t>
      </w:r>
    </w:p>
    <w:p w14:paraId="7E73C960" w14:textId="57F772ED"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t>
      </w:r>
      <w:r w:rsidR="00A04ADD">
        <w:rPr>
          <w:rFonts w:asciiTheme="minorHAnsi" w:hAnsiTheme="minorHAnsi"/>
        </w:rPr>
        <w:t>w</w:t>
      </w:r>
      <w:r w:rsidRPr="009D3F82">
        <w:rPr>
          <w:rFonts w:asciiTheme="minorHAnsi" w:hAnsiTheme="minorHAnsi"/>
        </w:rPr>
        <w:t xml:space="preserve">orkflows.  </w:t>
      </w:r>
    </w:p>
    <w:p w14:paraId="3B015199" w14:textId="7973034D"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use of capabilities necessary for executing intended </w:t>
      </w:r>
      <w:r w:rsidR="00A04ADD">
        <w:rPr>
          <w:rFonts w:asciiTheme="minorHAnsi" w:hAnsiTheme="minorHAnsi"/>
        </w:rPr>
        <w:t>w</w:t>
      </w:r>
      <w:r w:rsidRPr="009D3F82">
        <w:rPr>
          <w:rFonts w:asciiTheme="minorHAnsi" w:hAnsiTheme="minorHAnsi"/>
        </w:rPr>
        <w:t>orkflows shall be monitored, and such monitoring should include automated alerting in case anomalies are detected.</w:t>
      </w:r>
    </w:p>
    <w:p w14:paraId="3CA43FD0" w14:textId="6B456CBB"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It is recommended that the </w:t>
      </w:r>
      <w:r w:rsidR="00A04ADD">
        <w:rPr>
          <w:rFonts w:asciiTheme="minorHAnsi" w:hAnsiTheme="minorHAnsi"/>
        </w:rPr>
        <w:t>Platform</w:t>
      </w:r>
      <w:r w:rsidR="00A04ADD" w:rsidRPr="009D3F82">
        <w:rPr>
          <w:rFonts w:asciiTheme="minorHAnsi" w:hAnsiTheme="minorHAnsi"/>
        </w:rPr>
        <w:t xml:space="preserve"> </w:t>
      </w:r>
      <w:r w:rsidRPr="009D3F82">
        <w:rPr>
          <w:rFonts w:asciiTheme="minorHAnsi" w:hAnsiTheme="minorHAnsi"/>
        </w:rPr>
        <w:t xml:space="preserve">be provided on resources that are identifiable and logically distinguished from other Service offerings. Specifically, offering the </w:t>
      </w:r>
      <w:r w:rsidR="00CC146B">
        <w:rPr>
          <w:rFonts w:asciiTheme="minorHAnsi" w:hAnsiTheme="minorHAnsi"/>
        </w:rPr>
        <w:t xml:space="preserve">Platform </w:t>
      </w:r>
      <w:r w:rsidRPr="009D3F82">
        <w:rPr>
          <w:rFonts w:asciiTheme="minorHAnsi" w:hAnsiTheme="minorHAnsi"/>
        </w:rPr>
        <w:t>service based on virtualised services and using designated (virtual) local area networks.</w:t>
      </w:r>
      <w:r w:rsidRPr="009D3F82">
        <w:rPr>
          <w:rFonts w:asciiTheme="minorHAnsi" w:hAnsiTheme="minorHAnsi"/>
        </w:rPr>
        <w:br/>
        <w:t>Alternative compensatory controls include the use of dedicated clusters.</w:t>
      </w:r>
    </w:p>
    <w:p w14:paraId="0430D141" w14:textId="244467BB" w:rsidR="009D3F82" w:rsidRPr="009D3F82" w:rsidRDefault="00A04ADD" w:rsidP="008F3F06">
      <w:pPr>
        <w:pStyle w:val="ListParagraph"/>
        <w:numPr>
          <w:ilvl w:val="0"/>
          <w:numId w:val="9"/>
        </w:numPr>
        <w:suppressAutoHyphens w:val="0"/>
        <w:spacing w:before="0" w:after="120" w:line="276" w:lineRule="auto"/>
        <w:rPr>
          <w:rFonts w:asciiTheme="minorHAnsi" w:hAnsiTheme="minorHAnsi"/>
        </w:rPr>
      </w:pPr>
      <w:r>
        <w:rPr>
          <w:rFonts w:asciiTheme="minorHAnsi" w:hAnsiTheme="minorHAnsi"/>
        </w:rPr>
        <w:t>The Platform</w:t>
      </w:r>
      <w:r w:rsidRPr="009D3F82">
        <w:rPr>
          <w:rFonts w:asciiTheme="minorHAnsi" w:hAnsiTheme="minorHAnsi"/>
        </w:rPr>
        <w:t xml:space="preserve"> </w:t>
      </w:r>
      <w:r w:rsidR="009D3F82" w:rsidRPr="009D3F82">
        <w:rPr>
          <w:rFonts w:asciiTheme="minorHAnsi" w:hAnsiTheme="minorHAnsi"/>
        </w:rPr>
        <w:t>may be connected to the Internet with specifically designated IP address space to mitigate the risk of being subject to black holing of network blocks used for other Services</w:t>
      </w:r>
      <w:r>
        <w:rPr>
          <w:rFonts w:asciiTheme="minorHAnsi" w:hAnsiTheme="minorHAnsi"/>
        </w:rPr>
        <w:t>.</w:t>
      </w:r>
    </w:p>
    <w:p w14:paraId="5FD8510D" w14:textId="58B8AF52"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protocol specific port numbers) to pass, in which case those specific inbound protocols (and for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specific ports) necessary to perform the </w:t>
      </w:r>
      <w:r w:rsidR="00A04ADD">
        <w:rPr>
          <w:rFonts w:asciiTheme="minorHAnsi" w:hAnsiTheme="minorHAnsi"/>
        </w:rPr>
        <w:t>w</w:t>
      </w:r>
      <w:r w:rsidRPr="009D3F82">
        <w:rPr>
          <w:rFonts w:asciiTheme="minorHAnsi" w:hAnsiTheme="minorHAnsi"/>
        </w:rPr>
        <w:t xml:space="preserve">orkflow may be permitted. </w:t>
      </w:r>
      <w:r w:rsidRPr="009D3F82">
        <w:rPr>
          <w:rFonts w:asciiTheme="minorHAnsi" w:hAnsiTheme="minorHAnsi"/>
        </w:rPr>
        <w:br/>
        <w:t>Outbound network access shall be restricted to only necessary ports. In particular, it must not be possible to send unauthenticated email (‘</w:t>
      </w:r>
      <w:proofErr w:type="spellStart"/>
      <w:r w:rsidRPr="009D3F82">
        <w:rPr>
          <w:rFonts w:asciiTheme="minorHAnsi" w:hAnsiTheme="minorHAnsi"/>
        </w:rPr>
        <w:t>smtp</w:t>
      </w:r>
      <w:proofErr w:type="spellEnd"/>
      <w:r w:rsidRPr="009D3F82">
        <w:rPr>
          <w:rFonts w:asciiTheme="minorHAnsi" w:hAnsiTheme="minorHAnsi"/>
        </w:rPr>
        <w:t xml:space="preserve">’), or use the system as an endpoint for tunnelled traffic (e.g. VPN gateway, TOR exit node). It should not be possible to become a source of untended large traffic streams (e.g. participate in a </w:t>
      </w:r>
      <w:proofErr w:type="spellStart"/>
      <w:r w:rsidRPr="009D3F82">
        <w:rPr>
          <w:rFonts w:asciiTheme="minorHAnsi" w:hAnsiTheme="minorHAnsi"/>
        </w:rPr>
        <w:t>DoS</w:t>
      </w:r>
      <w:proofErr w:type="spellEnd"/>
      <w:r w:rsidRPr="009D3F82">
        <w:rPr>
          <w:rFonts w:asciiTheme="minorHAnsi" w:hAnsiTheme="minorHAnsi"/>
        </w:rPr>
        <w:t xml:space="preserve"> attack).</w:t>
      </w:r>
    </w:p>
    <w:p w14:paraId="08AA4089" w14:textId="2E607609"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Any use of </w:t>
      </w:r>
      <w:r w:rsidR="00A04ADD">
        <w:rPr>
          <w:rFonts w:asciiTheme="minorHAnsi" w:hAnsiTheme="minorHAnsi"/>
        </w:rPr>
        <w:t>the Platform</w:t>
      </w:r>
      <w:r w:rsidRPr="009D3F82">
        <w:rPr>
          <w:rFonts w:asciiTheme="minorHAnsi" w:hAnsiTheme="minorHAnsi"/>
        </w:rPr>
        <w:t xml:space="preserve"> must be traceable to specific Users. To this end, User Workflows must be isolated from each other and from any Workflows executed by </w:t>
      </w:r>
      <w:r w:rsidR="00A04ADD">
        <w:rPr>
          <w:rFonts w:asciiTheme="minorHAnsi" w:hAnsiTheme="minorHAnsi"/>
        </w:rPr>
        <w:t>non-Platform</w:t>
      </w:r>
      <w:r w:rsidRPr="009D3F82">
        <w:rPr>
          <w:rFonts w:asciiTheme="minorHAnsi" w:hAnsiTheme="minorHAnsi"/>
        </w:rPr>
        <w:t xml:space="preserve"> users. </w:t>
      </w:r>
      <w:r w:rsidRPr="009D3F82">
        <w:rPr>
          <w:rFonts w:asciiTheme="minorHAnsi" w:hAnsiTheme="minorHAnsi"/>
        </w:rPr>
        <w:br/>
        <w:t xml:space="preserve">This may be accomplished by different means, including the provision of virtual machines, </w:t>
      </w:r>
      <w:r w:rsidRPr="009D3F82">
        <w:rPr>
          <w:rFonts w:asciiTheme="minorHAnsi" w:hAnsiTheme="minorHAnsi"/>
        </w:rPr>
        <w:lastRenderedPageBreak/>
        <w:t>through ‘container’ technology, or by Unix account switching at either the ingress point(s) to the Service or on the system(s) executing the Workflow.</w:t>
      </w:r>
    </w:p>
    <w:p w14:paraId="067A6EF6" w14:textId="77777777" w:rsidR="009D3F82" w:rsidRPr="009D3F82" w:rsidRDefault="009D3F82" w:rsidP="002B0818">
      <w:pPr>
        <w:pStyle w:val="Heading2"/>
        <w:tabs>
          <w:tab w:val="num" w:pos="567"/>
        </w:tabs>
        <w:ind w:left="567"/>
        <w:rPr>
          <w:rFonts w:ascii="Calibri" w:hAnsi="Calibri" w:cs="Open Sans"/>
        </w:rPr>
      </w:pPr>
      <w:bookmarkStart w:id="18" w:name="_Toc413321476"/>
      <w:bookmarkStart w:id="19" w:name="_Toc338670807"/>
      <w:r w:rsidRPr="009D3F82">
        <w:rPr>
          <w:rFonts w:ascii="Calibri" w:hAnsi="Calibri" w:cs="Open Sans"/>
        </w:rPr>
        <w:t>User awareness and permissible use</w:t>
      </w:r>
      <w:bookmarkEnd w:id="18"/>
      <w:bookmarkEnd w:id="19"/>
    </w:p>
    <w:p w14:paraId="21FF86C5" w14:textId="4F0458DA"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Applicant must be made aware of the Acceptable Use Policy</w:t>
      </w:r>
      <w:r w:rsidR="00A04ADD">
        <w:rPr>
          <w:rStyle w:val="FootnoteReference"/>
          <w:rFonts w:asciiTheme="minorHAnsi" w:hAnsiTheme="minorHAnsi"/>
        </w:rPr>
        <w:footnoteReference w:id="11"/>
      </w:r>
      <w:r w:rsidRPr="009D3F82">
        <w:rPr>
          <w:rFonts w:asciiTheme="minorHAnsi" w:hAnsiTheme="minorHAnsi"/>
        </w:rPr>
        <w:t>, and must be required to explicitly accept it before becoming an accepted User.</w:t>
      </w:r>
    </w:p>
    <w:p w14:paraId="62E1FE45" w14:textId="39DE184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that any information provided to the Registry, the Science Gateways, and the Resource Centres on which the Workflow will be executed, may process any information provided by the User.</w:t>
      </w:r>
    </w:p>
    <w:p w14:paraId="12E47A94"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of the Grid Policy on the Handling of User-Level Job Accounting Data or its successor.</w:t>
      </w:r>
    </w:p>
    <w:p w14:paraId="623F4D9D" w14:textId="15E4FCD9"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Additional restrictions on permissible use may be set by Resource Centres or specific Science Gateways</w:t>
      </w:r>
      <w:proofErr w:type="gramEnd"/>
      <w:r w:rsidRPr="009D3F82">
        <w:rPr>
          <w:rFonts w:asciiTheme="minorHAnsi" w:hAnsiTheme="minorHAnsi"/>
        </w:rPr>
        <w:t xml:space="preserve">. For example, access may be permitted only for public, non-competitive, or pre-competitive work, or certain work may only be permitted in the context of a specific contract. </w:t>
      </w:r>
      <w:r w:rsidRPr="009D3F82">
        <w:rPr>
          <w:rFonts w:asciiTheme="minorHAnsi" w:hAnsiTheme="minorHAnsi"/>
        </w:rPr>
        <w:br/>
        <w:t xml:space="preserve">Any such restrictions must be made known to the user explicitly, e.g. by publicising such conditions when filing an Application with the </w:t>
      </w:r>
      <w:r w:rsidR="008925ED">
        <w:rPr>
          <w:rFonts w:asciiTheme="minorHAnsi" w:hAnsiTheme="minorHAnsi"/>
        </w:rPr>
        <w:t>Platform</w:t>
      </w:r>
      <w:r w:rsidRPr="009D3F82">
        <w:rPr>
          <w:rFonts w:asciiTheme="minorHAnsi" w:hAnsiTheme="minorHAnsi"/>
        </w:rPr>
        <w:t xml:space="preserve">, or by explicitly consent when submitting a </w:t>
      </w:r>
      <w:r w:rsidR="008925ED">
        <w:rPr>
          <w:rFonts w:asciiTheme="minorHAnsi" w:hAnsiTheme="minorHAnsi"/>
        </w:rPr>
        <w:t>w</w:t>
      </w:r>
      <w:r w:rsidRPr="009D3F82">
        <w:rPr>
          <w:rFonts w:asciiTheme="minorHAnsi" w:hAnsiTheme="minorHAnsi"/>
        </w:rPr>
        <w:t xml:space="preserve">orkflow </w:t>
      </w:r>
      <w:r w:rsidR="008925ED">
        <w:rPr>
          <w:rFonts w:asciiTheme="minorHAnsi" w:hAnsiTheme="minorHAnsi"/>
        </w:rPr>
        <w:t>to</w:t>
      </w:r>
      <w:r w:rsidRPr="009D3F82">
        <w:rPr>
          <w:rFonts w:asciiTheme="minorHAnsi" w:hAnsiTheme="minorHAnsi"/>
        </w:rPr>
        <w:t xml:space="preserve"> a Science Gateway.</w:t>
      </w:r>
    </w:p>
    <w:p w14:paraId="319175AC" w14:textId="6E7A5F28"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 Science Gateway shall not knowingly send a Workflow to a Resource Centre where executing the </w:t>
      </w:r>
      <w:r w:rsidR="008925ED">
        <w:rPr>
          <w:rFonts w:asciiTheme="minorHAnsi" w:hAnsiTheme="minorHAnsi"/>
        </w:rPr>
        <w:t>w</w:t>
      </w:r>
      <w:r w:rsidRPr="009D3F82">
        <w:rPr>
          <w:rFonts w:asciiTheme="minorHAnsi" w:hAnsiTheme="minorHAnsi"/>
        </w:rPr>
        <w:t xml:space="preserve">orkflow would constitute a violation of permissible use. This clause notwithstanding, both the Science Gateway and the Resource Centre jointly accept responsibility for executing any </w:t>
      </w:r>
      <w:r w:rsidR="008925ED">
        <w:rPr>
          <w:rFonts w:asciiTheme="minorHAnsi" w:hAnsiTheme="minorHAnsi"/>
        </w:rPr>
        <w:t>w</w:t>
      </w:r>
      <w:r w:rsidRPr="009D3F82">
        <w:rPr>
          <w:rFonts w:asciiTheme="minorHAnsi" w:hAnsiTheme="minorHAnsi"/>
        </w:rPr>
        <w:t xml:space="preserve">orkflow that may violate the additional terms and conditions of either the Resource Centre or Science </w:t>
      </w:r>
      <w:r w:rsidR="00262D91" w:rsidRPr="009D3F82">
        <w:rPr>
          <w:rFonts w:asciiTheme="minorHAnsi" w:hAnsiTheme="minorHAnsi"/>
        </w:rPr>
        <w:t>Gateway that</w:t>
      </w:r>
      <w:r w:rsidRPr="009D3F82">
        <w:rPr>
          <w:rFonts w:asciiTheme="minorHAnsi" w:hAnsiTheme="minorHAnsi"/>
        </w:rPr>
        <w:t xml:space="preserve"> are above and beyond the standard terms and acceptable use of the </w:t>
      </w:r>
      <w:r w:rsidR="008925ED">
        <w:rPr>
          <w:rFonts w:asciiTheme="minorHAnsi" w:hAnsiTheme="minorHAnsi"/>
        </w:rPr>
        <w:t>Platform</w:t>
      </w:r>
      <w:r w:rsidRPr="009D3F82">
        <w:rPr>
          <w:rFonts w:asciiTheme="minorHAnsi" w:hAnsiTheme="minorHAnsi"/>
        </w:rPr>
        <w:t>.</w:t>
      </w:r>
    </w:p>
    <w:sectPr w:rsidR="009D3F82" w:rsidRPr="009D3F82" w:rsidSect="0092234F">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AC510" w14:textId="77777777" w:rsidR="00A04ADD" w:rsidRDefault="00A04ADD">
      <w:pPr>
        <w:spacing w:before="0" w:after="0"/>
      </w:pPr>
      <w:r>
        <w:separator/>
      </w:r>
    </w:p>
  </w:endnote>
  <w:endnote w:type="continuationSeparator" w:id="0">
    <w:p w14:paraId="77111DCA" w14:textId="77777777" w:rsidR="00A04ADD" w:rsidRDefault="00A04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D9B9" w14:textId="77777777" w:rsidR="00A04ADD" w:rsidRPr="002D3537" w:rsidRDefault="00A04ADD"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04ADD" w:rsidRPr="002D3537" w14:paraId="5A607D77" w14:textId="77777777" w:rsidTr="0092234F">
      <w:tc>
        <w:tcPr>
          <w:tcW w:w="1204" w:type="dxa"/>
          <w:shd w:val="clear" w:color="auto" w:fill="auto"/>
        </w:tcPr>
        <w:p w14:paraId="1752602E" w14:textId="77777777" w:rsidR="00A04ADD" w:rsidRPr="002D3537" w:rsidRDefault="00A04ADD" w:rsidP="0092234F">
          <w:pPr>
            <w:pStyle w:val="Footer"/>
            <w:snapToGrid w:val="0"/>
            <w:jc w:val="center"/>
            <w:rPr>
              <w:sz w:val="18"/>
              <w:szCs w:val="18"/>
            </w:rPr>
          </w:pPr>
          <w:r>
            <w:rPr>
              <w:noProof/>
              <w:sz w:val="18"/>
              <w:szCs w:val="18"/>
              <w:lang w:val="en-US"/>
            </w:rPr>
            <w:drawing>
              <wp:inline distT="0" distB="0" distL="0" distR="0" wp14:anchorId="3F6C832A" wp14:editId="40F0B5A7">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E40939C" w14:textId="77777777" w:rsidR="00A04ADD" w:rsidRPr="002D3537" w:rsidRDefault="00A04ADD" w:rsidP="0092234F">
          <w:pPr>
            <w:pStyle w:val="Footer"/>
            <w:tabs>
              <w:tab w:val="left" w:pos="1454"/>
              <w:tab w:val="center" w:pos="1843"/>
            </w:tabs>
            <w:snapToGrid w:val="0"/>
            <w:jc w:val="center"/>
            <w:rPr>
              <w:color w:val="000000"/>
              <w:sz w:val="18"/>
              <w:szCs w:val="18"/>
            </w:rPr>
          </w:pPr>
        </w:p>
        <w:p w14:paraId="1E6BABC7" w14:textId="77777777" w:rsidR="00A04ADD" w:rsidRDefault="00A04ADD" w:rsidP="0092234F">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23A9BE8C" w14:textId="77777777" w:rsidR="00A04ADD" w:rsidRPr="002D3537" w:rsidRDefault="00E521AC" w:rsidP="0092234F">
          <w:pPr>
            <w:pStyle w:val="Footer"/>
            <w:snapToGrid w:val="0"/>
            <w:jc w:val="center"/>
            <w:rPr>
              <w:rFonts w:cs="Times New Roman"/>
              <w:sz w:val="18"/>
              <w:szCs w:val="18"/>
            </w:rPr>
          </w:pPr>
          <w:hyperlink r:id="rId2" w:history="1">
            <w:r w:rsidR="00A04ADD" w:rsidRPr="002D3537">
              <w:rPr>
                <w:rStyle w:val="Hyperlink"/>
                <w:rFonts w:eastAsia="Verdana"/>
                <w:sz w:val="18"/>
                <w:szCs w:val="18"/>
              </w:rPr>
              <w:t>Creative Commons Attribution 4.0 International License</w:t>
            </w:r>
          </w:hyperlink>
        </w:p>
      </w:tc>
      <w:tc>
        <w:tcPr>
          <w:tcW w:w="708" w:type="dxa"/>
          <w:shd w:val="clear" w:color="auto" w:fill="auto"/>
        </w:tcPr>
        <w:p w14:paraId="41FFBEC0" w14:textId="77777777" w:rsidR="00A04ADD" w:rsidRPr="002D3537" w:rsidRDefault="00A04ADD" w:rsidP="0092234F">
          <w:pPr>
            <w:pStyle w:val="Footer"/>
            <w:snapToGrid w:val="0"/>
            <w:jc w:val="right"/>
            <w:rPr>
              <w:sz w:val="18"/>
              <w:szCs w:val="18"/>
            </w:rPr>
          </w:pPr>
        </w:p>
        <w:p w14:paraId="0B45A6F1" w14:textId="77777777" w:rsidR="00A04ADD" w:rsidRDefault="00A04ADD" w:rsidP="0092234F">
          <w:pPr>
            <w:pStyle w:val="Footer"/>
            <w:snapToGrid w:val="0"/>
            <w:jc w:val="right"/>
            <w:rPr>
              <w:sz w:val="18"/>
              <w:szCs w:val="18"/>
            </w:rPr>
          </w:pPr>
        </w:p>
        <w:p w14:paraId="0A222134" w14:textId="77777777" w:rsidR="00A04ADD" w:rsidRPr="002D3537" w:rsidRDefault="00A04ADD" w:rsidP="0092234F">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E521AC">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E521AC">
            <w:rPr>
              <w:noProof/>
              <w:sz w:val="18"/>
              <w:szCs w:val="18"/>
            </w:rPr>
            <w:t>10</w:t>
          </w:r>
          <w:r w:rsidRPr="002D3537">
            <w:rPr>
              <w:sz w:val="18"/>
              <w:szCs w:val="18"/>
            </w:rPr>
            <w:fldChar w:fldCharType="end"/>
          </w:r>
        </w:p>
      </w:tc>
    </w:tr>
  </w:tbl>
  <w:p w14:paraId="42BA1333" w14:textId="77777777" w:rsidR="00A04ADD" w:rsidRPr="00A91255" w:rsidRDefault="00A04ADD"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66FA" w14:textId="77777777" w:rsidR="00A04ADD" w:rsidRDefault="00A04AD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C90" w14:textId="77777777" w:rsidR="00A04ADD" w:rsidRDefault="00A04ADD">
    <w:pPr>
      <w:pStyle w:val="Footer"/>
    </w:pPr>
  </w:p>
  <w:tbl>
    <w:tblPr>
      <w:tblW w:w="9709" w:type="dxa"/>
      <w:tblLayout w:type="fixed"/>
      <w:tblCellMar>
        <w:left w:w="70" w:type="dxa"/>
        <w:right w:w="70" w:type="dxa"/>
      </w:tblCellMar>
      <w:tblLook w:val="0000" w:firstRow="0" w:lastRow="0" w:firstColumn="0" w:lastColumn="0" w:noHBand="0" w:noVBand="0"/>
    </w:tblPr>
    <w:tblGrid>
      <w:gridCol w:w="2764"/>
      <w:gridCol w:w="4677"/>
      <w:gridCol w:w="1276"/>
      <w:gridCol w:w="992"/>
    </w:tblGrid>
    <w:tr w:rsidR="00A04ADD" w14:paraId="3EFA4414" w14:textId="77777777" w:rsidTr="0092234F">
      <w:tc>
        <w:tcPr>
          <w:tcW w:w="2764" w:type="dxa"/>
          <w:tcBorders>
            <w:top w:val="single" w:sz="8" w:space="0" w:color="000080"/>
          </w:tcBorders>
          <w:shd w:val="clear" w:color="auto" w:fill="auto"/>
        </w:tcPr>
        <w:p w14:paraId="072582F6" w14:textId="77777777" w:rsidR="00A04ADD" w:rsidRDefault="00A04ADD">
          <w:pPr>
            <w:pStyle w:val="Footer"/>
            <w:snapToGrid w:val="0"/>
            <w:rPr>
              <w:sz w:val="18"/>
              <w:szCs w:val="18"/>
            </w:rPr>
          </w:pPr>
          <w:r>
            <w:rPr>
              <w:noProof/>
              <w:sz w:val="18"/>
              <w:szCs w:val="18"/>
              <w:lang w:val="en-US"/>
            </w:rPr>
            <w:drawing>
              <wp:inline distT="0" distB="0" distL="0" distR="0" wp14:anchorId="6D75A7E0" wp14:editId="55B61EE8">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51DD841" w14:textId="77777777" w:rsidR="00A04ADD" w:rsidRDefault="00A04ADD" w:rsidP="0092234F">
          <w:pPr>
            <w:pStyle w:val="Footer"/>
            <w:snapToGrid w:val="0"/>
            <w:jc w:val="center"/>
            <w:rPr>
              <w:sz w:val="18"/>
              <w:szCs w:val="18"/>
            </w:rPr>
          </w:pPr>
        </w:p>
        <w:p w14:paraId="149F061E" w14:textId="19579528" w:rsidR="00A04ADD" w:rsidRDefault="00A04ADD" w:rsidP="001F74ED">
          <w:pPr>
            <w:pStyle w:val="Footer"/>
            <w:snapToGrid w:val="0"/>
            <w:ind w:left="-637"/>
            <w:jc w:val="center"/>
            <w:rPr>
              <w:color w:val="000000"/>
              <w:sz w:val="18"/>
              <w:szCs w:val="18"/>
            </w:rPr>
          </w:pPr>
        </w:p>
      </w:tc>
      <w:tc>
        <w:tcPr>
          <w:tcW w:w="1276" w:type="dxa"/>
          <w:tcBorders>
            <w:top w:val="single" w:sz="8" w:space="0" w:color="000080"/>
          </w:tcBorders>
          <w:shd w:val="clear" w:color="auto" w:fill="auto"/>
        </w:tcPr>
        <w:p w14:paraId="33BA6818" w14:textId="77777777" w:rsidR="00A04ADD" w:rsidRDefault="00A04ADD">
          <w:pPr>
            <w:pStyle w:val="Footer"/>
            <w:snapToGrid w:val="0"/>
            <w:jc w:val="center"/>
            <w:rPr>
              <w:caps/>
              <w:shd w:val="clear" w:color="auto" w:fill="FFFF00"/>
            </w:rPr>
          </w:pPr>
        </w:p>
        <w:p w14:paraId="1138273B" w14:textId="77777777" w:rsidR="00A04ADD" w:rsidRDefault="00A04AD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245B2FD" w14:textId="77777777" w:rsidR="00A04ADD" w:rsidRDefault="00A04ADD">
          <w:pPr>
            <w:pStyle w:val="Footer"/>
            <w:snapToGrid w:val="0"/>
            <w:jc w:val="right"/>
          </w:pPr>
        </w:p>
        <w:p w14:paraId="36F0625C" w14:textId="77777777" w:rsidR="00A04ADD" w:rsidRDefault="00A04AD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E521AC">
            <w:rPr>
              <w:noProof/>
              <w:sz w:val="18"/>
            </w:rPr>
            <w:t>10</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E521AC">
            <w:rPr>
              <w:noProof/>
              <w:sz w:val="18"/>
            </w:rPr>
            <w:t>10</w:t>
          </w:r>
          <w:r w:rsidRPr="00F82664">
            <w:rPr>
              <w:sz w:val="18"/>
            </w:rPr>
            <w:fldChar w:fldCharType="end"/>
          </w:r>
        </w:p>
      </w:tc>
    </w:tr>
  </w:tbl>
  <w:p w14:paraId="2212993F" w14:textId="77777777" w:rsidR="00A04ADD" w:rsidRDefault="00A04AD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A884" w14:textId="77777777" w:rsidR="00A04ADD" w:rsidRDefault="00A04AD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D486D" w14:textId="77777777" w:rsidR="00A04ADD" w:rsidRDefault="00A04ADD">
      <w:pPr>
        <w:spacing w:before="0" w:after="0"/>
      </w:pPr>
      <w:r>
        <w:separator/>
      </w:r>
    </w:p>
  </w:footnote>
  <w:footnote w:type="continuationSeparator" w:id="0">
    <w:p w14:paraId="6BCA514B" w14:textId="77777777" w:rsidR="00A04ADD" w:rsidRDefault="00A04ADD">
      <w:pPr>
        <w:spacing w:before="0" w:after="0"/>
      </w:pPr>
      <w:r>
        <w:continuationSeparator/>
      </w:r>
    </w:p>
  </w:footnote>
  <w:footnote w:id="1">
    <w:p w14:paraId="46CC7EBA" w14:textId="77777777" w:rsidR="00A04ADD" w:rsidRPr="007F07BB" w:rsidRDefault="00A04ADD" w:rsidP="007F07BB">
      <w:pPr>
        <w:pStyle w:val="FootnoteText"/>
        <w:spacing w:before="0" w:after="0"/>
        <w:rPr>
          <w:rFonts w:ascii="Calibri" w:hAnsi="Calibri"/>
          <w:lang w:val="en-US"/>
        </w:rPr>
      </w:pPr>
      <w:r w:rsidRPr="007F07BB">
        <w:rPr>
          <w:rStyle w:val="FootnoteReference"/>
          <w:rFonts w:ascii="Calibri" w:hAnsi="Calibri"/>
        </w:rPr>
        <w:footnoteRef/>
      </w:r>
      <w:r w:rsidRPr="007F07BB">
        <w:rPr>
          <w:rFonts w:ascii="Calibri" w:hAnsi="Calibri"/>
        </w:rPr>
        <w:t xml:space="preserve"> </w:t>
      </w:r>
      <w:r w:rsidRPr="007F07BB">
        <w:rPr>
          <w:rFonts w:ascii="Calibri" w:hAnsi="Calibri" w:cs="Calibri"/>
        </w:rPr>
        <w:t xml:space="preserve">Approved EGI Security Policies: </w:t>
      </w:r>
      <w:hyperlink r:id="rId1" w:history="1">
        <w:r w:rsidRPr="007F07BB">
          <w:rPr>
            <w:rStyle w:val="Hyperlink"/>
            <w:rFonts w:ascii="Calibri" w:hAnsi="Calibri" w:cs="Calibri"/>
          </w:rPr>
          <w:t>https://wiki.egi.eu/wiki/SPG:Documents</w:t>
        </w:r>
      </w:hyperlink>
    </w:p>
  </w:footnote>
  <w:footnote w:id="2">
    <w:p w14:paraId="2E26743F"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2" w:history="1">
        <w:r w:rsidRPr="007F07BB">
          <w:rPr>
            <w:rStyle w:val="Hyperlink"/>
            <w:rFonts w:ascii="Calibri" w:hAnsi="Calibri" w:cs="Cambria"/>
          </w:rPr>
          <w:t>https://wiki.egi.eu/wiki/Glossary</w:t>
        </w:r>
      </w:hyperlink>
      <w:r w:rsidRPr="007F07BB">
        <w:rPr>
          <w:rFonts w:ascii="Calibri" w:hAnsi="Calibri"/>
        </w:rPr>
        <w:t xml:space="preserve"> </w:t>
      </w:r>
    </w:p>
  </w:footnote>
  <w:footnote w:id="3">
    <w:p w14:paraId="14466417"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3" w:history="1">
        <w:r w:rsidRPr="007F07BB">
          <w:rPr>
            <w:rStyle w:val="Hyperlink"/>
            <w:rFonts w:ascii="Calibri" w:hAnsi="Calibri" w:cs="Cambria"/>
          </w:rPr>
          <w:t>https://documents.egi.eu/document/71</w:t>
        </w:r>
      </w:hyperlink>
      <w:r w:rsidRPr="007F07BB">
        <w:rPr>
          <w:rFonts w:ascii="Calibri" w:hAnsi="Calibri"/>
        </w:rPr>
        <w:t xml:space="preserve"> </w:t>
      </w:r>
    </w:p>
  </w:footnote>
  <w:footnote w:id="4">
    <w:p w14:paraId="6B7A799B"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4" w:history="1">
        <w:r w:rsidRPr="007F07BB">
          <w:rPr>
            <w:rStyle w:val="Hyperlink"/>
            <w:rFonts w:ascii="Calibri" w:hAnsi="Calibri" w:cs="Cambria"/>
          </w:rPr>
          <w:t>http://pos.sissa.it/archive/conferences/179/011/ISGC%202013_011.pdf</w:t>
        </w:r>
      </w:hyperlink>
      <w:r w:rsidRPr="007F07BB">
        <w:rPr>
          <w:rFonts w:ascii="Calibri" w:hAnsi="Calibri"/>
        </w:rPr>
        <w:t xml:space="preserve"> </w:t>
      </w:r>
    </w:p>
  </w:footnote>
  <w:footnote w:id="5">
    <w:p w14:paraId="54981270"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See </w:t>
      </w:r>
      <w:hyperlink r:id="rId5" w:history="1">
        <w:r w:rsidRPr="007F07BB">
          <w:rPr>
            <w:rStyle w:val="Hyperlink"/>
            <w:rFonts w:ascii="Calibri" w:hAnsi="Calibri" w:cs="Cambria"/>
          </w:rPr>
          <w:t>http://www.edugain.org/</w:t>
        </w:r>
      </w:hyperlink>
      <w:r w:rsidRPr="007F07BB">
        <w:rPr>
          <w:rFonts w:ascii="Calibri" w:hAnsi="Calibri"/>
        </w:rPr>
        <w:t xml:space="preserve"> </w:t>
      </w:r>
    </w:p>
  </w:footnote>
  <w:footnote w:id="6">
    <w:p w14:paraId="7B6CF405" w14:textId="77777777" w:rsidR="00A04ADD" w:rsidRDefault="00A04ADD" w:rsidP="009F5173">
      <w:pPr>
        <w:pStyle w:val="FootnoteText"/>
      </w:pPr>
      <w:r>
        <w:rPr>
          <w:rStyle w:val="FootnoteReference"/>
        </w:rPr>
        <w:footnoteRef/>
      </w:r>
      <w:r>
        <w:t xml:space="preserve"> </w:t>
      </w:r>
      <w:hyperlink r:id="rId6" w:history="1">
        <w:r w:rsidRPr="00332F39">
          <w:rPr>
            <w:rStyle w:val="Hyperlink"/>
            <w:rFonts w:cs="Cambria"/>
          </w:rPr>
          <w:t>https://wiki.egi.eu/wiki/EGI_CSIRT:Central_emergency_suspension_project</w:t>
        </w:r>
      </w:hyperlink>
      <w:r>
        <w:t xml:space="preserve"> </w:t>
      </w:r>
    </w:p>
  </w:footnote>
  <w:footnote w:id="7">
    <w:p w14:paraId="550DD454" w14:textId="6EF82891" w:rsidR="00A04ADD" w:rsidRPr="0047092D" w:rsidRDefault="00A04ADD">
      <w:pPr>
        <w:pStyle w:val="FootnoteText"/>
        <w:rPr>
          <w:lang w:val="en-US"/>
        </w:rPr>
      </w:pPr>
      <w:r>
        <w:rPr>
          <w:rStyle w:val="FootnoteReference"/>
        </w:rPr>
        <w:footnoteRef/>
      </w:r>
      <w:r>
        <w:t xml:space="preserve"> </w:t>
      </w:r>
      <w:hyperlink r:id="rId7" w:history="1">
        <w:r w:rsidRPr="00080271">
          <w:rPr>
            <w:rStyle w:val="Hyperlink"/>
            <w:rFonts w:cs="Cambria"/>
          </w:rPr>
          <w:t>https://documents.egi.eu/document/2635</w:t>
        </w:r>
      </w:hyperlink>
      <w:r>
        <w:t xml:space="preserve"> </w:t>
      </w:r>
    </w:p>
  </w:footnote>
  <w:footnote w:id="8">
    <w:p w14:paraId="1DDA5C61" w14:textId="77777777" w:rsidR="00A04ADD" w:rsidRDefault="00A04ADD" w:rsidP="009F5173">
      <w:pPr>
        <w:pStyle w:val="FootnoteText"/>
      </w:pPr>
      <w:r>
        <w:rPr>
          <w:rStyle w:val="FootnoteReference"/>
        </w:rPr>
        <w:footnoteRef/>
      </w:r>
      <w:r>
        <w:t xml:space="preserve"> </w:t>
      </w:r>
      <w:hyperlink r:id="rId8" w:history="1">
        <w:r w:rsidRPr="00332F39">
          <w:rPr>
            <w:rStyle w:val="Hyperlink"/>
            <w:rFonts w:cs="Cambria"/>
          </w:rPr>
          <w:t>https://documents.egi.eu/document/80</w:t>
        </w:r>
      </w:hyperlink>
      <w:r>
        <w:t xml:space="preserve"> </w:t>
      </w:r>
    </w:p>
  </w:footnote>
  <w:footnote w:id="9">
    <w:p w14:paraId="5D16B2C1" w14:textId="77777777" w:rsidR="00A04ADD" w:rsidRDefault="00A04ADD" w:rsidP="009D3F82">
      <w:pPr>
        <w:pStyle w:val="FootnoteText"/>
      </w:pPr>
      <w:r>
        <w:rPr>
          <w:rStyle w:val="FootnoteReference"/>
        </w:rPr>
        <w:footnoteRef/>
      </w:r>
      <w:r>
        <w:t xml:space="preserve"> </w:t>
      </w:r>
      <w:hyperlink r:id="rId9" w:history="1">
        <w:r w:rsidRPr="00332F39">
          <w:rPr>
            <w:rStyle w:val="Hyperlink"/>
            <w:rFonts w:cs="Cambria"/>
          </w:rPr>
          <w:t>https://wiki.egi.eu/wiki/EGI_CSIRT:Incident_reporting</w:t>
        </w:r>
      </w:hyperlink>
      <w:r>
        <w:t xml:space="preserve"> </w:t>
      </w:r>
    </w:p>
  </w:footnote>
  <w:footnote w:id="10">
    <w:p w14:paraId="4AD474D3" w14:textId="77777777" w:rsidR="00A04ADD" w:rsidRDefault="00A04ADD" w:rsidP="009D3F82">
      <w:pPr>
        <w:pStyle w:val="FootnoteText"/>
      </w:pPr>
      <w:r>
        <w:rPr>
          <w:rStyle w:val="FootnoteReference"/>
        </w:rPr>
        <w:footnoteRef/>
      </w:r>
      <w:r>
        <w:t xml:space="preserve"> Changes to this list are rare events.</w:t>
      </w:r>
    </w:p>
  </w:footnote>
  <w:footnote w:id="11">
    <w:p w14:paraId="74D18293" w14:textId="4BA6C5EB" w:rsidR="00A04ADD" w:rsidRPr="00A04ADD" w:rsidRDefault="00A04ADD">
      <w:pPr>
        <w:pStyle w:val="FootnoteText"/>
        <w:rPr>
          <w:lang w:val="en-US"/>
        </w:rPr>
      </w:pPr>
      <w:r>
        <w:rPr>
          <w:rStyle w:val="FootnoteReference"/>
        </w:rPr>
        <w:footnoteRef/>
      </w:r>
      <w:r>
        <w:t xml:space="preserve"> </w:t>
      </w:r>
      <w:hyperlink r:id="rId10" w:history="1">
        <w:r w:rsidRPr="00080271">
          <w:rPr>
            <w:rStyle w:val="Hyperlink"/>
            <w:rFonts w:cs="Cambria"/>
          </w:rPr>
          <w:t>https://documents.egi.eu/document/2635</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DA1C" w14:textId="77777777" w:rsidR="00A04ADD" w:rsidRDefault="00A04AD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04ADD" w14:paraId="1FF31D16" w14:textId="77777777">
      <w:trPr>
        <w:trHeight w:val="1131"/>
      </w:trPr>
      <w:tc>
        <w:tcPr>
          <w:tcW w:w="2404" w:type="dxa"/>
          <w:shd w:val="clear" w:color="auto" w:fill="auto"/>
        </w:tcPr>
        <w:p w14:paraId="065A847D" w14:textId="77777777" w:rsidR="00A04ADD" w:rsidRDefault="00A04ADD">
          <w:pPr>
            <w:pStyle w:val="Header"/>
            <w:tabs>
              <w:tab w:val="right" w:pos="9072"/>
            </w:tabs>
            <w:snapToGrid w:val="0"/>
            <w:jc w:val="left"/>
          </w:pPr>
        </w:p>
      </w:tc>
      <w:tc>
        <w:tcPr>
          <w:tcW w:w="3673" w:type="dxa"/>
          <w:shd w:val="clear" w:color="auto" w:fill="auto"/>
        </w:tcPr>
        <w:p w14:paraId="5999589F" w14:textId="77777777" w:rsidR="00A04ADD" w:rsidRDefault="00A04ADD">
          <w:pPr>
            <w:pStyle w:val="Header"/>
            <w:tabs>
              <w:tab w:val="right" w:pos="9072"/>
            </w:tabs>
            <w:snapToGrid w:val="0"/>
            <w:jc w:val="center"/>
          </w:pPr>
        </w:p>
      </w:tc>
      <w:tc>
        <w:tcPr>
          <w:tcW w:w="3333" w:type="dxa"/>
          <w:shd w:val="clear" w:color="auto" w:fill="auto"/>
        </w:tcPr>
        <w:p w14:paraId="6AE9A1DA" w14:textId="77777777" w:rsidR="00A04ADD" w:rsidRDefault="00A04ADD">
          <w:pPr>
            <w:pStyle w:val="Header"/>
            <w:tabs>
              <w:tab w:val="right" w:pos="9072"/>
            </w:tabs>
            <w:snapToGrid w:val="0"/>
            <w:jc w:val="right"/>
          </w:pPr>
        </w:p>
      </w:tc>
    </w:tr>
  </w:tbl>
  <w:p w14:paraId="4CAF9641" w14:textId="77777777" w:rsidR="00A04ADD" w:rsidRDefault="00A04AD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485C" w14:textId="77777777" w:rsidR="00A04ADD" w:rsidRDefault="00A04AD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1720D"/>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05B7"/>
    <w:rsid w:val="00071397"/>
    <w:rsid w:val="00074748"/>
    <w:rsid w:val="0007737A"/>
    <w:rsid w:val="00081D99"/>
    <w:rsid w:val="00084026"/>
    <w:rsid w:val="00085D51"/>
    <w:rsid w:val="00087274"/>
    <w:rsid w:val="000934D0"/>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05E"/>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69F6"/>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1F74ED"/>
    <w:rsid w:val="002018CF"/>
    <w:rsid w:val="00221392"/>
    <w:rsid w:val="0022254F"/>
    <w:rsid w:val="0022584D"/>
    <w:rsid w:val="00226DCB"/>
    <w:rsid w:val="00227D8C"/>
    <w:rsid w:val="0023297F"/>
    <w:rsid w:val="00240176"/>
    <w:rsid w:val="0024020A"/>
    <w:rsid w:val="002416BD"/>
    <w:rsid w:val="00242FEF"/>
    <w:rsid w:val="00245077"/>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3436"/>
    <w:rsid w:val="0037441B"/>
    <w:rsid w:val="003764D9"/>
    <w:rsid w:val="00384DEE"/>
    <w:rsid w:val="003856DC"/>
    <w:rsid w:val="003874B4"/>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690B"/>
    <w:rsid w:val="003E7AD6"/>
    <w:rsid w:val="003F0CCE"/>
    <w:rsid w:val="003F2E0A"/>
    <w:rsid w:val="003F5A58"/>
    <w:rsid w:val="003F6322"/>
    <w:rsid w:val="004028C3"/>
    <w:rsid w:val="00404222"/>
    <w:rsid w:val="0040517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92D"/>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28DC"/>
    <w:rsid w:val="006453D0"/>
    <w:rsid w:val="0064654F"/>
    <w:rsid w:val="00646A03"/>
    <w:rsid w:val="006472B5"/>
    <w:rsid w:val="00652AC4"/>
    <w:rsid w:val="0065350A"/>
    <w:rsid w:val="00654A8B"/>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24D5"/>
    <w:rsid w:val="007E641F"/>
    <w:rsid w:val="007E66DF"/>
    <w:rsid w:val="007E7587"/>
    <w:rsid w:val="007F07BB"/>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9DB"/>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25ED"/>
    <w:rsid w:val="00894F2A"/>
    <w:rsid w:val="008A4BC0"/>
    <w:rsid w:val="008A551B"/>
    <w:rsid w:val="008B1B5A"/>
    <w:rsid w:val="008B3DEF"/>
    <w:rsid w:val="008D02C1"/>
    <w:rsid w:val="008D221E"/>
    <w:rsid w:val="008D2449"/>
    <w:rsid w:val="008F1333"/>
    <w:rsid w:val="008F3F06"/>
    <w:rsid w:val="008F485A"/>
    <w:rsid w:val="008F5F8B"/>
    <w:rsid w:val="008F6601"/>
    <w:rsid w:val="008F6E87"/>
    <w:rsid w:val="008F788E"/>
    <w:rsid w:val="009028E4"/>
    <w:rsid w:val="00904E05"/>
    <w:rsid w:val="0091071C"/>
    <w:rsid w:val="00914F3D"/>
    <w:rsid w:val="00920409"/>
    <w:rsid w:val="009205F0"/>
    <w:rsid w:val="0092234F"/>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4ADD"/>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36C5"/>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6F12"/>
    <w:rsid w:val="00C809CA"/>
    <w:rsid w:val="00C8240F"/>
    <w:rsid w:val="00C843F3"/>
    <w:rsid w:val="00C85E14"/>
    <w:rsid w:val="00C869A7"/>
    <w:rsid w:val="00C90AF9"/>
    <w:rsid w:val="00C9121B"/>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146B"/>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2200"/>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1AC"/>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046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736055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169" TargetMode="External"/><Relationship Id="rId21" Type="http://schemas.openxmlformats.org/officeDocument/2006/relationships/hyperlink" Target="mailto:abuse@egi.eu" TargetMode="External"/><Relationship Id="rId22" Type="http://schemas.openxmlformats.org/officeDocument/2006/relationships/hyperlink" Target="mailto:long-tail-providers@mailman.egi.e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documents.egi.eu/document/2734"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yperlink" Target="https://wiki.egi.eu/wiki/Glossary_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71" TargetMode="External"/><Relationship Id="rId4" Type="http://schemas.openxmlformats.org/officeDocument/2006/relationships/hyperlink" Target="http://pos.sissa.it/archive/conferences/179/011/ISGC%202013_011.pdf" TargetMode="External"/><Relationship Id="rId5" Type="http://schemas.openxmlformats.org/officeDocument/2006/relationships/hyperlink" Target="http://www.edugain.org/" TargetMode="External"/><Relationship Id="rId6" Type="http://schemas.openxmlformats.org/officeDocument/2006/relationships/hyperlink" Target="https://wiki.egi.eu/wiki/EGI_CSIRT:Central_emergency_suspension_project" TargetMode="External"/><Relationship Id="rId7" Type="http://schemas.openxmlformats.org/officeDocument/2006/relationships/hyperlink" Target="https://documents.egi.eu/document/2635" TargetMode="External"/><Relationship Id="rId8" Type="http://schemas.openxmlformats.org/officeDocument/2006/relationships/hyperlink" Target="https://documents.egi.eu/document/80" TargetMode="External"/><Relationship Id="rId9" Type="http://schemas.openxmlformats.org/officeDocument/2006/relationships/hyperlink" Target="https://wiki.egi.eu/wiki/EGI_CSIRT:Incident_reporting" TargetMode="External"/><Relationship Id="rId10" Type="http://schemas.openxmlformats.org/officeDocument/2006/relationships/hyperlink" Target="https://documents.egi.eu/document/2635" TargetMode="External"/><Relationship Id="rId1" Type="http://schemas.openxmlformats.org/officeDocument/2006/relationships/hyperlink" Target="https://wiki.egi.eu/wiki/SPG:Documents" TargetMode="External"/><Relationship Id="rId2" Type="http://schemas.openxmlformats.org/officeDocument/2006/relationships/hyperlink" Target="https://wiki.egi.eu/wiki/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B142A99-FB2A-6D4B-8AA2-BEDB5B27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2846</Words>
  <Characters>16227</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19035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2</cp:revision>
  <cp:lastPrinted>2016-11-03T01:37:00Z</cp:lastPrinted>
  <dcterms:created xsi:type="dcterms:W3CDTF">2016-11-03T01:40:00Z</dcterms:created>
  <dcterms:modified xsi:type="dcterms:W3CDTF">2016-11-03T01:40:00Z</dcterms:modified>
</cp:coreProperties>
</file>