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3A3FA8"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3FF0B8A7" w:rsidR="006D1955" w:rsidRPr="001A349C" w:rsidRDefault="00CC324B" w:rsidP="00CC324B">
            <w:pPr>
              <w:snapToGrid w:val="0"/>
              <w:spacing w:before="120"/>
              <w:jc w:val="left"/>
              <w:rPr>
                <w:rFonts w:asciiTheme="minorHAnsi" w:hAnsiTheme="minorHAnsi" w:cs="Open Sans"/>
                <w:lang w:val="it-IT"/>
              </w:rPr>
            </w:pPr>
            <w:r w:rsidRPr="001A349C">
              <w:rPr>
                <w:color w:val="000000"/>
                <w:lang w:val="it-IT"/>
              </w:rPr>
              <w:t>MoBRAIN</w:t>
            </w:r>
            <w:r w:rsidR="00FD757F" w:rsidRPr="001A349C">
              <w:rPr>
                <w:color w:val="000000"/>
                <w:lang w:val="it-IT"/>
              </w:rPr>
              <w:t>/vo:</w:t>
            </w:r>
            <w:r w:rsidRPr="001A349C">
              <w:rPr>
                <w:color w:val="000000"/>
                <w:lang w:val="it-IT"/>
              </w:rPr>
              <w:t>enmr.eu</w:t>
            </w:r>
            <w:r w:rsidR="00F518E7" w:rsidRPr="001A349C">
              <w:rPr>
                <w:color w:val="000000"/>
                <w:lang w:val="it-IT"/>
              </w:rPr>
              <w:t>/vo.</w:t>
            </w:r>
            <w:r w:rsidR="00F518E7">
              <w:rPr>
                <w:color w:val="000000"/>
                <w:lang w:val="it-IT"/>
              </w:rPr>
              <w:t>neugrid.eu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AB77D6A" w:rsidR="006D1955" w:rsidRPr="006D1955" w:rsidRDefault="00B9495A" w:rsidP="00B9495A">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5A1006AD" w:rsidR="006D1955" w:rsidRPr="006D1955" w:rsidRDefault="00B9495A" w:rsidP="00B9495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99AD69A" w:rsidR="006D1955" w:rsidRPr="006D1955" w:rsidRDefault="00793A20" w:rsidP="00793A20">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061205" w:rsidR="006D1955" w:rsidRPr="00793A20" w:rsidRDefault="00793A20" w:rsidP="00C062E3">
            <w:pPr>
              <w:pStyle w:val="DocDate"/>
              <w:snapToGrid w:val="0"/>
              <w:jc w:val="left"/>
              <w:rPr>
                <w:rFonts w:asciiTheme="minorHAnsi" w:hAnsiTheme="minorHAnsi" w:cs="Open Sans"/>
                <w:b w:val="0"/>
              </w:rPr>
            </w:pPr>
            <w:r w:rsidRPr="00793A20">
              <w:rPr>
                <w:rFonts w:asciiTheme="minorHAnsi" w:hAnsiTheme="minorHAnsi" w:cs="Open Sans"/>
                <w:b w:val="0"/>
              </w:rPr>
              <w:t>18/02/2016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Grant Name</w:t>
            </w:r>
          </w:p>
        </w:tc>
        <w:tc>
          <w:tcPr>
            <w:tcW w:w="3968" w:type="dxa"/>
            <w:shd w:val="clear" w:color="auto" w:fill="auto"/>
            <w:vAlign w:val="center"/>
          </w:tcPr>
          <w:p w14:paraId="332E86E4" w14:textId="320874BE"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[unique name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77777777" w:rsidR="006D1955" w:rsidRPr="006D1955" w:rsidRDefault="006D1955" w:rsidP="0053196A">
            <w:pPr>
              <w:pStyle w:val="Header"/>
              <w:snapToGrid w:val="0"/>
              <w:spacing w:before="120" w:after="120"/>
              <w:rPr>
                <w:rFonts w:asciiTheme="minorHAnsi" w:hAnsiTheme="minorHAnsi" w:cs="Open Sans"/>
                <w:b/>
              </w:rPr>
            </w:pPr>
            <w:r w:rsidRPr="006D1955">
              <w:rPr>
                <w:rFonts w:asciiTheme="minorHAnsi" w:hAnsiTheme="minorHAnsi" w:cs="Open Sans"/>
                <w:b/>
              </w:rPr>
              <w:t>Grant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B4CE414" w:rsidR="00EC504F" w:rsidRPr="002E5F1F" w:rsidRDefault="00793A20" w:rsidP="0053196A">
            <w:pPr>
              <w:pStyle w:val="NoSpacing"/>
              <w:rPr>
                <w:b/>
              </w:rPr>
            </w:pPr>
            <w:r>
              <w:rPr>
                <w:b/>
              </w:rPr>
              <w:t>FINAL</w:t>
            </w:r>
          </w:p>
        </w:tc>
        <w:tc>
          <w:tcPr>
            <w:tcW w:w="1418" w:type="dxa"/>
            <w:shd w:val="clear" w:color="auto" w:fill="auto"/>
          </w:tcPr>
          <w:p w14:paraId="549B6DAB" w14:textId="0FD6B5BA" w:rsidR="00EC504F" w:rsidRDefault="00793A20" w:rsidP="0053196A">
            <w:pPr>
              <w:pStyle w:val="NoSpacing"/>
            </w:pPr>
            <w:r>
              <w:t>16/02/2016</w:t>
            </w:r>
          </w:p>
        </w:tc>
        <w:tc>
          <w:tcPr>
            <w:tcW w:w="4536" w:type="dxa"/>
            <w:shd w:val="clear" w:color="auto" w:fill="auto"/>
          </w:tcPr>
          <w:p w14:paraId="69CB229F" w14:textId="3B06479C" w:rsidR="00EC504F" w:rsidRDefault="00793A20" w:rsidP="0053196A">
            <w:pPr>
              <w:pStyle w:val="NoSpacing"/>
            </w:pPr>
            <w:r>
              <w:t>Final version of SLA</w:t>
            </w:r>
          </w:p>
        </w:tc>
        <w:tc>
          <w:tcPr>
            <w:tcW w:w="2471" w:type="dxa"/>
            <w:shd w:val="clear" w:color="auto" w:fill="auto"/>
          </w:tcPr>
          <w:p w14:paraId="30FC1504" w14:textId="7AF5F77F" w:rsidR="00592516" w:rsidRDefault="00793A20"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26373A8" w14:textId="77777777" w:rsidR="00B00467"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404123" w:history="1">
            <w:r w:rsidR="00B00467" w:rsidRPr="00F11FD5">
              <w:rPr>
                <w:rStyle w:val="Hyperlink"/>
                <w:noProof/>
              </w:rPr>
              <w:t>1</w:t>
            </w:r>
            <w:r w:rsidR="00B00467">
              <w:rPr>
                <w:rFonts w:asciiTheme="minorHAnsi" w:eastAsiaTheme="minorEastAsia" w:hAnsiTheme="minorHAnsi"/>
                <w:noProof/>
                <w:spacing w:val="0"/>
                <w:lang w:eastAsia="en-GB"/>
              </w:rPr>
              <w:tab/>
            </w:r>
            <w:r w:rsidR="00B00467" w:rsidRPr="00F11FD5">
              <w:rPr>
                <w:rStyle w:val="Hyperlink"/>
                <w:noProof/>
              </w:rPr>
              <w:t>The Services</w:t>
            </w:r>
            <w:r w:rsidR="00B00467">
              <w:rPr>
                <w:noProof/>
                <w:webHidden/>
              </w:rPr>
              <w:tab/>
            </w:r>
            <w:r w:rsidR="00B00467">
              <w:rPr>
                <w:noProof/>
                <w:webHidden/>
              </w:rPr>
              <w:fldChar w:fldCharType="begin"/>
            </w:r>
            <w:r w:rsidR="00B00467">
              <w:rPr>
                <w:noProof/>
                <w:webHidden/>
              </w:rPr>
              <w:instrText xml:space="preserve"> PAGEREF _Toc443404123 \h </w:instrText>
            </w:r>
            <w:r w:rsidR="00B00467">
              <w:rPr>
                <w:noProof/>
                <w:webHidden/>
              </w:rPr>
            </w:r>
            <w:r w:rsidR="00B00467">
              <w:rPr>
                <w:noProof/>
                <w:webHidden/>
              </w:rPr>
              <w:fldChar w:fldCharType="separate"/>
            </w:r>
            <w:r w:rsidR="00B00467">
              <w:rPr>
                <w:noProof/>
                <w:webHidden/>
              </w:rPr>
              <w:t>4</w:t>
            </w:r>
            <w:r w:rsidR="00B00467">
              <w:rPr>
                <w:noProof/>
                <w:webHidden/>
              </w:rPr>
              <w:fldChar w:fldCharType="end"/>
            </w:r>
          </w:hyperlink>
        </w:p>
        <w:p w14:paraId="5C58C181" w14:textId="77777777" w:rsidR="00B00467" w:rsidRDefault="008158CA">
          <w:pPr>
            <w:pStyle w:val="TOC1"/>
            <w:tabs>
              <w:tab w:val="left" w:pos="400"/>
              <w:tab w:val="right" w:leader="dot" w:pos="9016"/>
            </w:tabs>
            <w:rPr>
              <w:rFonts w:asciiTheme="minorHAnsi" w:eastAsiaTheme="minorEastAsia" w:hAnsiTheme="minorHAnsi"/>
              <w:noProof/>
              <w:spacing w:val="0"/>
              <w:lang w:eastAsia="en-GB"/>
            </w:rPr>
          </w:pPr>
          <w:hyperlink w:anchor="_Toc443404124" w:history="1">
            <w:r w:rsidR="00B00467" w:rsidRPr="00F11FD5">
              <w:rPr>
                <w:rStyle w:val="Hyperlink"/>
                <w:noProof/>
              </w:rPr>
              <w:t>2</w:t>
            </w:r>
            <w:r w:rsidR="00B00467">
              <w:rPr>
                <w:rFonts w:asciiTheme="minorHAnsi" w:eastAsiaTheme="minorEastAsia" w:hAnsiTheme="minorHAnsi"/>
                <w:noProof/>
                <w:spacing w:val="0"/>
                <w:lang w:eastAsia="en-GB"/>
              </w:rPr>
              <w:tab/>
            </w:r>
            <w:r w:rsidR="00B00467" w:rsidRPr="00F11FD5">
              <w:rPr>
                <w:rStyle w:val="Hyperlink"/>
                <w:noProof/>
              </w:rPr>
              <w:t>Service hours and exceptions</w:t>
            </w:r>
            <w:r w:rsidR="00B00467">
              <w:rPr>
                <w:noProof/>
                <w:webHidden/>
              </w:rPr>
              <w:tab/>
            </w:r>
            <w:r w:rsidR="00B00467">
              <w:rPr>
                <w:noProof/>
                <w:webHidden/>
              </w:rPr>
              <w:fldChar w:fldCharType="begin"/>
            </w:r>
            <w:r w:rsidR="00B00467">
              <w:rPr>
                <w:noProof/>
                <w:webHidden/>
              </w:rPr>
              <w:instrText xml:space="preserve"> PAGEREF _Toc443404124 \h </w:instrText>
            </w:r>
            <w:r w:rsidR="00B00467">
              <w:rPr>
                <w:noProof/>
                <w:webHidden/>
              </w:rPr>
            </w:r>
            <w:r w:rsidR="00B00467">
              <w:rPr>
                <w:noProof/>
                <w:webHidden/>
              </w:rPr>
              <w:fldChar w:fldCharType="separate"/>
            </w:r>
            <w:r w:rsidR="00B00467">
              <w:rPr>
                <w:noProof/>
                <w:webHidden/>
              </w:rPr>
              <w:t>6</w:t>
            </w:r>
            <w:r w:rsidR="00B00467">
              <w:rPr>
                <w:noProof/>
                <w:webHidden/>
              </w:rPr>
              <w:fldChar w:fldCharType="end"/>
            </w:r>
          </w:hyperlink>
        </w:p>
        <w:p w14:paraId="54046B05" w14:textId="77777777" w:rsidR="00B00467" w:rsidRDefault="008158CA">
          <w:pPr>
            <w:pStyle w:val="TOC1"/>
            <w:tabs>
              <w:tab w:val="left" w:pos="400"/>
              <w:tab w:val="right" w:leader="dot" w:pos="9016"/>
            </w:tabs>
            <w:rPr>
              <w:rFonts w:asciiTheme="minorHAnsi" w:eastAsiaTheme="minorEastAsia" w:hAnsiTheme="minorHAnsi"/>
              <w:noProof/>
              <w:spacing w:val="0"/>
              <w:lang w:eastAsia="en-GB"/>
            </w:rPr>
          </w:pPr>
          <w:hyperlink w:anchor="_Toc443404125" w:history="1">
            <w:r w:rsidR="00B00467" w:rsidRPr="00F11FD5">
              <w:rPr>
                <w:rStyle w:val="Hyperlink"/>
                <w:noProof/>
              </w:rPr>
              <w:t>3</w:t>
            </w:r>
            <w:r w:rsidR="00B00467">
              <w:rPr>
                <w:rFonts w:asciiTheme="minorHAnsi" w:eastAsiaTheme="minorEastAsia" w:hAnsiTheme="minorHAnsi"/>
                <w:noProof/>
                <w:spacing w:val="0"/>
                <w:lang w:eastAsia="en-GB"/>
              </w:rPr>
              <w:tab/>
            </w:r>
            <w:r w:rsidR="00B00467" w:rsidRPr="00F11FD5">
              <w:rPr>
                <w:rStyle w:val="Hyperlink"/>
                <w:noProof/>
              </w:rPr>
              <w:t>Support</w:t>
            </w:r>
            <w:r w:rsidR="00B00467">
              <w:rPr>
                <w:noProof/>
                <w:webHidden/>
              </w:rPr>
              <w:tab/>
            </w:r>
            <w:r w:rsidR="00B00467">
              <w:rPr>
                <w:noProof/>
                <w:webHidden/>
              </w:rPr>
              <w:fldChar w:fldCharType="begin"/>
            </w:r>
            <w:r w:rsidR="00B00467">
              <w:rPr>
                <w:noProof/>
                <w:webHidden/>
              </w:rPr>
              <w:instrText xml:space="preserve"> PAGEREF _Toc443404125 \h </w:instrText>
            </w:r>
            <w:r w:rsidR="00B00467">
              <w:rPr>
                <w:noProof/>
                <w:webHidden/>
              </w:rPr>
            </w:r>
            <w:r w:rsidR="00B00467">
              <w:rPr>
                <w:noProof/>
                <w:webHidden/>
              </w:rPr>
              <w:fldChar w:fldCharType="separate"/>
            </w:r>
            <w:r w:rsidR="00B00467">
              <w:rPr>
                <w:noProof/>
                <w:webHidden/>
              </w:rPr>
              <w:t>7</w:t>
            </w:r>
            <w:r w:rsidR="00B00467">
              <w:rPr>
                <w:noProof/>
                <w:webHidden/>
              </w:rPr>
              <w:fldChar w:fldCharType="end"/>
            </w:r>
          </w:hyperlink>
        </w:p>
        <w:p w14:paraId="488A9401" w14:textId="77777777" w:rsidR="00B00467" w:rsidRDefault="008158CA">
          <w:pPr>
            <w:pStyle w:val="TOC2"/>
            <w:tabs>
              <w:tab w:val="left" w:pos="880"/>
              <w:tab w:val="right" w:leader="dot" w:pos="9016"/>
            </w:tabs>
            <w:rPr>
              <w:rFonts w:asciiTheme="minorHAnsi" w:eastAsiaTheme="minorEastAsia" w:hAnsiTheme="minorHAnsi"/>
              <w:noProof/>
              <w:spacing w:val="0"/>
              <w:lang w:eastAsia="en-GB"/>
            </w:rPr>
          </w:pPr>
          <w:hyperlink w:anchor="_Toc443404126" w:history="1">
            <w:r w:rsidR="00B00467" w:rsidRPr="00F11FD5">
              <w:rPr>
                <w:rStyle w:val="Hyperlink"/>
                <w:noProof/>
              </w:rPr>
              <w:t>3.1</w:t>
            </w:r>
            <w:r w:rsidR="00B00467">
              <w:rPr>
                <w:rFonts w:asciiTheme="minorHAnsi" w:eastAsiaTheme="minorEastAsia" w:hAnsiTheme="minorHAnsi"/>
                <w:noProof/>
                <w:spacing w:val="0"/>
                <w:lang w:eastAsia="en-GB"/>
              </w:rPr>
              <w:tab/>
            </w:r>
            <w:r w:rsidR="00B00467" w:rsidRPr="00F11FD5">
              <w:rPr>
                <w:rStyle w:val="Hyperlink"/>
                <w:noProof/>
              </w:rPr>
              <w:t>Incident handling</w:t>
            </w:r>
            <w:r w:rsidR="00B00467">
              <w:rPr>
                <w:noProof/>
                <w:webHidden/>
              </w:rPr>
              <w:tab/>
            </w:r>
            <w:r w:rsidR="00B00467">
              <w:rPr>
                <w:noProof/>
                <w:webHidden/>
              </w:rPr>
              <w:fldChar w:fldCharType="begin"/>
            </w:r>
            <w:r w:rsidR="00B00467">
              <w:rPr>
                <w:noProof/>
                <w:webHidden/>
              </w:rPr>
              <w:instrText xml:space="preserve"> PAGEREF _Toc443404126 \h </w:instrText>
            </w:r>
            <w:r w:rsidR="00B00467">
              <w:rPr>
                <w:noProof/>
                <w:webHidden/>
              </w:rPr>
            </w:r>
            <w:r w:rsidR="00B00467">
              <w:rPr>
                <w:noProof/>
                <w:webHidden/>
              </w:rPr>
              <w:fldChar w:fldCharType="separate"/>
            </w:r>
            <w:r w:rsidR="00B00467">
              <w:rPr>
                <w:noProof/>
                <w:webHidden/>
              </w:rPr>
              <w:t>7</w:t>
            </w:r>
            <w:r w:rsidR="00B00467">
              <w:rPr>
                <w:noProof/>
                <w:webHidden/>
              </w:rPr>
              <w:fldChar w:fldCharType="end"/>
            </w:r>
          </w:hyperlink>
        </w:p>
        <w:p w14:paraId="075CC781" w14:textId="77777777" w:rsidR="00B00467" w:rsidRDefault="008158CA">
          <w:pPr>
            <w:pStyle w:val="TOC2"/>
            <w:tabs>
              <w:tab w:val="left" w:pos="880"/>
              <w:tab w:val="right" w:leader="dot" w:pos="9016"/>
            </w:tabs>
            <w:rPr>
              <w:rFonts w:asciiTheme="minorHAnsi" w:eastAsiaTheme="minorEastAsia" w:hAnsiTheme="minorHAnsi"/>
              <w:noProof/>
              <w:spacing w:val="0"/>
              <w:lang w:eastAsia="en-GB"/>
            </w:rPr>
          </w:pPr>
          <w:hyperlink w:anchor="_Toc443404127" w:history="1">
            <w:r w:rsidR="00B00467" w:rsidRPr="00F11FD5">
              <w:rPr>
                <w:rStyle w:val="Hyperlink"/>
                <w:noProof/>
              </w:rPr>
              <w:t>3.2</w:t>
            </w:r>
            <w:r w:rsidR="00B00467">
              <w:rPr>
                <w:rFonts w:asciiTheme="minorHAnsi" w:eastAsiaTheme="minorEastAsia" w:hAnsiTheme="minorHAnsi"/>
                <w:noProof/>
                <w:spacing w:val="0"/>
                <w:lang w:eastAsia="en-GB"/>
              </w:rPr>
              <w:tab/>
            </w:r>
            <w:r w:rsidR="00B00467" w:rsidRPr="00F11FD5">
              <w:rPr>
                <w:rStyle w:val="Hyperlink"/>
                <w:noProof/>
              </w:rPr>
              <w:t>Service requests</w:t>
            </w:r>
            <w:r w:rsidR="00B00467">
              <w:rPr>
                <w:noProof/>
                <w:webHidden/>
              </w:rPr>
              <w:tab/>
            </w:r>
            <w:r w:rsidR="00B00467">
              <w:rPr>
                <w:noProof/>
                <w:webHidden/>
              </w:rPr>
              <w:fldChar w:fldCharType="begin"/>
            </w:r>
            <w:r w:rsidR="00B00467">
              <w:rPr>
                <w:noProof/>
                <w:webHidden/>
              </w:rPr>
              <w:instrText xml:space="preserve"> PAGEREF _Toc443404127 \h </w:instrText>
            </w:r>
            <w:r w:rsidR="00B00467">
              <w:rPr>
                <w:noProof/>
                <w:webHidden/>
              </w:rPr>
            </w:r>
            <w:r w:rsidR="00B00467">
              <w:rPr>
                <w:noProof/>
                <w:webHidden/>
              </w:rPr>
              <w:fldChar w:fldCharType="separate"/>
            </w:r>
            <w:r w:rsidR="00B00467">
              <w:rPr>
                <w:noProof/>
                <w:webHidden/>
              </w:rPr>
              <w:t>7</w:t>
            </w:r>
            <w:r w:rsidR="00B00467">
              <w:rPr>
                <w:noProof/>
                <w:webHidden/>
              </w:rPr>
              <w:fldChar w:fldCharType="end"/>
            </w:r>
          </w:hyperlink>
        </w:p>
        <w:p w14:paraId="0D5E4AE0" w14:textId="77777777" w:rsidR="00B00467" w:rsidRDefault="008158CA">
          <w:pPr>
            <w:pStyle w:val="TOC1"/>
            <w:tabs>
              <w:tab w:val="left" w:pos="400"/>
              <w:tab w:val="right" w:leader="dot" w:pos="9016"/>
            </w:tabs>
            <w:rPr>
              <w:rFonts w:asciiTheme="minorHAnsi" w:eastAsiaTheme="minorEastAsia" w:hAnsiTheme="minorHAnsi"/>
              <w:noProof/>
              <w:spacing w:val="0"/>
              <w:lang w:eastAsia="en-GB"/>
            </w:rPr>
          </w:pPr>
          <w:hyperlink w:anchor="_Toc443404128" w:history="1">
            <w:r w:rsidR="00B00467" w:rsidRPr="00F11FD5">
              <w:rPr>
                <w:rStyle w:val="Hyperlink"/>
                <w:noProof/>
              </w:rPr>
              <w:t>4</w:t>
            </w:r>
            <w:r w:rsidR="00B00467">
              <w:rPr>
                <w:rFonts w:asciiTheme="minorHAnsi" w:eastAsiaTheme="minorEastAsia" w:hAnsiTheme="minorHAnsi"/>
                <w:noProof/>
                <w:spacing w:val="0"/>
                <w:lang w:eastAsia="en-GB"/>
              </w:rPr>
              <w:tab/>
            </w:r>
            <w:r w:rsidR="00B00467" w:rsidRPr="00F11FD5">
              <w:rPr>
                <w:rStyle w:val="Hyperlink"/>
                <w:noProof/>
              </w:rPr>
              <w:t>Service level targets</w:t>
            </w:r>
            <w:r w:rsidR="00B00467">
              <w:rPr>
                <w:noProof/>
                <w:webHidden/>
              </w:rPr>
              <w:tab/>
            </w:r>
            <w:r w:rsidR="00B00467">
              <w:rPr>
                <w:noProof/>
                <w:webHidden/>
              </w:rPr>
              <w:fldChar w:fldCharType="begin"/>
            </w:r>
            <w:r w:rsidR="00B00467">
              <w:rPr>
                <w:noProof/>
                <w:webHidden/>
              </w:rPr>
              <w:instrText xml:space="preserve"> PAGEREF _Toc443404128 \h </w:instrText>
            </w:r>
            <w:r w:rsidR="00B00467">
              <w:rPr>
                <w:noProof/>
                <w:webHidden/>
              </w:rPr>
            </w:r>
            <w:r w:rsidR="00B00467">
              <w:rPr>
                <w:noProof/>
                <w:webHidden/>
              </w:rPr>
              <w:fldChar w:fldCharType="separate"/>
            </w:r>
            <w:r w:rsidR="00B00467">
              <w:rPr>
                <w:noProof/>
                <w:webHidden/>
              </w:rPr>
              <w:t>8</w:t>
            </w:r>
            <w:r w:rsidR="00B00467">
              <w:rPr>
                <w:noProof/>
                <w:webHidden/>
              </w:rPr>
              <w:fldChar w:fldCharType="end"/>
            </w:r>
          </w:hyperlink>
        </w:p>
        <w:p w14:paraId="756B30E3" w14:textId="77777777" w:rsidR="00B00467" w:rsidRDefault="008158CA">
          <w:pPr>
            <w:pStyle w:val="TOC1"/>
            <w:tabs>
              <w:tab w:val="left" w:pos="400"/>
              <w:tab w:val="right" w:leader="dot" w:pos="9016"/>
            </w:tabs>
            <w:rPr>
              <w:rFonts w:asciiTheme="minorHAnsi" w:eastAsiaTheme="minorEastAsia" w:hAnsiTheme="minorHAnsi"/>
              <w:noProof/>
              <w:spacing w:val="0"/>
              <w:lang w:eastAsia="en-GB"/>
            </w:rPr>
          </w:pPr>
          <w:hyperlink w:anchor="_Toc443404129" w:history="1">
            <w:r w:rsidR="00B00467" w:rsidRPr="00F11FD5">
              <w:rPr>
                <w:rStyle w:val="Hyperlink"/>
                <w:noProof/>
              </w:rPr>
              <w:t>5</w:t>
            </w:r>
            <w:r w:rsidR="00B00467">
              <w:rPr>
                <w:rFonts w:asciiTheme="minorHAnsi" w:eastAsiaTheme="minorEastAsia" w:hAnsiTheme="minorHAnsi"/>
                <w:noProof/>
                <w:spacing w:val="0"/>
                <w:lang w:eastAsia="en-GB"/>
              </w:rPr>
              <w:tab/>
            </w:r>
            <w:r w:rsidR="00B00467" w:rsidRPr="00F11FD5">
              <w:rPr>
                <w:rStyle w:val="Hyperlink"/>
                <w:noProof/>
              </w:rPr>
              <w:t>Limitations and constraints</w:t>
            </w:r>
            <w:r w:rsidR="00B00467">
              <w:rPr>
                <w:noProof/>
                <w:webHidden/>
              </w:rPr>
              <w:tab/>
            </w:r>
            <w:r w:rsidR="00B00467">
              <w:rPr>
                <w:noProof/>
                <w:webHidden/>
              </w:rPr>
              <w:fldChar w:fldCharType="begin"/>
            </w:r>
            <w:r w:rsidR="00B00467">
              <w:rPr>
                <w:noProof/>
                <w:webHidden/>
              </w:rPr>
              <w:instrText xml:space="preserve"> PAGEREF _Toc443404129 \h </w:instrText>
            </w:r>
            <w:r w:rsidR="00B00467">
              <w:rPr>
                <w:noProof/>
                <w:webHidden/>
              </w:rPr>
            </w:r>
            <w:r w:rsidR="00B00467">
              <w:rPr>
                <w:noProof/>
                <w:webHidden/>
              </w:rPr>
              <w:fldChar w:fldCharType="separate"/>
            </w:r>
            <w:r w:rsidR="00B00467">
              <w:rPr>
                <w:noProof/>
                <w:webHidden/>
              </w:rPr>
              <w:t>8</w:t>
            </w:r>
            <w:r w:rsidR="00B00467">
              <w:rPr>
                <w:noProof/>
                <w:webHidden/>
              </w:rPr>
              <w:fldChar w:fldCharType="end"/>
            </w:r>
          </w:hyperlink>
        </w:p>
        <w:p w14:paraId="2C3F798A" w14:textId="77777777" w:rsidR="00B00467" w:rsidRDefault="008158CA">
          <w:pPr>
            <w:pStyle w:val="TOC1"/>
            <w:tabs>
              <w:tab w:val="left" w:pos="400"/>
              <w:tab w:val="right" w:leader="dot" w:pos="9016"/>
            </w:tabs>
            <w:rPr>
              <w:rFonts w:asciiTheme="minorHAnsi" w:eastAsiaTheme="minorEastAsia" w:hAnsiTheme="minorHAnsi"/>
              <w:noProof/>
              <w:spacing w:val="0"/>
              <w:lang w:eastAsia="en-GB"/>
            </w:rPr>
          </w:pPr>
          <w:hyperlink w:anchor="_Toc443404130" w:history="1">
            <w:r w:rsidR="00B00467" w:rsidRPr="00F11FD5">
              <w:rPr>
                <w:rStyle w:val="Hyperlink"/>
                <w:noProof/>
              </w:rPr>
              <w:t>6</w:t>
            </w:r>
            <w:r w:rsidR="00B00467">
              <w:rPr>
                <w:rFonts w:asciiTheme="minorHAnsi" w:eastAsiaTheme="minorEastAsia" w:hAnsiTheme="minorHAnsi"/>
                <w:noProof/>
                <w:spacing w:val="0"/>
                <w:lang w:eastAsia="en-GB"/>
              </w:rPr>
              <w:tab/>
            </w:r>
            <w:r w:rsidR="00B00467" w:rsidRPr="00F11FD5">
              <w:rPr>
                <w:rStyle w:val="Hyperlink"/>
                <w:noProof/>
              </w:rPr>
              <w:t>Communication, reporting and escalation</w:t>
            </w:r>
            <w:r w:rsidR="00B00467">
              <w:rPr>
                <w:noProof/>
                <w:webHidden/>
              </w:rPr>
              <w:tab/>
            </w:r>
            <w:r w:rsidR="00B00467">
              <w:rPr>
                <w:noProof/>
                <w:webHidden/>
              </w:rPr>
              <w:fldChar w:fldCharType="begin"/>
            </w:r>
            <w:r w:rsidR="00B00467">
              <w:rPr>
                <w:noProof/>
                <w:webHidden/>
              </w:rPr>
              <w:instrText xml:space="preserve"> PAGEREF _Toc443404130 \h </w:instrText>
            </w:r>
            <w:r w:rsidR="00B00467">
              <w:rPr>
                <w:noProof/>
                <w:webHidden/>
              </w:rPr>
            </w:r>
            <w:r w:rsidR="00B00467">
              <w:rPr>
                <w:noProof/>
                <w:webHidden/>
              </w:rPr>
              <w:fldChar w:fldCharType="separate"/>
            </w:r>
            <w:r w:rsidR="00B00467">
              <w:rPr>
                <w:noProof/>
                <w:webHidden/>
              </w:rPr>
              <w:t>9</w:t>
            </w:r>
            <w:r w:rsidR="00B00467">
              <w:rPr>
                <w:noProof/>
                <w:webHidden/>
              </w:rPr>
              <w:fldChar w:fldCharType="end"/>
            </w:r>
          </w:hyperlink>
        </w:p>
        <w:p w14:paraId="1A266D64" w14:textId="77777777" w:rsidR="00B00467" w:rsidRDefault="008158CA">
          <w:pPr>
            <w:pStyle w:val="TOC2"/>
            <w:tabs>
              <w:tab w:val="left" w:pos="880"/>
              <w:tab w:val="right" w:leader="dot" w:pos="9016"/>
            </w:tabs>
            <w:rPr>
              <w:rFonts w:asciiTheme="minorHAnsi" w:eastAsiaTheme="minorEastAsia" w:hAnsiTheme="minorHAnsi"/>
              <w:noProof/>
              <w:spacing w:val="0"/>
              <w:lang w:eastAsia="en-GB"/>
            </w:rPr>
          </w:pPr>
          <w:hyperlink w:anchor="_Toc443404131" w:history="1">
            <w:r w:rsidR="00B00467" w:rsidRPr="00F11FD5">
              <w:rPr>
                <w:rStyle w:val="Hyperlink"/>
                <w:noProof/>
              </w:rPr>
              <w:t>6.1</w:t>
            </w:r>
            <w:r w:rsidR="00B00467">
              <w:rPr>
                <w:rFonts w:asciiTheme="minorHAnsi" w:eastAsiaTheme="minorEastAsia" w:hAnsiTheme="minorHAnsi"/>
                <w:noProof/>
                <w:spacing w:val="0"/>
                <w:lang w:eastAsia="en-GB"/>
              </w:rPr>
              <w:tab/>
            </w:r>
            <w:r w:rsidR="00B00467" w:rsidRPr="00F11FD5">
              <w:rPr>
                <w:rStyle w:val="Hyperlink"/>
                <w:noProof/>
              </w:rPr>
              <w:t>General communication</w:t>
            </w:r>
            <w:r w:rsidR="00B00467">
              <w:rPr>
                <w:noProof/>
                <w:webHidden/>
              </w:rPr>
              <w:tab/>
            </w:r>
            <w:r w:rsidR="00B00467">
              <w:rPr>
                <w:noProof/>
                <w:webHidden/>
              </w:rPr>
              <w:fldChar w:fldCharType="begin"/>
            </w:r>
            <w:r w:rsidR="00B00467">
              <w:rPr>
                <w:noProof/>
                <w:webHidden/>
              </w:rPr>
              <w:instrText xml:space="preserve"> PAGEREF _Toc443404131 \h </w:instrText>
            </w:r>
            <w:r w:rsidR="00B00467">
              <w:rPr>
                <w:noProof/>
                <w:webHidden/>
              </w:rPr>
            </w:r>
            <w:r w:rsidR="00B00467">
              <w:rPr>
                <w:noProof/>
                <w:webHidden/>
              </w:rPr>
              <w:fldChar w:fldCharType="separate"/>
            </w:r>
            <w:r w:rsidR="00B00467">
              <w:rPr>
                <w:noProof/>
                <w:webHidden/>
              </w:rPr>
              <w:t>9</w:t>
            </w:r>
            <w:r w:rsidR="00B00467">
              <w:rPr>
                <w:noProof/>
                <w:webHidden/>
              </w:rPr>
              <w:fldChar w:fldCharType="end"/>
            </w:r>
          </w:hyperlink>
        </w:p>
        <w:p w14:paraId="4F3F4907" w14:textId="77777777" w:rsidR="00B00467" w:rsidRDefault="008158CA">
          <w:pPr>
            <w:pStyle w:val="TOC2"/>
            <w:tabs>
              <w:tab w:val="left" w:pos="880"/>
              <w:tab w:val="right" w:leader="dot" w:pos="9016"/>
            </w:tabs>
            <w:rPr>
              <w:rFonts w:asciiTheme="minorHAnsi" w:eastAsiaTheme="minorEastAsia" w:hAnsiTheme="minorHAnsi"/>
              <w:noProof/>
              <w:spacing w:val="0"/>
              <w:lang w:eastAsia="en-GB"/>
            </w:rPr>
          </w:pPr>
          <w:hyperlink w:anchor="_Toc443404132" w:history="1">
            <w:r w:rsidR="00B00467" w:rsidRPr="00F11FD5">
              <w:rPr>
                <w:rStyle w:val="Hyperlink"/>
                <w:noProof/>
              </w:rPr>
              <w:t>6.2</w:t>
            </w:r>
            <w:r w:rsidR="00B00467">
              <w:rPr>
                <w:rFonts w:asciiTheme="minorHAnsi" w:eastAsiaTheme="minorEastAsia" w:hAnsiTheme="minorHAnsi"/>
                <w:noProof/>
                <w:spacing w:val="0"/>
                <w:lang w:eastAsia="en-GB"/>
              </w:rPr>
              <w:tab/>
            </w:r>
            <w:r w:rsidR="00B00467" w:rsidRPr="00F11FD5">
              <w:rPr>
                <w:rStyle w:val="Hyperlink"/>
                <w:noProof/>
              </w:rPr>
              <w:t>Regular reporting</w:t>
            </w:r>
            <w:r w:rsidR="00B00467">
              <w:rPr>
                <w:noProof/>
                <w:webHidden/>
              </w:rPr>
              <w:tab/>
            </w:r>
            <w:r w:rsidR="00B00467">
              <w:rPr>
                <w:noProof/>
                <w:webHidden/>
              </w:rPr>
              <w:fldChar w:fldCharType="begin"/>
            </w:r>
            <w:r w:rsidR="00B00467">
              <w:rPr>
                <w:noProof/>
                <w:webHidden/>
              </w:rPr>
              <w:instrText xml:space="preserve"> PAGEREF _Toc443404132 \h </w:instrText>
            </w:r>
            <w:r w:rsidR="00B00467">
              <w:rPr>
                <w:noProof/>
                <w:webHidden/>
              </w:rPr>
            </w:r>
            <w:r w:rsidR="00B00467">
              <w:rPr>
                <w:noProof/>
                <w:webHidden/>
              </w:rPr>
              <w:fldChar w:fldCharType="separate"/>
            </w:r>
            <w:r w:rsidR="00B00467">
              <w:rPr>
                <w:noProof/>
                <w:webHidden/>
              </w:rPr>
              <w:t>9</w:t>
            </w:r>
            <w:r w:rsidR="00B00467">
              <w:rPr>
                <w:noProof/>
                <w:webHidden/>
              </w:rPr>
              <w:fldChar w:fldCharType="end"/>
            </w:r>
          </w:hyperlink>
        </w:p>
        <w:p w14:paraId="49E1781F" w14:textId="77777777" w:rsidR="00B00467" w:rsidRDefault="008158CA">
          <w:pPr>
            <w:pStyle w:val="TOC2"/>
            <w:tabs>
              <w:tab w:val="left" w:pos="880"/>
              <w:tab w:val="right" w:leader="dot" w:pos="9016"/>
            </w:tabs>
            <w:rPr>
              <w:rFonts w:asciiTheme="minorHAnsi" w:eastAsiaTheme="minorEastAsia" w:hAnsiTheme="minorHAnsi"/>
              <w:noProof/>
              <w:spacing w:val="0"/>
              <w:lang w:eastAsia="en-GB"/>
            </w:rPr>
          </w:pPr>
          <w:hyperlink w:anchor="_Toc443404133" w:history="1">
            <w:r w:rsidR="00B00467" w:rsidRPr="00F11FD5">
              <w:rPr>
                <w:rStyle w:val="Hyperlink"/>
                <w:noProof/>
              </w:rPr>
              <w:t>6.3</w:t>
            </w:r>
            <w:r w:rsidR="00B00467">
              <w:rPr>
                <w:rFonts w:asciiTheme="minorHAnsi" w:eastAsiaTheme="minorEastAsia" w:hAnsiTheme="minorHAnsi"/>
                <w:noProof/>
                <w:spacing w:val="0"/>
                <w:lang w:eastAsia="en-GB"/>
              </w:rPr>
              <w:tab/>
            </w:r>
            <w:r w:rsidR="00B00467" w:rsidRPr="00F11FD5">
              <w:rPr>
                <w:rStyle w:val="Hyperlink"/>
                <w:noProof/>
              </w:rPr>
              <w:t>Violations</w:t>
            </w:r>
            <w:r w:rsidR="00B00467">
              <w:rPr>
                <w:noProof/>
                <w:webHidden/>
              </w:rPr>
              <w:tab/>
            </w:r>
            <w:r w:rsidR="00B00467">
              <w:rPr>
                <w:noProof/>
                <w:webHidden/>
              </w:rPr>
              <w:fldChar w:fldCharType="begin"/>
            </w:r>
            <w:r w:rsidR="00B00467">
              <w:rPr>
                <w:noProof/>
                <w:webHidden/>
              </w:rPr>
              <w:instrText xml:space="preserve"> PAGEREF _Toc443404133 \h </w:instrText>
            </w:r>
            <w:r w:rsidR="00B00467">
              <w:rPr>
                <w:noProof/>
                <w:webHidden/>
              </w:rPr>
            </w:r>
            <w:r w:rsidR="00B00467">
              <w:rPr>
                <w:noProof/>
                <w:webHidden/>
              </w:rPr>
              <w:fldChar w:fldCharType="separate"/>
            </w:r>
            <w:r w:rsidR="00B00467">
              <w:rPr>
                <w:noProof/>
                <w:webHidden/>
              </w:rPr>
              <w:t>10</w:t>
            </w:r>
            <w:r w:rsidR="00B00467">
              <w:rPr>
                <w:noProof/>
                <w:webHidden/>
              </w:rPr>
              <w:fldChar w:fldCharType="end"/>
            </w:r>
          </w:hyperlink>
        </w:p>
        <w:p w14:paraId="69CA0A49" w14:textId="77777777" w:rsidR="00B00467" w:rsidRDefault="008158CA">
          <w:pPr>
            <w:pStyle w:val="TOC2"/>
            <w:tabs>
              <w:tab w:val="left" w:pos="880"/>
              <w:tab w:val="right" w:leader="dot" w:pos="9016"/>
            </w:tabs>
            <w:rPr>
              <w:rFonts w:asciiTheme="minorHAnsi" w:eastAsiaTheme="minorEastAsia" w:hAnsiTheme="minorHAnsi"/>
              <w:noProof/>
              <w:spacing w:val="0"/>
              <w:lang w:eastAsia="en-GB"/>
            </w:rPr>
          </w:pPr>
          <w:hyperlink w:anchor="_Toc443404134" w:history="1">
            <w:r w:rsidR="00B00467" w:rsidRPr="00F11FD5">
              <w:rPr>
                <w:rStyle w:val="Hyperlink"/>
                <w:noProof/>
              </w:rPr>
              <w:t>6.4</w:t>
            </w:r>
            <w:r w:rsidR="00B00467">
              <w:rPr>
                <w:rFonts w:asciiTheme="minorHAnsi" w:eastAsiaTheme="minorEastAsia" w:hAnsiTheme="minorHAnsi"/>
                <w:noProof/>
                <w:spacing w:val="0"/>
                <w:lang w:eastAsia="en-GB"/>
              </w:rPr>
              <w:tab/>
            </w:r>
            <w:r w:rsidR="00B00467" w:rsidRPr="00F11FD5">
              <w:rPr>
                <w:rStyle w:val="Hyperlink"/>
                <w:noProof/>
              </w:rPr>
              <w:t>Escalation and complaints</w:t>
            </w:r>
            <w:r w:rsidR="00B00467">
              <w:rPr>
                <w:noProof/>
                <w:webHidden/>
              </w:rPr>
              <w:tab/>
            </w:r>
            <w:r w:rsidR="00B00467">
              <w:rPr>
                <w:noProof/>
                <w:webHidden/>
              </w:rPr>
              <w:fldChar w:fldCharType="begin"/>
            </w:r>
            <w:r w:rsidR="00B00467">
              <w:rPr>
                <w:noProof/>
                <w:webHidden/>
              </w:rPr>
              <w:instrText xml:space="preserve"> PAGEREF _Toc443404134 \h </w:instrText>
            </w:r>
            <w:r w:rsidR="00B00467">
              <w:rPr>
                <w:noProof/>
                <w:webHidden/>
              </w:rPr>
            </w:r>
            <w:r w:rsidR="00B00467">
              <w:rPr>
                <w:noProof/>
                <w:webHidden/>
              </w:rPr>
              <w:fldChar w:fldCharType="separate"/>
            </w:r>
            <w:r w:rsidR="00B00467">
              <w:rPr>
                <w:noProof/>
                <w:webHidden/>
              </w:rPr>
              <w:t>10</w:t>
            </w:r>
            <w:r w:rsidR="00B00467">
              <w:rPr>
                <w:noProof/>
                <w:webHidden/>
              </w:rPr>
              <w:fldChar w:fldCharType="end"/>
            </w:r>
          </w:hyperlink>
        </w:p>
        <w:p w14:paraId="06F9883C" w14:textId="77777777" w:rsidR="00B00467" w:rsidRDefault="008158CA">
          <w:pPr>
            <w:pStyle w:val="TOC1"/>
            <w:tabs>
              <w:tab w:val="left" w:pos="400"/>
              <w:tab w:val="right" w:leader="dot" w:pos="9016"/>
            </w:tabs>
            <w:rPr>
              <w:rFonts w:asciiTheme="minorHAnsi" w:eastAsiaTheme="minorEastAsia" w:hAnsiTheme="minorHAnsi"/>
              <w:noProof/>
              <w:spacing w:val="0"/>
              <w:lang w:eastAsia="en-GB"/>
            </w:rPr>
          </w:pPr>
          <w:hyperlink w:anchor="_Toc443404135" w:history="1">
            <w:r w:rsidR="00B00467" w:rsidRPr="00F11FD5">
              <w:rPr>
                <w:rStyle w:val="Hyperlink"/>
                <w:noProof/>
              </w:rPr>
              <w:t>7</w:t>
            </w:r>
            <w:r w:rsidR="00B00467">
              <w:rPr>
                <w:rFonts w:asciiTheme="minorHAnsi" w:eastAsiaTheme="minorEastAsia" w:hAnsiTheme="minorHAnsi"/>
                <w:noProof/>
                <w:spacing w:val="0"/>
                <w:lang w:eastAsia="en-GB"/>
              </w:rPr>
              <w:tab/>
            </w:r>
            <w:r w:rsidR="00B00467" w:rsidRPr="00F11FD5">
              <w:rPr>
                <w:rStyle w:val="Hyperlink"/>
                <w:noProof/>
              </w:rPr>
              <w:t>Information security and data protection</w:t>
            </w:r>
            <w:r w:rsidR="00B00467">
              <w:rPr>
                <w:noProof/>
                <w:webHidden/>
              </w:rPr>
              <w:tab/>
            </w:r>
            <w:r w:rsidR="00B00467">
              <w:rPr>
                <w:noProof/>
                <w:webHidden/>
              </w:rPr>
              <w:fldChar w:fldCharType="begin"/>
            </w:r>
            <w:r w:rsidR="00B00467">
              <w:rPr>
                <w:noProof/>
                <w:webHidden/>
              </w:rPr>
              <w:instrText xml:space="preserve"> PAGEREF _Toc443404135 \h </w:instrText>
            </w:r>
            <w:r w:rsidR="00B00467">
              <w:rPr>
                <w:noProof/>
                <w:webHidden/>
              </w:rPr>
            </w:r>
            <w:r w:rsidR="00B00467">
              <w:rPr>
                <w:noProof/>
                <w:webHidden/>
              </w:rPr>
              <w:fldChar w:fldCharType="separate"/>
            </w:r>
            <w:r w:rsidR="00B00467">
              <w:rPr>
                <w:noProof/>
                <w:webHidden/>
              </w:rPr>
              <w:t>10</w:t>
            </w:r>
            <w:r w:rsidR="00B00467">
              <w:rPr>
                <w:noProof/>
                <w:webHidden/>
              </w:rPr>
              <w:fldChar w:fldCharType="end"/>
            </w:r>
          </w:hyperlink>
        </w:p>
        <w:p w14:paraId="2DEC26FC" w14:textId="77777777" w:rsidR="00B00467" w:rsidRDefault="008158CA">
          <w:pPr>
            <w:pStyle w:val="TOC1"/>
            <w:tabs>
              <w:tab w:val="left" w:pos="400"/>
              <w:tab w:val="right" w:leader="dot" w:pos="9016"/>
            </w:tabs>
            <w:rPr>
              <w:rFonts w:asciiTheme="minorHAnsi" w:eastAsiaTheme="minorEastAsia" w:hAnsiTheme="minorHAnsi"/>
              <w:noProof/>
              <w:spacing w:val="0"/>
              <w:lang w:eastAsia="en-GB"/>
            </w:rPr>
          </w:pPr>
          <w:hyperlink w:anchor="_Toc443404136" w:history="1">
            <w:r w:rsidR="00B00467" w:rsidRPr="00F11FD5">
              <w:rPr>
                <w:rStyle w:val="Hyperlink"/>
                <w:noProof/>
              </w:rPr>
              <w:t>8</w:t>
            </w:r>
            <w:r w:rsidR="00B00467">
              <w:rPr>
                <w:rFonts w:asciiTheme="minorHAnsi" w:eastAsiaTheme="minorEastAsia" w:hAnsiTheme="minorHAnsi"/>
                <w:noProof/>
                <w:spacing w:val="0"/>
                <w:lang w:eastAsia="en-GB"/>
              </w:rPr>
              <w:tab/>
            </w:r>
            <w:r w:rsidR="00B00467" w:rsidRPr="00F11FD5">
              <w:rPr>
                <w:rStyle w:val="Hyperlink"/>
                <w:noProof/>
              </w:rPr>
              <w:t>Responsibilities</w:t>
            </w:r>
            <w:r w:rsidR="00B00467">
              <w:rPr>
                <w:noProof/>
                <w:webHidden/>
              </w:rPr>
              <w:tab/>
            </w:r>
            <w:r w:rsidR="00B00467">
              <w:rPr>
                <w:noProof/>
                <w:webHidden/>
              </w:rPr>
              <w:fldChar w:fldCharType="begin"/>
            </w:r>
            <w:r w:rsidR="00B00467">
              <w:rPr>
                <w:noProof/>
                <w:webHidden/>
              </w:rPr>
              <w:instrText xml:space="preserve"> PAGEREF _Toc443404136 \h </w:instrText>
            </w:r>
            <w:r w:rsidR="00B00467">
              <w:rPr>
                <w:noProof/>
                <w:webHidden/>
              </w:rPr>
            </w:r>
            <w:r w:rsidR="00B00467">
              <w:rPr>
                <w:noProof/>
                <w:webHidden/>
              </w:rPr>
              <w:fldChar w:fldCharType="separate"/>
            </w:r>
            <w:r w:rsidR="00B00467">
              <w:rPr>
                <w:noProof/>
                <w:webHidden/>
              </w:rPr>
              <w:t>11</w:t>
            </w:r>
            <w:r w:rsidR="00B00467">
              <w:rPr>
                <w:noProof/>
                <w:webHidden/>
              </w:rPr>
              <w:fldChar w:fldCharType="end"/>
            </w:r>
          </w:hyperlink>
        </w:p>
        <w:p w14:paraId="57A06C6F" w14:textId="77777777" w:rsidR="00B00467" w:rsidRDefault="008158CA">
          <w:pPr>
            <w:pStyle w:val="TOC2"/>
            <w:tabs>
              <w:tab w:val="left" w:pos="880"/>
              <w:tab w:val="right" w:leader="dot" w:pos="9016"/>
            </w:tabs>
            <w:rPr>
              <w:rFonts w:asciiTheme="minorHAnsi" w:eastAsiaTheme="minorEastAsia" w:hAnsiTheme="minorHAnsi"/>
              <w:noProof/>
              <w:spacing w:val="0"/>
              <w:lang w:eastAsia="en-GB"/>
            </w:rPr>
          </w:pPr>
          <w:hyperlink w:anchor="_Toc443404137" w:history="1">
            <w:r w:rsidR="00B00467" w:rsidRPr="00F11FD5">
              <w:rPr>
                <w:rStyle w:val="Hyperlink"/>
                <w:noProof/>
              </w:rPr>
              <w:t>8.1</w:t>
            </w:r>
            <w:r w:rsidR="00B00467">
              <w:rPr>
                <w:rFonts w:asciiTheme="minorHAnsi" w:eastAsiaTheme="minorEastAsia" w:hAnsiTheme="minorHAnsi"/>
                <w:noProof/>
                <w:spacing w:val="0"/>
                <w:lang w:eastAsia="en-GB"/>
              </w:rPr>
              <w:tab/>
            </w:r>
            <w:r w:rsidR="00B00467" w:rsidRPr="00F11FD5">
              <w:rPr>
                <w:rStyle w:val="Hyperlink"/>
                <w:noProof/>
              </w:rPr>
              <w:t>Of the Provider</w:t>
            </w:r>
            <w:r w:rsidR="00B00467">
              <w:rPr>
                <w:noProof/>
                <w:webHidden/>
              </w:rPr>
              <w:tab/>
            </w:r>
            <w:r w:rsidR="00B00467">
              <w:rPr>
                <w:noProof/>
                <w:webHidden/>
              </w:rPr>
              <w:fldChar w:fldCharType="begin"/>
            </w:r>
            <w:r w:rsidR="00B00467">
              <w:rPr>
                <w:noProof/>
                <w:webHidden/>
              </w:rPr>
              <w:instrText xml:space="preserve"> PAGEREF _Toc443404137 \h </w:instrText>
            </w:r>
            <w:r w:rsidR="00B00467">
              <w:rPr>
                <w:noProof/>
                <w:webHidden/>
              </w:rPr>
            </w:r>
            <w:r w:rsidR="00B00467">
              <w:rPr>
                <w:noProof/>
                <w:webHidden/>
              </w:rPr>
              <w:fldChar w:fldCharType="separate"/>
            </w:r>
            <w:r w:rsidR="00B00467">
              <w:rPr>
                <w:noProof/>
                <w:webHidden/>
              </w:rPr>
              <w:t>11</w:t>
            </w:r>
            <w:r w:rsidR="00B00467">
              <w:rPr>
                <w:noProof/>
                <w:webHidden/>
              </w:rPr>
              <w:fldChar w:fldCharType="end"/>
            </w:r>
          </w:hyperlink>
        </w:p>
        <w:p w14:paraId="406CC4D4" w14:textId="77777777" w:rsidR="00B00467" w:rsidRDefault="008158CA">
          <w:pPr>
            <w:pStyle w:val="TOC2"/>
            <w:tabs>
              <w:tab w:val="left" w:pos="880"/>
              <w:tab w:val="right" w:leader="dot" w:pos="9016"/>
            </w:tabs>
            <w:rPr>
              <w:rFonts w:asciiTheme="minorHAnsi" w:eastAsiaTheme="minorEastAsia" w:hAnsiTheme="minorHAnsi"/>
              <w:noProof/>
              <w:spacing w:val="0"/>
              <w:lang w:eastAsia="en-GB"/>
            </w:rPr>
          </w:pPr>
          <w:hyperlink w:anchor="_Toc443404138" w:history="1">
            <w:r w:rsidR="00B00467" w:rsidRPr="00F11FD5">
              <w:rPr>
                <w:rStyle w:val="Hyperlink"/>
                <w:noProof/>
              </w:rPr>
              <w:t>8.2</w:t>
            </w:r>
            <w:r w:rsidR="00B00467">
              <w:rPr>
                <w:rFonts w:asciiTheme="minorHAnsi" w:eastAsiaTheme="minorEastAsia" w:hAnsiTheme="minorHAnsi"/>
                <w:noProof/>
                <w:spacing w:val="0"/>
                <w:lang w:eastAsia="en-GB"/>
              </w:rPr>
              <w:tab/>
            </w:r>
            <w:r w:rsidR="00B00467" w:rsidRPr="00F11FD5">
              <w:rPr>
                <w:rStyle w:val="Hyperlink"/>
                <w:noProof/>
              </w:rPr>
              <w:t>Of the Customer</w:t>
            </w:r>
            <w:r w:rsidR="00B00467">
              <w:rPr>
                <w:noProof/>
                <w:webHidden/>
              </w:rPr>
              <w:tab/>
            </w:r>
            <w:r w:rsidR="00B00467">
              <w:rPr>
                <w:noProof/>
                <w:webHidden/>
              </w:rPr>
              <w:fldChar w:fldCharType="begin"/>
            </w:r>
            <w:r w:rsidR="00B00467">
              <w:rPr>
                <w:noProof/>
                <w:webHidden/>
              </w:rPr>
              <w:instrText xml:space="preserve"> PAGEREF _Toc443404138 \h </w:instrText>
            </w:r>
            <w:r w:rsidR="00B00467">
              <w:rPr>
                <w:noProof/>
                <w:webHidden/>
              </w:rPr>
            </w:r>
            <w:r w:rsidR="00B00467">
              <w:rPr>
                <w:noProof/>
                <w:webHidden/>
              </w:rPr>
              <w:fldChar w:fldCharType="separate"/>
            </w:r>
            <w:r w:rsidR="00B00467">
              <w:rPr>
                <w:noProof/>
                <w:webHidden/>
              </w:rPr>
              <w:t>11</w:t>
            </w:r>
            <w:r w:rsidR="00B00467">
              <w:rPr>
                <w:noProof/>
                <w:webHidden/>
              </w:rPr>
              <w:fldChar w:fldCharType="end"/>
            </w:r>
          </w:hyperlink>
        </w:p>
        <w:p w14:paraId="27C7BF13" w14:textId="77777777" w:rsidR="00B00467" w:rsidRDefault="008158CA">
          <w:pPr>
            <w:pStyle w:val="TOC1"/>
            <w:tabs>
              <w:tab w:val="left" w:pos="400"/>
              <w:tab w:val="right" w:leader="dot" w:pos="9016"/>
            </w:tabs>
            <w:rPr>
              <w:rFonts w:asciiTheme="minorHAnsi" w:eastAsiaTheme="minorEastAsia" w:hAnsiTheme="minorHAnsi"/>
              <w:noProof/>
              <w:spacing w:val="0"/>
              <w:lang w:eastAsia="en-GB"/>
            </w:rPr>
          </w:pPr>
          <w:hyperlink w:anchor="_Toc443404139" w:history="1">
            <w:r w:rsidR="00B00467" w:rsidRPr="00F11FD5">
              <w:rPr>
                <w:rStyle w:val="Hyperlink"/>
                <w:noProof/>
              </w:rPr>
              <w:t>9</w:t>
            </w:r>
            <w:r w:rsidR="00B00467">
              <w:rPr>
                <w:rFonts w:asciiTheme="minorHAnsi" w:eastAsiaTheme="minorEastAsia" w:hAnsiTheme="minorHAnsi"/>
                <w:noProof/>
                <w:spacing w:val="0"/>
                <w:lang w:eastAsia="en-GB"/>
              </w:rPr>
              <w:tab/>
            </w:r>
            <w:r w:rsidR="00B00467" w:rsidRPr="00F11FD5">
              <w:rPr>
                <w:rStyle w:val="Hyperlink"/>
                <w:noProof/>
              </w:rPr>
              <w:t>Review, extensions and termination</w:t>
            </w:r>
            <w:r w:rsidR="00B00467">
              <w:rPr>
                <w:noProof/>
                <w:webHidden/>
              </w:rPr>
              <w:tab/>
            </w:r>
            <w:r w:rsidR="00B00467">
              <w:rPr>
                <w:noProof/>
                <w:webHidden/>
              </w:rPr>
              <w:fldChar w:fldCharType="begin"/>
            </w:r>
            <w:r w:rsidR="00B00467">
              <w:rPr>
                <w:noProof/>
                <w:webHidden/>
              </w:rPr>
              <w:instrText xml:space="preserve"> PAGEREF _Toc443404139 \h </w:instrText>
            </w:r>
            <w:r w:rsidR="00B00467">
              <w:rPr>
                <w:noProof/>
                <w:webHidden/>
              </w:rPr>
            </w:r>
            <w:r w:rsidR="00B00467">
              <w:rPr>
                <w:noProof/>
                <w:webHidden/>
              </w:rPr>
              <w:fldChar w:fldCharType="separate"/>
            </w:r>
            <w:r w:rsidR="00B00467">
              <w:rPr>
                <w:noProof/>
                <w:webHidden/>
              </w:rPr>
              <w:t>12</w:t>
            </w:r>
            <w:r w:rsidR="00B00467">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4B6DB2F4"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proofErr w:type="spellStart"/>
      <w:r w:rsidR="00CC324B">
        <w:rPr>
          <w:b/>
          <w:color w:val="000000"/>
        </w:rPr>
        <w:t>MoBRAIN</w:t>
      </w:r>
      <w:proofErr w:type="spellEnd"/>
      <w:r w:rsidR="00FD757F" w:rsidRPr="00FD757F">
        <w:rPr>
          <w:b/>
          <w:color w:val="000000"/>
        </w:rPr>
        <w:t>/</w:t>
      </w:r>
      <w:proofErr w:type="spellStart"/>
      <w:r w:rsidR="00FD757F" w:rsidRPr="00FD757F">
        <w:rPr>
          <w:b/>
          <w:color w:val="000000"/>
        </w:rPr>
        <w:t>vo:</w:t>
      </w:r>
      <w:r w:rsidR="00CC324B">
        <w:rPr>
          <w:b/>
          <w:color w:val="000000"/>
        </w:rPr>
        <w:t>enmr.eu</w:t>
      </w:r>
      <w:proofErr w:type="spellEnd"/>
      <w:r w:rsidR="00F518E7">
        <w:rPr>
          <w:b/>
          <w:color w:val="000000"/>
        </w:rPr>
        <w:t>/vo.neugrid.eu</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62006043" w14:textId="55674518" w:rsidR="00CC324B" w:rsidRDefault="00CC324B" w:rsidP="00CE1F5A">
      <w:r w:rsidRPr="00CC324B">
        <w:t xml:space="preserve">The main objective of </w:t>
      </w:r>
      <w:proofErr w:type="spellStart"/>
      <w:r w:rsidRPr="00CC324B">
        <w:t>MoBrain</w:t>
      </w:r>
      <w:proofErr w:type="spellEnd"/>
      <w:r w:rsidRPr="00CC324B">
        <w:t xml:space="preserve"> is to lower barriers for scientists to access modern e-Science solutions from micro to macro scales. By building on grid- and cloud-based infrastructures and on the existing expertise available within </w:t>
      </w:r>
      <w:proofErr w:type="spellStart"/>
      <w:r w:rsidRPr="00CC324B">
        <w:t>WeNMR</w:t>
      </w:r>
      <w:proofErr w:type="spellEnd"/>
      <w:r>
        <w:rPr>
          <w:rStyle w:val="FootnoteReference"/>
        </w:rPr>
        <w:footnoteReference w:id="1"/>
      </w:r>
      <w:r>
        <w:t xml:space="preserve"> and N4U</w:t>
      </w:r>
      <w:r>
        <w:rPr>
          <w:rStyle w:val="FootnoteReference"/>
        </w:rPr>
        <w:footnoteReference w:id="2"/>
      </w:r>
      <w:r>
        <w:t xml:space="preserve"> </w:t>
      </w:r>
      <w:r w:rsidRPr="00CC324B">
        <w:t xml:space="preserve">and by integrating molecular structural biology and medical imaging services and data, </w:t>
      </w:r>
      <w:proofErr w:type="spellStart"/>
      <w:r w:rsidRPr="00CC324B">
        <w:t>MoBrain</w:t>
      </w:r>
      <w:proofErr w:type="spellEnd"/>
      <w:r w:rsidRPr="00CC324B">
        <w:t xml:space="preserve"> will kick-start the development of a larger, integrated, global science virtual research environment for life and brain scientists worldwide. The projects defined in </w:t>
      </w:r>
      <w:proofErr w:type="spellStart"/>
      <w:r w:rsidRPr="00CC324B">
        <w:t>MoBrain</w:t>
      </w:r>
      <w:proofErr w:type="spellEnd"/>
      <w:r w:rsidRPr="00CC324B">
        <w:t xml:space="preserve"> are geared toward facilitating this overall objective, each with specific objectives to reinforce existing services, develop new solutions and pave the path to global competence centre and virtual research environment for transnational research from molecular to brain.</w:t>
      </w:r>
    </w:p>
    <w:p w14:paraId="0E8A765E" w14:textId="2CBBC94D" w:rsidR="000C0E87" w:rsidRPr="00B00467" w:rsidRDefault="000C0E87" w:rsidP="00CE1F5A">
      <w:pPr>
        <w:rPr>
          <w:b/>
        </w:rPr>
      </w:pPr>
      <w:r>
        <w:t xml:space="preserve">The Customer is a consortium represented by </w:t>
      </w:r>
      <w:r w:rsidRPr="00B00467">
        <w:rPr>
          <w:b/>
        </w:rPr>
        <w:t xml:space="preserve">the </w:t>
      </w:r>
      <w:r w:rsidR="00793A20" w:rsidRPr="00B00467">
        <w:rPr>
          <w:b/>
        </w:rPr>
        <w:t>Faculty of Science – Chemistry, Utrecht University.</w:t>
      </w:r>
      <w:r w:rsidRPr="00B00467">
        <w:rPr>
          <w:b/>
        </w:rPr>
        <w:t xml:space="preserve"> </w:t>
      </w:r>
    </w:p>
    <w:p w14:paraId="7EF29DDD" w14:textId="09D0EEDF" w:rsidR="00CE1F5A" w:rsidRDefault="00CE1F5A" w:rsidP="00CE1F5A">
      <w:r>
        <w:t xml:space="preserve">This Agreement is valid from </w:t>
      </w:r>
      <w:r w:rsidR="00B9495A">
        <w:rPr>
          <w:b/>
        </w:rPr>
        <w:t>01/01/2016</w:t>
      </w:r>
      <w:r w:rsidRPr="006D1955">
        <w:rPr>
          <w:b/>
        </w:rPr>
        <w:t xml:space="preserve"> </w:t>
      </w:r>
      <w:r w:rsidRPr="00C062E3">
        <w:t>to</w:t>
      </w:r>
      <w:r w:rsidRPr="006D1955">
        <w:rPr>
          <w:b/>
        </w:rPr>
        <w:t xml:space="preserve"> </w:t>
      </w:r>
      <w:r w:rsidR="00B9495A">
        <w:rPr>
          <w:b/>
        </w:rPr>
        <w:t>01/01/2017</w:t>
      </w:r>
      <w:r>
        <w:t xml:space="preserve">. </w:t>
      </w:r>
    </w:p>
    <w:p w14:paraId="60B8AC7D" w14:textId="500F9B89" w:rsidR="00CE1F5A" w:rsidRDefault="00CE1F5A" w:rsidP="00CE1F5A">
      <w:r>
        <w:t xml:space="preserve">The Agreement was discussed and approved by the Customer and the Provider on </w:t>
      </w:r>
      <w:r w:rsidR="00793A20" w:rsidRPr="00AD532A">
        <w:rPr>
          <w:b/>
        </w:rPr>
        <w:t>16/02/2016</w:t>
      </w:r>
      <w:r>
        <w:t>.</w:t>
      </w:r>
    </w:p>
    <w:p w14:paraId="76D40785" w14:textId="3CCA4533" w:rsidR="006E7D9B" w:rsidRPr="006E7D9B" w:rsidRDefault="0059011D" w:rsidP="006E7D9B">
      <w:pPr>
        <w:pStyle w:val="Heading1"/>
      </w:pPr>
      <w:bookmarkStart w:id="0" w:name="_Toc443404123"/>
      <w:r>
        <w:t>The Service</w:t>
      </w:r>
      <w:r w:rsidR="0053196A">
        <w:t>s</w:t>
      </w:r>
      <w:bookmarkEnd w:id="0"/>
    </w:p>
    <w:p w14:paraId="6EFF096A" w14:textId="0A01384B" w:rsidR="0059011D" w:rsidRDefault="0059011D" w:rsidP="0059011D">
      <w:r>
        <w:t>The Service</w:t>
      </w:r>
      <w:r w:rsidR="0053196A">
        <w:t>s are</w:t>
      </w:r>
      <w:r>
        <w:t xml:space="preserve"> defined by the following </w:t>
      </w:r>
      <w:r w:rsidR="006E7D9B">
        <w:t>properties:</w:t>
      </w:r>
    </w:p>
    <w:p w14:paraId="10B38B3B" w14:textId="62195E69" w:rsidR="000C0E87" w:rsidRPr="006E7D9B" w:rsidRDefault="000C0E87" w:rsidP="000C0E87">
      <w:pPr>
        <w:rPr>
          <w:b/>
        </w:rPr>
      </w:pPr>
      <w:r w:rsidRPr="000C0E87">
        <w:rPr>
          <w:b/>
        </w:rPr>
        <w:t>High-Throughput Compute</w:t>
      </w:r>
      <w:r>
        <w:rPr>
          <w:rFonts w:ascii="Arial" w:hAnsi="Arial" w:cs="Arial"/>
          <w:color w:val="000000"/>
          <w:sz w:val="20"/>
          <w:szCs w:val="20"/>
        </w:rPr>
        <w:t xml:space="preserve"> </w:t>
      </w:r>
      <w:r w:rsidRPr="006E7D9B">
        <w:rPr>
          <w:b/>
        </w:rPr>
        <w:t xml:space="preserve">(category: Compute) </w:t>
      </w:r>
      <w:r w:rsidR="00E53E06">
        <w:rPr>
          <w:b/>
        </w:rPr>
        <w:t xml:space="preserve">and </w:t>
      </w:r>
      <w:r w:rsidR="00E53E06" w:rsidRPr="006E7D9B">
        <w:rPr>
          <w:b/>
        </w:rPr>
        <w:t>File Storage (category: Storage)</w:t>
      </w:r>
    </w:p>
    <w:p w14:paraId="0E50884B" w14:textId="210A513C" w:rsidR="000C0E87" w:rsidRDefault="000C0E87" w:rsidP="000C0E87">
      <w:pPr>
        <w:rPr>
          <w:rFonts w:cs="Open Sans"/>
        </w:rPr>
      </w:pPr>
      <w:r w:rsidRPr="000C0E87">
        <w:rPr>
          <w:rFonts w:cs="Open Sans"/>
        </w:rPr>
        <w:t xml:space="preserve">A </w:t>
      </w:r>
      <w:r w:rsidR="00D4438C" w:rsidRPr="00D4438C">
        <w:rPr>
          <w:rFonts w:cs="Open Sans"/>
        </w:rPr>
        <w:t xml:space="preserve">High-Throughput Compute </w:t>
      </w:r>
      <w:r w:rsidRPr="000C0E87">
        <w:rPr>
          <w:rFonts w:cs="Open Sans"/>
        </w:rPr>
        <w:t>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57573D19" w14:textId="7A0A9C03" w:rsidR="00E53E06" w:rsidRPr="00E53E06" w:rsidRDefault="00E53E06" w:rsidP="000C0E87">
      <w:r>
        <w:rPr>
          <w:rFonts w:cs="Open Sans"/>
        </w:rPr>
        <w:t xml:space="preserve">File storage is provided remotely on different </w:t>
      </w:r>
      <w:r w:rsidRPr="0001697B">
        <w:rPr>
          <w:rFonts w:cs="Open Sans"/>
        </w:rPr>
        <w:t>R</w:t>
      </w:r>
      <w:r>
        <w:rPr>
          <w:rFonts w:cs="Open Sans"/>
        </w:rPr>
        <w:t xml:space="preserve">esource </w:t>
      </w:r>
      <w:r w:rsidRPr="0001697B">
        <w:rPr>
          <w:rFonts w:cs="Open Sans"/>
        </w:rPr>
        <w:t>P</w:t>
      </w:r>
      <w:r>
        <w:rPr>
          <w:rFonts w:cs="Open Sans"/>
        </w:rPr>
        <w:t>roviders with d</w:t>
      </w:r>
      <w:r w:rsidRPr="0001697B">
        <w:rPr>
          <w:rFonts w:cs="Open Sans"/>
        </w:rPr>
        <w:t>ifferent storage</w:t>
      </w:r>
      <w:r>
        <w:rPr>
          <w:rFonts w:cs="Open Sans"/>
        </w:rPr>
        <w:t xml:space="preserve"> standard </w:t>
      </w:r>
      <w:r w:rsidRPr="0001697B">
        <w:rPr>
          <w:rFonts w:cs="Open Sans"/>
        </w:rPr>
        <w:t xml:space="preserve">interfaces </w:t>
      </w:r>
      <w:r>
        <w:rPr>
          <w:rFonts w:cs="Open Sans"/>
        </w:rPr>
        <w:t>that are transparently available with the possibility of r</w:t>
      </w:r>
      <w:r w:rsidRPr="0001697B">
        <w:rPr>
          <w:rFonts w:cs="Open Sans"/>
        </w:rPr>
        <w:t>eplication</w:t>
      </w:r>
      <w:r>
        <w:rPr>
          <w:rFonts w:cs="Open Sans"/>
        </w:rPr>
        <w:t>.</w:t>
      </w:r>
    </w:p>
    <w:p w14:paraId="1CCAA7B7" w14:textId="0619FAA0"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color w:val="000000"/>
          <w:lang w:eastAsia="en-GB"/>
        </w:rPr>
        <w:t>INFN-PADOVA</w:t>
      </w:r>
      <w:r w:rsidR="002075A9">
        <w:rPr>
          <w:rFonts w:eastAsia="Times New Roman" w:cs="Times New Roman"/>
          <w:b/>
          <w:color w:val="000000"/>
          <w:lang w:eastAsia="en-GB"/>
        </w:rPr>
        <w:t xml:space="preserve"> </w:t>
      </w:r>
      <w:r w:rsidR="002075A9" w:rsidRPr="002075A9">
        <w:rPr>
          <w:rFonts w:eastAsia="Times New Roman" w:cs="Times New Roman"/>
          <w:color w:val="000000"/>
          <w:lang w:eastAsia="en-GB"/>
        </w:rPr>
        <w:t>(</w:t>
      </w:r>
      <w:r w:rsidR="002075A9">
        <w:rPr>
          <w:rFonts w:eastAsia="Times New Roman" w:cs="Arial"/>
          <w:color w:val="000000"/>
          <w:lang w:eastAsia="en-GB"/>
        </w:rPr>
        <w:t>Country: Italy</w:t>
      </w:r>
      <w:r w:rsidR="002075A9" w:rsidRPr="002075A9">
        <w:rPr>
          <w:rFonts w:eastAsia="Times New Roman" w:cs="Times New Roman"/>
          <w:color w:val="000000"/>
          <w:lang w:eastAsia="en-GB"/>
        </w:rPr>
        <w:t>)</w:t>
      </w:r>
    </w:p>
    <w:p w14:paraId="3D75CF1F" w14:textId="71DB7C85" w:rsidR="0097411A" w:rsidRPr="00793A20" w:rsidRDefault="00AC0B41" w:rsidP="00B03DEB">
      <w:pPr>
        <w:pStyle w:val="ListParagraph"/>
        <w:numPr>
          <w:ilvl w:val="1"/>
          <w:numId w:val="3"/>
        </w:numPr>
        <w:rPr>
          <w:b/>
        </w:rPr>
      </w:pPr>
      <w:r w:rsidRPr="00AC0B41">
        <w:t xml:space="preserve">High-Throughput Compute </w:t>
      </w:r>
    </w:p>
    <w:p w14:paraId="413390BA"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computing time [HEPSPEC-hours]: 7 Millions</w:t>
      </w:r>
    </w:p>
    <w:p w14:paraId="72440CDA"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37AE0CDE" w14:textId="5682AE06"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w:t>
      </w:r>
      <w:r w:rsidR="00AD532A">
        <w:rPr>
          <w:rFonts w:eastAsia="Times New Roman" w:cs="Arial"/>
          <w:color w:val="000000"/>
          <w:lang w:eastAsia="en-GB"/>
        </w:rPr>
        <w:t xml:space="preserve"> GB</w:t>
      </w:r>
    </w:p>
    <w:p w14:paraId="2B307C4A" w14:textId="6E5AEEAC"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lastRenderedPageBreak/>
        <w:t>Min physical memory per core [GB]: 2</w:t>
      </w:r>
      <w:r w:rsidR="00AD532A">
        <w:rPr>
          <w:rFonts w:eastAsia="Times New Roman" w:cs="Arial"/>
          <w:color w:val="000000"/>
          <w:lang w:eastAsia="en-GB"/>
        </w:rPr>
        <w:t xml:space="preserve"> GB</w:t>
      </w:r>
    </w:p>
    <w:p w14:paraId="7B3ED185"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24 AMD CPU-cores</w:t>
      </w:r>
    </w:p>
    <w:p w14:paraId="33F8D5E6" w14:textId="7777777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2F8269CD" w14:textId="3DF9449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4B0E84E6" w14:textId="7256B616" w:rsidR="0097411A" w:rsidRPr="00793A20" w:rsidRDefault="00AC0B41" w:rsidP="00B03DEB">
      <w:pPr>
        <w:pStyle w:val="ListParagraph"/>
        <w:numPr>
          <w:ilvl w:val="1"/>
          <w:numId w:val="3"/>
        </w:numPr>
        <w:rPr>
          <w:b/>
        </w:rPr>
      </w:pPr>
      <w:r w:rsidRPr="00AC0B41">
        <w:t>File Storage</w:t>
      </w:r>
      <w:r w:rsidR="0097411A">
        <w:tab/>
      </w:r>
    </w:p>
    <w:p w14:paraId="64A956C0" w14:textId="31833C2A" w:rsidR="0097411A" w:rsidRDefault="0097411A" w:rsidP="00B03DEB">
      <w:pPr>
        <w:pStyle w:val="ListParagraph"/>
        <w:numPr>
          <w:ilvl w:val="2"/>
          <w:numId w:val="3"/>
        </w:numPr>
      </w:pPr>
      <w:r>
        <w:t xml:space="preserve">Opportunistic storage capacity [TB]: 9 </w:t>
      </w:r>
      <w:r w:rsidR="00AD532A">
        <w:t>TB</w:t>
      </w:r>
    </w:p>
    <w:p w14:paraId="48334948" w14:textId="07D7E00B" w:rsidR="00E53E06"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72284686" w14:textId="6E25FAE6" w:rsidR="0097411A" w:rsidRPr="0024108C" w:rsidRDefault="0097411A"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2EFCC285" w14:textId="41C9589F" w:rsidR="0024108C" w:rsidRPr="0024108C" w:rsidRDefault="0024108C"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LSF fair-share for HTC</w:t>
      </w:r>
    </w:p>
    <w:p w14:paraId="65F73A95" w14:textId="27B7527C"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 xml:space="preserve">Resource Centre: </w:t>
      </w:r>
      <w:r w:rsidR="00E63ACF">
        <w:rPr>
          <w:rFonts w:eastAsia="Times New Roman" w:cs="Times New Roman"/>
          <w:b/>
          <w:color w:val="000000"/>
          <w:lang w:eastAsia="en-GB"/>
        </w:rPr>
        <w:t>RAL-LCG2</w:t>
      </w:r>
      <w:r w:rsidR="002075A9">
        <w:rPr>
          <w:rFonts w:eastAsia="Times New Roman" w:cs="Times New Roman"/>
          <w:b/>
          <w:color w:val="000000"/>
          <w:lang w:eastAsia="en-GB"/>
        </w:rPr>
        <w:t xml:space="preserve"> </w:t>
      </w:r>
      <w:r w:rsidR="002075A9" w:rsidRPr="002075A9">
        <w:rPr>
          <w:rFonts w:eastAsia="Times New Roman" w:cs="Times New Roman"/>
          <w:color w:val="000000"/>
          <w:lang w:eastAsia="en-GB"/>
        </w:rPr>
        <w:t>(</w:t>
      </w:r>
      <w:r w:rsidR="002075A9" w:rsidRPr="002075A9">
        <w:rPr>
          <w:rFonts w:eastAsia="Times New Roman" w:cs="Arial"/>
          <w:color w:val="000000"/>
          <w:lang w:eastAsia="en-GB"/>
        </w:rPr>
        <w:t xml:space="preserve">Country: </w:t>
      </w:r>
      <w:r w:rsidR="002075A9" w:rsidRPr="002075A9">
        <w:t xml:space="preserve"> </w:t>
      </w:r>
      <w:r w:rsidR="002075A9" w:rsidRPr="002075A9">
        <w:rPr>
          <w:rFonts w:eastAsia="Times New Roman" w:cs="Arial"/>
          <w:color w:val="000000"/>
          <w:lang w:eastAsia="en-GB"/>
        </w:rPr>
        <w:t>United Kingdom</w:t>
      </w:r>
      <w:r w:rsidR="002075A9" w:rsidRPr="002075A9">
        <w:rPr>
          <w:rFonts w:eastAsia="Times New Roman" w:cs="Times New Roman"/>
          <w:color w:val="000000"/>
          <w:lang w:eastAsia="en-GB"/>
        </w:rPr>
        <w:t>)</w:t>
      </w:r>
    </w:p>
    <w:p w14:paraId="7C100597" w14:textId="3A419B29" w:rsidR="00AC0B41" w:rsidRPr="00FD757F" w:rsidRDefault="00AC0B41" w:rsidP="00B03DEB">
      <w:pPr>
        <w:pStyle w:val="ListParagraph"/>
        <w:numPr>
          <w:ilvl w:val="1"/>
          <w:numId w:val="3"/>
        </w:numPr>
        <w:spacing w:before="280" w:after="280" w:line="240" w:lineRule="auto"/>
        <w:jc w:val="left"/>
        <w:rPr>
          <w:rFonts w:ascii="Times New Roman" w:eastAsia="Times New Roman" w:hAnsi="Times New Roman" w:cs="Times New Roman"/>
          <w:b/>
          <w:sz w:val="24"/>
          <w:szCs w:val="24"/>
          <w:lang w:eastAsia="en-GB"/>
        </w:rPr>
      </w:pPr>
      <w:r w:rsidRPr="00AC0B41">
        <w:t>High-Throughput</w:t>
      </w:r>
      <w:r>
        <w:t xml:space="preserve"> Compute</w:t>
      </w:r>
    </w:p>
    <w:p w14:paraId="67464800" w14:textId="1FB62155"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w:t>
      </w:r>
      <w:r w:rsidR="002C1377">
        <w:rPr>
          <w:rFonts w:eastAsia="Times New Roman" w:cs="Arial"/>
          <w:color w:val="000000"/>
          <w:lang w:eastAsia="en-GB"/>
        </w:rPr>
        <w:t xml:space="preserve"> 5</w:t>
      </w:r>
      <w:r w:rsidR="00AF0222">
        <w:rPr>
          <w:rFonts w:eastAsia="Times New Roman" w:cs="Arial"/>
          <w:color w:val="000000"/>
          <w:lang w:eastAsia="en-GB"/>
        </w:rPr>
        <w:t xml:space="preserve"> </w:t>
      </w:r>
      <w:r w:rsidRPr="00FD757F">
        <w:rPr>
          <w:rFonts w:eastAsia="Times New Roman" w:cs="Arial"/>
          <w:color w:val="000000"/>
          <w:lang w:eastAsia="en-GB"/>
        </w:rPr>
        <w:t>Millions</w:t>
      </w:r>
    </w:p>
    <w:p w14:paraId="39DEFE46" w14:textId="77777777"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01170A01" w14:textId="12A7DE85"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w:t>
      </w:r>
      <w:r w:rsidR="00CC324B">
        <w:rPr>
          <w:rFonts w:eastAsia="Times New Roman" w:cs="Arial"/>
          <w:color w:val="000000"/>
          <w:lang w:eastAsia="en-GB"/>
        </w:rPr>
        <w:t>r each core used by the job): 5</w:t>
      </w:r>
      <w:r w:rsidRPr="00FD757F">
        <w:rPr>
          <w:rFonts w:eastAsia="Times New Roman" w:cs="Arial"/>
          <w:color w:val="000000"/>
          <w:lang w:eastAsia="en-GB"/>
        </w:rPr>
        <w:t>0</w:t>
      </w:r>
      <w:r w:rsidR="00AD532A">
        <w:rPr>
          <w:rFonts w:eastAsia="Times New Roman" w:cs="Arial"/>
          <w:color w:val="000000"/>
          <w:lang w:eastAsia="en-GB"/>
        </w:rPr>
        <w:t xml:space="preserve"> GB</w:t>
      </w:r>
    </w:p>
    <w:p w14:paraId="1FA68890" w14:textId="4D103DD4" w:rsidR="00FD757F" w:rsidRPr="002075A9"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Min physical memory per </w:t>
      </w:r>
      <w:r w:rsidR="00CC324B">
        <w:rPr>
          <w:rFonts w:eastAsia="Times New Roman" w:cs="Arial"/>
          <w:color w:val="000000"/>
          <w:lang w:eastAsia="en-GB"/>
        </w:rPr>
        <w:t>core [GB]: 2</w:t>
      </w:r>
      <w:r w:rsidR="00AD532A">
        <w:rPr>
          <w:rFonts w:eastAsia="Times New Roman" w:cs="Arial"/>
          <w:color w:val="000000"/>
          <w:lang w:eastAsia="en-GB"/>
        </w:rPr>
        <w:t xml:space="preserve"> GB</w:t>
      </w:r>
    </w:p>
    <w:p w14:paraId="444A5355" w14:textId="726BC728"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Other technical requirements: </w:t>
      </w:r>
      <w:r>
        <w:rPr>
          <w:rFonts w:eastAsia="Times New Roman" w:cs="Arial"/>
          <w:color w:val="000000"/>
          <w:lang w:eastAsia="en-GB"/>
        </w:rPr>
        <w:t>130 Sandy Bridge cores configured to support hyper-threading.</w:t>
      </w:r>
    </w:p>
    <w:p w14:paraId="2B3BCDB1" w14:textId="507C88C8"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CVMFS Stratum 0 or 1. SRM </w:t>
      </w:r>
      <w:proofErr w:type="spellStart"/>
      <w:r>
        <w:rPr>
          <w:rFonts w:eastAsia="Times New Roman" w:cs="Arial"/>
          <w:color w:val="000000"/>
          <w:lang w:eastAsia="en-GB"/>
        </w:rPr>
        <w:t>gridftp</w:t>
      </w:r>
      <w:proofErr w:type="spellEnd"/>
      <w:r>
        <w:rPr>
          <w:rFonts w:eastAsia="Times New Roman" w:cs="Arial"/>
          <w:color w:val="000000"/>
          <w:lang w:eastAsia="en-GB"/>
        </w:rPr>
        <w:t>/</w:t>
      </w:r>
      <w:proofErr w:type="spellStart"/>
      <w:r>
        <w:rPr>
          <w:rFonts w:eastAsia="Times New Roman" w:cs="Arial"/>
          <w:color w:val="000000"/>
          <w:lang w:eastAsia="en-GB"/>
        </w:rPr>
        <w:t>xrootd</w:t>
      </w:r>
      <w:proofErr w:type="spellEnd"/>
      <w:r>
        <w:rPr>
          <w:rFonts w:eastAsia="Times New Roman" w:cs="Arial"/>
          <w:color w:val="000000"/>
          <w:lang w:eastAsia="en-GB"/>
        </w:rPr>
        <w:t xml:space="preserve"> or trial S3 interface to CEPH</w:t>
      </w:r>
    </w:p>
    <w:p w14:paraId="62735C30" w14:textId="409202BB"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01EA480B" w14:textId="13DA80CD" w:rsidR="002075A9" w:rsidRPr="002075A9" w:rsidRDefault="002075A9" w:rsidP="00B03DEB">
      <w:pPr>
        <w:pStyle w:val="ListParagraph"/>
        <w:numPr>
          <w:ilvl w:val="1"/>
          <w:numId w:val="3"/>
        </w:numPr>
        <w:spacing w:before="280" w:after="280" w:line="240" w:lineRule="auto"/>
        <w:jc w:val="left"/>
      </w:pPr>
      <w:r w:rsidRPr="002075A9">
        <w:t>File storage</w:t>
      </w:r>
    </w:p>
    <w:p w14:paraId="13EDEC45" w14:textId="0320B99F" w:rsidR="00FD757F" w:rsidRPr="002075A9"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w:t>
      </w:r>
      <w:r w:rsidR="008D4EC4">
        <w:rPr>
          <w:rFonts w:eastAsia="Times New Roman" w:cs="Arial"/>
          <w:color w:val="000000"/>
          <w:lang w:eastAsia="en-GB"/>
        </w:rPr>
        <w:t>pportunistic storage capacity [G</w:t>
      </w:r>
      <w:r>
        <w:rPr>
          <w:rFonts w:eastAsia="Times New Roman" w:cs="Arial"/>
          <w:color w:val="000000"/>
          <w:lang w:eastAsia="en-GB"/>
        </w:rPr>
        <w:t>B]: 50</w:t>
      </w:r>
      <w:r w:rsidR="00AD532A">
        <w:rPr>
          <w:rFonts w:eastAsia="Times New Roman" w:cs="Arial"/>
          <w:color w:val="000000"/>
          <w:lang w:eastAsia="en-GB"/>
        </w:rPr>
        <w:t xml:space="preserve"> GB</w:t>
      </w:r>
    </w:p>
    <w:p w14:paraId="4FBE43CE" w14:textId="11617287"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414B124B" w14:textId="22C5F642" w:rsidR="00FD757F" w:rsidRPr="000E4F23"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4A8D0838" w14:textId="158AB142" w:rsidR="000E4F23" w:rsidRPr="000E4F23" w:rsidRDefault="000E4F23"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Access mode offer: </w:t>
      </w:r>
      <w:r>
        <w:rPr>
          <w:rFonts w:eastAsia="Times New Roman" w:cs="Arial"/>
          <w:color w:val="000000"/>
          <w:lang w:eastAsia="en-GB"/>
        </w:rPr>
        <w:t>Opportunistic. Resources are not exclusively allocated but subjected to local availability</w:t>
      </w:r>
    </w:p>
    <w:p w14:paraId="7EB9A94A" w14:textId="6257EF6D"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00D24A9A">
        <w:rPr>
          <w:rFonts w:eastAsia="Times New Roman" w:cs="Times New Roman"/>
          <w:b/>
          <w:bCs/>
          <w:color w:val="000000"/>
          <w:lang w:eastAsia="en-GB"/>
        </w:rPr>
        <w:t>TW</w:t>
      </w:r>
      <w:r w:rsidR="00E63ACF">
        <w:rPr>
          <w:rFonts w:eastAsia="Times New Roman" w:cs="Times New Roman"/>
          <w:b/>
          <w:bCs/>
          <w:color w:val="000000"/>
          <w:lang w:eastAsia="en-GB"/>
        </w:rPr>
        <w:t>-NCHC</w:t>
      </w:r>
      <w:r w:rsidR="002075A9">
        <w:rPr>
          <w:rFonts w:eastAsia="Times New Roman" w:cs="Times New Roman"/>
          <w:b/>
          <w:bCs/>
          <w:color w:val="000000"/>
          <w:lang w:eastAsia="en-GB"/>
        </w:rPr>
        <w:t xml:space="preserve"> </w:t>
      </w:r>
      <w:r w:rsidR="002075A9">
        <w:rPr>
          <w:rFonts w:eastAsia="Times New Roman" w:cs="Times New Roman"/>
          <w:bCs/>
          <w:color w:val="000000"/>
          <w:lang w:eastAsia="en-GB"/>
        </w:rPr>
        <w:t>(</w:t>
      </w:r>
      <w:r w:rsidR="002075A9">
        <w:rPr>
          <w:rFonts w:eastAsia="Times New Roman" w:cs="Arial"/>
          <w:color w:val="000000"/>
          <w:lang w:eastAsia="en-GB"/>
        </w:rPr>
        <w:t>Country: Taiwan)</w:t>
      </w:r>
    </w:p>
    <w:p w14:paraId="2FB358D3" w14:textId="628922F4" w:rsidR="00AC0B41" w:rsidRPr="00AC0B41" w:rsidRDefault="00AC0B41"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4EC9CE8F" w14:textId="03A50669"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 xml:space="preserve">puting time [HEPSPEC-hours]: </w:t>
      </w:r>
      <w:r w:rsidR="00D24A9A">
        <w:rPr>
          <w:rFonts w:eastAsia="Times New Roman" w:cs="Arial"/>
          <w:color w:val="000000"/>
          <w:lang w:eastAsia="en-GB"/>
        </w:rPr>
        <w:t>2</w:t>
      </w:r>
      <w:r w:rsidRPr="00FD757F">
        <w:rPr>
          <w:rFonts w:eastAsia="Times New Roman" w:cs="Arial"/>
          <w:color w:val="000000"/>
          <w:lang w:eastAsia="en-GB"/>
        </w:rPr>
        <w:t xml:space="preserve"> Millions</w:t>
      </w:r>
    </w:p>
    <w:p w14:paraId="61E0C1E6" w14:textId="7AC2E68C" w:rsidR="00FD757F" w:rsidRPr="00FD757F"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Max job duration [hours]: 8</w:t>
      </w:r>
    </w:p>
    <w:p w14:paraId="6917C9A5" w14:textId="197DC6CE"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w:t>
      </w:r>
      <w:r w:rsidR="00D24A9A">
        <w:rPr>
          <w:rFonts w:eastAsia="Times New Roman" w:cs="Arial"/>
          <w:color w:val="000000"/>
          <w:lang w:eastAsia="en-GB"/>
        </w:rPr>
        <w:t xml:space="preserve"> each core used by the job): 5</w:t>
      </w:r>
      <w:r w:rsidR="00AD532A">
        <w:rPr>
          <w:rFonts w:eastAsia="Times New Roman" w:cs="Arial"/>
          <w:color w:val="000000"/>
          <w:lang w:eastAsia="en-GB"/>
        </w:rPr>
        <w:t xml:space="preserve"> GB</w:t>
      </w:r>
    </w:p>
    <w:p w14:paraId="09CA93FA" w14:textId="09408F9A" w:rsidR="00FD757F" w:rsidRPr="000E4F23"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w:t>
      </w:r>
      <w:r w:rsidR="00D24A9A">
        <w:rPr>
          <w:rFonts w:eastAsia="Times New Roman" w:cs="Arial"/>
          <w:color w:val="000000"/>
          <w:lang w:eastAsia="en-GB"/>
        </w:rPr>
        <w:t>ysical memory per core [GB]: 2</w:t>
      </w:r>
      <w:r w:rsidR="00AD532A">
        <w:rPr>
          <w:rFonts w:eastAsia="Times New Roman" w:cs="Arial"/>
          <w:color w:val="000000"/>
          <w:lang w:eastAsia="en-GB"/>
        </w:rPr>
        <w:t xml:space="preserve"> GB</w:t>
      </w:r>
    </w:p>
    <w:p w14:paraId="1E1CF34F" w14:textId="57AEDD9D" w:rsidR="000E4F23"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w:t>
      </w:r>
      <w:proofErr w:type="spellStart"/>
      <w:r>
        <w:rPr>
          <w:rFonts w:eastAsia="Times New Roman" w:cs="Arial"/>
          <w:color w:val="000000"/>
          <w:lang w:eastAsia="en-GB"/>
        </w:rPr>
        <w:t>gLite</w:t>
      </w:r>
      <w:proofErr w:type="spellEnd"/>
      <w:r>
        <w:rPr>
          <w:rFonts w:eastAsia="Times New Roman" w:cs="Arial"/>
          <w:color w:val="000000"/>
          <w:lang w:eastAsia="en-GB"/>
        </w:rPr>
        <w:t xml:space="preserve"> EMI-3, CVMFS</w:t>
      </w:r>
    </w:p>
    <w:p w14:paraId="377C9E8B" w14:textId="1FD0372C" w:rsidR="000E4F23"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74D77A47" w14:textId="77777777" w:rsidR="000E4F23" w:rsidRPr="002075A9" w:rsidRDefault="000E4F23" w:rsidP="00B03DEB">
      <w:pPr>
        <w:pStyle w:val="ListParagraph"/>
        <w:numPr>
          <w:ilvl w:val="1"/>
          <w:numId w:val="3"/>
        </w:numPr>
        <w:spacing w:before="280" w:after="280" w:line="240" w:lineRule="auto"/>
        <w:jc w:val="left"/>
      </w:pPr>
      <w:r w:rsidRPr="002075A9">
        <w:t>File storage</w:t>
      </w:r>
    </w:p>
    <w:p w14:paraId="2AB62AF8" w14:textId="0CD1CB5C" w:rsidR="00D24A9A" w:rsidRPr="00FD757F"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[TB]: 50</w:t>
      </w:r>
      <w:r w:rsidR="00AD532A">
        <w:rPr>
          <w:rFonts w:eastAsia="Times New Roman" w:cs="Arial"/>
          <w:color w:val="000000"/>
          <w:lang w:eastAsia="en-GB"/>
        </w:rPr>
        <w:t xml:space="preserve"> TB</w:t>
      </w:r>
    </w:p>
    <w:p w14:paraId="2138BF9D" w14:textId="3C4829E9" w:rsidR="00FD757F"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6E96C388" w14:textId="03004FC9" w:rsidR="00F518E7" w:rsidRPr="000E4F23"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47957B23" w14:textId="2C20E4C3" w:rsidR="000E4F23" w:rsidRPr="000E4F23" w:rsidRDefault="000E4F23"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Access mode offer: Opportunistic</w:t>
      </w:r>
    </w:p>
    <w:p w14:paraId="5888DDDA" w14:textId="33E903B3" w:rsidR="004C1105" w:rsidRPr="004B7B2F" w:rsidRDefault="00FD757F" w:rsidP="00B03DEB">
      <w:pPr>
        <w:pStyle w:val="ListParagraph"/>
        <w:numPr>
          <w:ilvl w:val="0"/>
          <w:numId w:val="3"/>
        </w:numPr>
        <w:rPr>
          <w:rFonts w:eastAsia="Times New Roman" w:cs="Times New Roman"/>
          <w:bCs/>
          <w:color w:val="000000"/>
          <w:lang w:eastAsia="en-GB"/>
        </w:rPr>
      </w:pPr>
      <w:r w:rsidRPr="004B7B2F">
        <w:rPr>
          <w:rFonts w:eastAsia="Times New Roman" w:cs="Times New Roman"/>
          <w:color w:val="000000"/>
          <w:lang w:eastAsia="en-GB"/>
        </w:rPr>
        <w:t xml:space="preserve">Resource Centre: </w:t>
      </w:r>
      <w:proofErr w:type="spellStart"/>
      <w:r w:rsidR="009125FD" w:rsidRPr="004B7B2F">
        <w:rPr>
          <w:rFonts w:eastAsia="Times New Roman" w:cs="Times New Roman"/>
          <w:b/>
          <w:bCs/>
          <w:color w:val="000000"/>
          <w:lang w:eastAsia="en-GB"/>
        </w:rPr>
        <w:t>SURFsara</w:t>
      </w:r>
      <w:proofErr w:type="spellEnd"/>
      <w:r w:rsidR="004B7B2F" w:rsidRPr="004B7B2F">
        <w:rPr>
          <w:rFonts w:eastAsia="Times New Roman" w:cs="Times New Roman"/>
          <w:b/>
          <w:bCs/>
          <w:color w:val="000000"/>
          <w:lang w:eastAsia="en-GB"/>
        </w:rPr>
        <w:t xml:space="preserve"> </w:t>
      </w:r>
      <w:r w:rsidR="004B7B2F" w:rsidRPr="004B7B2F">
        <w:rPr>
          <w:rFonts w:eastAsia="Times New Roman" w:cs="Times New Roman"/>
          <w:bCs/>
          <w:color w:val="000000"/>
          <w:lang w:eastAsia="en-GB"/>
        </w:rPr>
        <w:t>(Country: The Netherlands</w:t>
      </w:r>
      <w:r w:rsidR="004B7B2F">
        <w:rPr>
          <w:rFonts w:eastAsia="Times New Roman" w:cs="Times New Roman"/>
          <w:bCs/>
          <w:color w:val="000000"/>
          <w:lang w:eastAsia="en-GB"/>
        </w:rPr>
        <w:t>)</w:t>
      </w:r>
    </w:p>
    <w:p w14:paraId="21A39EE3" w14:textId="10070B19" w:rsidR="00AC0B41" w:rsidRPr="00AC0B41" w:rsidRDefault="00AC0B41"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2627D7AA" w14:textId="4FB9B479"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sidR="00236DB7">
        <w:rPr>
          <w:rFonts w:eastAsia="Times New Roman" w:cs="Arial"/>
          <w:color w:val="000000"/>
          <w:lang w:eastAsia="en-GB"/>
        </w:rPr>
        <w:t xml:space="preserve">mputing time [HEPSPEC-hours]: </w:t>
      </w:r>
      <w:r w:rsidR="00D24A9A">
        <w:rPr>
          <w:rFonts w:eastAsia="Times New Roman" w:cs="Arial"/>
          <w:color w:val="000000"/>
          <w:lang w:eastAsia="en-GB"/>
        </w:rPr>
        <w:t>40</w:t>
      </w:r>
      <w:r w:rsidRPr="004C1105">
        <w:rPr>
          <w:rFonts w:eastAsia="Times New Roman" w:cs="Arial"/>
          <w:color w:val="000000"/>
          <w:lang w:eastAsia="en-GB"/>
        </w:rPr>
        <w:t xml:space="preserve"> Millions</w:t>
      </w:r>
    </w:p>
    <w:p w14:paraId="2D97A82C" w14:textId="371A0750"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Max job duration [hours]: </w:t>
      </w:r>
      <w:r w:rsidR="00987EE6">
        <w:rPr>
          <w:rFonts w:eastAsia="Times New Roman" w:cs="Arial"/>
          <w:color w:val="000000"/>
          <w:lang w:eastAsia="en-GB"/>
        </w:rPr>
        <w:t>36 hours (medium queue), 72-96 hours (long queue)</w:t>
      </w:r>
    </w:p>
    <w:p w14:paraId="31089B9D" w14:textId="67741EA5"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sidR="004B7B2F">
        <w:rPr>
          <w:rFonts w:eastAsia="Times New Roman" w:cs="Arial"/>
          <w:color w:val="000000"/>
          <w:lang w:eastAsia="en-GB"/>
        </w:rPr>
        <w:t xml:space="preserve">75 - 200 GB / core </w:t>
      </w:r>
    </w:p>
    <w:p w14:paraId="6EA21042" w14:textId="55812630" w:rsidR="004C1105" w:rsidRPr="004B7B2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lastRenderedPageBreak/>
        <w:t>Min p</w:t>
      </w:r>
      <w:r w:rsidR="00D24A9A">
        <w:rPr>
          <w:rFonts w:eastAsia="Times New Roman" w:cs="Arial"/>
          <w:color w:val="000000"/>
          <w:lang w:eastAsia="en-GB"/>
        </w:rPr>
        <w:t xml:space="preserve">hysical memory per core [GB]: </w:t>
      </w:r>
      <w:r w:rsidR="00987EE6" w:rsidRPr="00987EE6">
        <w:rPr>
          <w:rFonts w:eastAsia="Times New Roman" w:cs="Arial"/>
          <w:color w:val="000000"/>
          <w:lang w:eastAsia="en-GB"/>
        </w:rPr>
        <w:t>4 - 8 GB</w:t>
      </w:r>
    </w:p>
    <w:p w14:paraId="3CF11939" w14:textId="77777777" w:rsidR="004B7B2F" w:rsidRPr="00F518E7"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r>
        <w:rPr>
          <w:rFonts w:eastAsia="Times New Roman" w:cs="Arial"/>
          <w:color w:val="000000"/>
          <w:lang w:eastAsia="en-GB"/>
        </w:rPr>
        <w:t>UMD3 (</w:t>
      </w:r>
      <w:proofErr w:type="spellStart"/>
      <w:r w:rsidRPr="004C1105">
        <w:rPr>
          <w:rFonts w:eastAsia="Times New Roman" w:cs="Arial"/>
          <w:color w:val="000000"/>
          <w:lang w:eastAsia="en-GB"/>
        </w:rPr>
        <w:t>gLite</w:t>
      </w:r>
      <w:proofErr w:type="spellEnd"/>
      <w:r>
        <w:rPr>
          <w:rFonts w:eastAsia="Times New Roman" w:cs="Arial"/>
          <w:color w:val="000000"/>
          <w:lang w:eastAsia="en-GB"/>
        </w:rPr>
        <w:t>, EMI)</w:t>
      </w:r>
    </w:p>
    <w:p w14:paraId="1CF9D31F" w14:textId="77777777" w:rsidR="004B7B2F" w:rsidRPr="004C1105"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FDDD996" w14:textId="372516AB" w:rsidR="004B7B2F" w:rsidRPr="004B7B2F" w:rsidRDefault="004B7B2F" w:rsidP="00B03DEB">
      <w:pPr>
        <w:pStyle w:val="ListParagraph"/>
        <w:numPr>
          <w:ilvl w:val="1"/>
          <w:numId w:val="3"/>
        </w:numPr>
        <w:spacing w:before="280" w:after="280" w:line="240" w:lineRule="auto"/>
        <w:jc w:val="left"/>
        <w:rPr>
          <w:rFonts w:eastAsia="Times New Roman" w:cs="Arial"/>
          <w:color w:val="000000"/>
          <w:lang w:eastAsia="en-GB"/>
        </w:rPr>
      </w:pPr>
      <w:r w:rsidRPr="004B7B2F">
        <w:rPr>
          <w:rFonts w:eastAsia="Times New Roman" w:cs="Arial"/>
          <w:color w:val="000000"/>
          <w:lang w:eastAsia="en-GB"/>
        </w:rPr>
        <w:t>File Storage</w:t>
      </w:r>
    </w:p>
    <w:p w14:paraId="4811D34C" w14:textId="677335AD" w:rsidR="009125FD" w:rsidRPr="004B7B2F" w:rsidRDefault="009125FD"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w:t>
      </w:r>
      <w:r w:rsidR="00891302">
        <w:rPr>
          <w:rFonts w:eastAsia="Times New Roman" w:cs="Arial"/>
          <w:color w:val="000000"/>
          <w:lang w:eastAsia="en-GB"/>
        </w:rPr>
        <w:t>GB</w:t>
      </w:r>
      <w:r>
        <w:rPr>
          <w:rFonts w:eastAsia="Times New Roman" w:cs="Arial"/>
          <w:color w:val="000000"/>
          <w:lang w:eastAsia="en-GB"/>
        </w:rPr>
        <w:t>]:</w:t>
      </w:r>
      <w:r w:rsidR="00891302">
        <w:rPr>
          <w:rFonts w:eastAsia="Times New Roman" w:cs="Arial"/>
          <w:color w:val="000000"/>
          <w:lang w:eastAsia="en-GB"/>
        </w:rPr>
        <w:t xml:space="preserve"> 50</w:t>
      </w:r>
      <w:r>
        <w:rPr>
          <w:rFonts w:eastAsia="Times New Roman" w:cs="Arial"/>
          <w:color w:val="000000"/>
          <w:lang w:eastAsia="en-GB"/>
        </w:rPr>
        <w:t xml:space="preserve"> </w:t>
      </w:r>
      <w:r w:rsidR="00AD532A">
        <w:rPr>
          <w:rFonts w:eastAsia="Times New Roman" w:cs="Arial"/>
          <w:color w:val="000000"/>
          <w:lang w:eastAsia="en-GB"/>
        </w:rPr>
        <w:t>GB</w:t>
      </w:r>
    </w:p>
    <w:p w14:paraId="02CF91EA" w14:textId="765E3339"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E01783C" w14:textId="3E49C24D" w:rsidR="00F518E7" w:rsidRPr="004B7B2F"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16E01AE7" w14:textId="58374A3A" w:rsidR="004B7B2F" w:rsidRPr="006F1AE0" w:rsidRDefault="004B7B2F"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w:t>
      </w:r>
      <w:r>
        <w:rPr>
          <w:rFonts w:eastAsia="Times New Roman" w:cs="Arial"/>
          <w:color w:val="000000"/>
          <w:lang w:eastAsia="en-GB"/>
        </w:rPr>
        <w:t>cess mode offer: Opportunistic via Grid</w:t>
      </w:r>
    </w:p>
    <w:p w14:paraId="23B14549" w14:textId="747A78CA" w:rsidR="006F1AE0" w:rsidRPr="004B7B2F" w:rsidRDefault="006F1AE0" w:rsidP="006F1AE0">
      <w:pPr>
        <w:pStyle w:val="ListParagraph"/>
        <w:numPr>
          <w:ilvl w:val="0"/>
          <w:numId w:val="3"/>
        </w:numPr>
        <w:rPr>
          <w:rFonts w:eastAsia="Times New Roman" w:cs="Times New Roman"/>
          <w:bCs/>
          <w:color w:val="000000"/>
          <w:lang w:eastAsia="en-GB"/>
        </w:rPr>
      </w:pPr>
      <w:r w:rsidRPr="004B7B2F">
        <w:rPr>
          <w:rFonts w:eastAsia="Times New Roman" w:cs="Times New Roman"/>
          <w:color w:val="000000"/>
          <w:lang w:eastAsia="en-GB"/>
        </w:rPr>
        <w:t xml:space="preserve">Resource Centre: </w:t>
      </w:r>
      <w:r w:rsidRPr="006F1AE0">
        <w:rPr>
          <w:rFonts w:eastAsia="Times New Roman" w:cs="Times New Roman"/>
          <w:b/>
          <w:bCs/>
          <w:color w:val="000000"/>
          <w:lang w:eastAsia="en-GB"/>
        </w:rPr>
        <w:t>NCG-INGRID-PT</w:t>
      </w:r>
      <w:r w:rsidRPr="004B7B2F">
        <w:rPr>
          <w:rFonts w:eastAsia="Times New Roman" w:cs="Times New Roman"/>
          <w:b/>
          <w:bCs/>
          <w:color w:val="000000"/>
          <w:lang w:eastAsia="en-GB"/>
        </w:rPr>
        <w:t xml:space="preserve"> </w:t>
      </w:r>
      <w:r>
        <w:rPr>
          <w:rFonts w:eastAsia="Times New Roman" w:cs="Times New Roman"/>
          <w:bCs/>
          <w:color w:val="000000"/>
          <w:lang w:eastAsia="en-GB"/>
        </w:rPr>
        <w:t>(Country: Portugal)</w:t>
      </w:r>
    </w:p>
    <w:p w14:paraId="62BBBECF" w14:textId="77777777" w:rsidR="006F1AE0" w:rsidRPr="00AC0B41"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5793FB5E" w14:textId="57D9370E"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Pr>
          <w:rFonts w:eastAsia="Times New Roman" w:cs="Arial"/>
          <w:color w:val="000000"/>
          <w:lang w:eastAsia="en-GB"/>
        </w:rPr>
        <w:t xml:space="preserve">mputing time [HEPSPEC-hours]: </w:t>
      </w:r>
      <w:r w:rsidRPr="006F1AE0">
        <w:rPr>
          <w:rFonts w:eastAsia="Times New Roman" w:cs="Arial"/>
          <w:color w:val="000000"/>
          <w:lang w:eastAsia="en-GB"/>
        </w:rPr>
        <w:t>1 Million per year</w:t>
      </w:r>
    </w:p>
    <w:p w14:paraId="631F1BC4" w14:textId="56A5D2A4"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Max job duration [hours]:</w:t>
      </w:r>
      <w:r>
        <w:rPr>
          <w:rFonts w:eastAsia="Times New Roman" w:cs="Arial"/>
          <w:color w:val="000000"/>
          <w:lang w:eastAsia="en-GB"/>
        </w:rPr>
        <w:t xml:space="preserve"> 52</w:t>
      </w:r>
    </w:p>
    <w:p w14:paraId="3B790725" w14:textId="438AB114"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Pr>
          <w:rFonts w:eastAsia="Times New Roman" w:cs="Arial"/>
          <w:color w:val="000000"/>
          <w:lang w:eastAsia="en-GB"/>
        </w:rPr>
        <w:t xml:space="preserve">10  GB </w:t>
      </w:r>
    </w:p>
    <w:p w14:paraId="2D13E139" w14:textId="3A3244FD" w:rsidR="006F1AE0" w:rsidRPr="004B7B2F"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w:t>
      </w:r>
      <w:r>
        <w:rPr>
          <w:rFonts w:eastAsia="Times New Roman" w:cs="Arial"/>
          <w:color w:val="000000"/>
          <w:lang w:eastAsia="en-GB"/>
        </w:rPr>
        <w:t>hysical memory per core [GB]: 2</w:t>
      </w:r>
      <w:r w:rsidRPr="00987EE6">
        <w:rPr>
          <w:rFonts w:eastAsia="Times New Roman" w:cs="Arial"/>
          <w:color w:val="000000"/>
          <w:lang w:eastAsia="en-GB"/>
        </w:rPr>
        <w:t xml:space="preserve"> GB</w:t>
      </w:r>
    </w:p>
    <w:p w14:paraId="6EB405D2" w14:textId="77777777" w:rsidR="006F1AE0" w:rsidRPr="00F518E7"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r>
        <w:rPr>
          <w:rFonts w:eastAsia="Times New Roman" w:cs="Arial"/>
          <w:color w:val="000000"/>
          <w:lang w:eastAsia="en-GB"/>
        </w:rPr>
        <w:t>UMD3 (</w:t>
      </w:r>
      <w:proofErr w:type="spellStart"/>
      <w:r w:rsidRPr="004C1105">
        <w:rPr>
          <w:rFonts w:eastAsia="Times New Roman" w:cs="Arial"/>
          <w:color w:val="000000"/>
          <w:lang w:eastAsia="en-GB"/>
        </w:rPr>
        <w:t>gLite</w:t>
      </w:r>
      <w:proofErr w:type="spellEnd"/>
      <w:r>
        <w:rPr>
          <w:rFonts w:eastAsia="Times New Roman" w:cs="Arial"/>
          <w:color w:val="000000"/>
          <w:lang w:eastAsia="en-GB"/>
        </w:rPr>
        <w:t>, EMI)</w:t>
      </w:r>
    </w:p>
    <w:p w14:paraId="0B503963" w14:textId="77777777"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581D203B" w14:textId="77777777" w:rsidR="006F1AE0" w:rsidRPr="004B7B2F"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6E756CCD" w14:textId="1E1568CE" w:rsidR="006F1AE0" w:rsidRPr="006F1AE0"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w:t>
      </w:r>
      <w:r>
        <w:rPr>
          <w:rFonts w:eastAsia="Times New Roman" w:cs="Arial"/>
          <w:color w:val="000000"/>
          <w:lang w:eastAsia="en-GB"/>
        </w:rPr>
        <w:t xml:space="preserve">cess mode offer: Opportunistic </w:t>
      </w:r>
    </w:p>
    <w:p w14:paraId="7018C89F" w14:textId="185ED384" w:rsidR="004C1105" w:rsidRPr="00AC0B41"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00081C27">
        <w:rPr>
          <w:rFonts w:eastAsia="Times New Roman" w:cs="Times New Roman"/>
          <w:b/>
          <w:bCs/>
          <w:color w:val="000000"/>
          <w:lang w:eastAsia="en-GB"/>
        </w:rPr>
        <w:t xml:space="preserve"> </w:t>
      </w:r>
      <w:r w:rsidR="003A3FA8">
        <w:rPr>
          <w:rFonts w:eastAsia="Times New Roman" w:cs="Times New Roman"/>
          <w:b/>
          <w:bCs/>
          <w:color w:val="000000"/>
          <w:lang w:eastAsia="en-GB"/>
        </w:rPr>
        <w:t>NIKHEF</w:t>
      </w:r>
      <w:r w:rsidR="004B7B2F">
        <w:rPr>
          <w:rFonts w:eastAsia="Times New Roman" w:cs="Times New Roman"/>
          <w:b/>
          <w:bCs/>
          <w:color w:val="000000"/>
          <w:lang w:eastAsia="en-GB"/>
        </w:rPr>
        <w:t xml:space="preserve"> </w:t>
      </w:r>
      <w:r w:rsidR="004B7B2F" w:rsidRPr="004B7B2F">
        <w:rPr>
          <w:rFonts w:eastAsia="Times New Roman" w:cs="Times New Roman"/>
          <w:bCs/>
          <w:color w:val="000000"/>
          <w:lang w:eastAsia="en-GB"/>
        </w:rPr>
        <w:t>(Country: The Netherlands</w:t>
      </w:r>
      <w:r w:rsidR="004B7B2F">
        <w:rPr>
          <w:rFonts w:eastAsia="Times New Roman" w:cs="Times New Roman"/>
          <w:bCs/>
          <w:color w:val="000000"/>
          <w:lang w:eastAsia="en-GB"/>
        </w:rPr>
        <w:t>)</w:t>
      </w:r>
    </w:p>
    <w:p w14:paraId="0D9F1117" w14:textId="36D2E6FB" w:rsidR="00AC0B41" w:rsidRPr="00AC0B41" w:rsidRDefault="00DB5D62"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Compute </w:t>
      </w:r>
    </w:p>
    <w:p w14:paraId="47F0CAE9" w14:textId="39682321"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com</w:t>
      </w:r>
      <w:r w:rsidR="00D76140">
        <w:rPr>
          <w:rFonts w:eastAsia="Times New Roman" w:cs="Arial"/>
          <w:color w:val="000000"/>
          <w:lang w:eastAsia="en-GB"/>
        </w:rPr>
        <w:t xml:space="preserve">puting time [HEPSPEC-hours]: </w:t>
      </w:r>
      <w:r w:rsidR="003A3FA8">
        <w:rPr>
          <w:rFonts w:eastAsia="Times New Roman" w:cs="Arial"/>
          <w:color w:val="000000"/>
          <w:lang w:eastAsia="en-GB"/>
        </w:rPr>
        <w:t>20</w:t>
      </w:r>
    </w:p>
    <w:p w14:paraId="0786236D" w14:textId="6B187A48" w:rsidR="004C1105" w:rsidRPr="004C1105" w:rsidRDefault="00081C27"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Max job duration [hours]: </w:t>
      </w:r>
      <w:r w:rsidR="003A3FA8" w:rsidRPr="003A3FA8">
        <w:rPr>
          <w:rFonts w:eastAsia="Times New Roman" w:cs="Arial"/>
          <w:color w:val="000000"/>
          <w:lang w:eastAsia="en-GB"/>
        </w:rPr>
        <w:t>36 hours (medium queue), 72-96 hours (long queue)</w:t>
      </w:r>
    </w:p>
    <w:p w14:paraId="3E3E821D" w14:textId="2FEF58E7"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sidR="003A3FA8" w:rsidRPr="003A3FA8">
        <w:rPr>
          <w:rFonts w:eastAsia="Times New Roman" w:cs="Arial"/>
          <w:color w:val="000000"/>
          <w:lang w:eastAsia="en-GB"/>
        </w:rPr>
        <w:t>75 - 200 GB / core</w:t>
      </w:r>
    </w:p>
    <w:p w14:paraId="2F7E4EF2" w14:textId="19CBEFA6" w:rsidR="004C1105" w:rsidRPr="004B7B2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w:t>
      </w:r>
      <w:r w:rsidR="00081C27">
        <w:rPr>
          <w:rFonts w:eastAsia="Times New Roman" w:cs="Arial"/>
          <w:color w:val="000000"/>
          <w:lang w:eastAsia="en-GB"/>
        </w:rPr>
        <w:t>hysical memory per core [GB]:  </w:t>
      </w:r>
      <w:r w:rsidR="004B7B2F">
        <w:rPr>
          <w:rFonts w:eastAsia="Times New Roman" w:cs="Arial"/>
          <w:color w:val="000000"/>
          <w:lang w:eastAsia="en-GB"/>
        </w:rPr>
        <w:t xml:space="preserve">4 - 8 GB </w:t>
      </w:r>
    </w:p>
    <w:p w14:paraId="5D84499A" w14:textId="78DCBD79"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Middleware: UMD3 (</w:t>
      </w:r>
      <w:proofErr w:type="spellStart"/>
      <w:r>
        <w:rPr>
          <w:rFonts w:eastAsia="Times New Roman" w:cs="Arial"/>
          <w:color w:val="000000"/>
          <w:lang w:eastAsia="en-GB"/>
        </w:rPr>
        <w:t>gLite</w:t>
      </w:r>
      <w:proofErr w:type="spellEnd"/>
      <w:r>
        <w:rPr>
          <w:rFonts w:eastAsia="Times New Roman" w:cs="Arial"/>
          <w:color w:val="000000"/>
          <w:lang w:eastAsia="en-GB"/>
        </w:rPr>
        <w:t>, EMI)</w:t>
      </w:r>
    </w:p>
    <w:p w14:paraId="33F179DF" w14:textId="41D40927"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53F40CBD" w14:textId="54999B88" w:rsidR="004B7B2F" w:rsidRDefault="004B7B2F" w:rsidP="00B03DEB">
      <w:pPr>
        <w:pStyle w:val="ListParagraph"/>
        <w:numPr>
          <w:ilvl w:val="1"/>
          <w:numId w:val="3"/>
        </w:numPr>
      </w:pPr>
      <w:r>
        <w:t>File Storage</w:t>
      </w:r>
    </w:p>
    <w:p w14:paraId="5207730F" w14:textId="49DF22F6" w:rsidR="00DB5D62" w:rsidRDefault="00DB5D62" w:rsidP="00B03DEB">
      <w:pPr>
        <w:pStyle w:val="ListParagraph"/>
        <w:numPr>
          <w:ilvl w:val="2"/>
          <w:numId w:val="3"/>
        </w:numPr>
      </w:pPr>
      <w:r>
        <w:t>Opport</w:t>
      </w:r>
      <w:r w:rsidR="00081C27">
        <w:t>unistic storage capacity [</w:t>
      </w:r>
      <w:r w:rsidR="00891302">
        <w:t>G</w:t>
      </w:r>
      <w:r w:rsidR="00081C27">
        <w:t xml:space="preserve">B]: </w:t>
      </w:r>
      <w:r w:rsidR="003A3FA8">
        <w:t>50</w:t>
      </w:r>
      <w:r w:rsidR="00AD532A">
        <w:t xml:space="preserve"> GB</w:t>
      </w:r>
      <w:bookmarkStart w:id="1" w:name="_GoBack"/>
      <w:bookmarkEnd w:id="1"/>
    </w:p>
    <w:p w14:paraId="72EEC528" w14:textId="691DB68F"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7793C589" w14:textId="1CDA81B7" w:rsidR="004C1105" w:rsidRPr="004C1105" w:rsidRDefault="005E02F2"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Access mode offer: </w:t>
      </w:r>
      <w:r w:rsidR="003A3FA8">
        <w:t>Opportunistic via Grid interface</w:t>
      </w:r>
    </w:p>
    <w:p w14:paraId="2EAFE5AE" w14:textId="52E28D17" w:rsidR="00F518E7" w:rsidRPr="00A14FBC"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sidR="003A3FA8">
        <w:rPr>
          <w:rFonts w:eastAsia="Times New Roman" w:cs="Arial"/>
          <w:color w:val="000000"/>
          <w:lang w:eastAsia="en-GB"/>
        </w:rPr>
        <w:t>enmr.eu</w:t>
      </w:r>
    </w:p>
    <w:p w14:paraId="216B95AF" w14:textId="4914C4E0" w:rsidR="00A14FBC" w:rsidRPr="00A14FBC" w:rsidRDefault="00A14FBC" w:rsidP="00A14FBC">
      <w:pPr>
        <w:numPr>
          <w:ilvl w:val="0"/>
          <w:numId w:val="3"/>
        </w:numPr>
        <w:spacing w:before="280" w:after="0" w:line="240" w:lineRule="auto"/>
        <w:contextualSpacing/>
        <w:jc w:val="left"/>
        <w:rPr>
          <w:b/>
          <w:sz w:val="24"/>
          <w:szCs w:val="24"/>
        </w:rPr>
      </w:pPr>
      <w:r>
        <w:t>Resource Centre:  </w:t>
      </w:r>
      <w:r>
        <w:rPr>
          <w:b/>
        </w:rPr>
        <w:t>CESNET-</w:t>
      </w:r>
      <w:proofErr w:type="spellStart"/>
      <w:r>
        <w:rPr>
          <w:b/>
        </w:rPr>
        <w:t>MetaCloud</w:t>
      </w:r>
      <w:proofErr w:type="spellEnd"/>
      <w:r>
        <w:rPr>
          <w:b/>
        </w:rPr>
        <w:t xml:space="preserve"> </w:t>
      </w:r>
      <w:r w:rsidRPr="00A14FBC">
        <w:t>(</w:t>
      </w:r>
      <w:r>
        <w:t xml:space="preserve">Country: </w:t>
      </w:r>
      <w:r w:rsidRPr="00A14FBC">
        <w:t>Czech Republic)</w:t>
      </w:r>
    </w:p>
    <w:p w14:paraId="19AD1A8E" w14:textId="77777777" w:rsidR="00A14FBC" w:rsidRPr="006F03FE" w:rsidRDefault="00A14FBC" w:rsidP="00A14FBC">
      <w:pPr>
        <w:numPr>
          <w:ilvl w:val="1"/>
          <w:numId w:val="3"/>
        </w:numPr>
        <w:spacing w:before="280" w:after="0" w:line="240" w:lineRule="auto"/>
        <w:contextualSpacing/>
        <w:jc w:val="left"/>
        <w:rPr>
          <w:szCs w:val="24"/>
        </w:rPr>
      </w:pPr>
      <w:r w:rsidRPr="006F03FE">
        <w:rPr>
          <w:szCs w:val="24"/>
        </w:rPr>
        <w:t>Cloud Compute</w:t>
      </w:r>
    </w:p>
    <w:p w14:paraId="20E06B44"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 xml:space="preserve">Number of Virtual CPU cores: up to 60 </w:t>
      </w:r>
    </w:p>
    <w:p w14:paraId="5C7FD396"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Memory: up to 360 GB</w:t>
      </w:r>
    </w:p>
    <w:p w14:paraId="2EE51110"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 xml:space="preserve">Scratch/ephemeral storage: 4TB/2TB </w:t>
      </w:r>
    </w:p>
    <w:p w14:paraId="24CC580C"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Public IP addresses: yes (up t0 10, more available upon request)</w:t>
      </w:r>
    </w:p>
    <w:p w14:paraId="4E5A97E7"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Access type: pledged</w:t>
      </w:r>
    </w:p>
    <w:p w14:paraId="5C88D990"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 xml:space="preserve">Duration: 01/01/2016 – 01/01/2017 </w:t>
      </w:r>
    </w:p>
    <w:p w14:paraId="3CD1A56F" w14:textId="77777777" w:rsidR="00A14FBC" w:rsidRDefault="00A14FBC" w:rsidP="00A14FBC">
      <w:pPr>
        <w:spacing w:before="280" w:after="0" w:line="240" w:lineRule="auto"/>
        <w:contextualSpacing/>
        <w:jc w:val="left"/>
        <w:rPr>
          <w:b/>
          <w:sz w:val="24"/>
          <w:szCs w:val="24"/>
        </w:rPr>
      </w:pPr>
    </w:p>
    <w:p w14:paraId="474D8DAB" w14:textId="77777777" w:rsidR="00C14474" w:rsidRDefault="00C14474" w:rsidP="00A14FBC">
      <w:pPr>
        <w:spacing w:before="280" w:after="0" w:line="240" w:lineRule="auto"/>
        <w:contextualSpacing/>
        <w:jc w:val="left"/>
        <w:rPr>
          <w:b/>
          <w:sz w:val="24"/>
          <w:szCs w:val="24"/>
        </w:rPr>
      </w:pPr>
    </w:p>
    <w:p w14:paraId="51C467EB" w14:textId="77777777" w:rsidR="00A14FBC" w:rsidRDefault="00A14FBC" w:rsidP="00A14FBC">
      <w:pPr>
        <w:spacing w:before="280" w:after="0" w:line="240" w:lineRule="auto"/>
        <w:contextualSpacing/>
        <w:jc w:val="left"/>
        <w:rPr>
          <w:b/>
          <w:sz w:val="24"/>
          <w:szCs w:val="24"/>
        </w:rPr>
      </w:pPr>
    </w:p>
    <w:p w14:paraId="4DC2DF8B" w14:textId="77777777" w:rsidR="00FE4DC2" w:rsidRPr="00A14FBC" w:rsidRDefault="00FE4DC2" w:rsidP="00A14FBC">
      <w:pPr>
        <w:spacing w:before="280" w:after="0" w:line="240" w:lineRule="auto"/>
        <w:contextualSpacing/>
        <w:jc w:val="left"/>
        <w:rPr>
          <w:b/>
          <w:sz w:val="24"/>
          <w:szCs w:val="24"/>
        </w:rPr>
      </w:pPr>
    </w:p>
    <w:p w14:paraId="54253DBE" w14:textId="4F1CDC11" w:rsidR="0059011D" w:rsidRDefault="0059011D" w:rsidP="0059011D">
      <w:r>
        <w:lastRenderedPageBreak/>
        <w:t>The Service</w:t>
      </w:r>
      <w:r w:rsidR="0053196A">
        <w:t xml:space="preserve">s are </w:t>
      </w:r>
      <w:r>
        <w:t xml:space="preserve">supported by additional services (category: Software and Service Platform): </w:t>
      </w:r>
    </w:p>
    <w:p w14:paraId="33BE8574" w14:textId="0A83820D" w:rsidR="0059011D" w:rsidRDefault="0059011D" w:rsidP="00B03DEB">
      <w:pPr>
        <w:pStyle w:val="ListParagraph"/>
        <w:numPr>
          <w:ilvl w:val="0"/>
          <w:numId w:val="4"/>
        </w:numPr>
      </w:pPr>
      <w:r>
        <w:t>Accounting</w:t>
      </w:r>
      <w:r w:rsidR="00F23DB2">
        <w:rPr>
          <w:rStyle w:val="FootnoteReference"/>
        </w:rPr>
        <w:footnoteReference w:id="3"/>
      </w:r>
    </w:p>
    <w:p w14:paraId="75EDE865" w14:textId="767D385B" w:rsidR="0059011D" w:rsidRDefault="0059011D" w:rsidP="00B03DEB">
      <w:pPr>
        <w:pStyle w:val="ListParagraph"/>
        <w:numPr>
          <w:ilvl w:val="0"/>
          <w:numId w:val="4"/>
        </w:numPr>
      </w:pPr>
      <w:r>
        <w:t>Service Monitoring</w:t>
      </w:r>
      <w:r w:rsidR="00F23DB2">
        <w:rPr>
          <w:rStyle w:val="FootnoteReference"/>
        </w:rPr>
        <w:footnoteReference w:id="4"/>
      </w:r>
      <w:r>
        <w:t xml:space="preserve"> (operational only)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1590697B" w:rsidR="0059011D" w:rsidRDefault="0059011D" w:rsidP="00B03DEB">
      <w:pPr>
        <w:pStyle w:val="ListParagraph"/>
        <w:numPr>
          <w:ilvl w:val="0"/>
          <w:numId w:val="5"/>
        </w:numPr>
      </w:pPr>
      <w:r>
        <w:t xml:space="preserve">Monitoring of </w:t>
      </w:r>
      <w:r w:rsidR="00F518E7">
        <w:t xml:space="preserve">the VOs: </w:t>
      </w:r>
      <w:proofErr w:type="spellStart"/>
      <w:r w:rsidR="00081C27" w:rsidRPr="00081C27">
        <w:rPr>
          <w:color w:val="000000"/>
        </w:rPr>
        <w:t>vo:enmr.eu</w:t>
      </w:r>
      <w:proofErr w:type="spellEnd"/>
      <w:r w:rsidR="00F518E7">
        <w:rPr>
          <w:color w:val="000000"/>
        </w:rPr>
        <w:t xml:space="preserve"> and vo.neugrid.eu</w:t>
      </w:r>
    </w:p>
    <w:p w14:paraId="26167D00" w14:textId="046CB894" w:rsidR="0059011D" w:rsidRPr="0059011D" w:rsidRDefault="0059011D" w:rsidP="00B03DEB">
      <w:pPr>
        <w:pStyle w:val="ListParagraph"/>
        <w:numPr>
          <w:ilvl w:val="0"/>
          <w:numId w:val="5"/>
        </w:numPr>
      </w:pPr>
      <w:r>
        <w:t>Monitoring of services provided by the Customer on agreed resources</w:t>
      </w:r>
    </w:p>
    <w:p w14:paraId="6F9A42AE" w14:textId="6EE21A7C" w:rsidR="00227F47" w:rsidRPr="00D065EF" w:rsidRDefault="00176CC7" w:rsidP="00CE1F5A">
      <w:pPr>
        <w:pStyle w:val="Heading1"/>
      </w:pPr>
      <w:bookmarkStart w:id="2" w:name="_Toc443404124"/>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B03DEB">
      <w:pPr>
        <w:pStyle w:val="ListParagraph"/>
        <w:numPr>
          <w:ilvl w:val="0"/>
          <w:numId w:val="6"/>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B03DEB">
      <w:pPr>
        <w:pStyle w:val="ListParagraph"/>
        <w:numPr>
          <w:ilvl w:val="0"/>
          <w:numId w:val="6"/>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43404125"/>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7"/>
      </w:r>
      <w:r>
        <w:t xml:space="preserve">. Access requires a valid X.509 or the login via </w:t>
      </w:r>
      <w:proofErr w:type="gramStart"/>
      <w:r>
        <w:t>a</w:t>
      </w:r>
      <w:proofErr w:type="gramEnd"/>
      <w:r>
        <w:t xml:space="preserve"> EGI SSO account</w:t>
      </w:r>
      <w:r>
        <w:rPr>
          <w:rStyle w:val="FootnoteReference"/>
        </w:rPr>
        <w:footnoteReference w:id="8"/>
      </w:r>
      <w:r>
        <w:t>. Support is available between:</w:t>
      </w:r>
    </w:p>
    <w:p w14:paraId="3669C10F" w14:textId="29A34748" w:rsidR="00176CC7" w:rsidRDefault="00176CC7" w:rsidP="00B03DEB">
      <w:pPr>
        <w:pStyle w:val="ListParagraph"/>
        <w:numPr>
          <w:ilvl w:val="0"/>
          <w:numId w:val="7"/>
        </w:numPr>
      </w:pPr>
      <w:r>
        <w:t xml:space="preserve">Monday </w:t>
      </w:r>
      <w:r w:rsidR="005F1B1D">
        <w:t>to</w:t>
      </w:r>
      <w:r>
        <w:t xml:space="preserve"> Friday.</w:t>
      </w:r>
    </w:p>
    <w:p w14:paraId="12203F22" w14:textId="663003C5" w:rsidR="00176CC7" w:rsidRDefault="00176CC7" w:rsidP="00B03DEB">
      <w:pPr>
        <w:pStyle w:val="ListParagraph"/>
        <w:numPr>
          <w:ilvl w:val="0"/>
          <w:numId w:val="7"/>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43404126"/>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9"/>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lastRenderedPageBreak/>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10"/>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443404127"/>
      <w:r w:rsidRPr="00176CC7">
        <w:t>Service requests</w:t>
      </w:r>
      <w:bookmarkEnd w:id="6"/>
    </w:p>
    <w:p w14:paraId="12ED6F51" w14:textId="12705652" w:rsidR="00793A2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7" w:name="_Toc403992928"/>
      <w:bookmarkStart w:id="8" w:name="_Toc443404128"/>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B03DEB">
      <w:pPr>
        <w:pStyle w:val="ListParagraph"/>
        <w:numPr>
          <w:ilvl w:val="0"/>
          <w:numId w:val="8"/>
        </w:numPr>
      </w:pPr>
      <w:r w:rsidRPr="00B63C90">
        <w:t xml:space="preserve">Defined as the ability of a service or service component to fulfil its intended function at a specific time or over a calendar month. </w:t>
      </w:r>
    </w:p>
    <w:p w14:paraId="76F6573C" w14:textId="048EB942" w:rsidR="006B45F3" w:rsidRDefault="00176CC7" w:rsidP="00B03DEB">
      <w:pPr>
        <w:pStyle w:val="ListParagraph"/>
        <w:numPr>
          <w:ilvl w:val="0"/>
          <w:numId w:val="8"/>
        </w:numPr>
      </w:pPr>
      <w:r w:rsidRPr="00B63C90">
        <w:t>Minimum</w:t>
      </w:r>
      <w:r w:rsidR="00CF2238">
        <w:t xml:space="preserve"> </w:t>
      </w:r>
      <w:r w:rsidR="00CF2238" w:rsidRPr="00D00DDB">
        <w:t>(as a percentage per month)</w:t>
      </w:r>
      <w:r w:rsidRPr="00B63C90">
        <w:t xml:space="preserve">: </w:t>
      </w:r>
    </w:p>
    <w:p w14:paraId="60CDD378" w14:textId="2C3626C3" w:rsidR="003349D9" w:rsidRDefault="00D76140" w:rsidP="00B03DEB">
      <w:pPr>
        <w:pStyle w:val="ListParagraph"/>
        <w:numPr>
          <w:ilvl w:val="1"/>
          <w:numId w:val="8"/>
        </w:numPr>
      </w:pPr>
      <w:r>
        <w:t xml:space="preserve">INFN-PADOVA: </w:t>
      </w:r>
      <w:r w:rsidR="00FE4C5E">
        <w:t>85</w:t>
      </w:r>
      <w:r>
        <w:t>%</w:t>
      </w:r>
    </w:p>
    <w:p w14:paraId="18C7D389" w14:textId="1F7B098C" w:rsidR="003349D9" w:rsidRDefault="00E63ACF" w:rsidP="00B03DEB">
      <w:pPr>
        <w:pStyle w:val="ListParagraph"/>
        <w:numPr>
          <w:ilvl w:val="1"/>
          <w:numId w:val="8"/>
        </w:numPr>
      </w:pPr>
      <w:r>
        <w:t>RAL-LCG2</w:t>
      </w:r>
      <w:r w:rsidR="003349D9">
        <w:t xml:space="preserve"> </w:t>
      </w:r>
      <w:r w:rsidR="00D76140">
        <w:t>:</w:t>
      </w:r>
      <w:r w:rsidR="003349D9">
        <w:t xml:space="preserve"> </w:t>
      </w:r>
      <w:r w:rsidR="00D76140" w:rsidRPr="005E02F2">
        <w:t>85%</w:t>
      </w:r>
    </w:p>
    <w:p w14:paraId="1A33AF3F" w14:textId="289778A7" w:rsidR="003349D9" w:rsidRDefault="00E63ACF" w:rsidP="00B03DEB">
      <w:pPr>
        <w:pStyle w:val="ListParagraph"/>
        <w:numPr>
          <w:ilvl w:val="1"/>
          <w:numId w:val="8"/>
        </w:numPr>
      </w:pPr>
      <w:r>
        <w:t>TW-NCHC</w:t>
      </w:r>
      <w:r w:rsidR="00D76140">
        <w:t xml:space="preserve"> : </w:t>
      </w:r>
      <w:r w:rsidR="00FD5986">
        <w:t>90</w:t>
      </w:r>
      <w:r w:rsidR="00D76140" w:rsidRPr="005E02F2">
        <w:t>%</w:t>
      </w:r>
    </w:p>
    <w:p w14:paraId="0D123870" w14:textId="509BAE7F" w:rsidR="003349D9" w:rsidRDefault="003A3FA8" w:rsidP="00B03DEB">
      <w:pPr>
        <w:pStyle w:val="ListParagraph"/>
        <w:numPr>
          <w:ilvl w:val="1"/>
          <w:numId w:val="8"/>
        </w:numPr>
      </w:pPr>
      <w:r>
        <w:t>NIKHEF</w:t>
      </w:r>
      <w:r w:rsidR="003349D9">
        <w:t xml:space="preserve"> </w:t>
      </w:r>
      <w:r w:rsidR="00D76140">
        <w:t>:</w:t>
      </w:r>
      <w:r w:rsidR="003349D9">
        <w:t xml:space="preserve"> </w:t>
      </w:r>
      <w:r w:rsidR="003F4E94">
        <w:t>85</w:t>
      </w:r>
      <w:r w:rsidR="00D76140" w:rsidRPr="005E02F2">
        <w:t>%</w:t>
      </w:r>
    </w:p>
    <w:p w14:paraId="1B486D25" w14:textId="7D4A6892" w:rsidR="003A3FA8" w:rsidRDefault="003A3FA8" w:rsidP="00B03DEB">
      <w:pPr>
        <w:pStyle w:val="ListParagraph"/>
        <w:numPr>
          <w:ilvl w:val="1"/>
          <w:numId w:val="8"/>
        </w:numPr>
      </w:pPr>
      <w:proofErr w:type="spellStart"/>
      <w:r>
        <w:t>SURFsara</w:t>
      </w:r>
      <w:proofErr w:type="spellEnd"/>
      <w:r>
        <w:t xml:space="preserve">: </w:t>
      </w:r>
      <w:r w:rsidR="003F4E94">
        <w:t>85</w:t>
      </w:r>
      <w:r>
        <w:t>%</w:t>
      </w:r>
    </w:p>
    <w:p w14:paraId="78B92381" w14:textId="55F64D10" w:rsidR="006F1AE0" w:rsidRPr="006F1AE0" w:rsidRDefault="006F1AE0" w:rsidP="00B03DEB">
      <w:pPr>
        <w:pStyle w:val="ListParagraph"/>
        <w:numPr>
          <w:ilvl w:val="1"/>
          <w:numId w:val="8"/>
        </w:numPr>
      </w:pPr>
      <w:r w:rsidRPr="006F1AE0">
        <w:rPr>
          <w:rFonts w:eastAsia="Times New Roman" w:cs="Times New Roman"/>
          <w:bCs/>
          <w:color w:val="000000"/>
          <w:lang w:eastAsia="en-GB"/>
        </w:rPr>
        <w:t>NCG-INGRID-PT: 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B03DEB">
      <w:pPr>
        <w:pStyle w:val="ListParagraph"/>
        <w:numPr>
          <w:ilvl w:val="0"/>
          <w:numId w:val="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B03DEB">
      <w:pPr>
        <w:pStyle w:val="ListParagraph"/>
        <w:numPr>
          <w:ilvl w:val="0"/>
          <w:numId w:val="9"/>
        </w:numPr>
      </w:pPr>
      <w:r w:rsidRPr="00D00DDB">
        <w:t>Minimum</w:t>
      </w:r>
      <w:r w:rsidR="00CF2238">
        <w:t xml:space="preserve"> </w:t>
      </w:r>
      <w:r w:rsidR="00CF2238" w:rsidRPr="00D00DDB">
        <w:t>(as a percentage per month)</w:t>
      </w:r>
      <w:r w:rsidRPr="00D00DDB">
        <w:t xml:space="preserve">: </w:t>
      </w:r>
    </w:p>
    <w:p w14:paraId="61609236" w14:textId="4200BF5B" w:rsidR="003349D9" w:rsidRDefault="003349D9" w:rsidP="00B03DEB">
      <w:pPr>
        <w:pStyle w:val="ListParagraph"/>
        <w:numPr>
          <w:ilvl w:val="1"/>
          <w:numId w:val="9"/>
        </w:numPr>
      </w:pPr>
      <w:r>
        <w:t>INFN-</w:t>
      </w:r>
      <w:r w:rsidR="00FE4C5E">
        <w:t>PADOVA: 90</w:t>
      </w:r>
      <w:r w:rsidR="00D76140">
        <w:t>%</w:t>
      </w:r>
    </w:p>
    <w:p w14:paraId="50D605A5" w14:textId="3DF0344C" w:rsidR="003349D9" w:rsidRDefault="00E63ACF" w:rsidP="00B03DEB">
      <w:pPr>
        <w:pStyle w:val="ListParagraph"/>
        <w:numPr>
          <w:ilvl w:val="1"/>
          <w:numId w:val="9"/>
        </w:numPr>
      </w:pPr>
      <w:r>
        <w:t>RAL-LCG2</w:t>
      </w:r>
      <w:r w:rsidR="00D76140">
        <w:t xml:space="preserve"> </w:t>
      </w:r>
      <w:r w:rsidR="00D76140" w:rsidRPr="005E02F2">
        <w:t>: 90%</w:t>
      </w:r>
    </w:p>
    <w:p w14:paraId="3DA37797" w14:textId="7B161FF0" w:rsidR="003349D9" w:rsidRDefault="00E63ACF" w:rsidP="00B03DEB">
      <w:pPr>
        <w:pStyle w:val="ListParagraph"/>
        <w:numPr>
          <w:ilvl w:val="1"/>
          <w:numId w:val="9"/>
        </w:numPr>
      </w:pPr>
      <w:r>
        <w:t>TW-NCHC</w:t>
      </w:r>
      <w:r w:rsidR="00D76140">
        <w:t xml:space="preserve"> </w:t>
      </w:r>
      <w:r w:rsidR="00D76140" w:rsidRPr="005E02F2">
        <w:t>: 90%</w:t>
      </w:r>
    </w:p>
    <w:p w14:paraId="6728831A" w14:textId="0BD13076" w:rsidR="003A3FA8" w:rsidRDefault="003A3FA8" w:rsidP="00B03DEB">
      <w:pPr>
        <w:pStyle w:val="ListParagraph"/>
        <w:numPr>
          <w:ilvl w:val="1"/>
          <w:numId w:val="9"/>
        </w:numPr>
      </w:pPr>
      <w:r>
        <w:t xml:space="preserve">NIKHEF: </w:t>
      </w:r>
      <w:r w:rsidR="003F4E94">
        <w:t>90</w:t>
      </w:r>
      <w:r>
        <w:t>%</w:t>
      </w:r>
    </w:p>
    <w:p w14:paraId="183A644C" w14:textId="008C1E11" w:rsidR="003A3FA8" w:rsidRDefault="003A3FA8" w:rsidP="00B03DEB">
      <w:pPr>
        <w:pStyle w:val="ListParagraph"/>
        <w:numPr>
          <w:ilvl w:val="1"/>
          <w:numId w:val="9"/>
        </w:numPr>
      </w:pPr>
      <w:proofErr w:type="spellStart"/>
      <w:r>
        <w:t>SURFsara</w:t>
      </w:r>
      <w:proofErr w:type="spellEnd"/>
      <w:r>
        <w:t xml:space="preserve">: </w:t>
      </w:r>
      <w:r w:rsidR="003F4E94">
        <w:t>90</w:t>
      </w:r>
      <w:r>
        <w:t>%</w:t>
      </w:r>
    </w:p>
    <w:p w14:paraId="2A43370F" w14:textId="2E9F2656" w:rsidR="006F1AE0" w:rsidRPr="006F1AE0" w:rsidRDefault="006F1AE0" w:rsidP="006F1AE0">
      <w:pPr>
        <w:pStyle w:val="ListParagraph"/>
        <w:numPr>
          <w:ilvl w:val="1"/>
          <w:numId w:val="9"/>
        </w:numPr>
      </w:pPr>
      <w:r w:rsidRPr="006F1AE0">
        <w:rPr>
          <w:rFonts w:eastAsia="Times New Roman" w:cs="Times New Roman"/>
          <w:bCs/>
          <w:color w:val="000000"/>
          <w:lang w:eastAsia="en-GB"/>
        </w:rPr>
        <w:t>NCG-INGRID-PT: 90%</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B03DEB">
      <w:pPr>
        <w:pStyle w:val="ListParagraph"/>
        <w:numPr>
          <w:ilvl w:val="0"/>
          <w:numId w:val="15"/>
        </w:numPr>
      </w:pPr>
      <w:r w:rsidRPr="004F6ECD">
        <w:t>Medium (Section 3)</w:t>
      </w:r>
    </w:p>
    <w:p w14:paraId="777AB914" w14:textId="7D4D18CA" w:rsidR="00542830" w:rsidRPr="00B97954" w:rsidRDefault="00542830" w:rsidP="00CE1F5A">
      <w:pPr>
        <w:pStyle w:val="Heading1"/>
      </w:pPr>
      <w:bookmarkStart w:id="9" w:name="_Toc403992929"/>
      <w:bookmarkStart w:id="10" w:name="_Toc443404129"/>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B03DEB">
      <w:pPr>
        <w:pStyle w:val="ListParagraph"/>
        <w:numPr>
          <w:ilvl w:val="0"/>
          <w:numId w:val="10"/>
        </w:numPr>
      </w:pPr>
      <w:r w:rsidRPr="004F6ECD">
        <w:t>Support is provided in English.</w:t>
      </w:r>
    </w:p>
    <w:p w14:paraId="49D79F66" w14:textId="77777777" w:rsidR="00542830" w:rsidRPr="004F6ECD" w:rsidRDefault="00542830" w:rsidP="00B03DEB">
      <w:pPr>
        <w:pStyle w:val="ListParagraph"/>
        <w:numPr>
          <w:ilvl w:val="0"/>
          <w:numId w:val="10"/>
        </w:numPr>
      </w:pPr>
      <w:r w:rsidRPr="004F6ECD">
        <w:t xml:space="preserve">Availability and Reliability calculations are based on the Service Monitoring operational results. </w:t>
      </w:r>
    </w:p>
    <w:p w14:paraId="700AF6FA" w14:textId="0B7D5BEB" w:rsidR="00542830" w:rsidRPr="004F6ECD" w:rsidRDefault="00542830" w:rsidP="00B03DEB">
      <w:pPr>
        <w:pStyle w:val="ListParagraph"/>
        <w:numPr>
          <w:ilvl w:val="0"/>
          <w:numId w:val="10"/>
        </w:numPr>
      </w:pPr>
      <w:r w:rsidRPr="004F6ECD">
        <w:t xml:space="preserve">Failures in </w:t>
      </w:r>
      <w:proofErr w:type="spellStart"/>
      <w:r w:rsidR="00FE4C5E" w:rsidRPr="00081C27">
        <w:rPr>
          <w:color w:val="000000"/>
        </w:rPr>
        <w:t>vo</w:t>
      </w:r>
      <w:proofErr w:type="gramStart"/>
      <w:r w:rsidR="00FE4C5E" w:rsidRPr="00081C27">
        <w:rPr>
          <w:color w:val="000000"/>
        </w:rPr>
        <w:t>:enmr.eu</w:t>
      </w:r>
      <w:proofErr w:type="spellEnd"/>
      <w:proofErr w:type="gramEnd"/>
      <w:r w:rsidR="00A92749">
        <w:t xml:space="preserve"> </w:t>
      </w:r>
      <w:r w:rsidR="00F518E7">
        <w:t xml:space="preserve">and vo.neugrid.eu </w:t>
      </w:r>
      <w:r w:rsidRPr="004F6ECD">
        <w:t xml:space="preserve">monitoring are not considered as </w:t>
      </w:r>
      <w:r w:rsidR="007952B7">
        <w:t xml:space="preserve">the Agreement </w:t>
      </w:r>
      <w:r w:rsidRPr="004F6ECD">
        <w:t xml:space="preserve">violations. </w:t>
      </w:r>
    </w:p>
    <w:p w14:paraId="3F41D192" w14:textId="678B2985" w:rsidR="00C02E3F" w:rsidRPr="004F6ECD" w:rsidRDefault="00542830" w:rsidP="00B03DEB">
      <w:pPr>
        <w:pStyle w:val="ListParagraph"/>
        <w:numPr>
          <w:ilvl w:val="0"/>
          <w:numId w:val="10"/>
        </w:numPr>
      </w:pPr>
      <w:r w:rsidRPr="004F6ECD">
        <w:t>Downtimes needed to ensure the security of the Service issues are not considered Agreement violations.</w:t>
      </w:r>
    </w:p>
    <w:p w14:paraId="0FAE6DC0" w14:textId="77777777" w:rsidR="00542830" w:rsidRPr="004F6ECD" w:rsidRDefault="00542830" w:rsidP="00B03DEB">
      <w:pPr>
        <w:pStyle w:val="ListParagraph"/>
        <w:numPr>
          <w:ilvl w:val="0"/>
          <w:numId w:val="10"/>
        </w:numPr>
      </w:pPr>
      <w:r w:rsidRPr="004F6ECD">
        <w:t xml:space="preserve">Failures of resource provider not being part of EGI production infrastructure are not considered as Agreement violations. </w:t>
      </w:r>
    </w:p>
    <w:p w14:paraId="2EE19F64" w14:textId="77777777" w:rsidR="00BA6136" w:rsidRDefault="00BA6136" w:rsidP="00B03DEB">
      <w:pPr>
        <w:numPr>
          <w:ilvl w:val="0"/>
          <w:numId w:val="1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03DEB">
      <w:pPr>
        <w:numPr>
          <w:ilvl w:val="1"/>
          <w:numId w:val="1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03DEB">
      <w:pPr>
        <w:numPr>
          <w:ilvl w:val="1"/>
          <w:numId w:val="1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BE763FB" w14:textId="6FD3AE5A" w:rsidR="00C02E3F" w:rsidRPr="00C02E3F" w:rsidRDefault="007952B7" w:rsidP="00B03DEB">
      <w:pPr>
        <w:pStyle w:val="ListParagraph"/>
        <w:numPr>
          <w:ilvl w:val="0"/>
          <w:numId w:val="10"/>
        </w:numPr>
      </w:pPr>
      <w:r>
        <w:t>F</w:t>
      </w:r>
      <w:r w:rsidRPr="007952B7">
        <w:t>ailures of the CVMSF system, outside the site providing the service, but affecting the s</w:t>
      </w:r>
      <w:r>
        <w:t>ervice are not considered as the Agreement violation</w:t>
      </w:r>
      <w:r w:rsidR="00C02E3F" w:rsidRPr="004F6ECD">
        <w:t xml:space="preserve">. </w:t>
      </w:r>
    </w:p>
    <w:p w14:paraId="6846F691" w14:textId="399E7E42" w:rsidR="00542830" w:rsidRPr="00B97954" w:rsidRDefault="00542830" w:rsidP="00CE1F5A">
      <w:pPr>
        <w:pStyle w:val="Heading1"/>
      </w:pPr>
      <w:bookmarkStart w:id="19" w:name="_Toc443404130"/>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404131"/>
      <w:r w:rsidRPr="00B97954">
        <w:t>General communication</w:t>
      </w:r>
      <w:bookmarkEnd w:id="20"/>
      <w:bookmarkEnd w:id="21"/>
    </w:p>
    <w:p w14:paraId="4FD4774C" w14:textId="48C13271"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0096406D">
        <w:rPr>
          <w:rFonts w:cs="Open San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1E192478" w14:textId="21CD6A17" w:rsidR="003349D9" w:rsidRPr="00FE4C5E" w:rsidRDefault="00FE4C5E" w:rsidP="003349D9">
            <w:pPr>
              <w:rPr>
                <w:rFonts w:cs="Open Sans"/>
              </w:rPr>
            </w:pPr>
            <w:r w:rsidRPr="00FE4C5E">
              <w:rPr>
                <w:rFonts w:cs="Open Sans"/>
              </w:rPr>
              <w:t xml:space="preserve">Alexandre </w:t>
            </w:r>
            <w:proofErr w:type="spellStart"/>
            <w:r w:rsidRPr="00FE4C5E">
              <w:rPr>
                <w:rFonts w:cs="Open Sans"/>
              </w:rPr>
              <w:t>Bonvin</w:t>
            </w:r>
            <w:proofErr w:type="spellEnd"/>
          </w:p>
          <w:p w14:paraId="62484D7A" w14:textId="6D3F8AC5" w:rsidR="00542830" w:rsidRPr="00B97954" w:rsidRDefault="008158CA" w:rsidP="00FE4C5E">
            <w:pPr>
              <w:rPr>
                <w:rFonts w:cs="Open Sans"/>
              </w:rPr>
            </w:pPr>
            <w:hyperlink r:id="rId11" w:history="1">
              <w:r w:rsidR="00FE4C5E" w:rsidRPr="00201F53">
                <w:rPr>
                  <w:rStyle w:val="Hyperlink"/>
                </w:rPr>
                <w:t>a.m.j.j.bonvin@uu.nl</w:t>
              </w:r>
            </w:hyperlink>
            <w:r w:rsidR="00FE4C5E">
              <w:t xml:space="preserve"> </w:t>
            </w:r>
            <w:r w:rsidR="003349D9" w:rsidRPr="00FE4C5E">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7DF3F283"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8158CA" w:rsidP="0053196A">
            <w:pPr>
              <w:rPr>
                <w:rFonts w:cs="Open Sans"/>
                <w:highlight w:val="yellow"/>
                <w:lang w:val="it-IT"/>
              </w:rPr>
            </w:pPr>
            <w:hyperlink r:id="rId12"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lastRenderedPageBreak/>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lastRenderedPageBreak/>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6511A36C" w14:textId="77777777" w:rsidR="00542830" w:rsidRPr="00B97954" w:rsidRDefault="00542830" w:rsidP="00D206E9">
      <w:pPr>
        <w:pStyle w:val="Heading2"/>
      </w:pPr>
      <w:bookmarkStart w:id="22" w:name="_Toc403992932"/>
      <w:bookmarkStart w:id="23" w:name="_Toc443404132"/>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43404133"/>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B03DEB">
      <w:pPr>
        <w:pStyle w:val="ListParagraph"/>
        <w:numPr>
          <w:ilvl w:val="0"/>
          <w:numId w:val="1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B03DEB">
      <w:pPr>
        <w:pStyle w:val="ListParagraph"/>
        <w:numPr>
          <w:ilvl w:val="0"/>
          <w:numId w:val="1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43404134"/>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B03DEB">
      <w:pPr>
        <w:pStyle w:val="ListParagraph"/>
        <w:numPr>
          <w:ilvl w:val="0"/>
          <w:numId w:val="11"/>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B03DEB">
      <w:pPr>
        <w:pStyle w:val="ListParagraph"/>
        <w:numPr>
          <w:ilvl w:val="0"/>
          <w:numId w:val="11"/>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3"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404135"/>
      <w:r>
        <w:lastRenderedPageBreak/>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B03DEB">
      <w:pPr>
        <w:pStyle w:val="ListParagraph"/>
        <w:numPr>
          <w:ilvl w:val="0"/>
          <w:numId w:val="14"/>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B03DEB">
      <w:pPr>
        <w:pStyle w:val="ListParagraph"/>
        <w:numPr>
          <w:ilvl w:val="0"/>
          <w:numId w:val="14"/>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B03DEB">
      <w:pPr>
        <w:pStyle w:val="ListParagraph"/>
        <w:numPr>
          <w:ilvl w:val="0"/>
          <w:numId w:val="14"/>
        </w:numPr>
      </w:pPr>
      <w:r w:rsidRPr="004F6ECD">
        <w:t>The parties of the Agreement will meet all requirements of any relevant policy or</w:t>
      </w:r>
      <w:r w:rsidR="00884A91">
        <w:t xml:space="preserve"> procedure of the Provider</w:t>
      </w:r>
      <w:r w:rsidR="00884A91">
        <w:rPr>
          <w:rStyle w:val="FootnoteReference"/>
        </w:rPr>
        <w:footnoteReference w:id="11"/>
      </w:r>
      <w:r w:rsidRPr="004F6ECD">
        <w:t xml:space="preserve"> and will comply with the applicable national legislations.</w:t>
      </w:r>
    </w:p>
    <w:p w14:paraId="6127C083" w14:textId="690B204A" w:rsidR="00CC7A3E" w:rsidRDefault="00CC7A3E" w:rsidP="00CE1F5A">
      <w:pPr>
        <w:pStyle w:val="Heading1"/>
      </w:pPr>
      <w:bookmarkStart w:id="30" w:name="_Toc443404136"/>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43404137"/>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B03DEB">
      <w:pPr>
        <w:pStyle w:val="ListParagraph"/>
        <w:numPr>
          <w:ilvl w:val="0"/>
          <w:numId w:val="13"/>
        </w:numPr>
      </w:pPr>
      <w:r w:rsidRPr="004F6ECD">
        <w:t>The Provider adheres to all applicable operational and security policies</w:t>
      </w:r>
      <w:r w:rsidR="00884A91">
        <w:t xml:space="preserve"> and procedures</w:t>
      </w:r>
      <w:r w:rsidR="00884A91">
        <w:rPr>
          <w:rStyle w:val="FootnoteReference"/>
        </w:rPr>
        <w:footnoteReference w:id="12"/>
      </w:r>
      <w:r w:rsidRPr="004F6ECD">
        <w:t xml:space="preserve"> and to other policy documents referenced therein.</w:t>
      </w:r>
    </w:p>
    <w:p w14:paraId="0D3E4631" w14:textId="39480B4F" w:rsidR="00CC7A3E" w:rsidRPr="004F6ECD" w:rsidRDefault="00CC7A3E" w:rsidP="00B03DEB">
      <w:pPr>
        <w:pStyle w:val="ListParagraph"/>
        <w:numPr>
          <w:ilvl w:val="0"/>
          <w:numId w:val="13"/>
        </w:numPr>
      </w:pPr>
      <w:r w:rsidRPr="004F6ECD">
        <w:t>The Provider allows monitoring of the Service in order to measure the fulfilment of the agreed service level targets.</w:t>
      </w:r>
    </w:p>
    <w:p w14:paraId="29176F3D" w14:textId="77777777" w:rsidR="00CC7A3E" w:rsidRPr="004F6ECD" w:rsidRDefault="00CC7A3E" w:rsidP="00B03DEB">
      <w:pPr>
        <w:pStyle w:val="ListParagraph"/>
        <w:numPr>
          <w:ilvl w:val="0"/>
          <w:numId w:val="13"/>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43404138"/>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B03DEB">
      <w:pPr>
        <w:pStyle w:val="ListParagraph"/>
        <w:numPr>
          <w:ilvl w:val="0"/>
          <w:numId w:val="12"/>
        </w:numPr>
      </w:pPr>
      <w:r w:rsidRPr="004F6ECD">
        <w:t>The Customer must not share access credentials with anyone else.</w:t>
      </w:r>
    </w:p>
    <w:p w14:paraId="3854D292" w14:textId="77777777" w:rsidR="00CC7A3E" w:rsidRPr="004F6ECD" w:rsidRDefault="00CC7A3E" w:rsidP="00B03DEB">
      <w:pPr>
        <w:pStyle w:val="ListParagraph"/>
        <w:numPr>
          <w:ilvl w:val="0"/>
          <w:numId w:val="12"/>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B03DEB">
      <w:pPr>
        <w:pStyle w:val="ListParagraph"/>
        <w:numPr>
          <w:ilvl w:val="0"/>
          <w:numId w:val="12"/>
        </w:numPr>
      </w:pPr>
      <w:r w:rsidRPr="004F6ECD">
        <w:t>The use must be consistent with the Acceptable Use Policy</w:t>
      </w:r>
      <w:r w:rsidR="00EB2352">
        <w:rPr>
          <w:rStyle w:val="FootnoteReference"/>
        </w:rPr>
        <w:footnoteReference w:id="13"/>
      </w:r>
      <w:r w:rsidRPr="004F6ECD">
        <w:t xml:space="preserve"> of the Service.</w:t>
      </w:r>
    </w:p>
    <w:p w14:paraId="7D38671A" w14:textId="77777777" w:rsidR="00C02E3F" w:rsidRDefault="00C02E3F" w:rsidP="00B03DEB">
      <w:pPr>
        <w:pStyle w:val="ListParagraph"/>
        <w:numPr>
          <w:ilvl w:val="0"/>
          <w:numId w:val="12"/>
        </w:numPr>
      </w:pPr>
      <w:r>
        <w:t xml:space="preserve">The Customer will notify the Provider about foreseen under- (in case of guaranteed allocation) or over-estimated actual amount of the Service used to update of the Agreement to ensure optimal usage of the Service. </w:t>
      </w:r>
    </w:p>
    <w:p w14:paraId="0912EF74" w14:textId="77D847A7" w:rsidR="00CC7A3E" w:rsidRPr="004F6ECD" w:rsidRDefault="00C02E3F" w:rsidP="00B03DEB">
      <w:pPr>
        <w:pStyle w:val="ListParagraph"/>
        <w:numPr>
          <w:ilvl w:val="0"/>
          <w:numId w:val="12"/>
        </w:numPr>
      </w:pPr>
      <w:r>
        <w:lastRenderedPageBreak/>
        <w:t>The Customer should have registered one or more Virtual Organizations (VOs) to define the group of users entitled to access the Service. Information about the VO will be regularly updated in EGI Operations Portal</w:t>
      </w:r>
      <w:r w:rsidR="003C43E1">
        <w:rPr>
          <w:rStyle w:val="FootnoteReference"/>
        </w:rPr>
        <w:footnoteReference w:id="14"/>
      </w:r>
      <w:r w:rsidR="00CC7A3E" w:rsidRPr="004F6ECD">
        <w:t>.</w:t>
      </w:r>
    </w:p>
    <w:p w14:paraId="3678E8EB" w14:textId="4591D636" w:rsidR="00CC7A3E" w:rsidRPr="004F6ECD" w:rsidRDefault="00CC7A3E" w:rsidP="00B03DEB">
      <w:pPr>
        <w:pStyle w:val="ListParagraph"/>
        <w:numPr>
          <w:ilvl w:val="0"/>
          <w:numId w:val="12"/>
        </w:numPr>
      </w:pPr>
      <w:r w:rsidRPr="004F6ECD">
        <w:t>The Customer must reques</w:t>
      </w:r>
      <w:r w:rsidR="00884A91">
        <w:t>t EGI Service Desk support</w:t>
      </w:r>
      <w:r w:rsidR="00884A91">
        <w:rPr>
          <w:rStyle w:val="FootnoteReference"/>
        </w:rPr>
        <w:footnoteReference w:id="15"/>
      </w:r>
      <w:r w:rsidRPr="004F6ECD">
        <w:t xml:space="preserve"> to enable assigning tickets with appropriate VO name.</w:t>
      </w:r>
    </w:p>
    <w:p w14:paraId="578C468D" w14:textId="50159C8B" w:rsidR="00CC7A3E" w:rsidRPr="004F6ECD" w:rsidRDefault="00CC7A3E" w:rsidP="00B03DEB">
      <w:pPr>
        <w:pStyle w:val="ListParagraph"/>
        <w:numPr>
          <w:ilvl w:val="0"/>
          <w:numId w:val="12"/>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6"/>
      </w:r>
      <w:r w:rsidR="00884A91">
        <w:t xml:space="preserve"> </w:t>
      </w:r>
      <w:r w:rsidRPr="004F6ECD">
        <w:t xml:space="preserve">VO image list are properly maintained and updated. </w:t>
      </w:r>
    </w:p>
    <w:p w14:paraId="7B4922F1" w14:textId="5CFB2D68" w:rsidR="00CC7A3E" w:rsidRDefault="00CC7A3E" w:rsidP="00B03DEB">
      <w:pPr>
        <w:pStyle w:val="ListParagraph"/>
        <w:numPr>
          <w:ilvl w:val="0"/>
          <w:numId w:val="12"/>
        </w:numPr>
      </w:pPr>
      <w:r w:rsidRPr="004F6ECD">
        <w:t xml:space="preserve">The Customer commits to acknowledge EGI in the scientific publications benefiting from the Service: </w:t>
      </w:r>
      <w:r w:rsidR="00793A20">
        <w:t xml:space="preserve">“The FP7 </w:t>
      </w:r>
      <w:proofErr w:type="spellStart"/>
      <w:r w:rsidR="00793A20">
        <w:t>WeNMR</w:t>
      </w:r>
      <w:proofErr w:type="spellEnd"/>
      <w:r w:rsidR="00793A20">
        <w:t xml:space="preserve"> (project# 261572) and H2020 West-Life (project# 675858) European e-Infrastructure projects are acknowledged for the use of their web portals, which make use of the EGI infrastructure with the dedicated support of CESNET-</w:t>
      </w:r>
      <w:proofErr w:type="spellStart"/>
      <w:r w:rsidR="00793A20">
        <w:t>MetaCloud</w:t>
      </w:r>
      <w:proofErr w:type="spellEnd"/>
      <w:r w:rsidR="00793A20">
        <w:t xml:space="preserve">, INFN-PADOVA, </w:t>
      </w:r>
      <w:r w:rsidR="008B0790" w:rsidRPr="006F1AE0">
        <w:rPr>
          <w:rFonts w:eastAsia="Times New Roman" w:cs="Times New Roman"/>
          <w:bCs/>
          <w:color w:val="000000"/>
          <w:lang w:eastAsia="en-GB"/>
        </w:rPr>
        <w:t>NCG-INGRID-PT</w:t>
      </w:r>
      <w:r w:rsidR="008B0790">
        <w:t xml:space="preserve">, </w:t>
      </w:r>
      <w:r w:rsidR="00793A20">
        <w:t xml:space="preserve">RAL-LCG2, TW-NCHC, </w:t>
      </w:r>
      <w:proofErr w:type="spellStart"/>
      <w:r w:rsidR="00793A20">
        <w:t>SURFsara</w:t>
      </w:r>
      <w:proofErr w:type="spellEnd"/>
      <w:r w:rsidR="00793A20">
        <w:t xml:space="preserve"> and NIKHEF, and the additional support of the national GRID Initiatives of Belgium, France, Italy, Germany, the Netherlands, Poland, Portugal, Spain, UK, South Africa, Malaysia, Taiwan and the US Open Science Grid."</w:t>
      </w:r>
    </w:p>
    <w:p w14:paraId="47CCE7A2" w14:textId="4BD11F42" w:rsidR="00B96855" w:rsidRPr="00D00DDB" w:rsidRDefault="00B96855" w:rsidP="00B03DEB">
      <w:pPr>
        <w:pStyle w:val="ListParagraph"/>
        <w:numPr>
          <w:ilvl w:val="0"/>
          <w:numId w:val="12"/>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43404139"/>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F092A" w14:textId="77777777" w:rsidR="008158CA" w:rsidRDefault="008158CA" w:rsidP="00835E24">
      <w:pPr>
        <w:spacing w:after="0" w:line="240" w:lineRule="auto"/>
      </w:pPr>
      <w:r>
        <w:separator/>
      </w:r>
    </w:p>
  </w:endnote>
  <w:endnote w:type="continuationSeparator" w:id="0">
    <w:p w14:paraId="00984ABD" w14:textId="77777777" w:rsidR="008158CA" w:rsidRDefault="008158C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075A9" w:rsidRDefault="002075A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075A9" w14:paraId="20E80DE0" w14:textId="77777777" w:rsidTr="00D065EF">
      <w:trPr>
        <w:trHeight w:val="857"/>
      </w:trPr>
      <w:tc>
        <w:tcPr>
          <w:tcW w:w="3060" w:type="dxa"/>
          <w:vAlign w:val="bottom"/>
        </w:tcPr>
        <w:p w14:paraId="5BCF0121" w14:textId="77777777" w:rsidR="002075A9" w:rsidRDefault="002075A9"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2075A9" w:rsidRDefault="008158CA" w:rsidP="0053196A">
          <w:pPr>
            <w:pStyle w:val="Header"/>
            <w:jc w:val="center"/>
          </w:pPr>
          <w:sdt>
            <w:sdtPr>
              <w:id w:val="1030074310"/>
              <w:docPartObj>
                <w:docPartGallery w:val="Page Numbers (Bottom of Page)"/>
                <w:docPartUnique/>
              </w:docPartObj>
            </w:sdtPr>
            <w:sdtEndPr>
              <w:rPr>
                <w:noProof/>
              </w:rPr>
            </w:sdtEndPr>
            <w:sdtContent>
              <w:r w:rsidR="002075A9">
                <w:fldChar w:fldCharType="begin"/>
              </w:r>
              <w:r w:rsidR="002075A9">
                <w:instrText xml:space="preserve"> PAGE   \* MERGEFORMAT </w:instrText>
              </w:r>
              <w:r w:rsidR="002075A9">
                <w:fldChar w:fldCharType="separate"/>
              </w:r>
              <w:r w:rsidR="00AD532A">
                <w:rPr>
                  <w:noProof/>
                </w:rPr>
                <w:t>7</w:t>
              </w:r>
              <w:r w:rsidR="002075A9">
                <w:rPr>
                  <w:noProof/>
                </w:rPr>
                <w:fldChar w:fldCharType="end"/>
              </w:r>
            </w:sdtContent>
          </w:sdt>
        </w:p>
      </w:tc>
      <w:tc>
        <w:tcPr>
          <w:tcW w:w="3060" w:type="dxa"/>
          <w:vAlign w:val="bottom"/>
        </w:tcPr>
        <w:p w14:paraId="3CFBBF56" w14:textId="77777777" w:rsidR="002075A9" w:rsidRDefault="002075A9" w:rsidP="0053196A">
          <w:pPr>
            <w:pStyle w:val="Header"/>
            <w:jc w:val="right"/>
          </w:pPr>
        </w:p>
      </w:tc>
    </w:tr>
  </w:tbl>
  <w:p w14:paraId="016916BB" w14:textId="77777777" w:rsidR="002075A9" w:rsidRDefault="002075A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2075A9" w14:paraId="76DB1E08" w14:textId="77777777" w:rsidTr="0010672E">
      <w:tc>
        <w:tcPr>
          <w:tcW w:w="1242" w:type="dxa"/>
          <w:vAlign w:val="center"/>
        </w:tcPr>
        <w:p w14:paraId="1FA522BE" w14:textId="77777777" w:rsidR="002075A9" w:rsidRDefault="002075A9"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2075A9" w:rsidRPr="00757E35" w:rsidRDefault="002075A9"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2075A9" w:rsidRPr="00962667" w:rsidRDefault="008158CA" w:rsidP="00D859A3">
          <w:pPr>
            <w:pStyle w:val="Footer"/>
            <w:jc w:val="center"/>
            <w:rPr>
              <w:i/>
              <w:sz w:val="20"/>
            </w:rPr>
          </w:pPr>
          <w:hyperlink r:id="rId2" w:history="1">
            <w:r w:rsidR="002075A9" w:rsidRPr="00757E35">
              <w:rPr>
                <w:rStyle w:val="Hyperlink"/>
                <w:rFonts w:asciiTheme="minorHAnsi" w:eastAsia="Verdana" w:hAnsiTheme="minorHAnsi"/>
                <w:sz w:val="18"/>
                <w:szCs w:val="18"/>
              </w:rPr>
              <w:t>Creative Commons Attribution 4.0 International License</w:t>
            </w:r>
          </w:hyperlink>
        </w:p>
      </w:tc>
    </w:tr>
    <w:tr w:rsidR="002075A9" w14:paraId="7924B2F7" w14:textId="77777777" w:rsidTr="0010672E">
      <w:tc>
        <w:tcPr>
          <w:tcW w:w="1242" w:type="dxa"/>
          <w:vAlign w:val="center"/>
        </w:tcPr>
        <w:p w14:paraId="6F8CA869" w14:textId="1B0D6158" w:rsidR="002075A9" w:rsidRDefault="002075A9"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2075A9" w:rsidRPr="00220329" w:rsidRDefault="002075A9"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2075A9" w:rsidRPr="00757E35" w:rsidRDefault="002075A9" w:rsidP="00D859A3">
          <w:pPr>
            <w:pStyle w:val="Footer"/>
            <w:snapToGrid w:val="0"/>
            <w:jc w:val="center"/>
            <w:rPr>
              <w:rFonts w:asciiTheme="minorHAnsi" w:hAnsiTheme="minorHAnsi"/>
              <w:sz w:val="18"/>
              <w:szCs w:val="18"/>
            </w:rPr>
          </w:pPr>
        </w:p>
      </w:tc>
    </w:tr>
  </w:tbl>
  <w:p w14:paraId="4F1C14D6" w14:textId="77777777" w:rsidR="002075A9" w:rsidRDefault="00207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4FED9" w14:textId="77777777" w:rsidR="008158CA" w:rsidRDefault="008158CA" w:rsidP="00835E24">
      <w:pPr>
        <w:spacing w:after="0" w:line="240" w:lineRule="auto"/>
      </w:pPr>
      <w:r>
        <w:separator/>
      </w:r>
    </w:p>
  </w:footnote>
  <w:footnote w:type="continuationSeparator" w:id="0">
    <w:p w14:paraId="71AC52BC" w14:textId="77777777" w:rsidR="008158CA" w:rsidRDefault="008158CA" w:rsidP="00835E24">
      <w:pPr>
        <w:spacing w:after="0" w:line="240" w:lineRule="auto"/>
      </w:pPr>
      <w:r>
        <w:continuationSeparator/>
      </w:r>
    </w:p>
  </w:footnote>
  <w:footnote w:id="1">
    <w:p w14:paraId="7C4BADAA" w14:textId="471166AB" w:rsidR="002075A9" w:rsidRPr="00FD5986" w:rsidRDefault="002075A9">
      <w:pPr>
        <w:pStyle w:val="FootnoteText"/>
      </w:pPr>
      <w:r>
        <w:rPr>
          <w:rStyle w:val="FootnoteReference"/>
        </w:rPr>
        <w:footnoteRef/>
      </w:r>
      <w:r>
        <w:t xml:space="preserve"> </w:t>
      </w:r>
      <w:hyperlink r:id="rId1" w:history="1">
        <w:r w:rsidRPr="00201F53">
          <w:rPr>
            <w:rStyle w:val="Hyperlink"/>
          </w:rPr>
          <w:t>www.wenmr.eu</w:t>
        </w:r>
      </w:hyperlink>
      <w:r>
        <w:t xml:space="preserve"> </w:t>
      </w:r>
    </w:p>
  </w:footnote>
  <w:footnote w:id="2">
    <w:p w14:paraId="665E38D2" w14:textId="7C7364D5" w:rsidR="002075A9" w:rsidRPr="00CC324B" w:rsidRDefault="002075A9">
      <w:pPr>
        <w:pStyle w:val="FootnoteText"/>
      </w:pPr>
      <w:r>
        <w:rPr>
          <w:rStyle w:val="FootnoteReference"/>
        </w:rPr>
        <w:footnoteRef/>
      </w:r>
      <w:r>
        <w:t xml:space="preserve"> </w:t>
      </w:r>
      <w:hyperlink r:id="rId2" w:history="1">
        <w:r w:rsidRPr="007928E4">
          <w:rPr>
            <w:rStyle w:val="Hyperlink"/>
          </w:rPr>
          <w:t>neugrid4you.eu</w:t>
        </w:r>
      </w:hyperlink>
      <w:r>
        <w:t xml:space="preserve"> </w:t>
      </w:r>
    </w:p>
  </w:footnote>
  <w:footnote w:id="3">
    <w:p w14:paraId="7220EA03" w14:textId="09615818" w:rsidR="002075A9" w:rsidRDefault="002075A9">
      <w:pPr>
        <w:pStyle w:val="FootnoteText"/>
      </w:pPr>
      <w:r>
        <w:rPr>
          <w:rStyle w:val="FootnoteReference"/>
        </w:rPr>
        <w:footnoteRef/>
      </w:r>
      <w:r>
        <w:t xml:space="preserve"> </w:t>
      </w:r>
      <w:hyperlink r:id="rId3" w:history="1">
        <w:r w:rsidRPr="003B1140">
          <w:rPr>
            <w:rStyle w:val="Hyperlink"/>
          </w:rPr>
          <w:t>http://accounting.egi.eu/</w:t>
        </w:r>
      </w:hyperlink>
      <w:r>
        <w:t xml:space="preserve"> </w:t>
      </w:r>
    </w:p>
  </w:footnote>
  <w:footnote w:id="4">
    <w:p w14:paraId="3CE7EF43" w14:textId="58178698" w:rsidR="002075A9" w:rsidRDefault="002075A9">
      <w:pPr>
        <w:pStyle w:val="FootnoteText"/>
      </w:pPr>
      <w:r>
        <w:rPr>
          <w:rStyle w:val="FootnoteReference"/>
        </w:rPr>
        <w:footnoteRef/>
      </w:r>
      <w:r>
        <w:t xml:space="preserve"> </w:t>
      </w:r>
      <w:hyperlink r:id="rId4" w:history="1">
        <w:r w:rsidRPr="003B1140">
          <w:rPr>
            <w:rStyle w:val="Hyperlink"/>
          </w:rPr>
          <w:t>http://argo.egi.eu/</w:t>
        </w:r>
      </w:hyperlink>
      <w:r>
        <w:t xml:space="preserve"> </w:t>
      </w:r>
    </w:p>
  </w:footnote>
  <w:footnote w:id="5">
    <w:p w14:paraId="3CBC59A4" w14:textId="77777777" w:rsidR="002075A9" w:rsidRPr="00021E80" w:rsidRDefault="002075A9" w:rsidP="00176CC7">
      <w:pPr>
        <w:pStyle w:val="FootnoteText"/>
      </w:pPr>
      <w:r>
        <w:rPr>
          <w:rStyle w:val="FootnoteReference"/>
        </w:rPr>
        <w:footnoteRef/>
      </w:r>
      <w:r>
        <w:t xml:space="preserve"> </w:t>
      </w:r>
      <w:hyperlink r:id="rId5" w:anchor="Downtimes" w:history="1">
        <w:r w:rsidRPr="00D63D74">
          <w:rPr>
            <w:rStyle w:val="Hyperlink"/>
            <w:rFonts w:cs="Cambria"/>
          </w:rPr>
          <w:t>https://wiki.egi.eu/wiki/GOCDB/Input_System_User_Documentation#Downtimes</w:t>
        </w:r>
      </w:hyperlink>
    </w:p>
  </w:footnote>
  <w:footnote w:id="6">
    <w:p w14:paraId="38723179" w14:textId="3F04AE24" w:rsidR="002075A9" w:rsidRDefault="002075A9">
      <w:pPr>
        <w:pStyle w:val="FootnoteText"/>
      </w:pPr>
      <w:r>
        <w:rPr>
          <w:rStyle w:val="FootnoteReference"/>
        </w:rPr>
        <w:footnoteRef/>
      </w:r>
      <w:r>
        <w:t xml:space="preserve"> </w:t>
      </w:r>
      <w:hyperlink r:id="rId6" w:history="1">
        <w:r w:rsidRPr="00B97954">
          <w:rPr>
            <w:rStyle w:val="Hyperlink"/>
            <w:rFonts w:eastAsia="Calibri" w:cs="Open Sans"/>
            <w:lang w:val="pl-PL"/>
          </w:rPr>
          <w:t>http://goc.egi.eu/</w:t>
        </w:r>
      </w:hyperlink>
    </w:p>
  </w:footnote>
  <w:footnote w:id="7">
    <w:p w14:paraId="0C29469E" w14:textId="6D15BA27" w:rsidR="002075A9" w:rsidRDefault="002075A9">
      <w:pPr>
        <w:pStyle w:val="FootnoteText"/>
      </w:pPr>
      <w:r>
        <w:rPr>
          <w:rStyle w:val="FootnoteReference"/>
        </w:rPr>
        <w:footnoteRef/>
      </w:r>
      <w:r>
        <w:t xml:space="preserve"> </w:t>
      </w:r>
      <w:hyperlink r:id="rId7" w:history="1">
        <w:r w:rsidRPr="00B97954">
          <w:rPr>
            <w:rStyle w:val="Hyperlink"/>
            <w:rFonts w:eastAsia="Calibri" w:cs="Open Sans"/>
            <w:lang w:val="pl-PL"/>
          </w:rPr>
          <w:t>http://helpdesk.egi.eu/</w:t>
        </w:r>
      </w:hyperlink>
    </w:p>
  </w:footnote>
  <w:footnote w:id="8">
    <w:p w14:paraId="6D1D8F39" w14:textId="1D7FCE73" w:rsidR="002075A9" w:rsidRDefault="002075A9">
      <w:pPr>
        <w:pStyle w:val="FootnoteText"/>
      </w:pPr>
      <w:r>
        <w:rPr>
          <w:rStyle w:val="FootnoteReference"/>
        </w:rPr>
        <w:footnoteRef/>
      </w:r>
      <w:r>
        <w:t xml:space="preserve"> </w:t>
      </w:r>
      <w:hyperlink r:id="rId8" w:history="1">
        <w:r w:rsidRPr="00D63D74">
          <w:rPr>
            <w:rStyle w:val="Hyperlink"/>
            <w:rFonts w:cs="Cambria"/>
          </w:rPr>
          <w:t>https://www.egi.eu/sso/</w:t>
        </w:r>
      </w:hyperlink>
    </w:p>
  </w:footnote>
  <w:footnote w:id="9">
    <w:p w14:paraId="551FF4E9" w14:textId="13CB3D2B" w:rsidR="002075A9" w:rsidRDefault="002075A9">
      <w:pPr>
        <w:pStyle w:val="FootnoteText"/>
      </w:pPr>
      <w:r>
        <w:rPr>
          <w:rStyle w:val="FootnoteReference"/>
        </w:rPr>
        <w:footnoteRef/>
      </w:r>
      <w:r>
        <w:t xml:space="preserve"> </w:t>
      </w:r>
      <w:hyperlink r:id="rId9" w:history="1">
        <w:r w:rsidRPr="00EC5A8D">
          <w:rPr>
            <w:rStyle w:val="Hyperlink"/>
          </w:rPr>
          <w:t>https://wiki.egi.eu/wiki/FAQ_GGUS-QoS-Levels</w:t>
        </w:r>
      </w:hyperlink>
      <w:r>
        <w:t xml:space="preserve"> </w:t>
      </w:r>
    </w:p>
  </w:footnote>
  <w:footnote w:id="10">
    <w:p w14:paraId="74D66C64" w14:textId="44E1F754" w:rsidR="002075A9" w:rsidRDefault="002075A9">
      <w:pPr>
        <w:pStyle w:val="FootnoteText"/>
      </w:pPr>
      <w:r>
        <w:rPr>
          <w:rStyle w:val="FootnoteReference"/>
        </w:rPr>
        <w:footnoteRef/>
      </w:r>
      <w:r>
        <w:t xml:space="preserve"> </w:t>
      </w:r>
      <w:hyperlink r:id="rId10" w:history="1">
        <w:r w:rsidRPr="00886941">
          <w:rPr>
            <w:rStyle w:val="Hyperlink"/>
          </w:rPr>
          <w:t>https://wiki.egi.eu/wiki/FAQ_GGUS-Ticket-Priority</w:t>
        </w:r>
      </w:hyperlink>
      <w:r>
        <w:t xml:space="preserve"> </w:t>
      </w:r>
    </w:p>
  </w:footnote>
  <w:footnote w:id="11">
    <w:p w14:paraId="65C97635" w14:textId="125F58FC" w:rsidR="002075A9" w:rsidRDefault="002075A9">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2DCB2BAF" w14:textId="5D6B54F6" w:rsidR="002075A9" w:rsidRDefault="002075A9">
      <w:pPr>
        <w:pStyle w:val="FootnoteText"/>
      </w:pPr>
      <w:r>
        <w:rPr>
          <w:rStyle w:val="FootnoteReference"/>
        </w:rPr>
        <w:footnoteRef/>
      </w:r>
      <w:r>
        <w:t xml:space="preserve"> </w:t>
      </w:r>
      <w:hyperlink r:id="rId12" w:history="1">
        <w:r w:rsidRPr="00B97954">
          <w:rPr>
            <w:rStyle w:val="Hyperlink"/>
            <w:rFonts w:cs="Open Sans"/>
          </w:rPr>
          <w:t>https://www.egi.eu/about/policy/policies_procedures.html</w:t>
        </w:r>
      </w:hyperlink>
    </w:p>
  </w:footnote>
  <w:footnote w:id="13">
    <w:p w14:paraId="5304B39E" w14:textId="5CDCB3DC" w:rsidR="002075A9" w:rsidRDefault="002075A9">
      <w:pPr>
        <w:pStyle w:val="FootnoteText"/>
      </w:pPr>
      <w:r>
        <w:rPr>
          <w:rStyle w:val="FootnoteReference"/>
        </w:rPr>
        <w:footnoteRef/>
      </w:r>
      <w:r>
        <w:t xml:space="preserve"> </w:t>
      </w:r>
      <w:hyperlink r:id="rId13" w:history="1">
        <w:r w:rsidRPr="003C43E1">
          <w:rPr>
            <w:rStyle w:val="Hyperlink"/>
          </w:rPr>
          <w:t>https://documents.egi.eu/document/74</w:t>
        </w:r>
      </w:hyperlink>
    </w:p>
  </w:footnote>
  <w:footnote w:id="14">
    <w:p w14:paraId="0491776F" w14:textId="60BCE3C5" w:rsidR="002075A9" w:rsidRDefault="002075A9">
      <w:pPr>
        <w:pStyle w:val="FootnoteText"/>
      </w:pPr>
      <w:r>
        <w:rPr>
          <w:rStyle w:val="FootnoteReference"/>
        </w:rPr>
        <w:footnoteRef/>
      </w:r>
      <w:r>
        <w:t xml:space="preserve"> </w:t>
      </w:r>
      <w:hyperlink r:id="rId14" w:history="1">
        <w:r w:rsidRPr="00EC5A8D">
          <w:rPr>
            <w:rStyle w:val="Hyperlink"/>
          </w:rPr>
          <w:t>http://operations-portal.egi.eu/</w:t>
        </w:r>
      </w:hyperlink>
      <w:r>
        <w:t xml:space="preserve"> </w:t>
      </w:r>
    </w:p>
  </w:footnote>
  <w:footnote w:id="15">
    <w:p w14:paraId="06D39FF3" w14:textId="481D36EA" w:rsidR="002075A9" w:rsidRDefault="002075A9">
      <w:pPr>
        <w:pStyle w:val="FootnoteText"/>
      </w:pPr>
      <w:r>
        <w:rPr>
          <w:rStyle w:val="FootnoteReference"/>
        </w:rPr>
        <w:footnoteRef/>
      </w:r>
      <w:r>
        <w:t xml:space="preserve"> </w:t>
      </w:r>
      <w:hyperlink r:id="rId15" w:history="1">
        <w:r w:rsidRPr="00B97954">
          <w:rPr>
            <w:rStyle w:val="Hyperlink"/>
            <w:rFonts w:eastAsia="Calibri" w:cs="Open Sans"/>
          </w:rPr>
          <w:t>https://wiki.egi.eu/wiki/FAQ_GGUS-New-Support-Unit</w:t>
        </w:r>
      </w:hyperlink>
    </w:p>
  </w:footnote>
  <w:footnote w:id="16">
    <w:p w14:paraId="68236905" w14:textId="00C09707" w:rsidR="002075A9" w:rsidRDefault="002075A9">
      <w:pPr>
        <w:pStyle w:val="FootnoteText"/>
      </w:pPr>
      <w:r>
        <w:rPr>
          <w:rStyle w:val="FootnoteReference"/>
        </w:rPr>
        <w:footnoteRef/>
      </w:r>
      <w:r>
        <w:t xml:space="preserve"> </w:t>
      </w:r>
      <w:hyperlink r:id="rId16"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3646E"/>
    <w:multiLevelType w:val="multilevel"/>
    <w:tmpl w:val="1EE0DC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973018"/>
    <w:multiLevelType w:val="hybridMultilevel"/>
    <w:tmpl w:val="EE2A6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5"/>
  </w:num>
  <w:num w:numId="4">
    <w:abstractNumId w:val="4"/>
  </w:num>
  <w:num w:numId="5">
    <w:abstractNumId w:val="12"/>
  </w:num>
  <w:num w:numId="6">
    <w:abstractNumId w:val="3"/>
  </w:num>
  <w:num w:numId="7">
    <w:abstractNumId w:val="13"/>
  </w:num>
  <w:num w:numId="8">
    <w:abstractNumId w:val="10"/>
  </w:num>
  <w:num w:numId="9">
    <w:abstractNumId w:val="8"/>
  </w:num>
  <w:num w:numId="10">
    <w:abstractNumId w:val="6"/>
  </w:num>
  <w:num w:numId="11">
    <w:abstractNumId w:val="14"/>
  </w:num>
  <w:num w:numId="12">
    <w:abstractNumId w:val="9"/>
  </w:num>
  <w:num w:numId="13">
    <w:abstractNumId w:val="1"/>
  </w:num>
  <w:num w:numId="14">
    <w:abstractNumId w:val="0"/>
  </w:num>
  <w:num w:numId="15">
    <w:abstractNumId w:val="11"/>
  </w:num>
  <w:num w:numId="16">
    <w:abstractNumId w:val="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36CE"/>
    <w:rsid w:val="00036768"/>
    <w:rsid w:val="00046C4F"/>
    <w:rsid w:val="000502D5"/>
    <w:rsid w:val="00062C7D"/>
    <w:rsid w:val="00081C27"/>
    <w:rsid w:val="000852E1"/>
    <w:rsid w:val="000C0E87"/>
    <w:rsid w:val="000E00D2"/>
    <w:rsid w:val="000E17FC"/>
    <w:rsid w:val="000E4F23"/>
    <w:rsid w:val="000F328F"/>
    <w:rsid w:val="001013F4"/>
    <w:rsid w:val="0010672E"/>
    <w:rsid w:val="0010681D"/>
    <w:rsid w:val="001138D5"/>
    <w:rsid w:val="00130F8B"/>
    <w:rsid w:val="00153BB4"/>
    <w:rsid w:val="001624FB"/>
    <w:rsid w:val="001628FC"/>
    <w:rsid w:val="00162D8F"/>
    <w:rsid w:val="00163455"/>
    <w:rsid w:val="001725AC"/>
    <w:rsid w:val="00176CC7"/>
    <w:rsid w:val="001A349C"/>
    <w:rsid w:val="001A5250"/>
    <w:rsid w:val="001C5D2E"/>
    <w:rsid w:val="001C68FD"/>
    <w:rsid w:val="001D1106"/>
    <w:rsid w:val="002075A9"/>
    <w:rsid w:val="00221D0C"/>
    <w:rsid w:val="00227F47"/>
    <w:rsid w:val="00236DB7"/>
    <w:rsid w:val="0024108C"/>
    <w:rsid w:val="002539A4"/>
    <w:rsid w:val="0027172A"/>
    <w:rsid w:val="00283160"/>
    <w:rsid w:val="002A3C5A"/>
    <w:rsid w:val="002A7241"/>
    <w:rsid w:val="002B2235"/>
    <w:rsid w:val="002C1377"/>
    <w:rsid w:val="002D3A14"/>
    <w:rsid w:val="002D5A09"/>
    <w:rsid w:val="002E5F1F"/>
    <w:rsid w:val="003349D9"/>
    <w:rsid w:val="00334E08"/>
    <w:rsid w:val="00337DFA"/>
    <w:rsid w:val="0035124F"/>
    <w:rsid w:val="00391D54"/>
    <w:rsid w:val="003A3FA8"/>
    <w:rsid w:val="003B3E2E"/>
    <w:rsid w:val="003B5139"/>
    <w:rsid w:val="003C3C6F"/>
    <w:rsid w:val="003C43E1"/>
    <w:rsid w:val="003C6C87"/>
    <w:rsid w:val="003F4E94"/>
    <w:rsid w:val="00414146"/>
    <w:rsid w:val="004144F8"/>
    <w:rsid w:val="004161FD"/>
    <w:rsid w:val="0042341C"/>
    <w:rsid w:val="00425588"/>
    <w:rsid w:val="004338C6"/>
    <w:rsid w:val="00454D75"/>
    <w:rsid w:val="0049232C"/>
    <w:rsid w:val="004A3ECF"/>
    <w:rsid w:val="004B04FF"/>
    <w:rsid w:val="004B4B12"/>
    <w:rsid w:val="004B7B2F"/>
    <w:rsid w:val="004C1105"/>
    <w:rsid w:val="004C127A"/>
    <w:rsid w:val="004D249B"/>
    <w:rsid w:val="004D6DFA"/>
    <w:rsid w:val="004E24E2"/>
    <w:rsid w:val="004F6ECD"/>
    <w:rsid w:val="00501E2A"/>
    <w:rsid w:val="005238F3"/>
    <w:rsid w:val="0053196A"/>
    <w:rsid w:val="005320AD"/>
    <w:rsid w:val="005414E0"/>
    <w:rsid w:val="00542830"/>
    <w:rsid w:val="00547D9A"/>
    <w:rsid w:val="00551BFA"/>
    <w:rsid w:val="0056751B"/>
    <w:rsid w:val="00576C3F"/>
    <w:rsid w:val="005851FB"/>
    <w:rsid w:val="0059011D"/>
    <w:rsid w:val="00592516"/>
    <w:rsid w:val="005962E0"/>
    <w:rsid w:val="005A339C"/>
    <w:rsid w:val="005C01CF"/>
    <w:rsid w:val="005D14DF"/>
    <w:rsid w:val="005D18AA"/>
    <w:rsid w:val="005D2951"/>
    <w:rsid w:val="005D5F45"/>
    <w:rsid w:val="005E02F2"/>
    <w:rsid w:val="005E5D31"/>
    <w:rsid w:val="005F1B1D"/>
    <w:rsid w:val="0060639B"/>
    <w:rsid w:val="00634728"/>
    <w:rsid w:val="006351B8"/>
    <w:rsid w:val="00656E4D"/>
    <w:rsid w:val="006669E7"/>
    <w:rsid w:val="00681029"/>
    <w:rsid w:val="006815D1"/>
    <w:rsid w:val="006870C1"/>
    <w:rsid w:val="006971E0"/>
    <w:rsid w:val="00697308"/>
    <w:rsid w:val="006B45F3"/>
    <w:rsid w:val="006D1955"/>
    <w:rsid w:val="006D527C"/>
    <w:rsid w:val="006E7D9B"/>
    <w:rsid w:val="006F03FE"/>
    <w:rsid w:val="006F1AE0"/>
    <w:rsid w:val="006F7556"/>
    <w:rsid w:val="007169EC"/>
    <w:rsid w:val="0072045A"/>
    <w:rsid w:val="0073233F"/>
    <w:rsid w:val="00733386"/>
    <w:rsid w:val="00741C43"/>
    <w:rsid w:val="007602FC"/>
    <w:rsid w:val="007677FE"/>
    <w:rsid w:val="00782A92"/>
    <w:rsid w:val="007928E4"/>
    <w:rsid w:val="00793A20"/>
    <w:rsid w:val="007952B7"/>
    <w:rsid w:val="007974C9"/>
    <w:rsid w:val="007C78CA"/>
    <w:rsid w:val="00802AD4"/>
    <w:rsid w:val="008138E8"/>
    <w:rsid w:val="00813ED4"/>
    <w:rsid w:val="008158CA"/>
    <w:rsid w:val="00835E24"/>
    <w:rsid w:val="00840515"/>
    <w:rsid w:val="00873234"/>
    <w:rsid w:val="008765EB"/>
    <w:rsid w:val="00876CB0"/>
    <w:rsid w:val="00884A91"/>
    <w:rsid w:val="00891302"/>
    <w:rsid w:val="008B0790"/>
    <w:rsid w:val="008B1E35"/>
    <w:rsid w:val="008B2F11"/>
    <w:rsid w:val="008B4217"/>
    <w:rsid w:val="008D1EC3"/>
    <w:rsid w:val="008D4EC4"/>
    <w:rsid w:val="008F5101"/>
    <w:rsid w:val="009125FD"/>
    <w:rsid w:val="009138D4"/>
    <w:rsid w:val="00931656"/>
    <w:rsid w:val="00947A45"/>
    <w:rsid w:val="0096406D"/>
    <w:rsid w:val="0097411A"/>
    <w:rsid w:val="00976A73"/>
    <w:rsid w:val="00987EE6"/>
    <w:rsid w:val="009F1E23"/>
    <w:rsid w:val="009F5A4E"/>
    <w:rsid w:val="00A05867"/>
    <w:rsid w:val="00A07B1B"/>
    <w:rsid w:val="00A14FBC"/>
    <w:rsid w:val="00A312B2"/>
    <w:rsid w:val="00A3485E"/>
    <w:rsid w:val="00A5267D"/>
    <w:rsid w:val="00A53F7F"/>
    <w:rsid w:val="00A67816"/>
    <w:rsid w:val="00A92749"/>
    <w:rsid w:val="00AB042E"/>
    <w:rsid w:val="00AC0B41"/>
    <w:rsid w:val="00AC5F8D"/>
    <w:rsid w:val="00AD532A"/>
    <w:rsid w:val="00AF0222"/>
    <w:rsid w:val="00B00467"/>
    <w:rsid w:val="00B03DEB"/>
    <w:rsid w:val="00B064AD"/>
    <w:rsid w:val="00B107DD"/>
    <w:rsid w:val="00B17AD5"/>
    <w:rsid w:val="00B44AF4"/>
    <w:rsid w:val="00B46C00"/>
    <w:rsid w:val="00B60F00"/>
    <w:rsid w:val="00B70698"/>
    <w:rsid w:val="00B80FB4"/>
    <w:rsid w:val="00B85B70"/>
    <w:rsid w:val="00B9495A"/>
    <w:rsid w:val="00B9637E"/>
    <w:rsid w:val="00B964AE"/>
    <w:rsid w:val="00B9661F"/>
    <w:rsid w:val="00B96855"/>
    <w:rsid w:val="00BA6136"/>
    <w:rsid w:val="00BB61C7"/>
    <w:rsid w:val="00BE3DEB"/>
    <w:rsid w:val="00C02E3F"/>
    <w:rsid w:val="00C062E3"/>
    <w:rsid w:val="00C14474"/>
    <w:rsid w:val="00C30F80"/>
    <w:rsid w:val="00C400A4"/>
    <w:rsid w:val="00C40D39"/>
    <w:rsid w:val="00C63ABA"/>
    <w:rsid w:val="00C63D9F"/>
    <w:rsid w:val="00C7087D"/>
    <w:rsid w:val="00C82428"/>
    <w:rsid w:val="00C96C8F"/>
    <w:rsid w:val="00CB1D9E"/>
    <w:rsid w:val="00CC324B"/>
    <w:rsid w:val="00CC7A3E"/>
    <w:rsid w:val="00CD57DB"/>
    <w:rsid w:val="00CE1F5A"/>
    <w:rsid w:val="00CF1E31"/>
    <w:rsid w:val="00CF2238"/>
    <w:rsid w:val="00CF56AD"/>
    <w:rsid w:val="00D00DDB"/>
    <w:rsid w:val="00D04EA5"/>
    <w:rsid w:val="00D065EF"/>
    <w:rsid w:val="00D075E1"/>
    <w:rsid w:val="00D206E9"/>
    <w:rsid w:val="00D24A9A"/>
    <w:rsid w:val="00D26F29"/>
    <w:rsid w:val="00D33EFB"/>
    <w:rsid w:val="00D42568"/>
    <w:rsid w:val="00D4438C"/>
    <w:rsid w:val="00D46739"/>
    <w:rsid w:val="00D76140"/>
    <w:rsid w:val="00D859A3"/>
    <w:rsid w:val="00D9315C"/>
    <w:rsid w:val="00D95F48"/>
    <w:rsid w:val="00D97E64"/>
    <w:rsid w:val="00DB4C49"/>
    <w:rsid w:val="00DB5D62"/>
    <w:rsid w:val="00DB74BF"/>
    <w:rsid w:val="00DB74F3"/>
    <w:rsid w:val="00E04C11"/>
    <w:rsid w:val="00E06D2A"/>
    <w:rsid w:val="00E07FA0"/>
    <w:rsid w:val="00E208DA"/>
    <w:rsid w:val="00E2379C"/>
    <w:rsid w:val="00E40082"/>
    <w:rsid w:val="00E53E06"/>
    <w:rsid w:val="00E63ACF"/>
    <w:rsid w:val="00E8128D"/>
    <w:rsid w:val="00EA73F8"/>
    <w:rsid w:val="00EB2352"/>
    <w:rsid w:val="00EC504F"/>
    <w:rsid w:val="00EC75A5"/>
    <w:rsid w:val="00ED41D9"/>
    <w:rsid w:val="00F06E24"/>
    <w:rsid w:val="00F23DB2"/>
    <w:rsid w:val="00F30F42"/>
    <w:rsid w:val="00F337DD"/>
    <w:rsid w:val="00F404FA"/>
    <w:rsid w:val="00F42F91"/>
    <w:rsid w:val="00F518E7"/>
    <w:rsid w:val="00F5503E"/>
    <w:rsid w:val="00F66DAF"/>
    <w:rsid w:val="00F7162A"/>
    <w:rsid w:val="00F81A6C"/>
    <w:rsid w:val="00FB5C97"/>
    <w:rsid w:val="00FC58D6"/>
    <w:rsid w:val="00FD0C52"/>
    <w:rsid w:val="00FD56BF"/>
    <w:rsid w:val="00FD5986"/>
    <w:rsid w:val="00FD757F"/>
    <w:rsid w:val="00FE4C5E"/>
    <w:rsid w:val="00FE4D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5481">
      <w:bodyDiv w:val="1"/>
      <w:marLeft w:val="0"/>
      <w:marRight w:val="0"/>
      <w:marTop w:val="0"/>
      <w:marBottom w:val="0"/>
      <w:divBdr>
        <w:top w:val="none" w:sz="0" w:space="0" w:color="auto"/>
        <w:left w:val="none" w:sz="0" w:space="0" w:color="auto"/>
        <w:bottom w:val="none" w:sz="0" w:space="0" w:color="auto"/>
        <w:right w:val="none" w:sz="0" w:space="0" w:color="auto"/>
      </w:divBdr>
    </w:div>
    <w:div w:id="381439352">
      <w:bodyDiv w:val="1"/>
      <w:marLeft w:val="0"/>
      <w:marRight w:val="0"/>
      <w:marTop w:val="0"/>
      <w:marBottom w:val="0"/>
      <w:divBdr>
        <w:top w:val="none" w:sz="0" w:space="0" w:color="auto"/>
        <w:left w:val="none" w:sz="0" w:space="0" w:color="auto"/>
        <w:bottom w:val="none" w:sz="0" w:space="0" w:color="auto"/>
        <w:right w:val="none" w:sz="0" w:space="0" w:color="auto"/>
      </w:divBdr>
    </w:div>
    <w:div w:id="474563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9308">
      <w:bodyDiv w:val="1"/>
      <w:marLeft w:val="0"/>
      <w:marRight w:val="0"/>
      <w:marTop w:val="0"/>
      <w:marBottom w:val="0"/>
      <w:divBdr>
        <w:top w:val="none" w:sz="0" w:space="0" w:color="auto"/>
        <w:left w:val="none" w:sz="0" w:space="0" w:color="auto"/>
        <w:bottom w:val="none" w:sz="0" w:space="0" w:color="auto"/>
        <w:right w:val="none" w:sz="0" w:space="0" w:color="auto"/>
      </w:divBdr>
    </w:div>
    <w:div w:id="1509323221">
      <w:bodyDiv w:val="1"/>
      <w:marLeft w:val="0"/>
      <w:marRight w:val="0"/>
      <w:marTop w:val="0"/>
      <w:marBottom w:val="0"/>
      <w:divBdr>
        <w:top w:val="none" w:sz="0" w:space="0" w:color="auto"/>
        <w:left w:val="none" w:sz="0" w:space="0" w:color="auto"/>
        <w:bottom w:val="none" w:sz="0" w:space="0" w:color="auto"/>
        <w:right w:val="none" w:sz="0" w:space="0" w:color="auto"/>
      </w:divBdr>
    </w:div>
    <w:div w:id="1534341519">
      <w:bodyDiv w:val="1"/>
      <w:marLeft w:val="0"/>
      <w:marRight w:val="0"/>
      <w:marTop w:val="0"/>
      <w:marBottom w:val="0"/>
      <w:divBdr>
        <w:top w:val="none" w:sz="0" w:space="0" w:color="auto"/>
        <w:left w:val="none" w:sz="0" w:space="0" w:color="auto"/>
        <w:bottom w:val="none" w:sz="0" w:space="0" w:color="auto"/>
        <w:right w:val="none" w:sz="0" w:space="0" w:color="auto"/>
      </w:divBdr>
    </w:div>
    <w:div w:id="17961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j.j.bonvin@uu.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sso/" TargetMode="External"/><Relationship Id="rId13" Type="http://schemas.openxmlformats.org/officeDocument/2006/relationships/hyperlink" Target="https://documents.egi.eu/document/74" TargetMode="External"/><Relationship Id="rId3" Type="http://schemas.openxmlformats.org/officeDocument/2006/relationships/hyperlink" Target="http://accounting.egi.eu/" TargetMode="External"/><Relationship Id="rId7" Type="http://schemas.openxmlformats.org/officeDocument/2006/relationships/hyperlink" Target="http://helpdesk.egi.eu/" TargetMode="External"/><Relationship Id="rId12" Type="http://schemas.openxmlformats.org/officeDocument/2006/relationships/hyperlink" Target="https://www.egi.eu/about/policy/policies_procedures.html" TargetMode="External"/><Relationship Id="rId2" Type="http://schemas.openxmlformats.org/officeDocument/2006/relationships/hyperlink" Target="file:///C:\Users\Malgorzata%20Krakowian\AppData\Local\Temp\neugrid4you.eu" TargetMode="External"/><Relationship Id="rId16" Type="http://schemas.openxmlformats.org/officeDocument/2006/relationships/hyperlink" Target="https://appdb.egi.eu/" TargetMode="External"/><Relationship Id="rId1" Type="http://schemas.openxmlformats.org/officeDocument/2006/relationships/hyperlink" Target="http://www.wenmr.eu" TargetMode="External"/><Relationship Id="rId6" Type="http://schemas.openxmlformats.org/officeDocument/2006/relationships/hyperlink" Target="http://goc.egi.eu/"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s://wiki.egi.eu/wiki/GOCDB/Input_System_User_Documentation" TargetMode="External"/><Relationship Id="rId15" Type="http://schemas.openxmlformats.org/officeDocument/2006/relationships/hyperlink" Target="https://wiki.egi.eu/wiki/FAQ_GGUS-New-Support-Unit" TargetMode="External"/><Relationship Id="rId10" Type="http://schemas.openxmlformats.org/officeDocument/2006/relationships/hyperlink" Target="https://wiki.egi.eu/wiki/FAQ_GGUS-Ticket-Priority" TargetMode="External"/><Relationship Id="rId4" Type="http://schemas.openxmlformats.org/officeDocument/2006/relationships/hyperlink" Target="http://argo.egi.eu/" TargetMode="External"/><Relationship Id="rId9" Type="http://schemas.openxmlformats.org/officeDocument/2006/relationships/hyperlink" Target="https://wiki.egi.eu/wiki/FAQ_GGUS-QoS-Levels" TargetMode="External"/><Relationship Id="rId14" Type="http://schemas.openxmlformats.org/officeDocument/2006/relationships/hyperlink" Target="http://operations-portal.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022F-1D59-4D04-A694-980EF335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2634</Words>
  <Characters>15015</Characters>
  <Application>Microsoft Office Word</Application>
  <DocSecurity>0</DocSecurity>
  <Lines>125</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cp:revision>
  <cp:lastPrinted>2015-11-30T14:42:00Z</cp:lastPrinted>
  <dcterms:created xsi:type="dcterms:W3CDTF">2016-02-16T16:20:00Z</dcterms:created>
  <dcterms:modified xsi:type="dcterms:W3CDTF">2016-02-17T09:09:00Z</dcterms:modified>
</cp:coreProperties>
</file>