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4D6D65">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4D6D65">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0" w:name="_Toc437010238"/>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EA54C99" w14:textId="73409D50" w:rsidR="006E7D9B" w:rsidRPr="006E7D9B" w:rsidRDefault="006E7D9B" w:rsidP="0059011D">
      <w:pPr>
        <w:rPr>
          <w:b/>
        </w:rPr>
      </w:pPr>
      <w:r w:rsidRPr="006E7D9B">
        <w:rPr>
          <w:b/>
        </w:rPr>
        <w:t xml:space="preserve">Cloud Compute (category: Compute) </w:t>
      </w:r>
    </w:p>
    <w:p w14:paraId="52A574BF" w14:textId="77777777" w:rsidR="00E53E06"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110E59C6" w:rsidR="0059011D" w:rsidRDefault="0059011D" w:rsidP="00287F08">
      <w:pPr>
        <w:pStyle w:val="ListParagraph"/>
        <w:numPr>
          <w:ilvl w:val="0"/>
          <w:numId w:val="3"/>
        </w:numPr>
        <w:rPr>
          <w:b/>
        </w:rPr>
      </w:pPr>
      <w:r w:rsidRPr="00FD757F">
        <w:t xml:space="preserve">Resource Centre: </w:t>
      </w:r>
      <w:r w:rsidR="00FD757F" w:rsidRPr="00FD757F">
        <w:rPr>
          <w:b/>
        </w:rPr>
        <w:t>INFN-PADOVA</w:t>
      </w:r>
      <w:r w:rsidR="00E320EF">
        <w:rPr>
          <w:b/>
        </w:rPr>
        <w:t xml:space="preserve"> </w:t>
      </w:r>
      <w:r w:rsidR="00E320EF" w:rsidRPr="00E320EF">
        <w:t>(</w:t>
      </w:r>
      <w:r w:rsidR="00E320EF">
        <w:t>County: Italy</w:t>
      </w:r>
      <w:r w:rsidR="00E320EF" w:rsidRPr="00E320EF">
        <w:t>)</w:t>
      </w:r>
    </w:p>
    <w:p w14:paraId="68A9A75B" w14:textId="63B0CADA" w:rsidR="00AC0B41" w:rsidRPr="00FD757F" w:rsidRDefault="00AC0B41" w:rsidP="00287F08">
      <w:pPr>
        <w:pStyle w:val="ListParagraph"/>
        <w:numPr>
          <w:ilvl w:val="1"/>
          <w:numId w:val="3"/>
        </w:numPr>
        <w:rPr>
          <w:b/>
        </w:rPr>
      </w:pPr>
      <w:r>
        <w:t>Cloud Compute</w:t>
      </w:r>
    </w:p>
    <w:p w14:paraId="1B8405BE" w14:textId="774FC8A4" w:rsidR="0059011D" w:rsidRPr="00FD757F" w:rsidRDefault="003B3E2E" w:rsidP="00E320EF">
      <w:pPr>
        <w:pStyle w:val="ListParagraph"/>
        <w:numPr>
          <w:ilvl w:val="2"/>
          <w:numId w:val="3"/>
        </w:numPr>
        <w:rPr>
          <w:b/>
        </w:rPr>
      </w:pPr>
      <w:r w:rsidRPr="00FD757F">
        <w:t>Number of Virtual CPU cores:</w:t>
      </w:r>
      <w:r w:rsidR="00FD757F" w:rsidRPr="00FD757F">
        <w:t xml:space="preserve"> </w:t>
      </w:r>
      <w:r w:rsidR="00FD757F" w:rsidRPr="00FD757F">
        <w:rPr>
          <w:color w:val="000000"/>
        </w:rPr>
        <w:t>up to 144</w:t>
      </w:r>
    </w:p>
    <w:p w14:paraId="3C764CCA" w14:textId="5945987D" w:rsidR="006B45F3" w:rsidRPr="00FD757F" w:rsidRDefault="003B3E2E" w:rsidP="00E320EF">
      <w:pPr>
        <w:pStyle w:val="ListParagraph"/>
        <w:numPr>
          <w:ilvl w:val="2"/>
          <w:numId w:val="3"/>
        </w:numPr>
        <w:rPr>
          <w:b/>
        </w:rPr>
      </w:pPr>
      <w:r w:rsidRPr="00FD757F">
        <w:t xml:space="preserve">Memory: </w:t>
      </w:r>
      <w:r w:rsidR="00FD757F" w:rsidRPr="00FD757F">
        <w:rPr>
          <w:color w:val="000000"/>
        </w:rPr>
        <w:t>up to 288 GB</w:t>
      </w:r>
    </w:p>
    <w:p w14:paraId="32879A56" w14:textId="3E5729A8" w:rsidR="00FD757F" w:rsidRPr="00FD757F" w:rsidRDefault="006B45F3" w:rsidP="00E320EF">
      <w:pPr>
        <w:pStyle w:val="ListParagraph"/>
        <w:numPr>
          <w:ilvl w:val="2"/>
          <w:numId w:val="3"/>
        </w:numPr>
        <w:rPr>
          <w:b/>
        </w:rPr>
      </w:pPr>
      <w:r w:rsidRPr="00FD757F">
        <w:t>S</w:t>
      </w:r>
      <w:r w:rsidR="003B3E2E" w:rsidRPr="00FD757F">
        <w:t xml:space="preserve">cratch/ephemeral storage: </w:t>
      </w:r>
      <w:r w:rsidR="00FD757F" w:rsidRPr="00FD757F">
        <w:rPr>
          <w:color w:val="000000"/>
        </w:rPr>
        <w:t>up to 1860 GB</w:t>
      </w:r>
    </w:p>
    <w:p w14:paraId="640DF346" w14:textId="37D428A8" w:rsidR="00FD757F" w:rsidRPr="00FD757F" w:rsidRDefault="001725AC" w:rsidP="00E320EF">
      <w:pPr>
        <w:pStyle w:val="ListParagraph"/>
        <w:numPr>
          <w:ilvl w:val="2"/>
          <w:numId w:val="3"/>
        </w:numPr>
        <w:rPr>
          <w:b/>
        </w:rPr>
      </w:pPr>
      <w:r w:rsidRPr="00FD757F">
        <w:t xml:space="preserve">Public </w:t>
      </w:r>
      <w:r w:rsidR="003B3E2E" w:rsidRPr="00FD757F">
        <w:t>IP addresses:</w:t>
      </w:r>
      <w:r w:rsidR="00FD757F">
        <w:t xml:space="preserve"> </w:t>
      </w:r>
      <w:r w:rsidR="00D76140">
        <w:t>2-3 (no web services)</w:t>
      </w:r>
    </w:p>
    <w:p w14:paraId="2100D9A8" w14:textId="2945C9E5" w:rsidR="00FD757F" w:rsidRPr="00E320EF" w:rsidRDefault="00FD757F" w:rsidP="00E320EF">
      <w:pPr>
        <w:pStyle w:val="ListParagraph"/>
        <w:numPr>
          <w:ilvl w:val="2"/>
          <w:numId w:val="3"/>
        </w:numPr>
        <w:rPr>
          <w:b/>
        </w:rPr>
      </w:pPr>
      <w:r w:rsidRPr="00FD757F">
        <w:rPr>
          <w:rFonts w:eastAsia="Times New Roman" w:cs="Arial"/>
          <w:color w:val="000000"/>
          <w:lang w:eastAsia="en-GB"/>
        </w:rPr>
        <w:t>Other technical requirements: each compute node has 24 AMD CPU-cores and 1860 GB of local storage. OCCI interface available</w:t>
      </w:r>
      <w:r>
        <w:rPr>
          <w:rFonts w:eastAsia="Times New Roman" w:cs="Arial"/>
          <w:color w:val="000000"/>
          <w:lang w:eastAsia="en-GB"/>
        </w:rPr>
        <w:t>.</w:t>
      </w:r>
    </w:p>
    <w:p w14:paraId="554F85F6" w14:textId="328173FA" w:rsidR="00E320EF" w:rsidRPr="00E320EF" w:rsidRDefault="00E320EF" w:rsidP="00E320EF">
      <w:pPr>
        <w:pStyle w:val="ListParagraph"/>
        <w:numPr>
          <w:ilvl w:val="2"/>
          <w:numId w:val="3"/>
        </w:numPr>
        <w:rPr>
          <w:b/>
        </w:rPr>
      </w:pPr>
      <w:r w:rsidRPr="00FD757F">
        <w:t>Duration:</w:t>
      </w:r>
      <w:r>
        <w:t xml:space="preserve">  </w:t>
      </w:r>
      <w:r>
        <w:rPr>
          <w:color w:val="000000"/>
        </w:rPr>
        <w:t>01/01/2016 – 01/01/2017</w:t>
      </w:r>
    </w:p>
    <w:p w14:paraId="2741B3A1" w14:textId="77777777" w:rsidR="00E320EF" w:rsidRPr="002E0FD8" w:rsidRDefault="00E320EF" w:rsidP="00E320EF">
      <w:pPr>
        <w:pStyle w:val="ListParagraph"/>
        <w:numPr>
          <w:ilvl w:val="1"/>
          <w:numId w:val="3"/>
        </w:numPr>
        <w:rPr>
          <w:b/>
        </w:rPr>
      </w:pPr>
      <w:r w:rsidRPr="00FD757F">
        <w:t xml:space="preserve">Access type: </w:t>
      </w:r>
      <w:r w:rsidRPr="00FD757F">
        <w:rPr>
          <w:rFonts w:cs="Arial"/>
          <w:color w:val="000000"/>
        </w:rPr>
        <w:t>Resource are available in a fair share-like mode for a fixed period of time</w:t>
      </w:r>
    </w:p>
    <w:p w14:paraId="3037150B" w14:textId="77777777"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 xml:space="preserve">allows running computational tasks on high quality IT resources, accessible via a uniform/standard interface and supporting authentication/authorisation based on a membership within a virtual organisation. HTC Compute service is federated from EGI Federation </w:t>
      </w:r>
      <w:r w:rsidRPr="000C0E87">
        <w:rPr>
          <w:rFonts w:cs="Open Sans"/>
        </w:rPr>
        <w:lastRenderedPageBreak/>
        <w:t>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t xml:space="preserve">Duration: </w:t>
      </w:r>
      <w:r>
        <w:rPr>
          <w:color w:val="000000"/>
        </w:rPr>
        <w:t>01/01/2016 – 01/01/2017</w:t>
      </w:r>
      <w:r w:rsidR="00E53E06">
        <w:t xml:space="preserve"> </w:t>
      </w:r>
    </w:p>
    <w:p w14:paraId="34C534E0" w14:textId="078C0F88"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43F774B9" w14:textId="55DDDF23"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4C2F197E" w14:textId="4D0A84B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27935BB2" w14:textId="7A749E8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66F3A52B" w14:textId="074A105A"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018C89F" w14:textId="705A4DCA" w:rsidR="004C1105" w:rsidRPr="007B2493"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IGI-BOLOGNA</w:t>
      </w:r>
      <w:r w:rsidR="007B2493" w:rsidRPr="007B2493">
        <w:rPr>
          <w:rFonts w:eastAsia="Times New Roman" w:cs="Arial"/>
          <w:color w:val="000000"/>
          <w:lang w:eastAsia="en-GB"/>
        </w:rPr>
        <w:t xml:space="preserve"> </w:t>
      </w:r>
      <w:r w:rsidR="007B2493">
        <w:rPr>
          <w:rFonts w:eastAsia="Times New Roman" w:cs="Arial"/>
          <w:color w:val="000000"/>
          <w:lang w:eastAsia="en-GB"/>
        </w:rPr>
        <w:t>(</w:t>
      </w:r>
      <w:r w:rsidR="007B2493" w:rsidRPr="004C1105">
        <w:rPr>
          <w:rFonts w:eastAsia="Times New Roman" w:cs="Arial"/>
          <w:color w:val="000000"/>
          <w:lang w:eastAsia="en-GB"/>
        </w:rPr>
        <w:t xml:space="preserve">Country: </w:t>
      </w:r>
      <w:r w:rsidR="007B2493">
        <w:rPr>
          <w:rFonts w:eastAsia="Times New Roman" w:cs="Arial"/>
          <w:color w:val="000000"/>
          <w:lang w:eastAsia="en-GB"/>
        </w:rPr>
        <w:t>Italy)</w:t>
      </w:r>
    </w:p>
    <w:p w14:paraId="0D9F1117" w14:textId="641FF614" w:rsidR="00AC0B41" w:rsidRPr="00AC0B41" w:rsidRDefault="00DB5D62"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133BF1E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puting time [HEPSPEC-hours]: 7</w:t>
      </w:r>
      <w:r w:rsidRPr="004C1105">
        <w:rPr>
          <w:rFonts w:eastAsia="Times New Roman" w:cs="Arial"/>
          <w:color w:val="000000"/>
          <w:lang w:eastAsia="en-GB"/>
        </w:rPr>
        <w:t xml:space="preserve"> Millions</w:t>
      </w:r>
    </w:p>
    <w:p w14:paraId="0786236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E3E821D" w14:textId="29648F83"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w:t>
      </w:r>
      <w:r w:rsidR="007B2493">
        <w:rPr>
          <w:rFonts w:eastAsia="Times New Roman" w:cs="Arial"/>
          <w:color w:val="000000"/>
          <w:lang w:eastAsia="en-GB"/>
        </w:rPr>
        <w:t xml:space="preserve"> </w:t>
      </w:r>
    </w:p>
    <w:p w14:paraId="2F7E4EF2" w14:textId="77777777" w:rsidR="004C1105" w:rsidRPr="00DB5D62"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2</w:t>
      </w:r>
    </w:p>
    <w:p w14:paraId="25C27DD0"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16/24 CPU-cores, </w:t>
      </w:r>
    </w:p>
    <w:p w14:paraId="220C1CD8"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11E9F6D3" w14:textId="04879306" w:rsidR="003B3E2E"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39304F3B" w14:textId="2463F2C1"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File Storage</w:t>
      </w:r>
    </w:p>
    <w:p w14:paraId="10C6DA21" w14:textId="74C84941" w:rsidR="007B2493" w:rsidRDefault="007B2493" w:rsidP="00287F08">
      <w:pPr>
        <w:pStyle w:val="ListParagraph"/>
        <w:numPr>
          <w:ilvl w:val="2"/>
          <w:numId w:val="3"/>
        </w:numPr>
      </w:pPr>
      <w:r>
        <w:t>Opportunistic storage capacity [TB]: 3 TB</w:t>
      </w:r>
    </w:p>
    <w:p w14:paraId="512584FF" w14:textId="157997F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0A3A392" w14:textId="2E0B614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t>Torque/Maui fair share</w:t>
      </w:r>
    </w:p>
    <w:p w14:paraId="3F620B8F" w14:textId="5AF5F827"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0699E98A" w14:textId="77777777" w:rsidR="002E0FD8" w:rsidRPr="002E0FD8" w:rsidRDefault="007B2493"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r w:rsidR="002E0FD8" w:rsidRPr="002E0FD8">
        <w:rPr>
          <w:rFonts w:eastAsia="Times New Roman" w:cs="Arial"/>
          <w:color w:val="000000"/>
          <w:lang w:eastAsia="en-GB"/>
        </w:rPr>
        <w:t xml:space="preserve"> </w:t>
      </w:r>
    </w:p>
    <w:p w14:paraId="1D4B73C2" w14:textId="59A108DB" w:rsidR="007B2493"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bookmarkStart w:id="1" w:name="_GoBack"/>
      <w:bookmarkEnd w:id="1"/>
      <w:r w:rsidRPr="00F518E7">
        <w:rPr>
          <w:rFonts w:eastAsia="Times New Roman" w:cs="Arial"/>
          <w:color w:val="000000"/>
          <w:lang w:eastAsia="en-GB"/>
        </w:rPr>
        <w:t xml:space="preserve">Supported VOs: </w:t>
      </w:r>
      <w:r>
        <w:rPr>
          <w:color w:val="000000"/>
        </w:rPr>
        <w:t>drihm.eu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lastRenderedPageBreak/>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37010239"/>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lastRenderedPageBreak/>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7010242"/>
      <w:r w:rsidRPr="00176CC7">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lastRenderedPageBreak/>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4D6D65" w:rsidP="003349D9">
            <w:pPr>
              <w:rPr>
                <w:rFonts w:cs="Open Sans"/>
              </w:rPr>
            </w:pPr>
            <w:hyperlink r:id="rId11"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4D6D65"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lastRenderedPageBreak/>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lastRenderedPageBreak/>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E043D4E"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414146">
        <w:t xml:space="preserve">, </w:t>
      </w:r>
      <w:r w:rsidR="00ED41D9">
        <w:t>IGI-BOLOGNA</w:t>
      </w:r>
      <w:r w:rsidR="00414146">
        <w:t>,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0D4E" w14:textId="77777777" w:rsidR="004D6D65" w:rsidRDefault="004D6D65" w:rsidP="00835E24">
      <w:pPr>
        <w:spacing w:after="0" w:line="240" w:lineRule="auto"/>
      </w:pPr>
      <w:r>
        <w:separator/>
      </w:r>
    </w:p>
  </w:endnote>
  <w:endnote w:type="continuationSeparator" w:id="0">
    <w:p w14:paraId="03C9F7B8" w14:textId="77777777" w:rsidR="004D6D65" w:rsidRDefault="004D6D6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D6D6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E0FD8">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D6D6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1FE4" w14:textId="77777777" w:rsidR="004D6D65" w:rsidRDefault="004D6D65" w:rsidP="00835E24">
      <w:pPr>
        <w:spacing w:after="0" w:line="240" w:lineRule="auto"/>
      </w:pPr>
      <w:r>
        <w:separator/>
      </w:r>
    </w:p>
  </w:footnote>
  <w:footnote w:type="continuationSeparator" w:id="0">
    <w:p w14:paraId="3B21252F" w14:textId="77777777" w:rsidR="004D6D65" w:rsidRDefault="004D6D65"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1651"/>
    <w:rsid w:val="002B2235"/>
    <w:rsid w:val="002D5A09"/>
    <w:rsid w:val="002E0FD8"/>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65"/>
    <w:rsid w:val="004D6DFA"/>
    <w:rsid w:val="004D7FE2"/>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parodi@cimafound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1F3F-EEF8-401B-934D-1B9F8200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2492</Words>
  <Characters>14209</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67</cp:revision>
  <cp:lastPrinted>2015-11-30T14:42:00Z</cp:lastPrinted>
  <dcterms:created xsi:type="dcterms:W3CDTF">2015-11-24T16:38:00Z</dcterms:created>
  <dcterms:modified xsi:type="dcterms:W3CDTF">2016-02-22T16:19:00Z</dcterms:modified>
</cp:coreProperties>
</file>