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9DF7BF4" w:rsidR="006D1955" w:rsidRPr="00797A13" w:rsidRDefault="00797A13" w:rsidP="00797A13">
            <w:pPr>
              <w:snapToGrid w:val="0"/>
              <w:spacing w:before="120"/>
              <w:jc w:val="left"/>
              <w:rPr>
                <w:rFonts w:asciiTheme="minorHAnsi" w:hAnsiTheme="minorHAnsi" w:cs="Open Sans"/>
              </w:rPr>
            </w:pPr>
            <w:r w:rsidRPr="00797A13">
              <w:rPr>
                <w:rFonts w:asciiTheme="minorHAnsi" w:hAnsiTheme="minorHAnsi" w:cs="Open Sans"/>
              </w:rPr>
              <w:t>GWDG</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797A13" w:rsidRDefault="00D14E19" w:rsidP="0053196A">
            <w:pPr>
              <w:pStyle w:val="DocDate"/>
              <w:snapToGrid w:val="0"/>
              <w:jc w:val="left"/>
              <w:rPr>
                <w:rFonts w:asciiTheme="minorHAnsi" w:hAnsiTheme="minorHAnsi" w:cs="Open Sans"/>
                <w:b w:val="0"/>
              </w:rPr>
            </w:pPr>
            <w:r w:rsidRPr="00797A13">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9D2B403"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D14E19" w:rsidRPr="006D1955" w:rsidRDefault="00D14E19"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87545C">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87545C">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87545C">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87545C">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87545C">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87545C">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87545C">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87545C">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87545C">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51135D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97A13" w:rsidRPr="00797A13">
        <w:rPr>
          <w:b/>
        </w:rPr>
        <w:t>GWDG</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7AB8B594" w14:textId="5F58C7EE" w:rsidR="003F375A" w:rsidRDefault="003F375A" w:rsidP="00CE1F5A">
      <w:r>
        <w:t xml:space="preserve">The User is a consortium represented by the </w:t>
      </w:r>
      <w:r w:rsidR="002C551F" w:rsidRPr="002C551F">
        <w:rPr>
          <w:b/>
          <w:highlight w:val="yellow"/>
        </w:rPr>
        <w:t>[Institute]</w:t>
      </w:r>
    </w:p>
    <w:p w14:paraId="63D9B24A" w14:textId="77777777" w:rsidR="00797A13" w:rsidRDefault="00797A13" w:rsidP="00797A13">
      <w:r w:rsidRPr="000933A1">
        <w:t xml:space="preserve">This Agreement is valid </w:t>
      </w:r>
      <w:r w:rsidRPr="000933A1">
        <w:rPr>
          <w:b/>
        </w:rPr>
        <w:t>from 01/01/2016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F243884" w14:textId="77777777" w:rsidR="00797A13" w:rsidRDefault="00797A13" w:rsidP="00797A13">
      <w:pPr>
        <w:pStyle w:val="ListParagraph"/>
        <w:numPr>
          <w:ilvl w:val="0"/>
          <w:numId w:val="47"/>
        </w:numPr>
      </w:pPr>
      <w:r>
        <w:t>Services: Cloud Compute</w:t>
      </w:r>
    </w:p>
    <w:p w14:paraId="4B98D8C0" w14:textId="77777777" w:rsidR="00797A13" w:rsidRDefault="00797A13" w:rsidP="00797A13">
      <w:pPr>
        <w:pStyle w:val="ListParagraph"/>
        <w:numPr>
          <w:ilvl w:val="1"/>
          <w:numId w:val="47"/>
        </w:numPr>
      </w:pPr>
      <w:r>
        <w:t>Number of Virtual CPU cores: 10 VMs/4 cores, total 40</w:t>
      </w:r>
    </w:p>
    <w:p w14:paraId="41C00B73" w14:textId="77777777" w:rsidR="00797A13" w:rsidRDefault="00797A13" w:rsidP="00797A13">
      <w:pPr>
        <w:pStyle w:val="ListParagraph"/>
        <w:numPr>
          <w:ilvl w:val="1"/>
          <w:numId w:val="47"/>
        </w:numPr>
      </w:pPr>
      <w:r>
        <w:t xml:space="preserve">Memory: 10 VMs/8 GB, total 80GB </w:t>
      </w:r>
    </w:p>
    <w:p w14:paraId="7F842279" w14:textId="77777777" w:rsidR="00797A13" w:rsidRDefault="00797A13" w:rsidP="00797A13">
      <w:pPr>
        <w:pStyle w:val="ListParagraph"/>
        <w:numPr>
          <w:ilvl w:val="1"/>
          <w:numId w:val="47"/>
        </w:numPr>
      </w:pPr>
      <w:r>
        <w:t>Scratch/ephemeral storage: 1 TB</w:t>
      </w:r>
    </w:p>
    <w:p w14:paraId="0B2B8B26" w14:textId="77777777" w:rsidR="00797A13" w:rsidRDefault="00797A13" w:rsidP="00797A13">
      <w:pPr>
        <w:pStyle w:val="ListParagraph"/>
        <w:numPr>
          <w:ilvl w:val="1"/>
          <w:numId w:val="47"/>
        </w:numPr>
      </w:pPr>
      <w:r>
        <w:t>Public IP addresses: 10</w:t>
      </w:r>
    </w:p>
    <w:p w14:paraId="2085E8C7" w14:textId="77777777" w:rsidR="00797A13" w:rsidRDefault="00797A13" w:rsidP="00797A13">
      <w:pPr>
        <w:pStyle w:val="ListParagraph"/>
        <w:numPr>
          <w:ilvl w:val="1"/>
          <w:numId w:val="47"/>
        </w:numPr>
      </w:pPr>
      <w:r>
        <w:t>Access type:  Pledged</w:t>
      </w:r>
    </w:p>
    <w:p w14:paraId="4C3FE811" w14:textId="77777777" w:rsidR="00797A13" w:rsidRDefault="00797A13" w:rsidP="00797A13">
      <w:pPr>
        <w:pStyle w:val="ListParagraph"/>
        <w:numPr>
          <w:ilvl w:val="1"/>
          <w:numId w:val="47"/>
        </w:numPr>
      </w:pPr>
      <w:r>
        <w:t>Duration: 01/01/2016 – 01/01/2017</w:t>
      </w:r>
    </w:p>
    <w:p w14:paraId="4AB6C2D8" w14:textId="77777777" w:rsidR="00797A13" w:rsidRDefault="00797A13" w:rsidP="00797A13">
      <w:pPr>
        <w:pStyle w:val="ListParagraph"/>
        <w:numPr>
          <w:ilvl w:val="1"/>
          <w:numId w:val="47"/>
        </w:numPr>
      </w:pPr>
      <w:r>
        <w:t xml:space="preserve">Supported VO: </w:t>
      </w:r>
      <w:r>
        <w:rPr>
          <w:color w:val="000000"/>
        </w:rPr>
        <w:t>geohazards.terradue.com</w:t>
      </w:r>
    </w:p>
    <w:p w14:paraId="37056052" w14:textId="77777777" w:rsidR="00797A13" w:rsidRDefault="00797A13" w:rsidP="00797A13">
      <w:pPr>
        <w:pStyle w:val="ListParagraph"/>
        <w:numPr>
          <w:ilvl w:val="0"/>
          <w:numId w:val="47"/>
        </w:numPr>
      </w:pPr>
      <w:r>
        <w:lastRenderedPageBreak/>
        <w:t>Services: Cloud Compute</w:t>
      </w:r>
    </w:p>
    <w:p w14:paraId="644CEDD2" w14:textId="77777777" w:rsidR="00797A13" w:rsidRDefault="00797A13" w:rsidP="00797A13">
      <w:pPr>
        <w:pStyle w:val="ListParagraph"/>
        <w:numPr>
          <w:ilvl w:val="1"/>
          <w:numId w:val="47"/>
        </w:numPr>
      </w:pPr>
      <w:r>
        <w:t>Number of Virtual CPU cores: 10 VMs / 4 cores, total 40</w:t>
      </w:r>
    </w:p>
    <w:p w14:paraId="764C8ECA" w14:textId="77777777" w:rsidR="00797A13" w:rsidRDefault="00797A13" w:rsidP="00797A13">
      <w:pPr>
        <w:pStyle w:val="ListParagraph"/>
        <w:numPr>
          <w:ilvl w:val="1"/>
          <w:numId w:val="47"/>
        </w:numPr>
      </w:pPr>
      <w:r>
        <w:t>Memory: 10 VMs/8 GB, total 80GB</w:t>
      </w:r>
    </w:p>
    <w:p w14:paraId="720EE519" w14:textId="77777777" w:rsidR="00797A13" w:rsidRDefault="00797A13" w:rsidP="00797A13">
      <w:pPr>
        <w:pStyle w:val="ListParagraph"/>
        <w:numPr>
          <w:ilvl w:val="1"/>
          <w:numId w:val="47"/>
        </w:numPr>
      </w:pPr>
      <w:r>
        <w:t>Scratch/ephemeral storage: 1 TB</w:t>
      </w:r>
    </w:p>
    <w:p w14:paraId="4077EABD" w14:textId="77777777" w:rsidR="00797A13" w:rsidRDefault="00797A13" w:rsidP="00797A13">
      <w:pPr>
        <w:pStyle w:val="ListParagraph"/>
        <w:numPr>
          <w:ilvl w:val="1"/>
          <w:numId w:val="47"/>
        </w:numPr>
      </w:pPr>
      <w:r>
        <w:t>Public IP addresses: 10</w:t>
      </w:r>
    </w:p>
    <w:p w14:paraId="53753BD6" w14:textId="77777777" w:rsidR="00797A13" w:rsidRDefault="00797A13" w:rsidP="00797A13">
      <w:pPr>
        <w:pStyle w:val="ListParagraph"/>
        <w:numPr>
          <w:ilvl w:val="1"/>
          <w:numId w:val="47"/>
        </w:numPr>
      </w:pPr>
      <w:r>
        <w:t>Access type: Pledged</w:t>
      </w:r>
    </w:p>
    <w:p w14:paraId="53855F27" w14:textId="77777777" w:rsidR="00797A13" w:rsidRDefault="00797A13" w:rsidP="00797A13">
      <w:pPr>
        <w:pStyle w:val="ListParagraph"/>
        <w:numPr>
          <w:ilvl w:val="1"/>
          <w:numId w:val="47"/>
        </w:numPr>
      </w:pPr>
      <w:r>
        <w:t>Duration: 01/01/2016 – 01/01/2017</w:t>
      </w:r>
    </w:p>
    <w:p w14:paraId="744F1597" w14:textId="6510CAF0" w:rsidR="002C551F" w:rsidRPr="00797A13" w:rsidRDefault="00797A13" w:rsidP="00797A13">
      <w:pPr>
        <w:pStyle w:val="ListParagraph"/>
        <w:numPr>
          <w:ilvl w:val="1"/>
          <w:numId w:val="47"/>
        </w:numPr>
      </w:pPr>
      <w:r>
        <w:t xml:space="preserve">Supported VO: </w:t>
      </w:r>
      <w:r w:rsidRPr="009D684D">
        <w:t>hydrology.terradue.com</w:t>
      </w:r>
    </w:p>
    <w:p w14:paraId="6F9A42AE" w14:textId="6EE21A7C" w:rsidR="00227F47" w:rsidRDefault="00176CC7" w:rsidP="00CE1F5A">
      <w:pPr>
        <w:pStyle w:val="Heading1"/>
      </w:pPr>
      <w:bookmarkStart w:id="1" w:name="_Toc442976718"/>
      <w:r>
        <w:t>Service hours and exceptions</w:t>
      </w:r>
      <w:bookmarkEnd w:id="1"/>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2" w:name="_Toc442976719"/>
      <w:r>
        <w:t>Support</w:t>
      </w:r>
      <w:bookmarkEnd w:id="2"/>
    </w:p>
    <w:p w14:paraId="2E2C6A8B" w14:textId="77777777" w:rsidR="00D63871" w:rsidRPr="00D63871" w:rsidRDefault="00D63871" w:rsidP="00D63871">
      <w:bookmarkStart w:id="3" w:name="_Toc403992926"/>
      <w:r>
        <w:t>As defined in Resource Center OLA.</w:t>
      </w:r>
    </w:p>
    <w:p w14:paraId="6F3E2817" w14:textId="3E94FCCE" w:rsidR="00176CC7" w:rsidRDefault="00176CC7" w:rsidP="00D206E9">
      <w:pPr>
        <w:pStyle w:val="Heading2"/>
      </w:pPr>
      <w:bookmarkStart w:id="4" w:name="_Toc442976720"/>
      <w:r w:rsidRPr="00B97954">
        <w:t>Incident handling</w:t>
      </w:r>
      <w:bookmarkEnd w:id="3"/>
      <w:bookmarkEnd w:id="4"/>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5" w:name="_Toc442976721"/>
      <w:r w:rsidRPr="00176CC7">
        <w:t>Service requests</w:t>
      </w:r>
      <w:bookmarkEnd w:id="5"/>
    </w:p>
    <w:p w14:paraId="6C19DCBC" w14:textId="77777777" w:rsidR="00D63871" w:rsidRPr="00D63871" w:rsidRDefault="00D63871" w:rsidP="00D63871">
      <w:bookmarkStart w:id="6" w:name="_Toc403992928"/>
      <w:r>
        <w:t>As defined in Resource Center OLA.</w:t>
      </w:r>
    </w:p>
    <w:p w14:paraId="0A2BC1F5" w14:textId="143941C4" w:rsidR="00227F47" w:rsidRPr="00176CC7" w:rsidRDefault="00176CC7" w:rsidP="00CE1F5A">
      <w:pPr>
        <w:pStyle w:val="Heading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02DA9F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97A13">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573ADAEE"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97A13">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42976723"/>
      <w:r>
        <w:lastRenderedPageBreak/>
        <w:t>Limitations and</w:t>
      </w:r>
      <w:r w:rsidRPr="00B97954">
        <w:t xml:space="preserve"> constraints</w:t>
      </w:r>
      <w:bookmarkEnd w:id="8"/>
      <w:bookmarkEnd w:id="9"/>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87545C"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038C731" w14:textId="77777777" w:rsidR="001843CC" w:rsidRDefault="001843CC" w:rsidP="005B4FC6">
            <w:r w:rsidRPr="001843CC">
              <w:t xml:space="preserve">Piotr </w:t>
            </w:r>
            <w:r>
              <w:t xml:space="preserve">Kasprzak </w:t>
            </w:r>
          </w:p>
          <w:p w14:paraId="0D1F9537" w14:textId="4E2693E3" w:rsidR="00542830" w:rsidRPr="0097663A" w:rsidRDefault="001843CC" w:rsidP="005B4FC6">
            <w:hyperlink r:id="rId12" w:history="1">
              <w:r w:rsidRPr="008736D1">
                <w:rPr>
                  <w:rStyle w:val="Hyperlink"/>
                </w:rPr>
                <w:t>piotr.kasprzak@gwdg.de</w:t>
              </w:r>
            </w:hyperlink>
            <w:r>
              <w:t xml:space="preserve"> </w:t>
            </w:r>
            <w:bookmarkStart w:id="21" w:name="_GoBack"/>
            <w:bookmarkEnd w:id="21"/>
          </w:p>
        </w:tc>
      </w:tr>
      <w:tr w:rsidR="00542830" w:rsidRPr="00B97954" w14:paraId="4CC810DD" w14:textId="77777777" w:rsidTr="00542830">
        <w:tc>
          <w:tcPr>
            <w:tcW w:w="4605" w:type="dxa"/>
            <w:shd w:val="clear" w:color="auto" w:fill="B8CCE4" w:themeFill="accent1" w:themeFillTint="66"/>
          </w:tcPr>
          <w:p w14:paraId="559517F6" w14:textId="7D3E9AC2"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31A8" w14:textId="77777777" w:rsidR="0087545C" w:rsidRDefault="0087545C" w:rsidP="00835E24">
      <w:pPr>
        <w:spacing w:after="0" w:line="240" w:lineRule="auto"/>
      </w:pPr>
      <w:r>
        <w:separator/>
      </w:r>
    </w:p>
  </w:endnote>
  <w:endnote w:type="continuationSeparator" w:id="0">
    <w:p w14:paraId="218F4413" w14:textId="77777777" w:rsidR="0087545C" w:rsidRDefault="0087545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7545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843CC">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7545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23C2" w14:textId="77777777" w:rsidR="0087545C" w:rsidRDefault="0087545C" w:rsidP="00835E24">
      <w:pPr>
        <w:spacing w:after="0" w:line="240" w:lineRule="auto"/>
      </w:pPr>
      <w:r>
        <w:separator/>
      </w:r>
    </w:p>
  </w:footnote>
  <w:footnote w:type="continuationSeparator" w:id="0">
    <w:p w14:paraId="6FB740BB" w14:textId="77777777" w:rsidR="0087545C" w:rsidRDefault="0087545C"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43CC"/>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7A13"/>
    <w:rsid w:val="007A3ECC"/>
    <w:rsid w:val="007B6C0B"/>
    <w:rsid w:val="007C78CA"/>
    <w:rsid w:val="00813ED4"/>
    <w:rsid w:val="00835E24"/>
    <w:rsid w:val="00840515"/>
    <w:rsid w:val="00873234"/>
    <w:rsid w:val="0087545C"/>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iotr.kasprzak@gwd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C7B0-8375-498D-809B-B016DD30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68</cp:revision>
  <cp:lastPrinted>2015-12-11T13:29:00Z</cp:lastPrinted>
  <dcterms:created xsi:type="dcterms:W3CDTF">2015-11-24T16:38:00Z</dcterms:created>
  <dcterms:modified xsi:type="dcterms:W3CDTF">2016-03-01T16:23:00Z</dcterms:modified>
</cp:coreProperties>
</file>