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0059FDF1" w:rsidR="0025073C" w:rsidRPr="006D1955" w:rsidRDefault="0025073C" w:rsidP="006D1955">
      <w:pPr>
        <w:jc w:val="center"/>
        <w:rPr>
          <w:b/>
          <w:sz w:val="44"/>
        </w:rPr>
      </w:pPr>
      <w:r w:rsidRPr="0025073C">
        <w:rPr>
          <w:b/>
          <w:sz w:val="44"/>
        </w:rPr>
        <w:t>Activities and services for the long tail of science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8F3A0A2"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BELNET</w:t>
            </w:r>
            <w:r>
              <w:rPr>
                <w:rFonts w:asciiTheme="minorHAnsi" w:hAnsiTheme="minorHAnsi" w:cs="Open Sans"/>
                <w:b/>
              </w:rPr>
              <w:t>,</w:t>
            </w:r>
            <w:r w:rsidRPr="006B5312">
              <w:rPr>
                <w:rFonts w:asciiTheme="minorHAnsi" w:hAnsiTheme="minorHAnsi" w:cs="Open Sans"/>
                <w:b/>
              </w:rPr>
              <w:t xml:space="preserve"> 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AA666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A666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A666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928D6F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6B5312" w:rsidRPr="006B5312">
        <w:rPr>
          <w:rFonts w:asciiTheme="minorHAnsi" w:hAnsiTheme="minorHAnsi" w:cs="Open Sans"/>
          <w:b/>
        </w:rPr>
        <w:t>BELNET</w:t>
      </w:r>
      <w:r w:rsidR="006B5312">
        <w:rPr>
          <w:rFonts w:asciiTheme="minorHAnsi" w:hAnsiTheme="minorHAnsi" w:cs="Open Sans"/>
          <w:b/>
        </w:rPr>
        <w:t>,</w:t>
      </w:r>
      <w:r w:rsidR="006B5312" w:rsidRPr="006B5312">
        <w:rPr>
          <w:rFonts w:asciiTheme="minorHAnsi" w:hAnsiTheme="minorHAnsi" w:cs="Open Sans"/>
          <w:b/>
        </w:rPr>
        <w:t xml:space="preserve"> CYFRONET</w:t>
      </w:r>
      <w:r w:rsidR="006B5312">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2534E778" w:rsidR="00063A9D" w:rsidRPr="00507E5E" w:rsidRDefault="00507E5E" w:rsidP="00507E5E">
            <w:r w:rsidRPr="00507E5E">
              <w:t>Operation of the e-grant tool</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3C37791"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370F6D5D" w:rsidR="00D63871" w:rsidRDefault="00D63871" w:rsidP="00D63871">
      <w:bookmarkStart w:id="3" w:name="_Toc403992926"/>
      <w:r>
        <w:t xml:space="preserve">As defined in </w:t>
      </w:r>
      <w:r w:rsidR="00045560" w:rsidRPr="00045560">
        <w:t xml:space="preserve">Corporate-level EGI Operational </w:t>
      </w:r>
      <w:r w:rsidR="0025073C">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6B5312">
        <w:rPr>
          <w:rStyle w:val="CommentReference"/>
        </w:rPr>
        <w:commentReference w:id="4"/>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5DD2D6BD"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127E1E2A" w:rsidR="00045560" w:rsidRPr="00D63871" w:rsidRDefault="00D63871" w:rsidP="00D63871">
      <w:bookmarkStart w:id="7" w:name="_Toc403992928"/>
      <w:r>
        <w:t xml:space="preserve">As defined in </w:t>
      </w:r>
      <w:r w:rsidR="00045560" w:rsidRPr="00045560">
        <w:t xml:space="preserve">Corporate-level EGI Operational </w:t>
      </w:r>
      <w:r w:rsidR="0025073C">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9"/>
      <w:r w:rsidR="005B4FC6" w:rsidRPr="003B3E2E">
        <w:rPr>
          <w:highlight w:val="yellow"/>
        </w:rPr>
        <w:t>XX%</w:t>
      </w:r>
      <w:commentRangeEnd w:id="9"/>
      <w:r w:rsidR="006B5312">
        <w:rPr>
          <w:rStyle w:val="CommentReference"/>
          <w:spacing w:val="2"/>
        </w:rPr>
        <w:commentReference w:id="9"/>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10"/>
      <w:r w:rsidR="005B4FC6" w:rsidRPr="003B3E2E">
        <w:rPr>
          <w:highlight w:val="yellow"/>
        </w:rPr>
        <w:t>XX%</w:t>
      </w:r>
      <w:commentRangeEnd w:id="10"/>
      <w:r w:rsidR="006B5312">
        <w:rPr>
          <w:rStyle w:val="CommentReference"/>
          <w:spacing w:val="2"/>
        </w:rPr>
        <w:commentReference w:id="10"/>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49BA6642" w:rsidR="00045560" w:rsidRPr="00ED3D0A" w:rsidRDefault="00D63871" w:rsidP="00542830">
      <w:r>
        <w:t xml:space="preserve">As defined in </w:t>
      </w:r>
      <w:r w:rsidR="00045560" w:rsidRPr="00045560">
        <w:t xml:space="preserve">Corporate-level EGI Operational </w:t>
      </w:r>
      <w:r w:rsidR="0025073C">
        <w:t>Level</w:t>
      </w:r>
      <w:r w:rsidR="00045560" w:rsidRPr="00045560">
        <w:t xml:space="preserve">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lastRenderedPageBreak/>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51402CA" w14:textId="77777777" w:rsidR="006B5312" w:rsidRDefault="006B5312" w:rsidP="0053196A">
            <w:pPr>
              <w:rPr>
                <w:rFonts w:cs="Open Sans"/>
              </w:rPr>
            </w:pPr>
            <w:r>
              <w:rPr>
                <w:rFonts w:cs="Open Sans"/>
              </w:rPr>
              <w:t xml:space="preserve">Peter </w:t>
            </w:r>
            <w:proofErr w:type="spellStart"/>
            <w:r>
              <w:rPr>
                <w:rFonts w:cs="Open Sans"/>
              </w:rPr>
              <w:t>Solagna</w:t>
            </w:r>
            <w:proofErr w:type="spellEnd"/>
          </w:p>
          <w:p w14:paraId="62484D7A" w14:textId="7ADA24EF" w:rsidR="0063063E" w:rsidRPr="009C77B1" w:rsidRDefault="00AA6666" w:rsidP="0053196A">
            <w:pPr>
              <w:rPr>
                <w:rFonts w:cs="Open Sans"/>
                <w:highlight w:val="yellow"/>
                <w:lang w:val="it-IT"/>
              </w:rPr>
            </w:pPr>
            <w:hyperlink r:id="rId13"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4BBBE8F5"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4" w:name="_Toc403992932"/>
      <w:bookmarkStart w:id="25" w:name="_Toc443560640"/>
      <w:r w:rsidRPr="00B97954">
        <w:t>Regular reporting</w:t>
      </w:r>
      <w:bookmarkEnd w:id="24"/>
      <w:bookmarkEnd w:id="25"/>
    </w:p>
    <w:p w14:paraId="783316AA" w14:textId="46A90287" w:rsidR="00D63871" w:rsidRDefault="00D63871" w:rsidP="00D63871">
      <w:bookmarkStart w:id="26"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D76ED" w:rsidRPr="00431CB0" w14:paraId="3E41FE77" w14:textId="77777777" w:rsidTr="00FE3807">
        <w:tc>
          <w:tcPr>
            <w:tcW w:w="1250" w:type="pct"/>
            <w:shd w:val="clear" w:color="auto" w:fill="auto"/>
          </w:tcPr>
          <w:p w14:paraId="6ED8BBB9" w14:textId="7115AD4B" w:rsidR="000D76ED" w:rsidRPr="00431CB0" w:rsidRDefault="000D76ED" w:rsidP="00FE3807">
            <w:pPr>
              <w:jc w:val="left"/>
              <w:rPr>
                <w:rFonts w:cs="Open Sans"/>
                <w:highlight w:val="green"/>
              </w:rPr>
            </w:pPr>
            <w:bookmarkStart w:id="27" w:name="_GoBack" w:colFirst="0" w:colLast="3"/>
            <w:r w:rsidRPr="00431CB0">
              <w:rPr>
                <w:rFonts w:cs="Open Sans"/>
              </w:rPr>
              <w:t>Service Performance Report</w:t>
            </w:r>
          </w:p>
        </w:tc>
        <w:tc>
          <w:tcPr>
            <w:tcW w:w="1250" w:type="pct"/>
            <w:shd w:val="clear" w:color="auto" w:fill="auto"/>
          </w:tcPr>
          <w:p w14:paraId="0BA699CD" w14:textId="68003F3C" w:rsidR="000D76ED" w:rsidRPr="00431CB0" w:rsidRDefault="000D76ED"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102226">
            <w:pPr>
              <w:jc w:val="left"/>
              <w:rPr>
                <w:rFonts w:cs="Open Sans"/>
              </w:rPr>
            </w:pPr>
            <w:r>
              <w:rPr>
                <w:rFonts w:cs="Open Sans"/>
              </w:rPr>
              <w:t>M</w:t>
            </w:r>
            <w:r w:rsidRPr="00013C1F">
              <w:rPr>
                <w:rFonts w:cs="Open Sans"/>
              </w:rPr>
              <w:t>ay-Aug 2016: 4 Months report</w:t>
            </w:r>
          </w:p>
          <w:p w14:paraId="6BB43033" w14:textId="77777777" w:rsidR="000D76ED" w:rsidRDefault="000D76ED" w:rsidP="00102226">
            <w:pPr>
              <w:jc w:val="left"/>
              <w:rPr>
                <w:rFonts w:cs="Open Sans"/>
              </w:rPr>
            </w:pPr>
            <w:r w:rsidRPr="00013C1F">
              <w:rPr>
                <w:rFonts w:cs="Open Sans"/>
              </w:rPr>
              <w:t>Sept-Dec 2016: 4 Months report</w:t>
            </w:r>
          </w:p>
          <w:p w14:paraId="7AAA14A7" w14:textId="77777777" w:rsidR="000D76ED" w:rsidRPr="00013C1F" w:rsidRDefault="000D76ED" w:rsidP="00102226">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2894AEB" w14:textId="77777777" w:rsidR="000D76ED" w:rsidRPr="00431CB0" w:rsidRDefault="000D76ED"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r w:rsidRPr="00431CB0">
              <w:rPr>
                <w:rFonts w:cs="Open Sans"/>
              </w:rPr>
              <w:t>the Customer contact</w:t>
            </w:r>
            <w:r w:rsidRPr="00431CB0">
              <w:rPr>
                <w:rFonts w:cs="Open Sans"/>
                <w:b/>
              </w:rPr>
              <w:t xml:space="preserve"> </w:t>
            </w:r>
          </w:p>
        </w:tc>
      </w:tr>
      <w:bookmarkEnd w:id="27"/>
    </w:tbl>
    <w:p w14:paraId="334A41F3" w14:textId="07BCF6B0" w:rsidR="00045560" w:rsidRPr="00D63871" w:rsidRDefault="00045560" w:rsidP="00D63871"/>
    <w:p w14:paraId="1B838A2D" w14:textId="77777777" w:rsidR="00542830" w:rsidRPr="00B97954" w:rsidRDefault="00542830" w:rsidP="00D206E9">
      <w:pPr>
        <w:pStyle w:val="Heading2"/>
      </w:pPr>
      <w:bookmarkStart w:id="28" w:name="_Toc443560641"/>
      <w:r>
        <w:t>V</w:t>
      </w:r>
      <w:r w:rsidRPr="00B97954">
        <w:t>iolations</w:t>
      </w:r>
      <w:bookmarkEnd w:id="26"/>
      <w:bookmarkEnd w:id="28"/>
    </w:p>
    <w:p w14:paraId="7C084582" w14:textId="6B4D77CE" w:rsidR="00FB2EA4" w:rsidRPr="00D63871" w:rsidRDefault="00D63871" w:rsidP="00D63871">
      <w:bookmarkStart w:id="29" w:name="_Toc403992934"/>
      <w:r>
        <w:t xml:space="preserve">As defined in </w:t>
      </w:r>
      <w:r w:rsidR="00045560" w:rsidRPr="00045560">
        <w:t xml:space="preserve">Corporate-level EGI Operational </w:t>
      </w:r>
      <w:r w:rsidR="0025073C">
        <w:t>Level</w:t>
      </w:r>
      <w:r w:rsidR="00045560" w:rsidRPr="00045560">
        <w:t xml:space="preserve"> Agreement</w:t>
      </w:r>
      <w:r>
        <w:t>.</w:t>
      </w:r>
    </w:p>
    <w:p w14:paraId="4EE153FA" w14:textId="49C73FEE" w:rsidR="00542830" w:rsidRDefault="00542830" w:rsidP="00D206E9">
      <w:pPr>
        <w:pStyle w:val="Heading2"/>
      </w:pPr>
      <w:bookmarkStart w:id="30" w:name="_Toc443560642"/>
      <w:r w:rsidRPr="00B97954">
        <w:lastRenderedPageBreak/>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42D500FF" w14:textId="34811D81" w:rsidR="00FB2EA4" w:rsidRPr="00D63871" w:rsidRDefault="00D63871" w:rsidP="00D63871">
      <w:bookmarkStart w:id="33"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7" w:name="_Toc443560646"/>
      <w:r>
        <w:t xml:space="preserve">Of the </w:t>
      </w:r>
      <w:r w:rsidRPr="00B97954">
        <w:t>Customer</w:t>
      </w:r>
      <w:bookmarkEnd w:id="37"/>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8" w:name="_Toc403992938"/>
      <w:bookmarkStart w:id="39" w:name="_Toc443560647"/>
      <w:r w:rsidRPr="00B97954">
        <w:t>Review</w:t>
      </w:r>
      <w:bookmarkEnd w:id="38"/>
      <w:r>
        <w:t>, extensions and termination</w:t>
      </w:r>
      <w:bookmarkEnd w:id="3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05:00Z" w:initials="MK">
    <w:p w14:paraId="4A2A8E12" w14:textId="54C06C51" w:rsidR="006B5312" w:rsidRDefault="006B5312">
      <w:pPr>
        <w:pStyle w:val="CommentText"/>
      </w:pPr>
      <w:r>
        <w:rPr>
          <w:rStyle w:val="CommentReference"/>
        </w:rPr>
        <w:annotationRef/>
      </w:r>
      <w:r>
        <w:t>To be defined</w:t>
      </w:r>
    </w:p>
  </w:comment>
  <w:comment w:id="9" w:author="Malgorzata Krakowian" w:date="2016-03-16T14:05:00Z" w:initials="MK">
    <w:p w14:paraId="750849D2" w14:textId="00069965" w:rsidR="006B5312" w:rsidRDefault="006B5312">
      <w:pPr>
        <w:pStyle w:val="CommentText"/>
      </w:pPr>
      <w:r>
        <w:rPr>
          <w:rStyle w:val="CommentReference"/>
        </w:rPr>
        <w:annotationRef/>
      </w:r>
      <w:r>
        <w:t xml:space="preserve">To be agreed with Peter </w:t>
      </w:r>
      <w:proofErr w:type="spellStart"/>
      <w:r>
        <w:t>Solagna</w:t>
      </w:r>
      <w:proofErr w:type="spellEnd"/>
    </w:p>
  </w:comment>
  <w:comment w:id="10" w:author="Malgorzata Krakowian" w:date="2016-03-16T14:05:00Z" w:initials="MK">
    <w:p w14:paraId="430397B8" w14:textId="77777777" w:rsidR="006B5312" w:rsidRDefault="006B5312" w:rsidP="006B5312">
      <w:pPr>
        <w:pStyle w:val="CommentText"/>
      </w:pPr>
      <w:r>
        <w:rPr>
          <w:rStyle w:val="CommentReference"/>
        </w:rPr>
        <w:annotationRef/>
      </w:r>
      <w:r>
        <w:t xml:space="preserve">To be agreed with Peter </w:t>
      </w:r>
      <w:proofErr w:type="spellStart"/>
      <w:r>
        <w:t>Solagna</w:t>
      </w:r>
      <w:proofErr w:type="spellEnd"/>
    </w:p>
    <w:p w14:paraId="70245469" w14:textId="3CC74089" w:rsidR="006B5312" w:rsidRDefault="006B531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C716" w14:textId="77777777" w:rsidR="00AA6666" w:rsidRDefault="00AA6666" w:rsidP="00835E24">
      <w:pPr>
        <w:spacing w:after="0" w:line="240" w:lineRule="auto"/>
      </w:pPr>
      <w:r>
        <w:separator/>
      </w:r>
    </w:p>
  </w:endnote>
  <w:endnote w:type="continuationSeparator" w:id="0">
    <w:p w14:paraId="1CF831DB" w14:textId="77777777" w:rsidR="00AA6666" w:rsidRDefault="00AA666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A666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D76ED">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A666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59E6D" w14:textId="77777777" w:rsidR="00AA6666" w:rsidRDefault="00AA6666" w:rsidP="00835E24">
      <w:pPr>
        <w:spacing w:after="0" w:line="240" w:lineRule="auto"/>
      </w:pPr>
      <w:r>
        <w:separator/>
      </w:r>
    </w:p>
  </w:footnote>
  <w:footnote w:type="continuationSeparator" w:id="0">
    <w:p w14:paraId="1AB3F867" w14:textId="77777777" w:rsidR="00AA6666" w:rsidRDefault="00AA666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10A8780" w14:textId="77777777" w:rsidR="000D76ED" w:rsidRDefault="000D76ED">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D76ED"/>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65FD"/>
    <w:rsid w:val="009A295C"/>
    <w:rsid w:val="009C77B1"/>
    <w:rsid w:val="009F1E23"/>
    <w:rsid w:val="009F3533"/>
    <w:rsid w:val="009F5A4E"/>
    <w:rsid w:val="00A001E1"/>
    <w:rsid w:val="00A0444F"/>
    <w:rsid w:val="00A05867"/>
    <w:rsid w:val="00A312B2"/>
    <w:rsid w:val="00A5267D"/>
    <w:rsid w:val="00A53F7F"/>
    <w:rsid w:val="00A67816"/>
    <w:rsid w:val="00A77123"/>
    <w:rsid w:val="00AA6666"/>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A170-2251-4304-BE70-3F1B8E7F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2016-03-18T15:23:00Z</dcterms:modified>
</cp:coreProperties>
</file>