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625EF35" w:rsidR="006D1955" w:rsidRDefault="00716E76" w:rsidP="006D1955">
      <w:pPr>
        <w:jc w:val="center"/>
        <w:rPr>
          <w:b/>
          <w:sz w:val="44"/>
        </w:rPr>
      </w:pPr>
      <w:r>
        <w:rPr>
          <w:b/>
          <w:sz w:val="44"/>
        </w:rPr>
        <w:t>EGI.eu</w:t>
      </w:r>
    </w:p>
    <w:p w14:paraId="286E2FA1" w14:textId="0DBB2CBB" w:rsidR="00716E76" w:rsidRPr="006D1955" w:rsidRDefault="00716E76" w:rsidP="006D1955">
      <w:pPr>
        <w:jc w:val="center"/>
        <w:rPr>
          <w:b/>
          <w:sz w:val="44"/>
        </w:rPr>
      </w:pPr>
      <w:r w:rsidRPr="00716E76">
        <w:rPr>
          <w:b/>
          <w:sz w:val="44"/>
        </w:rPr>
        <w:t>Appliances and software database (AppDB)</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0489FFC2" w:rsidR="006D1955" w:rsidRPr="002C551F" w:rsidRDefault="009E422B" w:rsidP="0063063E">
            <w:pPr>
              <w:snapToGrid w:val="0"/>
              <w:spacing w:before="120"/>
              <w:jc w:val="left"/>
              <w:rPr>
                <w:rFonts w:asciiTheme="minorHAnsi" w:hAnsiTheme="minorHAnsi" w:cs="Open Sans"/>
                <w:b/>
              </w:rPr>
            </w:pPr>
            <w:r w:rsidRPr="009E422B">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45271A" w:rsidRDefault="006D1955" w:rsidP="0053196A">
            <w:pPr>
              <w:snapToGrid w:val="0"/>
              <w:spacing w:before="120"/>
              <w:rPr>
                <w:rFonts w:asciiTheme="minorHAnsi" w:hAnsiTheme="minorHAnsi" w:cs="Open Sans"/>
                <w:b/>
              </w:rPr>
            </w:pPr>
            <w:r w:rsidRPr="0045271A">
              <w:rPr>
                <w:rFonts w:asciiTheme="minorHAnsi" w:hAnsiTheme="minorHAnsi" w:cs="Open Sans"/>
                <w:b/>
              </w:rPr>
              <w:t>Status</w:t>
            </w:r>
          </w:p>
        </w:tc>
        <w:tc>
          <w:tcPr>
            <w:tcW w:w="3968" w:type="dxa"/>
            <w:shd w:val="clear" w:color="auto" w:fill="auto"/>
            <w:vAlign w:val="center"/>
          </w:tcPr>
          <w:p w14:paraId="0BCA1EEF" w14:textId="738FDC00" w:rsidR="006D1955" w:rsidRPr="0045271A" w:rsidRDefault="0045271A" w:rsidP="00ED3D0A">
            <w:pPr>
              <w:pStyle w:val="DocDate"/>
              <w:snapToGrid w:val="0"/>
              <w:jc w:val="left"/>
              <w:rPr>
                <w:rFonts w:asciiTheme="minorHAnsi" w:hAnsiTheme="minorHAnsi" w:cs="Open Sans"/>
                <w:b w:val="0"/>
              </w:rPr>
            </w:pPr>
            <w:r w:rsidRPr="0045271A">
              <w:rPr>
                <w:rFonts w:asciiTheme="minorHAnsi" w:hAnsiTheme="minorHAnsi" w:cs="Open Sans"/>
                <w:b w:val="0"/>
              </w:rPr>
              <w: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45271A" w:rsidRDefault="006D1955" w:rsidP="0053196A">
            <w:pPr>
              <w:snapToGrid w:val="0"/>
              <w:spacing w:before="120"/>
              <w:rPr>
                <w:rFonts w:asciiTheme="minorHAnsi" w:hAnsiTheme="minorHAnsi" w:cs="Open Sans"/>
                <w:b/>
              </w:rPr>
            </w:pPr>
            <w:r w:rsidRPr="0045271A">
              <w:rPr>
                <w:rFonts w:asciiTheme="minorHAnsi" w:hAnsiTheme="minorHAnsi" w:cs="Open Sans"/>
                <w:b/>
              </w:rPr>
              <w:t>Agreement Date</w:t>
            </w:r>
          </w:p>
        </w:tc>
        <w:tc>
          <w:tcPr>
            <w:tcW w:w="3968" w:type="dxa"/>
            <w:shd w:val="clear" w:color="auto" w:fill="auto"/>
            <w:vAlign w:val="center"/>
          </w:tcPr>
          <w:p w14:paraId="3297CBFF" w14:textId="4AD64D91" w:rsidR="006D1955" w:rsidRPr="0045271A" w:rsidRDefault="0045271A" w:rsidP="0045271A">
            <w:pPr>
              <w:pStyle w:val="DocDate"/>
              <w:snapToGrid w:val="0"/>
              <w:jc w:val="left"/>
              <w:rPr>
                <w:rFonts w:asciiTheme="minorHAnsi" w:hAnsiTheme="minorHAnsi" w:cs="Open Sans"/>
                <w:b w:val="0"/>
              </w:rPr>
            </w:pPr>
            <w:r w:rsidRPr="0045271A">
              <w:rPr>
                <w:rFonts w:asciiTheme="minorHAnsi" w:hAnsiTheme="minorHAnsi" w:cs="Open Sans"/>
                <w:b w:val="0"/>
              </w:rPr>
              <w:t>18.04.2016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E30DA9"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40F2225" w:rsidR="00EC504F" w:rsidRPr="002E5F1F" w:rsidRDefault="0045271A" w:rsidP="0053196A">
            <w:pPr>
              <w:pStyle w:val="NoSpacing"/>
              <w:rPr>
                <w:b/>
              </w:rPr>
            </w:pPr>
            <w:r>
              <w:rPr>
                <w:b/>
              </w:rPr>
              <w:t>FINAL</w:t>
            </w:r>
          </w:p>
        </w:tc>
        <w:tc>
          <w:tcPr>
            <w:tcW w:w="1418" w:type="dxa"/>
            <w:shd w:val="clear" w:color="auto" w:fill="auto"/>
          </w:tcPr>
          <w:p w14:paraId="549B6DAB" w14:textId="439DB444" w:rsidR="00EC504F" w:rsidRDefault="0045271A" w:rsidP="0053196A">
            <w:pPr>
              <w:pStyle w:val="NoSpacing"/>
            </w:pPr>
            <w:r w:rsidRPr="0045271A">
              <w:rPr>
                <w:rFonts w:asciiTheme="minorHAnsi" w:hAnsiTheme="minorHAnsi" w:cs="Open Sans"/>
                <w:b/>
              </w:rPr>
              <w:t>18.04.2016</w:t>
            </w:r>
          </w:p>
        </w:tc>
        <w:tc>
          <w:tcPr>
            <w:tcW w:w="4536" w:type="dxa"/>
            <w:shd w:val="clear" w:color="auto" w:fill="auto"/>
          </w:tcPr>
          <w:p w14:paraId="69CB229F" w14:textId="141971D8" w:rsidR="00EC504F" w:rsidRDefault="0045271A" w:rsidP="0053196A">
            <w:pPr>
              <w:pStyle w:val="NoSpacing"/>
            </w:pPr>
            <w:r>
              <w:t>Final version</w:t>
            </w: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343532">
              <w:rPr>
                <w:noProof/>
                <w:webHidden/>
              </w:rPr>
              <w:t>4</w:t>
            </w:r>
            <w:r w:rsidR="002F3F58">
              <w:rPr>
                <w:noProof/>
                <w:webHidden/>
              </w:rPr>
              <w:fldChar w:fldCharType="end"/>
            </w:r>
          </w:hyperlink>
        </w:p>
        <w:p w14:paraId="6AD5AA0A" w14:textId="77777777" w:rsidR="002F3F58" w:rsidRDefault="00E30DA9">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343532">
              <w:rPr>
                <w:noProof/>
                <w:webHidden/>
              </w:rPr>
              <w:t>5</w:t>
            </w:r>
            <w:r w:rsidR="002F3F58">
              <w:rPr>
                <w:noProof/>
                <w:webHidden/>
              </w:rPr>
              <w:fldChar w:fldCharType="end"/>
            </w:r>
          </w:hyperlink>
        </w:p>
        <w:p w14:paraId="21E94090" w14:textId="77777777" w:rsidR="002F3F58" w:rsidRDefault="00E30DA9">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343532">
              <w:rPr>
                <w:noProof/>
                <w:webHidden/>
              </w:rPr>
              <w:t>5</w:t>
            </w:r>
            <w:r w:rsidR="002F3F58">
              <w:rPr>
                <w:noProof/>
                <w:webHidden/>
              </w:rPr>
              <w:fldChar w:fldCharType="end"/>
            </w:r>
          </w:hyperlink>
        </w:p>
        <w:p w14:paraId="0C5EA29E" w14:textId="77777777" w:rsidR="002F3F58" w:rsidRDefault="00E30DA9">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343532">
              <w:rPr>
                <w:noProof/>
                <w:webHidden/>
              </w:rPr>
              <w:t>6</w:t>
            </w:r>
            <w:r w:rsidR="002F3F58">
              <w:rPr>
                <w:noProof/>
                <w:webHidden/>
              </w:rPr>
              <w:fldChar w:fldCharType="end"/>
            </w:r>
          </w:hyperlink>
        </w:p>
        <w:p w14:paraId="259133C2" w14:textId="77777777" w:rsidR="002F3F58" w:rsidRDefault="00E30DA9">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343532">
              <w:rPr>
                <w:noProof/>
                <w:webHidden/>
              </w:rPr>
              <w:t>6</w:t>
            </w:r>
            <w:r w:rsidR="002F3F58">
              <w:rPr>
                <w:noProof/>
                <w:webHidden/>
              </w:rPr>
              <w:fldChar w:fldCharType="end"/>
            </w:r>
          </w:hyperlink>
        </w:p>
        <w:p w14:paraId="4E7B6155" w14:textId="77777777" w:rsidR="002F3F58" w:rsidRDefault="00E30DA9">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343532">
              <w:rPr>
                <w:noProof/>
                <w:webHidden/>
              </w:rPr>
              <w:t>6</w:t>
            </w:r>
            <w:r w:rsidR="002F3F58">
              <w:rPr>
                <w:noProof/>
                <w:webHidden/>
              </w:rPr>
              <w:fldChar w:fldCharType="end"/>
            </w:r>
          </w:hyperlink>
        </w:p>
        <w:p w14:paraId="6E51DB22" w14:textId="77777777" w:rsidR="002F3F58" w:rsidRDefault="00E30DA9">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343532">
              <w:rPr>
                <w:noProof/>
                <w:webHidden/>
              </w:rPr>
              <w:t>6</w:t>
            </w:r>
            <w:r w:rsidR="002F3F58">
              <w:rPr>
                <w:noProof/>
                <w:webHidden/>
              </w:rPr>
              <w:fldChar w:fldCharType="end"/>
            </w:r>
          </w:hyperlink>
        </w:p>
        <w:p w14:paraId="55509EB6" w14:textId="77777777" w:rsidR="002F3F58" w:rsidRDefault="00E30DA9">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343532">
              <w:rPr>
                <w:noProof/>
                <w:webHidden/>
              </w:rPr>
              <w:t>6</w:t>
            </w:r>
            <w:r w:rsidR="002F3F58">
              <w:rPr>
                <w:noProof/>
                <w:webHidden/>
              </w:rPr>
              <w:fldChar w:fldCharType="end"/>
            </w:r>
          </w:hyperlink>
        </w:p>
        <w:p w14:paraId="10E59399" w14:textId="77777777" w:rsidR="002F3F58" w:rsidRDefault="00E30DA9">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343532">
              <w:rPr>
                <w:noProof/>
                <w:webHidden/>
              </w:rPr>
              <w:t>6</w:t>
            </w:r>
            <w:r w:rsidR="002F3F58">
              <w:rPr>
                <w:noProof/>
                <w:webHidden/>
              </w:rPr>
              <w:fldChar w:fldCharType="end"/>
            </w:r>
          </w:hyperlink>
        </w:p>
        <w:p w14:paraId="525C0223" w14:textId="77777777" w:rsidR="002F3F58" w:rsidRDefault="00E30DA9">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343532">
              <w:rPr>
                <w:noProof/>
                <w:webHidden/>
              </w:rPr>
              <w:t>7</w:t>
            </w:r>
            <w:r w:rsidR="002F3F58">
              <w:rPr>
                <w:noProof/>
                <w:webHidden/>
              </w:rPr>
              <w:fldChar w:fldCharType="end"/>
            </w:r>
          </w:hyperlink>
        </w:p>
        <w:p w14:paraId="2ECAE357" w14:textId="77777777" w:rsidR="002F3F58" w:rsidRDefault="00E30DA9">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343532">
              <w:rPr>
                <w:noProof/>
                <w:webHidden/>
              </w:rPr>
              <w:t>7</w:t>
            </w:r>
            <w:r w:rsidR="002F3F58">
              <w:rPr>
                <w:noProof/>
                <w:webHidden/>
              </w:rPr>
              <w:fldChar w:fldCharType="end"/>
            </w:r>
          </w:hyperlink>
        </w:p>
        <w:p w14:paraId="3880464A" w14:textId="77777777" w:rsidR="002F3F58" w:rsidRDefault="00E30DA9">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343532">
              <w:rPr>
                <w:noProof/>
                <w:webHidden/>
              </w:rPr>
              <w:t>8</w:t>
            </w:r>
            <w:r w:rsidR="002F3F58">
              <w:rPr>
                <w:noProof/>
                <w:webHidden/>
              </w:rPr>
              <w:fldChar w:fldCharType="end"/>
            </w:r>
          </w:hyperlink>
        </w:p>
        <w:p w14:paraId="2C155BE0" w14:textId="77777777" w:rsidR="002F3F58" w:rsidRDefault="00E30DA9">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343532">
              <w:rPr>
                <w:noProof/>
                <w:webHidden/>
              </w:rPr>
              <w:t>8</w:t>
            </w:r>
            <w:r w:rsidR="002F3F58">
              <w:rPr>
                <w:noProof/>
                <w:webHidden/>
              </w:rPr>
              <w:fldChar w:fldCharType="end"/>
            </w:r>
          </w:hyperlink>
        </w:p>
        <w:p w14:paraId="4A7275CB" w14:textId="77777777" w:rsidR="002F3F58" w:rsidRDefault="00E30DA9">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343532">
              <w:rPr>
                <w:noProof/>
                <w:webHidden/>
              </w:rPr>
              <w:t>8</w:t>
            </w:r>
            <w:r w:rsidR="002F3F58">
              <w:rPr>
                <w:noProof/>
                <w:webHidden/>
              </w:rPr>
              <w:fldChar w:fldCharType="end"/>
            </w:r>
          </w:hyperlink>
        </w:p>
        <w:p w14:paraId="241DC949" w14:textId="77777777" w:rsidR="002F3F58" w:rsidRDefault="00E30DA9">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343532">
              <w:rPr>
                <w:noProof/>
                <w:webHidden/>
              </w:rPr>
              <w:t>8</w:t>
            </w:r>
            <w:r w:rsidR="002F3F58">
              <w:rPr>
                <w:noProof/>
                <w:webHidden/>
              </w:rPr>
              <w:fldChar w:fldCharType="end"/>
            </w:r>
          </w:hyperlink>
        </w:p>
        <w:p w14:paraId="25BFB583" w14:textId="77777777" w:rsidR="002F3F58" w:rsidRDefault="00E30DA9">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343532">
              <w:rPr>
                <w:noProof/>
                <w:webHidden/>
              </w:rPr>
              <w:t>8</w:t>
            </w:r>
            <w:r w:rsidR="002F3F58">
              <w:rPr>
                <w:noProof/>
                <w:webHidden/>
              </w:rPr>
              <w:fldChar w:fldCharType="end"/>
            </w:r>
          </w:hyperlink>
        </w:p>
        <w:p w14:paraId="46A31AB6" w14:textId="77777777" w:rsidR="002F3F58" w:rsidRDefault="00E30DA9">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343532">
              <w:rPr>
                <w:noProof/>
                <w:webHidden/>
              </w:rPr>
              <w:t>9</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102FAE49"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9E422B" w:rsidRPr="009E422B">
        <w:rPr>
          <w:b/>
        </w:rPr>
        <w:t>GRNET</w:t>
      </w:r>
      <w:r w:rsidR="009E422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09382A34" w:rsidR="00D63871" w:rsidRDefault="00CE1F5A" w:rsidP="00CE1F5A">
      <w:r>
        <w:t xml:space="preserve">The Agreement was discussed and approved by the Customer and the Provider </w:t>
      </w:r>
      <w:r w:rsidR="0045271A" w:rsidRPr="0045271A">
        <w:rPr>
          <w:rFonts w:asciiTheme="minorHAnsi" w:hAnsiTheme="minorHAnsi" w:cs="Open Sans"/>
          <w:b/>
        </w:rPr>
        <w:t>18.04.2016</w:t>
      </w:r>
    </w:p>
    <w:p w14:paraId="3D376B76" w14:textId="52E2EB61" w:rsidR="00BC2619" w:rsidRDefault="00D63871" w:rsidP="00CE1F5A">
      <w:r>
        <w:t>The Agreement extends t</w:t>
      </w:r>
      <w:r w:rsidR="00BC2619">
        <w:t xml:space="preserve">he </w:t>
      </w:r>
      <w:r w:rsidR="00045560" w:rsidRPr="00045560">
        <w:t xml:space="preserve">Corporate-level EGI Operational </w:t>
      </w:r>
      <w:r w:rsidR="00716E76">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9E52C3E" w:rsidR="00063A9D" w:rsidRPr="00063A9D" w:rsidRDefault="0036707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E201A0C" w14:textId="58A96D07" w:rsidR="00367078" w:rsidRDefault="00367078" w:rsidP="00367078">
            <w:r>
              <w:t>The service is composed by the following components:</w:t>
            </w:r>
          </w:p>
          <w:p w14:paraId="5094095D" w14:textId="26B2240B" w:rsidR="00367078" w:rsidRDefault="00367078" w:rsidP="003875E3">
            <w:pPr>
              <w:pStyle w:val="ListParagraph"/>
              <w:numPr>
                <w:ilvl w:val="0"/>
                <w:numId w:val="10"/>
              </w:numPr>
            </w:pPr>
            <w:r>
              <w:t>Software marketplace: a registry to manage software items as applications, tools, utilities, etc. The software marketplace supports the following categories: Application, Tool, Science gateway, Workflow, Middleware product.</w:t>
            </w:r>
          </w:p>
          <w:p w14:paraId="5A3807CE" w14:textId="1B3B2F9F" w:rsidR="00367078" w:rsidRDefault="00367078" w:rsidP="003875E3">
            <w:pPr>
              <w:pStyle w:val="ListParagraph"/>
              <w:numPr>
                <w:ilvl w:val="0"/>
                <w:numId w:val="10"/>
              </w:numPr>
            </w:pPr>
            <w:r>
              <w:t>Cloud marketplace: bundles a set of features that are part of the EGI Collaboration platform as:</w:t>
            </w:r>
          </w:p>
          <w:p w14:paraId="32904D91" w14:textId="14809BDF" w:rsidR="00367078" w:rsidRDefault="00367078" w:rsidP="003875E3">
            <w:pPr>
              <w:pStyle w:val="ListParagraph"/>
              <w:numPr>
                <w:ilvl w:val="1"/>
                <w:numId w:val="10"/>
              </w:numPr>
            </w:pPr>
            <w:r>
              <w:t>Virtual and software appliances catalogue: open library of virtual appliances (bundle of one or more VM images) for use on a cloud or for personal download, supporting VM image management operations like: registration of new instances, reuse of existing ones and contextualization.</w:t>
            </w:r>
          </w:p>
          <w:p w14:paraId="64FC8472" w14:textId="3E007F02" w:rsidR="00367078" w:rsidRDefault="00367078" w:rsidP="003875E3">
            <w:pPr>
              <w:pStyle w:val="ListParagraph"/>
              <w:numPr>
                <w:ilvl w:val="1"/>
                <w:numId w:val="10"/>
              </w:numPr>
            </w:pPr>
            <w:r>
              <w:t>VO-wide image list management: a mechanism that allows to link a list of virtual and software appliances to a VO, which can be automatically and securely distributed to any resource provider supporting the VO.</w:t>
            </w:r>
          </w:p>
          <w:p w14:paraId="46720246" w14:textId="7318FB09" w:rsidR="00367078" w:rsidRDefault="00367078" w:rsidP="003875E3">
            <w:pPr>
              <w:pStyle w:val="ListParagraph"/>
              <w:numPr>
                <w:ilvl w:val="1"/>
                <w:numId w:val="10"/>
              </w:numPr>
            </w:pPr>
            <w:r>
              <w:t>Sites / Resources providers view: list of cloud RPs with information on endpoints, supported VOs, available VM images, flavours and etc.</w:t>
            </w:r>
          </w:p>
          <w:p w14:paraId="1ECE10BF" w14:textId="2082A3DB" w:rsidR="00367078" w:rsidRDefault="00367078" w:rsidP="003875E3">
            <w:pPr>
              <w:pStyle w:val="ListParagraph"/>
              <w:numPr>
                <w:ilvl w:val="1"/>
                <w:numId w:val="10"/>
              </w:numPr>
            </w:pPr>
            <w:r>
              <w:t xml:space="preserve">Integration with the EGI Information System: information retrieved by the IS are used to enrich VA, SA and RP views with information useful to interact with the infrastructures. </w:t>
            </w:r>
          </w:p>
          <w:p w14:paraId="626536A4" w14:textId="25C63EDB" w:rsidR="00367078" w:rsidRDefault="00367078" w:rsidP="003875E3">
            <w:pPr>
              <w:pStyle w:val="ListParagraph"/>
              <w:numPr>
                <w:ilvl w:val="0"/>
                <w:numId w:val="10"/>
              </w:numPr>
            </w:pPr>
            <w:r>
              <w:t xml:space="preserve">People registry: list of people involved in EGI with links to items </w:t>
            </w:r>
            <w:r>
              <w:lastRenderedPageBreak/>
              <w:t xml:space="preserve">registered on the </w:t>
            </w:r>
            <w:proofErr w:type="spellStart"/>
            <w:r>
              <w:t>AppDB</w:t>
            </w:r>
            <w:proofErr w:type="spellEnd"/>
            <w:r>
              <w:t>.</w:t>
            </w:r>
          </w:p>
          <w:p w14:paraId="5FEE27D0" w14:textId="0C53D932" w:rsidR="00367078" w:rsidRDefault="00367078" w:rsidP="003875E3">
            <w:pPr>
              <w:pStyle w:val="ListParagraph"/>
              <w:numPr>
                <w:ilvl w:val="0"/>
                <w:numId w:val="10"/>
              </w:numPr>
            </w:pPr>
            <w:r>
              <w:t xml:space="preserve">Database of VMI queried by the </w:t>
            </w:r>
            <w:proofErr w:type="spellStart"/>
            <w:r>
              <w:t>vmcatcher</w:t>
            </w:r>
            <w:proofErr w:type="spellEnd"/>
            <w:r>
              <w:t xml:space="preserve"> clients at site level, used to store the information about the VMI endorsed by the Federated cloud communities.</w:t>
            </w:r>
          </w:p>
          <w:p w14:paraId="4E7A4887" w14:textId="517E3A3E" w:rsidR="00367078" w:rsidRDefault="00367078" w:rsidP="003875E3">
            <w:pPr>
              <w:pStyle w:val="ListParagraph"/>
              <w:numPr>
                <w:ilvl w:val="0"/>
                <w:numId w:val="10"/>
              </w:numPr>
            </w:pPr>
            <w:r>
              <w:t>Software items: registry of software items in terms of applications, middleware products, science gateways and tools, with capability of generating and maintaining associative binary repositories.</w:t>
            </w:r>
          </w:p>
          <w:p w14:paraId="20A7A479" w14:textId="10F07EAB" w:rsidR="00063A9D" w:rsidRPr="00367078" w:rsidRDefault="00367078" w:rsidP="003875E3">
            <w:pPr>
              <w:pStyle w:val="ListParagraph"/>
              <w:numPr>
                <w:ilvl w:val="0"/>
                <w:numId w:val="10"/>
              </w:numPr>
            </w:pPr>
            <w:r>
              <w:t>Registry for reference datasets: the service offers capabilities in order to expose information about reference datasets (mainly on biology domain) and their replicas, across EGI.</w:t>
            </w:r>
          </w:p>
        </w:tc>
      </w:tr>
      <w:tr w:rsidR="00CD587C" w:rsidRPr="00DE71CC" w14:paraId="7BDC1F7B" w14:textId="77777777" w:rsidTr="00CD587C">
        <w:tc>
          <w:tcPr>
            <w:tcW w:w="2235" w:type="dxa"/>
            <w:shd w:val="clear" w:color="auto" w:fill="8DB3E2" w:themeFill="text2" w:themeFillTint="66"/>
          </w:tcPr>
          <w:p w14:paraId="27865A39" w14:textId="0580BC21" w:rsidR="00CD587C" w:rsidRPr="00063A9D" w:rsidRDefault="00367078"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3F95D37" w:rsidR="00CD587C" w:rsidRPr="00367078" w:rsidRDefault="00367078" w:rsidP="00935098">
            <w:r w:rsidRPr="00367078">
              <w:t xml:space="preserve">The service providers must coordinate with the EGI Federated cloud working group, the EGI security for the requirements on VM endorsement and the VO Managers to support the distribution of VMIs through </w:t>
            </w:r>
            <w:proofErr w:type="spellStart"/>
            <w:r w:rsidRPr="00367078">
              <w:t>AppDB</w:t>
            </w:r>
            <w:proofErr w:type="spellEnd"/>
            <w:r w:rsidRPr="00367078">
              <w: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2F4BB4D" w14:textId="395F7439" w:rsidR="00367078" w:rsidRDefault="00367078" w:rsidP="00367078">
            <w:r>
              <w:t>The activity includes the daily operations of the following user facing services:</w:t>
            </w:r>
          </w:p>
          <w:p w14:paraId="71C24B3E" w14:textId="333B8A37" w:rsidR="00367078" w:rsidRDefault="00367078" w:rsidP="003875E3">
            <w:pPr>
              <w:pStyle w:val="ListParagraph"/>
              <w:numPr>
                <w:ilvl w:val="0"/>
                <w:numId w:val="11"/>
              </w:numPr>
            </w:pPr>
            <w:proofErr w:type="spellStart"/>
            <w:r>
              <w:t>AppDB</w:t>
            </w:r>
            <w:proofErr w:type="spellEnd"/>
            <w:r>
              <w:t xml:space="preserve"> Portal</w:t>
            </w:r>
          </w:p>
          <w:p w14:paraId="45CD744C" w14:textId="2BF32F13" w:rsidR="00367078" w:rsidRDefault="00367078" w:rsidP="003875E3">
            <w:pPr>
              <w:pStyle w:val="ListParagraph"/>
              <w:numPr>
                <w:ilvl w:val="1"/>
                <w:numId w:val="11"/>
              </w:numPr>
            </w:pPr>
            <w:r>
              <w:t>Rest API</w:t>
            </w:r>
          </w:p>
          <w:p w14:paraId="75F35B4D" w14:textId="715F9A3A" w:rsidR="00367078" w:rsidRDefault="00367078" w:rsidP="003875E3">
            <w:pPr>
              <w:pStyle w:val="ListParagraph"/>
              <w:numPr>
                <w:ilvl w:val="1"/>
                <w:numId w:val="11"/>
              </w:numPr>
            </w:pPr>
            <w:proofErr w:type="spellStart"/>
            <w:r>
              <w:t>VMCaster</w:t>
            </w:r>
            <w:proofErr w:type="spellEnd"/>
          </w:p>
          <w:p w14:paraId="1402950F" w14:textId="54EF32E5" w:rsidR="00367078" w:rsidRDefault="00367078" w:rsidP="003875E3">
            <w:pPr>
              <w:pStyle w:val="ListParagraph"/>
              <w:numPr>
                <w:ilvl w:val="1"/>
                <w:numId w:val="11"/>
              </w:numPr>
            </w:pPr>
            <w:r>
              <w:t>Community Repository</w:t>
            </w:r>
          </w:p>
          <w:p w14:paraId="421D0C22" w14:textId="1050AAD4" w:rsidR="00367078" w:rsidRDefault="00367078" w:rsidP="003875E3">
            <w:pPr>
              <w:pStyle w:val="ListParagraph"/>
              <w:numPr>
                <w:ilvl w:val="1"/>
                <w:numId w:val="11"/>
              </w:numPr>
            </w:pPr>
            <w:r>
              <w:t xml:space="preserve">Gadgets </w:t>
            </w:r>
          </w:p>
          <w:p w14:paraId="6F674A38" w14:textId="126FF13D" w:rsidR="00367078" w:rsidRDefault="00367078" w:rsidP="003875E3">
            <w:pPr>
              <w:pStyle w:val="ListParagraph"/>
              <w:numPr>
                <w:ilvl w:val="0"/>
                <w:numId w:val="11"/>
              </w:numPr>
            </w:pPr>
            <w:r>
              <w:t>Deployment in production of the developments released in EGI-Engage</w:t>
            </w:r>
          </w:p>
          <w:p w14:paraId="74CDCF53" w14:textId="10367E81" w:rsidR="00063A9D" w:rsidRPr="00367078" w:rsidRDefault="00367078" w:rsidP="003875E3">
            <w:pPr>
              <w:pStyle w:val="ListParagraph"/>
              <w:numPr>
                <w:ilvl w:val="0"/>
                <w:numId w:val="11"/>
              </w:numPr>
            </w:pPr>
            <w:r>
              <w:t>Maintenance of the services</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4A5D7F9E" w:rsidR="00045560" w:rsidRPr="00D63871" w:rsidRDefault="00D63871" w:rsidP="00D63871">
      <w:r>
        <w:t xml:space="preserve">As defined in </w:t>
      </w:r>
      <w:r w:rsidR="00045560" w:rsidRPr="00045560">
        <w:t xml:space="preserve">Corporate-level EGI Operational </w:t>
      </w:r>
      <w:r w:rsidR="00716E76">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6C529826" w:rsidR="00D63871" w:rsidRDefault="00D63871" w:rsidP="00D63871">
      <w:bookmarkStart w:id="3" w:name="_Toc403992926"/>
      <w:r>
        <w:t xml:space="preserve">As defined in </w:t>
      </w:r>
      <w:r w:rsidR="00045560" w:rsidRPr="00045560">
        <w:t xml:space="preserve">Corporate-level EGI Operational </w:t>
      </w:r>
      <w:r w:rsidR="00716E76">
        <w:t>Level</w:t>
      </w:r>
      <w:r w:rsidR="00045560" w:rsidRPr="00045560">
        <w:t xml:space="preserve"> Agreement</w:t>
      </w:r>
      <w:r>
        <w:t>.</w:t>
      </w:r>
    </w:p>
    <w:p w14:paraId="176C35E7" w14:textId="3210C818"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proofErr w:type="spellStart"/>
      <w:r w:rsidR="001E3FA8">
        <w:rPr>
          <w:rFonts w:cs="Times New Roman"/>
        </w:rPr>
        <w:t>AppDB</w:t>
      </w:r>
      <w:proofErr w:type="spellEnd"/>
      <w:r>
        <w:t xml:space="preserve"> </w:t>
      </w:r>
      <w:r w:rsidR="00B10316">
        <w:t>SU</w:t>
      </w:r>
    </w:p>
    <w:p w14:paraId="10188327" w14:textId="77777777" w:rsidR="009A295C" w:rsidRDefault="009A295C" w:rsidP="00D63871"/>
    <w:p w14:paraId="2DA0FD28" w14:textId="77777777" w:rsidR="00045560" w:rsidRPr="00367078" w:rsidRDefault="00045560" w:rsidP="00045560">
      <w:pPr>
        <w:rPr>
          <w:rFonts w:cs="Open Sans"/>
        </w:rPr>
      </w:pPr>
      <w:r w:rsidRPr="00367078">
        <w:rPr>
          <w:rFonts w:cs="Open Sans"/>
        </w:rPr>
        <w:t>Support is available between:</w:t>
      </w:r>
    </w:p>
    <w:p w14:paraId="141CB011" w14:textId="77777777"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lastRenderedPageBreak/>
        <w:t>Monday and Friday</w:t>
      </w:r>
    </w:p>
    <w:p w14:paraId="2B9B290F" w14:textId="07167F6B" w:rsidR="00045560" w:rsidRPr="00367078" w:rsidRDefault="00045560" w:rsidP="003875E3">
      <w:pPr>
        <w:keepLines/>
        <w:widowControl w:val="0"/>
        <w:numPr>
          <w:ilvl w:val="0"/>
          <w:numId w:val="7"/>
        </w:numPr>
        <w:suppressAutoHyphens/>
        <w:spacing w:before="40" w:after="40" w:line="240" w:lineRule="auto"/>
        <w:rPr>
          <w:rFonts w:cs="Open Sans"/>
        </w:rPr>
      </w:pPr>
      <w:r w:rsidRPr="00367078">
        <w:rPr>
          <w:rFonts w:cs="Open Sans"/>
        </w:rPr>
        <w:t xml:space="preserve">9:00 and 17:00 </w:t>
      </w:r>
      <w:r w:rsidR="00B10316">
        <w:rPr>
          <w:rFonts w:cs="Open Sans"/>
        </w:rPr>
        <w:t>E</w:t>
      </w:r>
      <w:r w:rsidRPr="00367078">
        <w:rPr>
          <w:rFonts w:cs="Open Sans"/>
        </w:rPr>
        <w:t>ET/</w:t>
      </w:r>
      <w:r w:rsidR="00B10316">
        <w:rPr>
          <w:rFonts w:cs="Open Sans"/>
        </w:rPr>
        <w:t>E</w:t>
      </w:r>
      <w:r w:rsidRPr="00367078">
        <w:rPr>
          <w:rFonts w:cs="Open Sans"/>
        </w:rPr>
        <w:t>EST time</w:t>
      </w:r>
    </w:p>
    <w:p w14:paraId="7A82F6B8" w14:textId="77777777" w:rsidR="00045560" w:rsidRPr="00367078" w:rsidRDefault="00045560" w:rsidP="00045560">
      <w:pPr>
        <w:rPr>
          <w:rFonts w:cs="Open Sans"/>
        </w:rPr>
      </w:pPr>
    </w:p>
    <w:p w14:paraId="78FA90E8" w14:textId="5FA294FC" w:rsidR="00045560" w:rsidRPr="00045560" w:rsidRDefault="00045560" w:rsidP="00D63871">
      <w:pPr>
        <w:rPr>
          <w:rFonts w:cs="Open Sans"/>
        </w:rPr>
      </w:pPr>
      <w:r w:rsidRPr="00367078">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25388D34" w:rsidR="00045560" w:rsidRPr="00D63871" w:rsidRDefault="00D63871" w:rsidP="00D63871">
      <w:r>
        <w:t xml:space="preserve">As defined in </w:t>
      </w:r>
      <w:r w:rsidR="00045560" w:rsidRPr="00045560">
        <w:t xml:space="preserve">Corporate-level EGI Operational </w:t>
      </w:r>
      <w:r w:rsidR="00716E76">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2C555991" w:rsidR="00045560" w:rsidRPr="00D63871" w:rsidRDefault="00D63871" w:rsidP="00D63871">
      <w:bookmarkStart w:id="6" w:name="_Toc403992928"/>
      <w:r>
        <w:t xml:space="preserve">As defined in </w:t>
      </w:r>
      <w:r w:rsidR="00045560" w:rsidRPr="00045560">
        <w:t xml:space="preserve">Corporate-level EGI Operational </w:t>
      </w:r>
      <w:r w:rsidR="00716E76">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3875E3">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C2C6A3" w:rsidR="00176CC7" w:rsidRPr="00D00DDB" w:rsidRDefault="00176CC7" w:rsidP="003875E3">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367078">
        <w:t>95%</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3875E3">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E585556" w:rsidR="006B45F3" w:rsidRPr="00D00DDB" w:rsidRDefault="00176CC7" w:rsidP="003875E3">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367078">
        <w:t>95%</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367078" w:rsidRDefault="00176CC7" w:rsidP="003875E3">
      <w:pPr>
        <w:pStyle w:val="ListParagraph"/>
        <w:numPr>
          <w:ilvl w:val="0"/>
          <w:numId w:val="6"/>
        </w:numPr>
      </w:pPr>
      <w:r w:rsidRPr="00367078">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4FC5311E" w:rsidR="00045560" w:rsidRPr="00ED3D0A" w:rsidRDefault="00D63871" w:rsidP="00542830">
      <w:r>
        <w:t xml:space="preserve">As defined in </w:t>
      </w:r>
      <w:r w:rsidR="00045560" w:rsidRPr="00045560">
        <w:t xml:space="preserve">Corporate-level EGI Operational </w:t>
      </w:r>
      <w:r w:rsidR="00716E76">
        <w:t>Level</w:t>
      </w:r>
      <w:r w:rsidR="00045560" w:rsidRPr="00045560">
        <w:t xml:space="preserve">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336F009F" w14:textId="77777777" w:rsidR="006478CD" w:rsidRDefault="006478CD" w:rsidP="006478CD">
            <w:pPr>
              <w:rPr>
                <w:rFonts w:cs="Open Sans"/>
              </w:rPr>
            </w:pPr>
            <w:r>
              <w:rPr>
                <w:rFonts w:cs="Open Sans"/>
              </w:rPr>
              <w:t xml:space="preserve">Peter </w:t>
            </w:r>
            <w:proofErr w:type="spellStart"/>
            <w:r>
              <w:rPr>
                <w:rFonts w:cs="Open Sans"/>
              </w:rPr>
              <w:t>Solagna</w:t>
            </w:r>
            <w:proofErr w:type="spellEnd"/>
          </w:p>
          <w:p w14:paraId="62484D7A" w14:textId="4477A06A" w:rsidR="0063063E" w:rsidRPr="009C77B1" w:rsidRDefault="00E30DA9" w:rsidP="006478CD">
            <w:pPr>
              <w:rPr>
                <w:rFonts w:cs="Open Sans"/>
                <w:highlight w:val="yellow"/>
                <w:lang w:val="it-IT"/>
              </w:rPr>
            </w:pPr>
            <w:hyperlink r:id="rId12" w:history="1">
              <w:r w:rsidR="006478CD">
                <w:rPr>
                  <w:rStyle w:val="Hyperlink"/>
                  <w:rFonts w:cs="Open Sans"/>
                </w:rPr>
                <w:t>operations@egi.eu</w:t>
              </w:r>
            </w:hyperlink>
            <w:r w:rsidR="006478CD">
              <w:rPr>
                <w:rFonts w:cs="Open Sans"/>
              </w:rPr>
              <w:t xml:space="preserve"> </w:t>
            </w:r>
            <w:r w:rsidR="006478CD">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855F7" w:rsidRDefault="00542830" w:rsidP="0053196A">
            <w:pPr>
              <w:rPr>
                <w:rFonts w:cs="Open Sans"/>
                <w:b/>
              </w:rPr>
            </w:pPr>
            <w:r w:rsidRPr="00B855F7">
              <w:rPr>
                <w:rFonts w:cs="Open Sans"/>
                <w:b/>
              </w:rPr>
              <w:t>Provider contact for the Customer</w:t>
            </w:r>
          </w:p>
        </w:tc>
        <w:tc>
          <w:tcPr>
            <w:tcW w:w="4605" w:type="dxa"/>
            <w:shd w:val="clear" w:color="auto" w:fill="auto"/>
          </w:tcPr>
          <w:p w14:paraId="3CE8A08F" w14:textId="77777777" w:rsidR="0045271A" w:rsidRDefault="00B10316" w:rsidP="005B4FC6">
            <w:pPr>
              <w:rPr>
                <w:rFonts w:cs="Open Sans"/>
              </w:rPr>
            </w:pPr>
            <w:r w:rsidRPr="0045271A">
              <w:rPr>
                <w:rFonts w:cs="Open Sans"/>
              </w:rPr>
              <w:t xml:space="preserve">Kostas </w:t>
            </w:r>
            <w:proofErr w:type="spellStart"/>
            <w:r w:rsidRPr="0045271A">
              <w:rPr>
                <w:rFonts w:cs="Open Sans"/>
              </w:rPr>
              <w:t>Koumantaros</w:t>
            </w:r>
            <w:proofErr w:type="spellEnd"/>
            <w:r w:rsidR="00B855F7" w:rsidRPr="0045271A">
              <w:rPr>
                <w:rFonts w:cs="Open Sans"/>
              </w:rPr>
              <w:t xml:space="preserve"> </w:t>
            </w:r>
          </w:p>
          <w:p w14:paraId="2B7392E5" w14:textId="43646C5C" w:rsidR="00B855F7" w:rsidRPr="0045271A" w:rsidRDefault="00B855F7" w:rsidP="005B4FC6">
            <w:pPr>
              <w:rPr>
                <w:rFonts w:cs="Open Sans"/>
              </w:rPr>
            </w:pPr>
            <w:hyperlink r:id="rId13" w:history="1">
              <w:r w:rsidRPr="0045271A">
                <w:rPr>
                  <w:rStyle w:val="Hyperlink"/>
                  <w:rFonts w:cs="Open Sans"/>
                </w:rPr>
                <w:t>kkoum@grnet.gr</w:t>
              </w:r>
            </w:hyperlink>
          </w:p>
          <w:p w14:paraId="58940CD0" w14:textId="77777777" w:rsidR="00B855F7" w:rsidRDefault="00B855F7" w:rsidP="005B4FC6">
            <w:pPr>
              <w:rPr>
                <w:rFonts w:cs="Open Sans"/>
              </w:rPr>
            </w:pPr>
            <w:r w:rsidRPr="0045271A">
              <w:rPr>
                <w:rFonts w:cs="Open Sans"/>
              </w:rPr>
              <w:t>NGI Manager</w:t>
            </w:r>
          </w:p>
          <w:p w14:paraId="7E9DDA2A" w14:textId="77777777" w:rsidR="0045271A" w:rsidRDefault="0045271A" w:rsidP="005B4FC6">
            <w:pPr>
              <w:rPr>
                <w:rFonts w:cs="Open Sans"/>
              </w:rPr>
            </w:pPr>
          </w:p>
          <w:p w14:paraId="7B69E8AA" w14:textId="094C2978" w:rsidR="00830C84" w:rsidRPr="0045271A" w:rsidRDefault="00830C84" w:rsidP="005B4FC6">
            <w:pPr>
              <w:rPr>
                <w:rFonts w:cs="Open Sans"/>
              </w:rPr>
            </w:pPr>
            <w:r>
              <w:rPr>
                <w:rFonts w:cs="Open Sans"/>
              </w:rPr>
              <w:t>APPDB Administrator</w:t>
            </w:r>
          </w:p>
          <w:p w14:paraId="6DA2A21E" w14:textId="77777777" w:rsidR="0045271A" w:rsidRDefault="00B855F7" w:rsidP="005B4FC6">
            <w:pPr>
              <w:rPr>
                <w:rFonts w:cs="Open Sans"/>
              </w:rPr>
            </w:pPr>
            <w:proofErr w:type="spellStart"/>
            <w:r w:rsidRPr="0045271A">
              <w:rPr>
                <w:rFonts w:cs="Open Sans"/>
              </w:rPr>
              <w:t>Marios</w:t>
            </w:r>
            <w:proofErr w:type="spellEnd"/>
            <w:r w:rsidRPr="0045271A">
              <w:rPr>
                <w:rFonts w:cs="Open Sans"/>
              </w:rPr>
              <w:t xml:space="preserve"> </w:t>
            </w:r>
            <w:proofErr w:type="spellStart"/>
            <w:r w:rsidRPr="0045271A">
              <w:rPr>
                <w:rFonts w:cs="Open Sans"/>
              </w:rPr>
              <w:t>Chantziangelou</w:t>
            </w:r>
            <w:proofErr w:type="spellEnd"/>
            <w:r w:rsidRPr="0045271A">
              <w:rPr>
                <w:rFonts w:cs="Open Sans"/>
              </w:rPr>
              <w:t xml:space="preserve"> </w:t>
            </w:r>
          </w:p>
          <w:p w14:paraId="42BC5BC8" w14:textId="1332544F" w:rsidR="00B855F7" w:rsidRDefault="00B855F7" w:rsidP="005B4FC6">
            <w:pPr>
              <w:rPr>
                <w:rFonts w:cs="Open Sans"/>
              </w:rPr>
            </w:pPr>
            <w:hyperlink r:id="rId14" w:history="1">
              <w:r w:rsidRPr="0045271A">
                <w:rPr>
                  <w:rStyle w:val="Hyperlink"/>
                  <w:rFonts w:cs="Open Sans"/>
                </w:rPr>
                <w:t>mhaggel@iasa.gr</w:t>
              </w:r>
            </w:hyperlink>
            <w:r w:rsidR="0045271A">
              <w:rPr>
                <w:rFonts w:cs="Open Sans"/>
              </w:rPr>
              <w:t xml:space="preserve"> </w:t>
            </w:r>
          </w:p>
          <w:p w14:paraId="7EF31B27" w14:textId="77777777" w:rsidR="0045271A" w:rsidRPr="0045271A" w:rsidRDefault="0045271A" w:rsidP="005B4FC6">
            <w:pPr>
              <w:rPr>
                <w:rFonts w:cs="Open Sans"/>
              </w:rPr>
            </w:pPr>
          </w:p>
          <w:p w14:paraId="0D1F9537" w14:textId="0CD91479" w:rsidR="00542830" w:rsidRPr="0045271A" w:rsidRDefault="00B855F7" w:rsidP="005B4FC6">
            <w:pPr>
              <w:rPr>
                <w:rFonts w:cs="Open Sans"/>
              </w:rPr>
            </w:pPr>
            <w:r w:rsidRPr="0045271A">
              <w:rPr>
                <w:rFonts w:cs="Open Sans"/>
              </w:rPr>
              <w:t xml:space="preserve">Contact email: </w:t>
            </w:r>
            <w:r w:rsidR="00B10316" w:rsidRPr="0045271A">
              <w:rPr>
                <w:rStyle w:val="Hyperlink"/>
              </w:rPr>
              <w:t>appdb@hellasgrid.gr</w:t>
            </w:r>
          </w:p>
        </w:tc>
      </w:tr>
      <w:tr w:rsidR="00542830" w:rsidRPr="00B97954" w14:paraId="4CC810DD" w14:textId="77777777" w:rsidTr="00542830">
        <w:tc>
          <w:tcPr>
            <w:tcW w:w="4605" w:type="dxa"/>
            <w:shd w:val="clear" w:color="auto" w:fill="B8CCE4" w:themeFill="accent1" w:themeFillTint="66"/>
          </w:tcPr>
          <w:p w14:paraId="559517F6" w14:textId="747D1B6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DA5E26" w:rsidRPr="00431CB0" w14:paraId="3E41FE77" w14:textId="77777777" w:rsidTr="00FE3807">
        <w:tc>
          <w:tcPr>
            <w:tcW w:w="1250" w:type="pct"/>
            <w:shd w:val="clear" w:color="auto" w:fill="auto"/>
          </w:tcPr>
          <w:p w14:paraId="6ED8BBB9" w14:textId="4255BFCE" w:rsidR="00DA5E26" w:rsidRPr="00431CB0" w:rsidRDefault="00DA5E26"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5AB478C5" w:rsidR="00DA5E26" w:rsidRPr="00431CB0" w:rsidRDefault="00DA5E26"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41D38C36" w14:textId="77777777" w:rsidR="00DA5E26" w:rsidRDefault="00DA5E26" w:rsidP="00102226">
            <w:pPr>
              <w:jc w:val="left"/>
              <w:rPr>
                <w:rFonts w:cs="Open Sans"/>
              </w:rPr>
            </w:pPr>
            <w:r>
              <w:rPr>
                <w:rFonts w:cs="Open Sans"/>
              </w:rPr>
              <w:t>M</w:t>
            </w:r>
            <w:r w:rsidRPr="00013C1F">
              <w:rPr>
                <w:rFonts w:cs="Open Sans"/>
              </w:rPr>
              <w:t>ay-Aug 2016: 4 Months report</w:t>
            </w:r>
          </w:p>
          <w:p w14:paraId="6BB6BAB9" w14:textId="77777777" w:rsidR="00DA5E26" w:rsidRDefault="00DA5E26" w:rsidP="00102226">
            <w:pPr>
              <w:jc w:val="left"/>
              <w:rPr>
                <w:rFonts w:cs="Open Sans"/>
              </w:rPr>
            </w:pPr>
            <w:r w:rsidRPr="00013C1F">
              <w:rPr>
                <w:rFonts w:cs="Open Sans"/>
              </w:rPr>
              <w:t>Sept-Dec 2016: 4 Months report</w:t>
            </w:r>
          </w:p>
          <w:p w14:paraId="5C263381" w14:textId="77777777" w:rsidR="00DA5E26" w:rsidRPr="00013C1F" w:rsidRDefault="00DA5E26" w:rsidP="00102226">
            <w:pPr>
              <w:jc w:val="left"/>
              <w:rPr>
                <w:rFonts w:cs="Open Sans"/>
              </w:rPr>
            </w:pPr>
            <w:r w:rsidRPr="00013C1F">
              <w:rPr>
                <w:rFonts w:cs="Open Sans"/>
              </w:rPr>
              <w:t>Jan-June 2017: 6 Months report</w:t>
            </w:r>
          </w:p>
          <w:p w14:paraId="11670F0A" w14:textId="7B5ADF1D" w:rsidR="00DA5E26" w:rsidRPr="00431CB0" w:rsidRDefault="00DA5E26" w:rsidP="002F3278">
            <w:pPr>
              <w:jc w:val="left"/>
              <w:rPr>
                <w:rFonts w:cs="Open Sans"/>
                <w:highlight w:val="green"/>
              </w:rPr>
            </w:pPr>
            <w:r w:rsidRPr="00013C1F">
              <w:rPr>
                <w:rFonts w:cs="Open Sans"/>
              </w:rPr>
              <w:t>July-Dec 2017: 6 Months report</w:t>
            </w:r>
          </w:p>
        </w:tc>
        <w:tc>
          <w:tcPr>
            <w:tcW w:w="1250" w:type="pct"/>
            <w:shd w:val="clear" w:color="auto" w:fill="auto"/>
          </w:tcPr>
          <w:p w14:paraId="0549CBF9" w14:textId="77777777" w:rsidR="00DA5E26" w:rsidRPr="00431CB0" w:rsidRDefault="00DA5E26"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7B22BFB5" w:rsidR="00DA5E26" w:rsidRPr="00431CB0" w:rsidRDefault="00DA5E26"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3"/>
      <w:bookmarkEnd w:id="25"/>
    </w:p>
    <w:p w14:paraId="7C084582" w14:textId="4B891E2F" w:rsidR="00FB2EA4" w:rsidRPr="00D63871" w:rsidRDefault="00D63871" w:rsidP="00D63871">
      <w:bookmarkStart w:id="26" w:name="_Toc403992934"/>
      <w:r>
        <w:t xml:space="preserve">As defined in </w:t>
      </w:r>
      <w:r w:rsidR="00045560" w:rsidRPr="00045560">
        <w:t xml:space="preserve">Corporate-level EGI Operational </w:t>
      </w:r>
      <w:r w:rsidR="00716E76">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lastRenderedPageBreak/>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3875E3">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3875E3">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5"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4FAEB496" w:rsidR="00FB2EA4" w:rsidRPr="00D63871" w:rsidRDefault="00D63871" w:rsidP="00D63871">
      <w:bookmarkStart w:id="30" w:name="_Toc403992936"/>
      <w:r>
        <w:t xml:space="preserve">As defined in </w:t>
      </w:r>
      <w:r w:rsidR="00045560" w:rsidRPr="00045560">
        <w:t xml:space="preserve">Corporate-level EGI Operational </w:t>
      </w:r>
      <w:r w:rsidR="00716E76">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3875E3">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3875E3">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3875E3">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367078" w:rsidRDefault="000E6B2B" w:rsidP="003875E3">
      <w:pPr>
        <w:numPr>
          <w:ilvl w:val="0"/>
          <w:numId w:val="8"/>
        </w:numPr>
        <w:spacing w:after="200"/>
        <w:contextualSpacing/>
        <w:jc w:val="left"/>
        <w:rPr>
          <w:rFonts w:cs="Open Sans"/>
        </w:rPr>
      </w:pPr>
      <w:r w:rsidRPr="00367078">
        <w:rPr>
          <w:rFonts w:cs="Open Sans"/>
        </w:rPr>
        <w:t xml:space="preserve">Accept EGI monitoring services provided to measure fulfilment of agreed service level targets. </w:t>
      </w:r>
    </w:p>
    <w:p w14:paraId="2597C844" w14:textId="26F04FF4" w:rsidR="000E6B2B" w:rsidRPr="00367078" w:rsidRDefault="000E6B2B" w:rsidP="003875E3">
      <w:pPr>
        <w:numPr>
          <w:ilvl w:val="0"/>
          <w:numId w:val="8"/>
        </w:numPr>
        <w:spacing w:after="200"/>
        <w:contextualSpacing/>
        <w:jc w:val="left"/>
        <w:rPr>
          <w:rFonts w:cs="Open Sans"/>
        </w:rPr>
      </w:pPr>
      <w:r w:rsidRPr="00367078">
        <w:rPr>
          <w:rFonts w:cs="Open Sans"/>
        </w:rPr>
        <w:t>Service with associated roles are registered in GOC DB</w:t>
      </w:r>
      <w:r w:rsidRPr="00367078">
        <w:rPr>
          <w:rStyle w:val="FootnoteReference"/>
          <w:rFonts w:cs="Open Sans"/>
        </w:rPr>
        <w:footnoteReference w:id="6"/>
      </w:r>
      <w:r w:rsidRPr="00367078">
        <w:rPr>
          <w:rFonts w:cs="Open Sans"/>
        </w:rPr>
        <w:t xml:space="preserve"> as site entity under EGI.eu Operations Centre hosting EGI central operations tools</w:t>
      </w:r>
      <w:r w:rsidRPr="0036707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3875E3">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3875E3">
      <w:pPr>
        <w:numPr>
          <w:ilvl w:val="0"/>
          <w:numId w:val="8"/>
        </w:numPr>
        <w:spacing w:after="200"/>
        <w:contextualSpacing/>
        <w:jc w:val="left"/>
        <w:rPr>
          <w:rFonts w:cs="Open Sans"/>
        </w:rPr>
      </w:pPr>
      <w:r w:rsidRPr="000E6B2B">
        <w:rPr>
          <w:rFonts w:cs="Open Sans"/>
        </w:rPr>
        <w:lastRenderedPageBreak/>
        <w:t>Collect requirements from the Resource infrastructure Providers;</w:t>
      </w:r>
    </w:p>
    <w:p w14:paraId="25F3842E" w14:textId="0C0E9156" w:rsidR="000E6B2B" w:rsidRPr="000E6B2B" w:rsidRDefault="000E6B2B" w:rsidP="003875E3">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3875E3">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3875E3">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15CFF" w14:textId="77777777" w:rsidR="00E30DA9" w:rsidRDefault="00E30DA9" w:rsidP="00835E24">
      <w:pPr>
        <w:spacing w:after="0" w:line="240" w:lineRule="auto"/>
      </w:pPr>
      <w:r>
        <w:separator/>
      </w:r>
    </w:p>
  </w:endnote>
  <w:endnote w:type="continuationSeparator" w:id="0">
    <w:p w14:paraId="6F016881" w14:textId="77777777" w:rsidR="00E30DA9" w:rsidRDefault="00E30DA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E30DA9"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343532">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E30DA9"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50368" w14:textId="77777777" w:rsidR="00E30DA9" w:rsidRDefault="00E30DA9" w:rsidP="00835E24">
      <w:pPr>
        <w:spacing w:after="0" w:line="240" w:lineRule="auto"/>
      </w:pPr>
      <w:r>
        <w:separator/>
      </w:r>
    </w:p>
  </w:footnote>
  <w:footnote w:type="continuationSeparator" w:id="0">
    <w:p w14:paraId="6932A115" w14:textId="77777777" w:rsidR="00E30DA9" w:rsidRDefault="00E30DA9"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F21820E" w14:textId="77777777" w:rsidR="00DA5E26" w:rsidRDefault="00DA5E26">
      <w:pPr>
        <w:pStyle w:val="FootnoteText"/>
      </w:pPr>
      <w:r>
        <w:rPr>
          <w:rStyle w:val="FootnoteReference"/>
        </w:rPr>
        <w:footnoteRef/>
      </w:r>
      <w:r>
        <w:t xml:space="preserve"> </w:t>
      </w:r>
      <w:hyperlink r:id="rId3" w:history="1">
        <w:r w:rsidRPr="0045271A">
          <w:rPr>
            <w:rStyle w:val="Hyperlink"/>
          </w:rPr>
          <w:t>https://documents.egi.eu</w:t>
        </w:r>
      </w:hyperlink>
      <w:bookmarkStart w:id="24" w:name="_GoBack"/>
      <w:bookmarkEnd w:id="24"/>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47E0"/>
    <w:multiLevelType w:val="hybridMultilevel"/>
    <w:tmpl w:val="5374F3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E93342"/>
    <w:multiLevelType w:val="hybridMultilevel"/>
    <w:tmpl w:val="347AB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9"/>
  </w:num>
  <w:num w:numId="6">
    <w:abstractNumId w:val="8"/>
  </w:num>
  <w:num w:numId="7">
    <w:abstractNumId w:val="7"/>
  </w:num>
  <w:num w:numId="8">
    <w:abstractNumId w:val="3"/>
  </w:num>
  <w:num w:numId="9">
    <w:abstractNumId w:val="2"/>
  </w:num>
  <w:num w:numId="10">
    <w:abstractNumId w:val="10"/>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634D"/>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1E3FA8"/>
    <w:rsid w:val="00221D0C"/>
    <w:rsid w:val="00227F47"/>
    <w:rsid w:val="00233885"/>
    <w:rsid w:val="002368D5"/>
    <w:rsid w:val="002539A4"/>
    <w:rsid w:val="002700AE"/>
    <w:rsid w:val="0027172A"/>
    <w:rsid w:val="00283160"/>
    <w:rsid w:val="00287654"/>
    <w:rsid w:val="002A3C5A"/>
    <w:rsid w:val="002A7241"/>
    <w:rsid w:val="002B2235"/>
    <w:rsid w:val="002C551F"/>
    <w:rsid w:val="002E5F1F"/>
    <w:rsid w:val="002F3278"/>
    <w:rsid w:val="002F3F58"/>
    <w:rsid w:val="00334E08"/>
    <w:rsid w:val="00337DFA"/>
    <w:rsid w:val="00343532"/>
    <w:rsid w:val="0035124F"/>
    <w:rsid w:val="00361FD6"/>
    <w:rsid w:val="00367078"/>
    <w:rsid w:val="003875E3"/>
    <w:rsid w:val="00391D54"/>
    <w:rsid w:val="003B5139"/>
    <w:rsid w:val="003C3C6F"/>
    <w:rsid w:val="003C43E1"/>
    <w:rsid w:val="003C6C87"/>
    <w:rsid w:val="003F375A"/>
    <w:rsid w:val="004161FD"/>
    <w:rsid w:val="00425588"/>
    <w:rsid w:val="004338C6"/>
    <w:rsid w:val="0045271A"/>
    <w:rsid w:val="00454D75"/>
    <w:rsid w:val="0049232C"/>
    <w:rsid w:val="004A3ECF"/>
    <w:rsid w:val="004B04FF"/>
    <w:rsid w:val="004C127A"/>
    <w:rsid w:val="004D249B"/>
    <w:rsid w:val="004D6DFA"/>
    <w:rsid w:val="004E24E2"/>
    <w:rsid w:val="004F6ECD"/>
    <w:rsid w:val="00501E2A"/>
    <w:rsid w:val="0050447E"/>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478CD"/>
    <w:rsid w:val="006669E7"/>
    <w:rsid w:val="00695FCC"/>
    <w:rsid w:val="006971E0"/>
    <w:rsid w:val="00697308"/>
    <w:rsid w:val="006B45F3"/>
    <w:rsid w:val="006C45A3"/>
    <w:rsid w:val="006D1955"/>
    <w:rsid w:val="006D527C"/>
    <w:rsid w:val="006E7D9B"/>
    <w:rsid w:val="006F7556"/>
    <w:rsid w:val="00716E76"/>
    <w:rsid w:val="0072045A"/>
    <w:rsid w:val="00730316"/>
    <w:rsid w:val="0073233F"/>
    <w:rsid w:val="00733386"/>
    <w:rsid w:val="00767534"/>
    <w:rsid w:val="007677FE"/>
    <w:rsid w:val="00782A92"/>
    <w:rsid w:val="00794E5E"/>
    <w:rsid w:val="007A3ECC"/>
    <w:rsid w:val="007B6C0B"/>
    <w:rsid w:val="007C78CA"/>
    <w:rsid w:val="00813ED4"/>
    <w:rsid w:val="00830C8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E422B"/>
    <w:rsid w:val="009F1E23"/>
    <w:rsid w:val="009F5A4E"/>
    <w:rsid w:val="00A001E1"/>
    <w:rsid w:val="00A05867"/>
    <w:rsid w:val="00A312B2"/>
    <w:rsid w:val="00A5267D"/>
    <w:rsid w:val="00A53F7F"/>
    <w:rsid w:val="00A67816"/>
    <w:rsid w:val="00A77123"/>
    <w:rsid w:val="00A95AFB"/>
    <w:rsid w:val="00AB042E"/>
    <w:rsid w:val="00AB3B0C"/>
    <w:rsid w:val="00B10316"/>
    <w:rsid w:val="00B107DD"/>
    <w:rsid w:val="00B46C00"/>
    <w:rsid w:val="00B60F00"/>
    <w:rsid w:val="00B70698"/>
    <w:rsid w:val="00B80FB4"/>
    <w:rsid w:val="00B855F7"/>
    <w:rsid w:val="00B85B70"/>
    <w:rsid w:val="00B9637E"/>
    <w:rsid w:val="00B964AE"/>
    <w:rsid w:val="00B9661F"/>
    <w:rsid w:val="00B96855"/>
    <w:rsid w:val="00BB61C7"/>
    <w:rsid w:val="00BB76AF"/>
    <w:rsid w:val="00BC2619"/>
    <w:rsid w:val="00BC580F"/>
    <w:rsid w:val="00C239AF"/>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A5E26"/>
    <w:rsid w:val="00E04C11"/>
    <w:rsid w:val="00E06D2A"/>
    <w:rsid w:val="00E07FA0"/>
    <w:rsid w:val="00E13F9A"/>
    <w:rsid w:val="00E208DA"/>
    <w:rsid w:val="00E2379C"/>
    <w:rsid w:val="00E30DA9"/>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3550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koum@grnet.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hyperlink" Target="http://director@egi.eu" TargetMode="External"/><Relationship Id="rId10" Type="http://schemas.openxmlformats.org/officeDocument/2006/relationships/hyperlink" Target="https://documents.egi.eu/document/277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haggel@ias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A7DC1-3C8C-44AC-94D6-1D7CF83F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3</cp:revision>
  <cp:lastPrinted>2016-04-18T13:44:00Z</cp:lastPrinted>
  <dcterms:created xsi:type="dcterms:W3CDTF">2016-04-18T13:44:00Z</dcterms:created>
  <dcterms:modified xsi:type="dcterms:W3CDTF">2016-04-18T13:44:00Z</dcterms:modified>
</cp:coreProperties>
</file>