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14E6CC39" w:rsidR="006D1955" w:rsidRDefault="009849A7" w:rsidP="006D1955">
      <w:pPr>
        <w:jc w:val="center"/>
        <w:rPr>
          <w:b/>
          <w:sz w:val="44"/>
        </w:rPr>
      </w:pPr>
      <w:r>
        <w:rPr>
          <w:b/>
          <w:sz w:val="44"/>
        </w:rPr>
        <w:t>EGI.eu</w:t>
      </w:r>
    </w:p>
    <w:p w14:paraId="2B8B2A69" w14:textId="468E07D8" w:rsidR="009849A7" w:rsidRPr="006D1955" w:rsidRDefault="005956EA" w:rsidP="006D1955">
      <w:pPr>
        <w:jc w:val="center"/>
        <w:rPr>
          <w:b/>
          <w:sz w:val="44"/>
        </w:rPr>
      </w:pPr>
      <w:r>
        <w:rPr>
          <w:b/>
          <w:sz w:val="44"/>
        </w:rPr>
        <w:t>xGUS</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6D05C103" w:rsidR="006D1955" w:rsidRPr="002C551F" w:rsidRDefault="005956EA" w:rsidP="005956EA">
            <w:pPr>
              <w:snapToGrid w:val="0"/>
              <w:spacing w:before="120"/>
              <w:jc w:val="left"/>
              <w:rPr>
                <w:rFonts w:asciiTheme="minorHAnsi" w:hAnsiTheme="minorHAnsi" w:cs="Open Sans"/>
                <w:b/>
              </w:rPr>
            </w:pPr>
            <w:r>
              <w:rPr>
                <w:b/>
              </w:rPr>
              <w:t>KIT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6791DA21" w:rsidR="006D1955" w:rsidRPr="006D1955" w:rsidRDefault="005956EA" w:rsidP="005956EA">
            <w:pPr>
              <w:pStyle w:val="DocDate"/>
              <w:snapToGrid w:val="0"/>
              <w:jc w:val="left"/>
              <w:rPr>
                <w:rFonts w:asciiTheme="minorHAnsi" w:hAnsiTheme="minorHAnsi" w:cs="Open Sans"/>
                <w:b w:val="0"/>
              </w:rPr>
            </w:pPr>
            <w:r>
              <w:rPr>
                <w:rFonts w:asciiTheme="minorHAnsi" w:hAnsiTheme="minorHAnsi" w:cs="Open Sans"/>
                <w:b w:val="0"/>
              </w:rPr>
              <w:t>1/01/2016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4105BB80" w:rsidR="006D1955" w:rsidRPr="006D1955" w:rsidRDefault="005956EA" w:rsidP="0053196A">
            <w:pPr>
              <w:pStyle w:val="DocDate"/>
              <w:snapToGrid w:val="0"/>
              <w:jc w:val="left"/>
              <w:rPr>
                <w:rFonts w:asciiTheme="minorHAnsi" w:hAnsiTheme="minorHAnsi" w:cs="Open Sans"/>
              </w:rPr>
            </w:pPr>
            <w:r>
              <w:rPr>
                <w:rFonts w:asciiTheme="minorHAnsi" w:hAnsiTheme="minorHAnsi" w:cs="Open Sans"/>
                <w:b w:val="0"/>
              </w:rPr>
              <w:t>31/12/2017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43DFD2FF" w:rsidR="006D1955" w:rsidRPr="006D1955" w:rsidRDefault="002C551F" w:rsidP="0053196A">
            <w:pPr>
              <w:pStyle w:val="DocDate"/>
              <w:snapToGrid w:val="0"/>
              <w:jc w:val="left"/>
              <w:rPr>
                <w:rFonts w:asciiTheme="minorHAnsi" w:hAnsiTheme="minorHAnsi" w:cs="Open Sans"/>
                <w:b w:val="0"/>
              </w:rPr>
            </w:pPr>
            <w:r w:rsidRPr="00C062E3">
              <w:rPr>
                <w:rFonts w:asciiTheme="minorHAnsi" w:hAnsiTheme="minorHAnsi" w:cs="Open Sans"/>
                <w:b w:val="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6BB84C1E" w:rsidR="006D1955" w:rsidRPr="006D1955" w:rsidRDefault="00312637" w:rsidP="0053196A">
            <w:pPr>
              <w:pStyle w:val="DocDate"/>
              <w:snapToGrid w:val="0"/>
              <w:jc w:val="left"/>
              <w:rPr>
                <w:rFonts w:asciiTheme="minorHAnsi" w:hAnsiTheme="minorHAnsi" w:cs="Open Sans"/>
                <w:highlight w:val="yellow"/>
              </w:rPr>
            </w:pPr>
            <w:hyperlink r:id="rId10" w:history="1">
              <w:r w:rsidR="005956EA" w:rsidRPr="003C7691">
                <w:rPr>
                  <w:rStyle w:val="Hyperlink"/>
                  <w:rFonts w:asciiTheme="minorHAnsi" w:hAnsiTheme="minorHAnsi" w:cs="Open Sans"/>
                  <w:b w:val="0"/>
                </w:rPr>
                <w:t>https://documents.egi.eu/document/2782</w:t>
              </w:r>
            </w:hyperlink>
            <w:r w:rsidR="005956EA">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r>
              <w:t>Małgorzata Krakowian</w:t>
            </w:r>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bookmarkStart w:id="0" w:name="_GoBack"/>
        <w:bookmarkEnd w:id="0"/>
        <w:p w14:paraId="062252D7" w14:textId="77777777" w:rsidR="006E2AA3"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7189620" w:history="1">
            <w:r w:rsidR="006E2AA3" w:rsidRPr="00584FF3">
              <w:rPr>
                <w:rStyle w:val="Hyperlink"/>
                <w:noProof/>
              </w:rPr>
              <w:t>1</w:t>
            </w:r>
            <w:r w:rsidR="006E2AA3">
              <w:rPr>
                <w:rFonts w:asciiTheme="minorHAnsi" w:eastAsiaTheme="minorEastAsia" w:hAnsiTheme="minorHAnsi"/>
                <w:noProof/>
                <w:spacing w:val="0"/>
                <w:lang w:eastAsia="en-GB"/>
              </w:rPr>
              <w:tab/>
            </w:r>
            <w:r w:rsidR="006E2AA3" w:rsidRPr="00584FF3">
              <w:rPr>
                <w:rStyle w:val="Hyperlink"/>
                <w:noProof/>
              </w:rPr>
              <w:t>The Services</w:t>
            </w:r>
            <w:r w:rsidR="006E2AA3">
              <w:rPr>
                <w:noProof/>
                <w:webHidden/>
              </w:rPr>
              <w:tab/>
            </w:r>
            <w:r w:rsidR="006E2AA3">
              <w:rPr>
                <w:noProof/>
                <w:webHidden/>
              </w:rPr>
              <w:fldChar w:fldCharType="begin"/>
            </w:r>
            <w:r w:rsidR="006E2AA3">
              <w:rPr>
                <w:noProof/>
                <w:webHidden/>
              </w:rPr>
              <w:instrText xml:space="preserve"> PAGEREF _Toc447189620 \h </w:instrText>
            </w:r>
            <w:r w:rsidR="006E2AA3">
              <w:rPr>
                <w:noProof/>
                <w:webHidden/>
              </w:rPr>
            </w:r>
            <w:r w:rsidR="006E2AA3">
              <w:rPr>
                <w:noProof/>
                <w:webHidden/>
              </w:rPr>
              <w:fldChar w:fldCharType="separate"/>
            </w:r>
            <w:r w:rsidR="006E2AA3">
              <w:rPr>
                <w:noProof/>
                <w:webHidden/>
              </w:rPr>
              <w:t>4</w:t>
            </w:r>
            <w:r w:rsidR="006E2AA3">
              <w:rPr>
                <w:noProof/>
                <w:webHidden/>
              </w:rPr>
              <w:fldChar w:fldCharType="end"/>
            </w:r>
          </w:hyperlink>
        </w:p>
        <w:p w14:paraId="6DD0C34A"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21" w:history="1">
            <w:r w:rsidRPr="00584FF3">
              <w:rPr>
                <w:rStyle w:val="Hyperlink"/>
                <w:noProof/>
              </w:rPr>
              <w:t>2</w:t>
            </w:r>
            <w:r>
              <w:rPr>
                <w:rFonts w:asciiTheme="minorHAnsi" w:eastAsiaTheme="minorEastAsia" w:hAnsiTheme="minorHAnsi"/>
                <w:noProof/>
                <w:spacing w:val="0"/>
                <w:lang w:eastAsia="en-GB"/>
              </w:rPr>
              <w:tab/>
            </w:r>
            <w:r w:rsidRPr="00584FF3">
              <w:rPr>
                <w:rStyle w:val="Hyperlink"/>
                <w:noProof/>
              </w:rPr>
              <w:t>Service hours and exceptions</w:t>
            </w:r>
            <w:r>
              <w:rPr>
                <w:noProof/>
                <w:webHidden/>
              </w:rPr>
              <w:tab/>
            </w:r>
            <w:r>
              <w:rPr>
                <w:noProof/>
                <w:webHidden/>
              </w:rPr>
              <w:fldChar w:fldCharType="begin"/>
            </w:r>
            <w:r>
              <w:rPr>
                <w:noProof/>
                <w:webHidden/>
              </w:rPr>
              <w:instrText xml:space="preserve"> PAGEREF _Toc447189621 \h </w:instrText>
            </w:r>
            <w:r>
              <w:rPr>
                <w:noProof/>
                <w:webHidden/>
              </w:rPr>
            </w:r>
            <w:r>
              <w:rPr>
                <w:noProof/>
                <w:webHidden/>
              </w:rPr>
              <w:fldChar w:fldCharType="separate"/>
            </w:r>
            <w:r>
              <w:rPr>
                <w:noProof/>
                <w:webHidden/>
              </w:rPr>
              <w:t>4</w:t>
            </w:r>
            <w:r>
              <w:rPr>
                <w:noProof/>
                <w:webHidden/>
              </w:rPr>
              <w:fldChar w:fldCharType="end"/>
            </w:r>
          </w:hyperlink>
        </w:p>
        <w:p w14:paraId="7CE0EF21"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22" w:history="1">
            <w:r w:rsidRPr="00584FF3">
              <w:rPr>
                <w:rStyle w:val="Hyperlink"/>
                <w:noProof/>
              </w:rPr>
              <w:t>3</w:t>
            </w:r>
            <w:r>
              <w:rPr>
                <w:rFonts w:asciiTheme="minorHAnsi" w:eastAsiaTheme="minorEastAsia" w:hAnsiTheme="minorHAnsi"/>
                <w:noProof/>
                <w:spacing w:val="0"/>
                <w:lang w:eastAsia="en-GB"/>
              </w:rPr>
              <w:tab/>
            </w:r>
            <w:r w:rsidRPr="00584FF3">
              <w:rPr>
                <w:rStyle w:val="Hyperlink"/>
                <w:noProof/>
              </w:rPr>
              <w:t>Support</w:t>
            </w:r>
            <w:r>
              <w:rPr>
                <w:noProof/>
                <w:webHidden/>
              </w:rPr>
              <w:tab/>
            </w:r>
            <w:r>
              <w:rPr>
                <w:noProof/>
                <w:webHidden/>
              </w:rPr>
              <w:fldChar w:fldCharType="begin"/>
            </w:r>
            <w:r>
              <w:rPr>
                <w:noProof/>
                <w:webHidden/>
              </w:rPr>
              <w:instrText xml:space="preserve"> PAGEREF _Toc447189622 \h </w:instrText>
            </w:r>
            <w:r>
              <w:rPr>
                <w:noProof/>
                <w:webHidden/>
              </w:rPr>
            </w:r>
            <w:r>
              <w:rPr>
                <w:noProof/>
                <w:webHidden/>
              </w:rPr>
              <w:fldChar w:fldCharType="separate"/>
            </w:r>
            <w:r>
              <w:rPr>
                <w:noProof/>
                <w:webHidden/>
              </w:rPr>
              <w:t>4</w:t>
            </w:r>
            <w:r>
              <w:rPr>
                <w:noProof/>
                <w:webHidden/>
              </w:rPr>
              <w:fldChar w:fldCharType="end"/>
            </w:r>
          </w:hyperlink>
        </w:p>
        <w:p w14:paraId="5C42D1ED"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23" w:history="1">
            <w:r w:rsidRPr="00584FF3">
              <w:rPr>
                <w:rStyle w:val="Hyperlink"/>
                <w:noProof/>
              </w:rPr>
              <w:t>3.1</w:t>
            </w:r>
            <w:r>
              <w:rPr>
                <w:rFonts w:asciiTheme="minorHAnsi" w:eastAsiaTheme="minorEastAsia" w:hAnsiTheme="minorHAnsi"/>
                <w:noProof/>
                <w:spacing w:val="0"/>
                <w:lang w:eastAsia="en-GB"/>
              </w:rPr>
              <w:tab/>
            </w:r>
            <w:r w:rsidRPr="00584FF3">
              <w:rPr>
                <w:rStyle w:val="Hyperlink"/>
                <w:noProof/>
              </w:rPr>
              <w:t>Incident handling</w:t>
            </w:r>
            <w:r>
              <w:rPr>
                <w:noProof/>
                <w:webHidden/>
              </w:rPr>
              <w:tab/>
            </w:r>
            <w:r>
              <w:rPr>
                <w:noProof/>
                <w:webHidden/>
              </w:rPr>
              <w:fldChar w:fldCharType="begin"/>
            </w:r>
            <w:r>
              <w:rPr>
                <w:noProof/>
                <w:webHidden/>
              </w:rPr>
              <w:instrText xml:space="preserve"> PAGEREF _Toc447189623 \h </w:instrText>
            </w:r>
            <w:r>
              <w:rPr>
                <w:noProof/>
                <w:webHidden/>
              </w:rPr>
            </w:r>
            <w:r>
              <w:rPr>
                <w:noProof/>
                <w:webHidden/>
              </w:rPr>
              <w:fldChar w:fldCharType="separate"/>
            </w:r>
            <w:r>
              <w:rPr>
                <w:noProof/>
                <w:webHidden/>
              </w:rPr>
              <w:t>4</w:t>
            </w:r>
            <w:r>
              <w:rPr>
                <w:noProof/>
                <w:webHidden/>
              </w:rPr>
              <w:fldChar w:fldCharType="end"/>
            </w:r>
          </w:hyperlink>
        </w:p>
        <w:p w14:paraId="0A7C6491"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24" w:history="1">
            <w:r w:rsidRPr="00584FF3">
              <w:rPr>
                <w:rStyle w:val="Hyperlink"/>
                <w:noProof/>
              </w:rPr>
              <w:t>3.2</w:t>
            </w:r>
            <w:r>
              <w:rPr>
                <w:rFonts w:asciiTheme="minorHAnsi" w:eastAsiaTheme="minorEastAsia" w:hAnsiTheme="minorHAnsi"/>
                <w:noProof/>
                <w:spacing w:val="0"/>
                <w:lang w:eastAsia="en-GB"/>
              </w:rPr>
              <w:tab/>
            </w:r>
            <w:r w:rsidRPr="00584FF3">
              <w:rPr>
                <w:rStyle w:val="Hyperlink"/>
                <w:noProof/>
              </w:rPr>
              <w:t>Service requests</w:t>
            </w:r>
            <w:r>
              <w:rPr>
                <w:noProof/>
                <w:webHidden/>
              </w:rPr>
              <w:tab/>
            </w:r>
            <w:r>
              <w:rPr>
                <w:noProof/>
                <w:webHidden/>
              </w:rPr>
              <w:fldChar w:fldCharType="begin"/>
            </w:r>
            <w:r>
              <w:rPr>
                <w:noProof/>
                <w:webHidden/>
              </w:rPr>
              <w:instrText xml:space="preserve"> PAGEREF _Toc447189624 \h </w:instrText>
            </w:r>
            <w:r>
              <w:rPr>
                <w:noProof/>
                <w:webHidden/>
              </w:rPr>
            </w:r>
            <w:r>
              <w:rPr>
                <w:noProof/>
                <w:webHidden/>
              </w:rPr>
              <w:fldChar w:fldCharType="separate"/>
            </w:r>
            <w:r>
              <w:rPr>
                <w:noProof/>
                <w:webHidden/>
              </w:rPr>
              <w:t>5</w:t>
            </w:r>
            <w:r>
              <w:rPr>
                <w:noProof/>
                <w:webHidden/>
              </w:rPr>
              <w:fldChar w:fldCharType="end"/>
            </w:r>
          </w:hyperlink>
        </w:p>
        <w:p w14:paraId="612ABEA1"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25" w:history="1">
            <w:r w:rsidRPr="00584FF3">
              <w:rPr>
                <w:rStyle w:val="Hyperlink"/>
                <w:noProof/>
              </w:rPr>
              <w:t>4</w:t>
            </w:r>
            <w:r>
              <w:rPr>
                <w:rFonts w:asciiTheme="minorHAnsi" w:eastAsiaTheme="minorEastAsia" w:hAnsiTheme="minorHAnsi"/>
                <w:noProof/>
                <w:spacing w:val="0"/>
                <w:lang w:eastAsia="en-GB"/>
              </w:rPr>
              <w:tab/>
            </w:r>
            <w:r w:rsidRPr="00584FF3">
              <w:rPr>
                <w:rStyle w:val="Hyperlink"/>
                <w:noProof/>
              </w:rPr>
              <w:t>Service level targets</w:t>
            </w:r>
            <w:r>
              <w:rPr>
                <w:noProof/>
                <w:webHidden/>
              </w:rPr>
              <w:tab/>
            </w:r>
            <w:r>
              <w:rPr>
                <w:noProof/>
                <w:webHidden/>
              </w:rPr>
              <w:fldChar w:fldCharType="begin"/>
            </w:r>
            <w:r>
              <w:rPr>
                <w:noProof/>
                <w:webHidden/>
              </w:rPr>
              <w:instrText xml:space="preserve"> PAGEREF _Toc447189625 \h </w:instrText>
            </w:r>
            <w:r>
              <w:rPr>
                <w:noProof/>
                <w:webHidden/>
              </w:rPr>
            </w:r>
            <w:r>
              <w:rPr>
                <w:noProof/>
                <w:webHidden/>
              </w:rPr>
              <w:fldChar w:fldCharType="separate"/>
            </w:r>
            <w:r>
              <w:rPr>
                <w:noProof/>
                <w:webHidden/>
              </w:rPr>
              <w:t>5</w:t>
            </w:r>
            <w:r>
              <w:rPr>
                <w:noProof/>
                <w:webHidden/>
              </w:rPr>
              <w:fldChar w:fldCharType="end"/>
            </w:r>
          </w:hyperlink>
        </w:p>
        <w:p w14:paraId="3FE009EB"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26" w:history="1">
            <w:r w:rsidRPr="00584FF3">
              <w:rPr>
                <w:rStyle w:val="Hyperlink"/>
                <w:noProof/>
              </w:rPr>
              <w:t>5</w:t>
            </w:r>
            <w:r>
              <w:rPr>
                <w:rFonts w:asciiTheme="minorHAnsi" w:eastAsiaTheme="minorEastAsia" w:hAnsiTheme="minorHAnsi"/>
                <w:noProof/>
                <w:spacing w:val="0"/>
                <w:lang w:eastAsia="en-GB"/>
              </w:rPr>
              <w:tab/>
            </w:r>
            <w:r w:rsidRPr="00584FF3">
              <w:rPr>
                <w:rStyle w:val="Hyperlink"/>
                <w:noProof/>
              </w:rPr>
              <w:t>Limitations and constraints</w:t>
            </w:r>
            <w:r>
              <w:rPr>
                <w:noProof/>
                <w:webHidden/>
              </w:rPr>
              <w:tab/>
            </w:r>
            <w:r>
              <w:rPr>
                <w:noProof/>
                <w:webHidden/>
              </w:rPr>
              <w:fldChar w:fldCharType="begin"/>
            </w:r>
            <w:r>
              <w:rPr>
                <w:noProof/>
                <w:webHidden/>
              </w:rPr>
              <w:instrText xml:space="preserve"> PAGEREF _Toc447189626 \h </w:instrText>
            </w:r>
            <w:r>
              <w:rPr>
                <w:noProof/>
                <w:webHidden/>
              </w:rPr>
            </w:r>
            <w:r>
              <w:rPr>
                <w:noProof/>
                <w:webHidden/>
              </w:rPr>
              <w:fldChar w:fldCharType="separate"/>
            </w:r>
            <w:r>
              <w:rPr>
                <w:noProof/>
                <w:webHidden/>
              </w:rPr>
              <w:t>6</w:t>
            </w:r>
            <w:r>
              <w:rPr>
                <w:noProof/>
                <w:webHidden/>
              </w:rPr>
              <w:fldChar w:fldCharType="end"/>
            </w:r>
          </w:hyperlink>
        </w:p>
        <w:p w14:paraId="10E957A3"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27" w:history="1">
            <w:r w:rsidRPr="00584FF3">
              <w:rPr>
                <w:rStyle w:val="Hyperlink"/>
                <w:noProof/>
              </w:rPr>
              <w:t>6</w:t>
            </w:r>
            <w:r>
              <w:rPr>
                <w:rFonts w:asciiTheme="minorHAnsi" w:eastAsiaTheme="minorEastAsia" w:hAnsiTheme="minorHAnsi"/>
                <w:noProof/>
                <w:spacing w:val="0"/>
                <w:lang w:eastAsia="en-GB"/>
              </w:rPr>
              <w:tab/>
            </w:r>
            <w:r w:rsidRPr="00584FF3">
              <w:rPr>
                <w:rStyle w:val="Hyperlink"/>
                <w:noProof/>
              </w:rPr>
              <w:t>Communication, reporting and escalation</w:t>
            </w:r>
            <w:r>
              <w:rPr>
                <w:noProof/>
                <w:webHidden/>
              </w:rPr>
              <w:tab/>
            </w:r>
            <w:r>
              <w:rPr>
                <w:noProof/>
                <w:webHidden/>
              </w:rPr>
              <w:fldChar w:fldCharType="begin"/>
            </w:r>
            <w:r>
              <w:rPr>
                <w:noProof/>
                <w:webHidden/>
              </w:rPr>
              <w:instrText xml:space="preserve"> PAGEREF _Toc447189627 \h </w:instrText>
            </w:r>
            <w:r>
              <w:rPr>
                <w:noProof/>
                <w:webHidden/>
              </w:rPr>
            </w:r>
            <w:r>
              <w:rPr>
                <w:noProof/>
                <w:webHidden/>
              </w:rPr>
              <w:fldChar w:fldCharType="separate"/>
            </w:r>
            <w:r>
              <w:rPr>
                <w:noProof/>
                <w:webHidden/>
              </w:rPr>
              <w:t>6</w:t>
            </w:r>
            <w:r>
              <w:rPr>
                <w:noProof/>
                <w:webHidden/>
              </w:rPr>
              <w:fldChar w:fldCharType="end"/>
            </w:r>
          </w:hyperlink>
        </w:p>
        <w:p w14:paraId="62D3C4D4"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28" w:history="1">
            <w:r w:rsidRPr="00584FF3">
              <w:rPr>
                <w:rStyle w:val="Hyperlink"/>
                <w:noProof/>
              </w:rPr>
              <w:t>6.1</w:t>
            </w:r>
            <w:r>
              <w:rPr>
                <w:rFonts w:asciiTheme="minorHAnsi" w:eastAsiaTheme="minorEastAsia" w:hAnsiTheme="minorHAnsi"/>
                <w:noProof/>
                <w:spacing w:val="0"/>
                <w:lang w:eastAsia="en-GB"/>
              </w:rPr>
              <w:tab/>
            </w:r>
            <w:r w:rsidRPr="00584FF3">
              <w:rPr>
                <w:rStyle w:val="Hyperlink"/>
                <w:noProof/>
              </w:rPr>
              <w:t>General communication</w:t>
            </w:r>
            <w:r>
              <w:rPr>
                <w:noProof/>
                <w:webHidden/>
              </w:rPr>
              <w:tab/>
            </w:r>
            <w:r>
              <w:rPr>
                <w:noProof/>
                <w:webHidden/>
              </w:rPr>
              <w:fldChar w:fldCharType="begin"/>
            </w:r>
            <w:r>
              <w:rPr>
                <w:noProof/>
                <w:webHidden/>
              </w:rPr>
              <w:instrText xml:space="preserve"> PAGEREF _Toc447189628 \h </w:instrText>
            </w:r>
            <w:r>
              <w:rPr>
                <w:noProof/>
                <w:webHidden/>
              </w:rPr>
            </w:r>
            <w:r>
              <w:rPr>
                <w:noProof/>
                <w:webHidden/>
              </w:rPr>
              <w:fldChar w:fldCharType="separate"/>
            </w:r>
            <w:r>
              <w:rPr>
                <w:noProof/>
                <w:webHidden/>
              </w:rPr>
              <w:t>6</w:t>
            </w:r>
            <w:r>
              <w:rPr>
                <w:noProof/>
                <w:webHidden/>
              </w:rPr>
              <w:fldChar w:fldCharType="end"/>
            </w:r>
          </w:hyperlink>
        </w:p>
        <w:p w14:paraId="7132F731"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29" w:history="1">
            <w:r w:rsidRPr="00584FF3">
              <w:rPr>
                <w:rStyle w:val="Hyperlink"/>
                <w:noProof/>
              </w:rPr>
              <w:t>6.2</w:t>
            </w:r>
            <w:r>
              <w:rPr>
                <w:rFonts w:asciiTheme="minorHAnsi" w:eastAsiaTheme="minorEastAsia" w:hAnsiTheme="minorHAnsi"/>
                <w:noProof/>
                <w:spacing w:val="0"/>
                <w:lang w:eastAsia="en-GB"/>
              </w:rPr>
              <w:tab/>
            </w:r>
            <w:r w:rsidRPr="00584FF3">
              <w:rPr>
                <w:rStyle w:val="Hyperlink"/>
                <w:noProof/>
              </w:rPr>
              <w:t>Violations</w:t>
            </w:r>
            <w:r>
              <w:rPr>
                <w:noProof/>
                <w:webHidden/>
              </w:rPr>
              <w:tab/>
            </w:r>
            <w:r>
              <w:rPr>
                <w:noProof/>
                <w:webHidden/>
              </w:rPr>
              <w:fldChar w:fldCharType="begin"/>
            </w:r>
            <w:r>
              <w:rPr>
                <w:noProof/>
                <w:webHidden/>
              </w:rPr>
              <w:instrText xml:space="preserve"> PAGEREF _Toc447189629 \h </w:instrText>
            </w:r>
            <w:r>
              <w:rPr>
                <w:noProof/>
                <w:webHidden/>
              </w:rPr>
            </w:r>
            <w:r>
              <w:rPr>
                <w:noProof/>
                <w:webHidden/>
              </w:rPr>
              <w:fldChar w:fldCharType="separate"/>
            </w:r>
            <w:r>
              <w:rPr>
                <w:noProof/>
                <w:webHidden/>
              </w:rPr>
              <w:t>6</w:t>
            </w:r>
            <w:r>
              <w:rPr>
                <w:noProof/>
                <w:webHidden/>
              </w:rPr>
              <w:fldChar w:fldCharType="end"/>
            </w:r>
          </w:hyperlink>
        </w:p>
        <w:p w14:paraId="4B420E82"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30" w:history="1">
            <w:r w:rsidRPr="00584FF3">
              <w:rPr>
                <w:rStyle w:val="Hyperlink"/>
                <w:noProof/>
              </w:rPr>
              <w:t>6.3</w:t>
            </w:r>
            <w:r>
              <w:rPr>
                <w:rFonts w:asciiTheme="minorHAnsi" w:eastAsiaTheme="minorEastAsia" w:hAnsiTheme="minorHAnsi"/>
                <w:noProof/>
                <w:spacing w:val="0"/>
                <w:lang w:eastAsia="en-GB"/>
              </w:rPr>
              <w:tab/>
            </w:r>
            <w:r w:rsidRPr="00584FF3">
              <w:rPr>
                <w:rStyle w:val="Hyperlink"/>
                <w:noProof/>
              </w:rPr>
              <w:t>Escalation and complaints</w:t>
            </w:r>
            <w:r>
              <w:rPr>
                <w:noProof/>
                <w:webHidden/>
              </w:rPr>
              <w:tab/>
            </w:r>
            <w:r>
              <w:rPr>
                <w:noProof/>
                <w:webHidden/>
              </w:rPr>
              <w:fldChar w:fldCharType="begin"/>
            </w:r>
            <w:r>
              <w:rPr>
                <w:noProof/>
                <w:webHidden/>
              </w:rPr>
              <w:instrText xml:space="preserve"> PAGEREF _Toc447189630 \h </w:instrText>
            </w:r>
            <w:r>
              <w:rPr>
                <w:noProof/>
                <w:webHidden/>
              </w:rPr>
            </w:r>
            <w:r>
              <w:rPr>
                <w:noProof/>
                <w:webHidden/>
              </w:rPr>
              <w:fldChar w:fldCharType="separate"/>
            </w:r>
            <w:r>
              <w:rPr>
                <w:noProof/>
                <w:webHidden/>
              </w:rPr>
              <w:t>7</w:t>
            </w:r>
            <w:r>
              <w:rPr>
                <w:noProof/>
                <w:webHidden/>
              </w:rPr>
              <w:fldChar w:fldCharType="end"/>
            </w:r>
          </w:hyperlink>
        </w:p>
        <w:p w14:paraId="403366DF"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31" w:history="1">
            <w:r w:rsidRPr="00584FF3">
              <w:rPr>
                <w:rStyle w:val="Hyperlink"/>
                <w:noProof/>
              </w:rPr>
              <w:t>7</w:t>
            </w:r>
            <w:r>
              <w:rPr>
                <w:rFonts w:asciiTheme="minorHAnsi" w:eastAsiaTheme="minorEastAsia" w:hAnsiTheme="minorHAnsi"/>
                <w:noProof/>
                <w:spacing w:val="0"/>
                <w:lang w:eastAsia="en-GB"/>
              </w:rPr>
              <w:tab/>
            </w:r>
            <w:r w:rsidRPr="00584FF3">
              <w:rPr>
                <w:rStyle w:val="Hyperlink"/>
                <w:noProof/>
              </w:rPr>
              <w:t>Information security and data protection</w:t>
            </w:r>
            <w:r>
              <w:rPr>
                <w:noProof/>
                <w:webHidden/>
              </w:rPr>
              <w:tab/>
            </w:r>
            <w:r>
              <w:rPr>
                <w:noProof/>
                <w:webHidden/>
              </w:rPr>
              <w:fldChar w:fldCharType="begin"/>
            </w:r>
            <w:r>
              <w:rPr>
                <w:noProof/>
                <w:webHidden/>
              </w:rPr>
              <w:instrText xml:space="preserve"> PAGEREF _Toc447189631 \h </w:instrText>
            </w:r>
            <w:r>
              <w:rPr>
                <w:noProof/>
                <w:webHidden/>
              </w:rPr>
            </w:r>
            <w:r>
              <w:rPr>
                <w:noProof/>
                <w:webHidden/>
              </w:rPr>
              <w:fldChar w:fldCharType="separate"/>
            </w:r>
            <w:r>
              <w:rPr>
                <w:noProof/>
                <w:webHidden/>
              </w:rPr>
              <w:t>7</w:t>
            </w:r>
            <w:r>
              <w:rPr>
                <w:noProof/>
                <w:webHidden/>
              </w:rPr>
              <w:fldChar w:fldCharType="end"/>
            </w:r>
          </w:hyperlink>
        </w:p>
        <w:p w14:paraId="0EFE4418"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32" w:history="1">
            <w:r w:rsidRPr="00584FF3">
              <w:rPr>
                <w:rStyle w:val="Hyperlink"/>
                <w:noProof/>
              </w:rPr>
              <w:t>8</w:t>
            </w:r>
            <w:r>
              <w:rPr>
                <w:rFonts w:asciiTheme="minorHAnsi" w:eastAsiaTheme="minorEastAsia" w:hAnsiTheme="minorHAnsi"/>
                <w:noProof/>
                <w:spacing w:val="0"/>
                <w:lang w:eastAsia="en-GB"/>
              </w:rPr>
              <w:tab/>
            </w:r>
            <w:r w:rsidRPr="00584FF3">
              <w:rPr>
                <w:rStyle w:val="Hyperlink"/>
                <w:noProof/>
              </w:rPr>
              <w:t>Responsibilities</w:t>
            </w:r>
            <w:r>
              <w:rPr>
                <w:noProof/>
                <w:webHidden/>
              </w:rPr>
              <w:tab/>
            </w:r>
            <w:r>
              <w:rPr>
                <w:noProof/>
                <w:webHidden/>
              </w:rPr>
              <w:fldChar w:fldCharType="begin"/>
            </w:r>
            <w:r>
              <w:rPr>
                <w:noProof/>
                <w:webHidden/>
              </w:rPr>
              <w:instrText xml:space="preserve"> PAGEREF _Toc447189632 \h </w:instrText>
            </w:r>
            <w:r>
              <w:rPr>
                <w:noProof/>
                <w:webHidden/>
              </w:rPr>
            </w:r>
            <w:r>
              <w:rPr>
                <w:noProof/>
                <w:webHidden/>
              </w:rPr>
              <w:fldChar w:fldCharType="separate"/>
            </w:r>
            <w:r>
              <w:rPr>
                <w:noProof/>
                <w:webHidden/>
              </w:rPr>
              <w:t>7</w:t>
            </w:r>
            <w:r>
              <w:rPr>
                <w:noProof/>
                <w:webHidden/>
              </w:rPr>
              <w:fldChar w:fldCharType="end"/>
            </w:r>
          </w:hyperlink>
        </w:p>
        <w:p w14:paraId="4B870058"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33" w:history="1">
            <w:r w:rsidRPr="00584FF3">
              <w:rPr>
                <w:rStyle w:val="Hyperlink"/>
                <w:noProof/>
              </w:rPr>
              <w:t>8.1</w:t>
            </w:r>
            <w:r>
              <w:rPr>
                <w:rFonts w:asciiTheme="minorHAnsi" w:eastAsiaTheme="minorEastAsia" w:hAnsiTheme="minorHAnsi"/>
                <w:noProof/>
                <w:spacing w:val="0"/>
                <w:lang w:eastAsia="en-GB"/>
              </w:rPr>
              <w:tab/>
            </w:r>
            <w:r w:rsidRPr="00584FF3">
              <w:rPr>
                <w:rStyle w:val="Hyperlink"/>
                <w:noProof/>
              </w:rPr>
              <w:t>Of the Provider</w:t>
            </w:r>
            <w:r>
              <w:rPr>
                <w:noProof/>
                <w:webHidden/>
              </w:rPr>
              <w:tab/>
            </w:r>
            <w:r>
              <w:rPr>
                <w:noProof/>
                <w:webHidden/>
              </w:rPr>
              <w:fldChar w:fldCharType="begin"/>
            </w:r>
            <w:r>
              <w:rPr>
                <w:noProof/>
                <w:webHidden/>
              </w:rPr>
              <w:instrText xml:space="preserve"> PAGEREF _Toc447189633 \h </w:instrText>
            </w:r>
            <w:r>
              <w:rPr>
                <w:noProof/>
                <w:webHidden/>
              </w:rPr>
            </w:r>
            <w:r>
              <w:rPr>
                <w:noProof/>
                <w:webHidden/>
              </w:rPr>
              <w:fldChar w:fldCharType="separate"/>
            </w:r>
            <w:r>
              <w:rPr>
                <w:noProof/>
                <w:webHidden/>
              </w:rPr>
              <w:t>7</w:t>
            </w:r>
            <w:r>
              <w:rPr>
                <w:noProof/>
                <w:webHidden/>
              </w:rPr>
              <w:fldChar w:fldCharType="end"/>
            </w:r>
          </w:hyperlink>
        </w:p>
        <w:p w14:paraId="15250F95" w14:textId="77777777" w:rsidR="006E2AA3" w:rsidRDefault="006E2AA3">
          <w:pPr>
            <w:pStyle w:val="TOC2"/>
            <w:tabs>
              <w:tab w:val="left" w:pos="880"/>
              <w:tab w:val="right" w:leader="dot" w:pos="9016"/>
            </w:tabs>
            <w:rPr>
              <w:rFonts w:asciiTheme="minorHAnsi" w:eastAsiaTheme="minorEastAsia" w:hAnsiTheme="minorHAnsi"/>
              <w:noProof/>
              <w:spacing w:val="0"/>
              <w:lang w:eastAsia="en-GB"/>
            </w:rPr>
          </w:pPr>
          <w:hyperlink w:anchor="_Toc447189634" w:history="1">
            <w:r w:rsidRPr="00584FF3">
              <w:rPr>
                <w:rStyle w:val="Hyperlink"/>
                <w:noProof/>
              </w:rPr>
              <w:t>8.2</w:t>
            </w:r>
            <w:r>
              <w:rPr>
                <w:rFonts w:asciiTheme="minorHAnsi" w:eastAsiaTheme="minorEastAsia" w:hAnsiTheme="minorHAnsi"/>
                <w:noProof/>
                <w:spacing w:val="0"/>
                <w:lang w:eastAsia="en-GB"/>
              </w:rPr>
              <w:tab/>
            </w:r>
            <w:r w:rsidRPr="00584FF3">
              <w:rPr>
                <w:rStyle w:val="Hyperlink"/>
                <w:noProof/>
              </w:rPr>
              <w:t>Of the Customer</w:t>
            </w:r>
            <w:r>
              <w:rPr>
                <w:noProof/>
                <w:webHidden/>
              </w:rPr>
              <w:tab/>
            </w:r>
            <w:r>
              <w:rPr>
                <w:noProof/>
                <w:webHidden/>
              </w:rPr>
              <w:fldChar w:fldCharType="begin"/>
            </w:r>
            <w:r>
              <w:rPr>
                <w:noProof/>
                <w:webHidden/>
              </w:rPr>
              <w:instrText xml:space="preserve"> PAGEREF _Toc447189634 \h </w:instrText>
            </w:r>
            <w:r>
              <w:rPr>
                <w:noProof/>
                <w:webHidden/>
              </w:rPr>
            </w:r>
            <w:r>
              <w:rPr>
                <w:noProof/>
                <w:webHidden/>
              </w:rPr>
              <w:fldChar w:fldCharType="separate"/>
            </w:r>
            <w:r>
              <w:rPr>
                <w:noProof/>
                <w:webHidden/>
              </w:rPr>
              <w:t>8</w:t>
            </w:r>
            <w:r>
              <w:rPr>
                <w:noProof/>
                <w:webHidden/>
              </w:rPr>
              <w:fldChar w:fldCharType="end"/>
            </w:r>
          </w:hyperlink>
        </w:p>
        <w:p w14:paraId="49D371EA" w14:textId="77777777" w:rsidR="006E2AA3" w:rsidRDefault="006E2AA3">
          <w:pPr>
            <w:pStyle w:val="TOC1"/>
            <w:tabs>
              <w:tab w:val="left" w:pos="400"/>
              <w:tab w:val="right" w:leader="dot" w:pos="9016"/>
            </w:tabs>
            <w:rPr>
              <w:rFonts w:asciiTheme="minorHAnsi" w:eastAsiaTheme="minorEastAsia" w:hAnsiTheme="minorHAnsi"/>
              <w:noProof/>
              <w:spacing w:val="0"/>
              <w:lang w:eastAsia="en-GB"/>
            </w:rPr>
          </w:pPr>
          <w:hyperlink w:anchor="_Toc447189635" w:history="1">
            <w:r w:rsidRPr="00584FF3">
              <w:rPr>
                <w:rStyle w:val="Hyperlink"/>
                <w:noProof/>
              </w:rPr>
              <w:t>9</w:t>
            </w:r>
            <w:r>
              <w:rPr>
                <w:rFonts w:asciiTheme="minorHAnsi" w:eastAsiaTheme="minorEastAsia" w:hAnsiTheme="minorHAnsi"/>
                <w:noProof/>
                <w:spacing w:val="0"/>
                <w:lang w:eastAsia="en-GB"/>
              </w:rPr>
              <w:tab/>
            </w:r>
            <w:r w:rsidRPr="00584FF3">
              <w:rPr>
                <w:rStyle w:val="Hyperlink"/>
                <w:noProof/>
              </w:rPr>
              <w:t>Review, extensions and termination</w:t>
            </w:r>
            <w:r>
              <w:rPr>
                <w:noProof/>
                <w:webHidden/>
              </w:rPr>
              <w:tab/>
            </w:r>
            <w:r>
              <w:rPr>
                <w:noProof/>
                <w:webHidden/>
              </w:rPr>
              <w:fldChar w:fldCharType="begin"/>
            </w:r>
            <w:r>
              <w:rPr>
                <w:noProof/>
                <w:webHidden/>
              </w:rPr>
              <w:instrText xml:space="preserve"> PAGEREF _Toc447189635 \h </w:instrText>
            </w:r>
            <w:r>
              <w:rPr>
                <w:noProof/>
                <w:webHidden/>
              </w:rPr>
            </w:r>
            <w:r>
              <w:rPr>
                <w:noProof/>
                <w:webHidden/>
              </w:rPr>
              <w:fldChar w:fldCharType="separate"/>
            </w:r>
            <w:r>
              <w:rPr>
                <w:noProof/>
                <w:webHidden/>
              </w:rPr>
              <w:t>8</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6863D388"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5956EA">
        <w:rPr>
          <w:b/>
        </w:rPr>
        <w:t>KIT</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A1479" w:rsidR="00CE1F5A" w:rsidRDefault="00CE1F5A" w:rsidP="00CE1F5A">
      <w:r>
        <w:t xml:space="preserve">This Agreement is valid from </w:t>
      </w:r>
      <w:r w:rsidR="005956EA">
        <w:rPr>
          <w:b/>
        </w:rPr>
        <w:t>1/01/2016</w:t>
      </w:r>
      <w:r w:rsidR="002C551F" w:rsidRPr="006D1955">
        <w:rPr>
          <w:b/>
        </w:rPr>
        <w:t xml:space="preserve"> </w:t>
      </w:r>
      <w:r w:rsidR="002C551F" w:rsidRPr="00C062E3">
        <w:t>to</w:t>
      </w:r>
      <w:r w:rsidR="002C551F" w:rsidRPr="006D1955">
        <w:rPr>
          <w:b/>
        </w:rPr>
        <w:t xml:space="preserve"> </w:t>
      </w:r>
      <w:r w:rsidR="005956EA">
        <w:rPr>
          <w:b/>
        </w:rPr>
        <w:t>31/12/2017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1E8CF281" w:rsidR="00BC2619" w:rsidRDefault="00D63871" w:rsidP="00CE1F5A">
      <w:r>
        <w:t>The Agreement extends t</w:t>
      </w:r>
      <w:r w:rsidR="00BC2619">
        <w:t xml:space="preserve">he </w:t>
      </w:r>
      <w:r w:rsidR="00045560" w:rsidRPr="00045560">
        <w:t xml:space="preserve">Corporate-level EGI Operational </w:t>
      </w:r>
      <w:r w:rsidR="009849A7">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7189620"/>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190969FA" w:rsidR="00063A9D" w:rsidRPr="00063A9D" w:rsidRDefault="005956EA" w:rsidP="00935098">
            <w:r>
              <w:t>The xGUS portal is a template framework for a helpdesk system. It is based on the BMC Remedy Action Request system with an Oracle database for tickets, news, portal and user administration.</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4873DF96" w14:textId="77777777" w:rsidR="005956EA" w:rsidRPr="00334489" w:rsidRDefault="005956EA" w:rsidP="00126884">
            <w:pPr>
              <w:pStyle w:val="ListParagraph"/>
              <w:numPr>
                <w:ilvl w:val="0"/>
                <w:numId w:val="8"/>
              </w:numPr>
            </w:pPr>
            <w:r w:rsidRPr="00334489">
              <w:t>Daily running of the system</w:t>
            </w:r>
          </w:p>
          <w:p w14:paraId="74CDCF53" w14:textId="20554E7E" w:rsidR="00063A9D" w:rsidRPr="005956EA" w:rsidRDefault="005956EA" w:rsidP="00126884">
            <w:pPr>
              <w:pStyle w:val="ListParagraph"/>
              <w:numPr>
                <w:ilvl w:val="0"/>
                <w:numId w:val="8"/>
              </w:numPr>
            </w:pPr>
            <w:r w:rsidRPr="00334489">
              <w:t>Updating of the service components</w:t>
            </w:r>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7266B2DB" w14:textId="77777777" w:rsidR="005956EA" w:rsidRDefault="005956EA" w:rsidP="00126884">
            <w:pPr>
              <w:pStyle w:val="ListParagraph"/>
              <w:numPr>
                <w:ilvl w:val="0"/>
                <w:numId w:val="9"/>
              </w:numPr>
            </w:pPr>
            <w:r w:rsidRPr="00334489">
              <w:t>Bug fixing, proactive maintenance, improvement of the system</w:t>
            </w:r>
          </w:p>
          <w:p w14:paraId="0CB5D6BF" w14:textId="68E87A69" w:rsidR="00063A9D" w:rsidRPr="005956EA" w:rsidRDefault="005956EA" w:rsidP="00126884">
            <w:pPr>
              <w:pStyle w:val="ListParagraph"/>
              <w:numPr>
                <w:ilvl w:val="0"/>
                <w:numId w:val="9"/>
              </w:numPr>
            </w:pPr>
            <w:r w:rsidRPr="00334489">
              <w:t>Documentation</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7189621"/>
      <w:r>
        <w:t>Service hours and exceptions</w:t>
      </w:r>
      <w:bookmarkEnd w:id="2"/>
    </w:p>
    <w:p w14:paraId="47B8BA78" w14:textId="627CA7F7" w:rsidR="00045560" w:rsidRP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018340AD" w14:textId="15E92A57" w:rsidR="00227F47" w:rsidRDefault="00176CC7" w:rsidP="00CE1F5A">
      <w:pPr>
        <w:pStyle w:val="Heading1"/>
      </w:pPr>
      <w:bookmarkStart w:id="3" w:name="_Toc447189622"/>
      <w:r>
        <w:t>Support</w:t>
      </w:r>
      <w:bookmarkEnd w:id="3"/>
    </w:p>
    <w:p w14:paraId="2E2C6A8B" w14:textId="4BD2951A" w:rsidR="00D63871" w:rsidRDefault="00D63871" w:rsidP="00D63871">
      <w:bookmarkStart w:id="4"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0188327" w14:textId="66DC72B0" w:rsidR="009A295C" w:rsidRPr="005956EA" w:rsidRDefault="009A295C" w:rsidP="00D63871">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5956EA">
        <w:rPr>
          <w:rFonts w:cs="Times New Roman"/>
        </w:rPr>
        <w:t>GGUS</w:t>
      </w:r>
    </w:p>
    <w:p w14:paraId="6F3E2817" w14:textId="3E94FCCE" w:rsidR="00176CC7" w:rsidRDefault="00176CC7" w:rsidP="00D206E9">
      <w:pPr>
        <w:pStyle w:val="Heading2"/>
      </w:pPr>
      <w:bookmarkStart w:id="5" w:name="_Toc447189623"/>
      <w:r w:rsidRPr="00B97954">
        <w:t>Incident handling</w:t>
      </w:r>
      <w:bookmarkEnd w:id="4"/>
      <w:bookmarkEnd w:id="5"/>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lastRenderedPageBreak/>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t>Incident priority</w:t>
            </w:r>
            <w:r w:rsidRPr="00045560">
              <w:rPr>
                <w:rStyle w:val="FootnoteReference"/>
                <w:rFonts w:cs="Open Sans"/>
                <w:b/>
                <w:highlight w:val="yellow"/>
              </w:rPr>
              <w:footnoteReference w:id="3"/>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6" w:name="_Toc447189624"/>
      <w:r w:rsidRPr="00176CC7">
        <w:t>Service requests</w:t>
      </w:r>
      <w:bookmarkEnd w:id="6"/>
    </w:p>
    <w:p w14:paraId="713138DE" w14:textId="159C166E" w:rsidR="00045560" w:rsidRPr="00D63871" w:rsidRDefault="00D63871" w:rsidP="00D63871">
      <w:bookmarkStart w:id="7"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0A2BC1F5" w14:textId="143941C4" w:rsidR="00227F47" w:rsidRPr="00176CC7" w:rsidRDefault="00176CC7" w:rsidP="00CE1F5A">
      <w:pPr>
        <w:pStyle w:val="Heading1"/>
      </w:pPr>
      <w:bookmarkStart w:id="8" w:name="_Toc447189625"/>
      <w:r w:rsidRPr="00B97954">
        <w:t>Service level targets</w:t>
      </w:r>
      <w:bookmarkEnd w:id="7"/>
      <w:bookmarkEnd w:id="8"/>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26884">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126884">
      <w:pPr>
        <w:pStyle w:val="ListParagraph"/>
        <w:numPr>
          <w:ilvl w:val="0"/>
          <w:numId w:val="3"/>
        </w:numPr>
      </w:pPr>
      <w:r w:rsidRPr="00B63C90">
        <w:lastRenderedPageBreak/>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126884">
      <w:pPr>
        <w:pStyle w:val="ListParagraph"/>
        <w:numPr>
          <w:ilvl w:val="0"/>
          <w:numId w:val="4"/>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126884">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126884">
      <w:pPr>
        <w:pStyle w:val="ListParagraph"/>
        <w:numPr>
          <w:ilvl w:val="0"/>
          <w:numId w:val="6"/>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9" w:name="_Toc403992929"/>
      <w:bookmarkStart w:id="10" w:name="_Toc447189626"/>
      <w:r>
        <w:t>Limitations and</w:t>
      </w:r>
      <w:r w:rsidRPr="00B97954">
        <w:t xml:space="preserve"> constraints</w:t>
      </w:r>
      <w:bookmarkEnd w:id="9"/>
      <w:bookmarkEnd w:id="10"/>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1" w:name="_Toc403992930"/>
      <w:bookmarkStart w:id="12" w:name="_Ref309554506"/>
      <w:bookmarkStart w:id="13" w:name="_Ref309554809"/>
      <w:bookmarkStart w:id="14" w:name="_Ref309554812"/>
      <w:bookmarkStart w:id="15" w:name="_Ref309554813"/>
      <w:bookmarkStart w:id="16" w:name="_Ref309554814"/>
      <w:bookmarkStart w:id="17" w:name="_Ref309554815"/>
      <w:bookmarkStart w:id="18" w:name="_Ref309566622"/>
      <w:bookmarkStart w:id="19" w:name="_Toc447189627"/>
      <w:r w:rsidRPr="00B97954">
        <w:t>Communication, r</w:t>
      </w:r>
      <w:r>
        <w:t>eporting and</w:t>
      </w:r>
      <w:r w:rsidRPr="00B97954">
        <w:t xml:space="preserve"> escalation</w:t>
      </w:r>
      <w:bookmarkEnd w:id="11"/>
      <w:bookmarkEnd w:id="12"/>
      <w:bookmarkEnd w:id="13"/>
      <w:bookmarkEnd w:id="14"/>
      <w:bookmarkEnd w:id="15"/>
      <w:bookmarkEnd w:id="16"/>
      <w:bookmarkEnd w:id="17"/>
      <w:bookmarkEnd w:id="18"/>
      <w:bookmarkEnd w:id="19"/>
    </w:p>
    <w:p w14:paraId="6196AA39" w14:textId="77777777" w:rsidR="00542830" w:rsidRPr="00B97954" w:rsidRDefault="00542830" w:rsidP="00D206E9">
      <w:pPr>
        <w:pStyle w:val="Heading2"/>
      </w:pPr>
      <w:bookmarkStart w:id="20" w:name="_Toc403992931"/>
      <w:bookmarkStart w:id="21" w:name="_Toc447189628"/>
      <w:r w:rsidRPr="00B97954">
        <w:t>General communication</w:t>
      </w:r>
      <w:bookmarkEnd w:id="20"/>
      <w:bookmarkEnd w:id="21"/>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2476B5C2" w14:textId="77777777" w:rsidR="00C27453" w:rsidRDefault="00C27453" w:rsidP="00C27453">
            <w:pPr>
              <w:rPr>
                <w:rFonts w:cs="Open Sans"/>
              </w:rPr>
            </w:pPr>
            <w:r>
              <w:rPr>
                <w:rFonts w:cs="Open Sans"/>
              </w:rPr>
              <w:t>Peter Solagna</w:t>
            </w:r>
          </w:p>
          <w:p w14:paraId="62484D7A" w14:textId="792799E8" w:rsidR="0063063E" w:rsidRPr="009C77B1" w:rsidRDefault="00312637" w:rsidP="00C27453">
            <w:pPr>
              <w:rPr>
                <w:rFonts w:cs="Open Sans"/>
                <w:highlight w:val="yellow"/>
                <w:lang w:val="it-IT"/>
              </w:rPr>
            </w:pPr>
            <w:hyperlink r:id="rId12" w:history="1">
              <w:r w:rsidR="00C27453">
                <w:rPr>
                  <w:rStyle w:val="Hyperlink"/>
                  <w:rFonts w:cs="Open Sans"/>
                </w:rPr>
                <w:t>operations@egi.eu</w:t>
              </w:r>
            </w:hyperlink>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34A41F3" w14:textId="07BCF6B0" w:rsidR="00045560" w:rsidRPr="00D63871" w:rsidRDefault="00045560" w:rsidP="00D63871">
      <w:bookmarkStart w:id="22" w:name="_Toc403992933"/>
    </w:p>
    <w:p w14:paraId="1B838A2D" w14:textId="77777777" w:rsidR="00542830" w:rsidRPr="00B97954" w:rsidRDefault="00542830" w:rsidP="00D206E9">
      <w:pPr>
        <w:pStyle w:val="Heading2"/>
      </w:pPr>
      <w:bookmarkStart w:id="23" w:name="_Toc447189629"/>
      <w:r>
        <w:t>V</w:t>
      </w:r>
      <w:r w:rsidRPr="00B97954">
        <w:t>iolations</w:t>
      </w:r>
      <w:bookmarkEnd w:id="22"/>
      <w:bookmarkEnd w:id="23"/>
    </w:p>
    <w:p w14:paraId="7C084582" w14:textId="664F20F0" w:rsidR="00FB2EA4" w:rsidRPr="00D63871" w:rsidRDefault="00D63871" w:rsidP="00D63871">
      <w:bookmarkStart w:id="24"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EE153FA" w14:textId="49C73FEE" w:rsidR="00542830" w:rsidRDefault="00542830" w:rsidP="00D206E9">
      <w:pPr>
        <w:pStyle w:val="Heading2"/>
      </w:pPr>
      <w:bookmarkStart w:id="25" w:name="_Toc447189630"/>
      <w:r w:rsidRPr="00B97954">
        <w:lastRenderedPageBreak/>
        <w:t xml:space="preserve">Escalation </w:t>
      </w:r>
      <w:r>
        <w:t>and</w:t>
      </w:r>
      <w:r w:rsidRPr="00B97954">
        <w:t xml:space="preserve"> complaints</w:t>
      </w:r>
      <w:bookmarkEnd w:id="24"/>
      <w:bookmarkEnd w:id="25"/>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126884">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232F3F1F" w:rsidR="00FB2EA4" w:rsidRPr="0005061C" w:rsidRDefault="00FB2EA4" w:rsidP="00126884">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26" w:name="_Toc403992935"/>
      <w:bookmarkStart w:id="27" w:name="_Toc447189631"/>
      <w:r>
        <w:t>Information security and</w:t>
      </w:r>
      <w:r w:rsidRPr="00B97954">
        <w:t xml:space="preserve"> data protection</w:t>
      </w:r>
      <w:bookmarkEnd w:id="26"/>
      <w:bookmarkEnd w:id="27"/>
    </w:p>
    <w:p w14:paraId="42D500FF" w14:textId="3E83D484" w:rsidR="00FB2EA4" w:rsidRPr="00D63871" w:rsidRDefault="00D63871" w:rsidP="00D63871">
      <w:bookmarkStart w:id="28" w:name="_Toc403992936"/>
      <w:r>
        <w:t xml:space="preserve">As defined in </w:t>
      </w:r>
      <w:r w:rsidR="00045560" w:rsidRPr="00045560">
        <w:t xml:space="preserve">Corporate-level EGI Operational </w:t>
      </w:r>
      <w:r w:rsidR="009849A7">
        <w:t>Level</w:t>
      </w:r>
      <w:r w:rsidR="00045560" w:rsidRPr="00045560">
        <w:t xml:space="preserve"> Agreement</w:t>
      </w:r>
    </w:p>
    <w:p w14:paraId="6127C083" w14:textId="690B204A" w:rsidR="00CC7A3E" w:rsidRDefault="00CC7A3E" w:rsidP="00CE1F5A">
      <w:pPr>
        <w:pStyle w:val="Heading1"/>
      </w:pPr>
      <w:bookmarkStart w:id="29" w:name="_Toc447189632"/>
      <w:r>
        <w:t>R</w:t>
      </w:r>
      <w:r w:rsidRPr="00B97954">
        <w:t>esponsibilities</w:t>
      </w:r>
      <w:bookmarkEnd w:id="29"/>
      <w:r w:rsidRPr="00B97954">
        <w:t xml:space="preserve"> </w:t>
      </w:r>
    </w:p>
    <w:p w14:paraId="4D1141DF" w14:textId="77777777" w:rsidR="00CC7A3E" w:rsidRPr="00B97954" w:rsidRDefault="00CC7A3E" w:rsidP="00D206E9">
      <w:pPr>
        <w:pStyle w:val="Heading2"/>
      </w:pPr>
      <w:bookmarkStart w:id="30" w:name="_Toc447189633"/>
      <w:r>
        <w:t>O</w:t>
      </w:r>
      <w:r w:rsidRPr="00B97954">
        <w:t xml:space="preserve">f the </w:t>
      </w:r>
      <w:r>
        <w:t>P</w:t>
      </w:r>
      <w:r w:rsidRPr="00B97954">
        <w:t>rovider</w:t>
      </w:r>
      <w:bookmarkEnd w:id="28"/>
      <w:bookmarkEnd w:id="30"/>
    </w:p>
    <w:p w14:paraId="50F874E0" w14:textId="77777777" w:rsidR="000E6B2B" w:rsidRPr="00431CB0" w:rsidRDefault="000E6B2B" w:rsidP="000E6B2B">
      <w:pPr>
        <w:rPr>
          <w:rFonts w:cs="Open Sans"/>
        </w:rPr>
      </w:pPr>
      <w:bookmarkStart w:id="31" w:name="_Toc403992937"/>
      <w:r w:rsidRPr="00431CB0">
        <w:rPr>
          <w:rFonts w:cs="Open Sans"/>
        </w:rPr>
        <w:t>Additional responsibilities of the Provider are as follow:</w:t>
      </w:r>
    </w:p>
    <w:p w14:paraId="66A8A6F7" w14:textId="4D43A467" w:rsidR="000E6B2B" w:rsidRPr="000E6B2B" w:rsidRDefault="000E6B2B" w:rsidP="00126884">
      <w:pPr>
        <w:numPr>
          <w:ilvl w:val="0"/>
          <w:numId w:val="7"/>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126884">
      <w:pPr>
        <w:numPr>
          <w:ilvl w:val="0"/>
          <w:numId w:val="7"/>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126884">
      <w:pPr>
        <w:numPr>
          <w:ilvl w:val="0"/>
          <w:numId w:val="7"/>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126884">
      <w:pPr>
        <w:numPr>
          <w:ilvl w:val="0"/>
          <w:numId w:val="7"/>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(if software service)</w:t>
      </w:r>
    </w:p>
    <w:p w14:paraId="2597C844" w14:textId="26F04FF4" w:rsidR="000E6B2B" w:rsidRPr="0017756D" w:rsidRDefault="000E6B2B" w:rsidP="00126884">
      <w:pPr>
        <w:numPr>
          <w:ilvl w:val="0"/>
          <w:numId w:val="7"/>
        </w:numPr>
        <w:spacing w:after="200"/>
        <w:contextualSpacing/>
        <w:jc w:val="left"/>
        <w:rPr>
          <w:rFonts w:cs="Open Sans"/>
        </w:rPr>
      </w:pPr>
      <w:r w:rsidRPr="0017756D">
        <w:rPr>
          <w:rFonts w:cs="Open Sans"/>
        </w:rPr>
        <w:t>Service with associated</w:t>
      </w:r>
      <w:r>
        <w:rPr>
          <w:rFonts w:cs="Open Sans"/>
        </w:rPr>
        <w:t xml:space="preserve"> roles are registered in GOC DB</w:t>
      </w:r>
      <w:r>
        <w:rPr>
          <w:rStyle w:val="FootnoteReference"/>
          <w:rFonts w:cs="Open Sans"/>
        </w:rPr>
        <w:footnoteReference w:id="6"/>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2" w:name="_Toc447189634"/>
      <w:r>
        <w:lastRenderedPageBreak/>
        <w:t xml:space="preserve">Of the </w:t>
      </w:r>
      <w:r w:rsidRPr="00B97954">
        <w:t>Customer</w:t>
      </w:r>
      <w:bookmarkEnd w:id="32"/>
      <w:r w:rsidRPr="00B97954">
        <w:t xml:space="preserve"> </w:t>
      </w:r>
      <w:bookmarkEnd w:id="31"/>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126884">
      <w:pPr>
        <w:numPr>
          <w:ilvl w:val="0"/>
          <w:numId w:val="7"/>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126884">
      <w:pPr>
        <w:numPr>
          <w:ilvl w:val="0"/>
          <w:numId w:val="7"/>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126884">
      <w:pPr>
        <w:numPr>
          <w:ilvl w:val="0"/>
          <w:numId w:val="7"/>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126884">
      <w:pPr>
        <w:numPr>
          <w:ilvl w:val="0"/>
          <w:numId w:val="7"/>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3" w:name="_Toc403992938"/>
      <w:bookmarkStart w:id="34" w:name="_Toc447189635"/>
      <w:r w:rsidRPr="00B97954">
        <w:t>Review</w:t>
      </w:r>
      <w:bookmarkEnd w:id="33"/>
      <w:r>
        <w:t>, extensions and termination</w:t>
      </w:r>
      <w:bookmarkEnd w:id="34"/>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B83F4" w14:textId="77777777" w:rsidR="00312637" w:rsidRDefault="00312637" w:rsidP="00835E24">
      <w:pPr>
        <w:spacing w:after="0" w:line="240" w:lineRule="auto"/>
      </w:pPr>
      <w:r>
        <w:separator/>
      </w:r>
    </w:p>
  </w:endnote>
  <w:endnote w:type="continuationSeparator" w:id="0">
    <w:p w14:paraId="681CD430" w14:textId="77777777" w:rsidR="00312637" w:rsidRDefault="00312637"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12637"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6E2AA3">
                <w:rPr>
                  <w:noProof/>
                </w:rPr>
                <w:t>3</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312637"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FitSM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4B60A" w14:textId="77777777" w:rsidR="00312637" w:rsidRDefault="00312637" w:rsidP="00835E24">
      <w:pPr>
        <w:spacing w:after="0" w:line="240" w:lineRule="auto"/>
      </w:pPr>
      <w:r>
        <w:separator/>
      </w:r>
    </w:p>
  </w:footnote>
  <w:footnote w:type="continuationSeparator" w:id="0">
    <w:p w14:paraId="477D9336" w14:textId="77777777" w:rsidR="00312637" w:rsidRDefault="00312637"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DBCDB2E" w14:textId="77777777" w:rsidR="00045560" w:rsidRDefault="00045560" w:rsidP="00045560">
      <w:pPr>
        <w:pStyle w:val="FootnoteText"/>
      </w:pPr>
      <w:r>
        <w:rPr>
          <w:rStyle w:val="FootnoteReference"/>
        </w:rPr>
        <w:footnoteRef/>
      </w:r>
      <w:r>
        <w:t xml:space="preserve"> </w:t>
      </w:r>
      <w:hyperlink r:id="rId3" w:history="1">
        <w:r w:rsidRPr="00886941">
          <w:rPr>
            <w:rStyle w:val="Hyperlink"/>
          </w:rPr>
          <w:t>https://wiki.egi.eu/wiki/FAQ_GGUS-Ticket-Priority</w:t>
        </w:r>
      </w:hyperlink>
      <w:r>
        <w:t xml:space="preserve"> </w:t>
      </w:r>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DBB244D"/>
    <w:multiLevelType w:val="hybridMultilevel"/>
    <w:tmpl w:val="9F12DC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C7E36BA"/>
    <w:multiLevelType w:val="hybridMultilevel"/>
    <w:tmpl w:val="88989D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7"/>
  </w:num>
  <w:num w:numId="6">
    <w:abstractNumId w:val="6"/>
  </w:num>
  <w:num w:numId="7">
    <w:abstractNumId w:val="2"/>
  </w:num>
  <w:num w:numId="8">
    <w:abstractNumId w:val="8"/>
  </w:num>
  <w:num w:numId="9">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26884"/>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39A4"/>
    <w:rsid w:val="002700AE"/>
    <w:rsid w:val="0027172A"/>
    <w:rsid w:val="00283160"/>
    <w:rsid w:val="00287654"/>
    <w:rsid w:val="002A3C5A"/>
    <w:rsid w:val="002A7241"/>
    <w:rsid w:val="002B2235"/>
    <w:rsid w:val="002C551F"/>
    <w:rsid w:val="002E5F1F"/>
    <w:rsid w:val="002F3F58"/>
    <w:rsid w:val="00312637"/>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238F3"/>
    <w:rsid w:val="0053196A"/>
    <w:rsid w:val="005320AD"/>
    <w:rsid w:val="00542830"/>
    <w:rsid w:val="00547D9A"/>
    <w:rsid w:val="00551BFA"/>
    <w:rsid w:val="0056751B"/>
    <w:rsid w:val="0059011D"/>
    <w:rsid w:val="00592516"/>
    <w:rsid w:val="005956EA"/>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669E7"/>
    <w:rsid w:val="00692427"/>
    <w:rsid w:val="006971E0"/>
    <w:rsid w:val="00697308"/>
    <w:rsid w:val="006B45F3"/>
    <w:rsid w:val="006D1955"/>
    <w:rsid w:val="006D527C"/>
    <w:rsid w:val="006E2AA3"/>
    <w:rsid w:val="006E7D9B"/>
    <w:rsid w:val="006F7556"/>
    <w:rsid w:val="0072045A"/>
    <w:rsid w:val="00730316"/>
    <w:rsid w:val="0073233F"/>
    <w:rsid w:val="00733386"/>
    <w:rsid w:val="007677FE"/>
    <w:rsid w:val="00782A92"/>
    <w:rsid w:val="00794E5E"/>
    <w:rsid w:val="007A3ECC"/>
    <w:rsid w:val="007B6C0B"/>
    <w:rsid w:val="007C78CA"/>
    <w:rsid w:val="00813ED4"/>
    <w:rsid w:val="00835E24"/>
    <w:rsid w:val="00840515"/>
    <w:rsid w:val="00873234"/>
    <w:rsid w:val="008765EB"/>
    <w:rsid w:val="00884A91"/>
    <w:rsid w:val="00895887"/>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7816"/>
    <w:rsid w:val="00A77123"/>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C27453"/>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352"/>
    <w:rsid w:val="00EC504F"/>
    <w:rsid w:val="00EC75A5"/>
    <w:rsid w:val="00ED37F0"/>
    <w:rsid w:val="00F06E24"/>
    <w:rsid w:val="00F337DD"/>
    <w:rsid w:val="00F42F91"/>
    <w:rsid w:val="00F66DAF"/>
    <w:rsid w:val="00F70FEF"/>
    <w:rsid w:val="00F7162A"/>
    <w:rsid w:val="00F81A6C"/>
    <w:rsid w:val="00FB2EA4"/>
    <w:rsid w:val="00FB5C97"/>
    <w:rsid w:val="00FC58D6"/>
    <w:rsid w:val="00FD0C52"/>
    <w:rsid w:val="00FD56BF"/>
    <w:rsid w:val="00FE4B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4436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documents.egi.eu/document/278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iki.egi.eu/wiki/FAQ_GGUS-Ticket-Priority"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D9C60-E451-4046-BDEE-F9E478966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8</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76</cp:revision>
  <cp:lastPrinted>2015-12-11T13:29:00Z</cp:lastPrinted>
  <dcterms:created xsi:type="dcterms:W3CDTF">2015-11-24T16:38:00Z</dcterms:created>
  <dcterms:modified xsi:type="dcterms:W3CDTF">2016-03-31T10:11:00Z</dcterms:modified>
</cp:coreProperties>
</file>