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4FA6F610" w14:textId="77777777" w:rsidR="00EE6A59"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EE6A59">
        <w:rPr>
          <w:noProof/>
        </w:rPr>
        <w:t>1</w:t>
      </w:r>
      <w:r w:rsidR="00EE6A59">
        <w:rPr>
          <w:rFonts w:asciiTheme="minorHAnsi" w:eastAsiaTheme="minorEastAsia" w:hAnsiTheme="minorHAnsi" w:cstheme="minorBidi"/>
          <w:noProof/>
          <w:color w:val="auto"/>
          <w:spacing w:val="0"/>
          <w:kern w:val="0"/>
          <w:sz w:val="24"/>
          <w:szCs w:val="24"/>
          <w:lang w:val="en-US" w:eastAsia="ja-JP"/>
        </w:rPr>
        <w:tab/>
      </w:r>
      <w:r w:rsidR="00EE6A59">
        <w:rPr>
          <w:noProof/>
        </w:rPr>
        <w:t>Introduction</w:t>
      </w:r>
      <w:r w:rsidR="00EE6A59">
        <w:rPr>
          <w:noProof/>
        </w:rPr>
        <w:tab/>
      </w:r>
      <w:r w:rsidR="00EE6A59">
        <w:rPr>
          <w:noProof/>
        </w:rPr>
        <w:fldChar w:fldCharType="begin"/>
      </w:r>
      <w:r w:rsidR="00EE6A59">
        <w:rPr>
          <w:noProof/>
        </w:rPr>
        <w:instrText xml:space="preserve"> PAGEREF _Toc325709444 \h </w:instrText>
      </w:r>
      <w:r w:rsidR="00EE6A59">
        <w:rPr>
          <w:noProof/>
        </w:rPr>
      </w:r>
      <w:r w:rsidR="00EE6A59">
        <w:rPr>
          <w:noProof/>
        </w:rPr>
        <w:fldChar w:fldCharType="separate"/>
      </w:r>
      <w:r w:rsidR="00EE6A59">
        <w:rPr>
          <w:noProof/>
        </w:rPr>
        <w:t>6</w:t>
      </w:r>
      <w:r w:rsidR="00EE6A59">
        <w:rPr>
          <w:noProof/>
        </w:rPr>
        <w:fldChar w:fldCharType="end"/>
      </w:r>
    </w:p>
    <w:p w14:paraId="533AA7D7"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The ELIXIR Compute Platform; Role of service providers</w:t>
      </w:r>
      <w:r>
        <w:rPr>
          <w:noProof/>
        </w:rPr>
        <w:tab/>
      </w:r>
      <w:r>
        <w:rPr>
          <w:noProof/>
        </w:rPr>
        <w:fldChar w:fldCharType="begin"/>
      </w:r>
      <w:r>
        <w:rPr>
          <w:noProof/>
        </w:rPr>
        <w:instrText xml:space="preserve"> PAGEREF _Toc325709445 \h </w:instrText>
      </w:r>
      <w:r>
        <w:rPr>
          <w:noProof/>
        </w:rPr>
      </w:r>
      <w:r>
        <w:rPr>
          <w:noProof/>
        </w:rPr>
        <w:fldChar w:fldCharType="separate"/>
      </w:r>
      <w:r>
        <w:rPr>
          <w:noProof/>
        </w:rPr>
        <w:t>7</w:t>
      </w:r>
      <w:r>
        <w:rPr>
          <w:noProof/>
        </w:rPr>
        <w:fldChar w:fldCharType="end"/>
      </w:r>
    </w:p>
    <w:p w14:paraId="0C45CFC1"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_Toc325709446 \h </w:instrText>
      </w:r>
      <w:r>
        <w:rPr>
          <w:noProof/>
        </w:rPr>
      </w:r>
      <w:r>
        <w:rPr>
          <w:noProof/>
        </w:rPr>
        <w:fldChar w:fldCharType="separate"/>
      </w:r>
      <w:r>
        <w:rPr>
          <w:noProof/>
        </w:rPr>
        <w:t>9</w:t>
      </w:r>
      <w:r>
        <w:rPr>
          <w:noProof/>
        </w:rPr>
        <w:fldChar w:fldCharType="end"/>
      </w:r>
    </w:p>
    <w:p w14:paraId="6D3FE11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_Toc325709447 \h </w:instrText>
      </w:r>
      <w:r>
        <w:rPr>
          <w:noProof/>
        </w:rPr>
      </w:r>
      <w:r>
        <w:rPr>
          <w:noProof/>
        </w:rPr>
        <w:fldChar w:fldCharType="separate"/>
      </w:r>
      <w:r>
        <w:rPr>
          <w:noProof/>
        </w:rPr>
        <w:t>9</w:t>
      </w:r>
      <w:r>
        <w:rPr>
          <w:noProof/>
        </w:rPr>
        <w:fldChar w:fldCharType="end"/>
      </w:r>
    </w:p>
    <w:p w14:paraId="46AC6370"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_Toc325709448 \h </w:instrText>
      </w:r>
      <w:r>
        <w:rPr>
          <w:noProof/>
        </w:rPr>
      </w:r>
      <w:r>
        <w:rPr>
          <w:noProof/>
        </w:rPr>
        <w:fldChar w:fldCharType="separate"/>
      </w:r>
      <w:r>
        <w:rPr>
          <w:noProof/>
        </w:rPr>
        <w:t>10</w:t>
      </w:r>
      <w:r>
        <w:rPr>
          <w:noProof/>
        </w:rPr>
        <w:fldChar w:fldCharType="end"/>
      </w:r>
    </w:p>
    <w:p w14:paraId="5E6F9F38"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_Toc325709449 \h </w:instrText>
      </w:r>
      <w:r>
        <w:rPr>
          <w:noProof/>
        </w:rPr>
      </w:r>
      <w:r>
        <w:rPr>
          <w:noProof/>
        </w:rPr>
        <w:fldChar w:fldCharType="separate"/>
      </w:r>
      <w:r>
        <w:rPr>
          <w:noProof/>
        </w:rPr>
        <w:t>10</w:t>
      </w:r>
      <w:r>
        <w:rPr>
          <w:noProof/>
        </w:rPr>
        <w:fldChar w:fldCharType="end"/>
      </w:r>
    </w:p>
    <w:p w14:paraId="7B3C17E2"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_Toc325709450 \h </w:instrText>
      </w:r>
      <w:r>
        <w:rPr>
          <w:noProof/>
        </w:rPr>
      </w:r>
      <w:r>
        <w:rPr>
          <w:noProof/>
        </w:rPr>
        <w:fldChar w:fldCharType="separate"/>
      </w:r>
      <w:r>
        <w:rPr>
          <w:noProof/>
        </w:rPr>
        <w:t>11</w:t>
      </w:r>
      <w:r>
        <w:rPr>
          <w:noProof/>
        </w:rPr>
        <w:fldChar w:fldCharType="end"/>
      </w:r>
    </w:p>
    <w:p w14:paraId="4B6D328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_Toc325709451 \h </w:instrText>
      </w:r>
      <w:r>
        <w:rPr>
          <w:noProof/>
        </w:rPr>
      </w:r>
      <w:r>
        <w:rPr>
          <w:noProof/>
        </w:rPr>
        <w:fldChar w:fldCharType="separate"/>
      </w:r>
      <w:r>
        <w:rPr>
          <w:noProof/>
        </w:rPr>
        <w:t>11</w:t>
      </w:r>
      <w:r>
        <w:rPr>
          <w:noProof/>
        </w:rPr>
        <w:fldChar w:fldCharType="end"/>
      </w:r>
    </w:p>
    <w:p w14:paraId="373982B9"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3.6</w:t>
      </w:r>
      <w:r>
        <w:rPr>
          <w:rFonts w:asciiTheme="minorHAnsi" w:eastAsiaTheme="minorEastAsia" w:hAnsiTheme="minorHAnsi" w:cstheme="minorBidi"/>
          <w:noProof/>
          <w:color w:val="auto"/>
          <w:spacing w:val="0"/>
          <w:kern w:val="0"/>
          <w:sz w:val="24"/>
          <w:szCs w:val="24"/>
          <w:lang w:val="en-US" w:eastAsia="ja-JP"/>
        </w:rPr>
        <w:tab/>
      </w:r>
      <w:r>
        <w:rPr>
          <w:noProof/>
        </w:rPr>
        <w:t>SURFsara</w:t>
      </w:r>
      <w:r>
        <w:rPr>
          <w:noProof/>
        </w:rPr>
        <w:tab/>
      </w:r>
      <w:r>
        <w:rPr>
          <w:noProof/>
        </w:rPr>
        <w:fldChar w:fldCharType="begin"/>
      </w:r>
      <w:r>
        <w:rPr>
          <w:noProof/>
        </w:rPr>
        <w:instrText xml:space="preserve"> PAGEREF _Toc325709452 \h </w:instrText>
      </w:r>
      <w:r>
        <w:rPr>
          <w:noProof/>
        </w:rPr>
      </w:r>
      <w:r>
        <w:rPr>
          <w:noProof/>
        </w:rPr>
        <w:fldChar w:fldCharType="separate"/>
      </w:r>
      <w:r>
        <w:rPr>
          <w:noProof/>
        </w:rPr>
        <w:t>12</w:t>
      </w:r>
      <w:r>
        <w:rPr>
          <w:noProof/>
        </w:rPr>
        <w:fldChar w:fldCharType="end"/>
      </w:r>
    </w:p>
    <w:p w14:paraId="3458C6D4"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3.7</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_Toc325709453 \h </w:instrText>
      </w:r>
      <w:r>
        <w:rPr>
          <w:noProof/>
        </w:rPr>
      </w:r>
      <w:r>
        <w:rPr>
          <w:noProof/>
        </w:rPr>
        <w:fldChar w:fldCharType="separate"/>
      </w:r>
      <w:r>
        <w:rPr>
          <w:noProof/>
        </w:rPr>
        <w:t>12</w:t>
      </w:r>
      <w:r>
        <w:rPr>
          <w:noProof/>
        </w:rPr>
        <w:fldChar w:fldCharType="end"/>
      </w:r>
    </w:p>
    <w:p w14:paraId="4CD081C4"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sidRPr="006745AA">
        <w:rPr>
          <w:noProof/>
          <w:highlight w:val="yellow"/>
        </w:rPr>
        <w:t>3.8</w:t>
      </w:r>
      <w:r>
        <w:rPr>
          <w:rFonts w:asciiTheme="minorHAnsi" w:eastAsiaTheme="minorEastAsia" w:hAnsiTheme="minorHAnsi" w:cstheme="minorBidi"/>
          <w:noProof/>
          <w:color w:val="auto"/>
          <w:spacing w:val="0"/>
          <w:kern w:val="0"/>
          <w:sz w:val="24"/>
          <w:szCs w:val="24"/>
          <w:lang w:val="en-US" w:eastAsia="ja-JP"/>
        </w:rPr>
        <w:tab/>
      </w:r>
      <w:r w:rsidRPr="006745AA">
        <w:rPr>
          <w:noProof/>
          <w:highlight w:val="yellow"/>
        </w:rPr>
        <w:t xml:space="preserve">Other providers? </w:t>
      </w:r>
      <w:r>
        <w:rPr>
          <w:noProof/>
        </w:rPr>
        <w:tab/>
      </w:r>
      <w:r>
        <w:rPr>
          <w:noProof/>
        </w:rPr>
        <w:fldChar w:fldCharType="begin"/>
      </w:r>
      <w:r>
        <w:rPr>
          <w:noProof/>
        </w:rPr>
        <w:instrText xml:space="preserve"> PAGEREF _Toc325709454 \h </w:instrText>
      </w:r>
      <w:r>
        <w:rPr>
          <w:noProof/>
        </w:rPr>
      </w:r>
      <w:r>
        <w:rPr>
          <w:noProof/>
        </w:rPr>
        <w:fldChar w:fldCharType="separate"/>
      </w:r>
      <w:r>
        <w:rPr>
          <w:noProof/>
        </w:rPr>
        <w:t>12</w:t>
      </w:r>
      <w:r>
        <w:rPr>
          <w:noProof/>
        </w:rPr>
        <w:fldChar w:fldCharType="end"/>
      </w:r>
    </w:p>
    <w:p w14:paraId="760F125E"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Integration guidelines and tips for service providers</w:t>
      </w:r>
      <w:r>
        <w:rPr>
          <w:noProof/>
        </w:rPr>
        <w:tab/>
      </w:r>
      <w:r>
        <w:rPr>
          <w:noProof/>
        </w:rPr>
        <w:fldChar w:fldCharType="begin"/>
      </w:r>
      <w:r>
        <w:rPr>
          <w:noProof/>
        </w:rPr>
        <w:instrText xml:space="preserve"> PAGEREF _Toc325709455 \h </w:instrText>
      </w:r>
      <w:r>
        <w:rPr>
          <w:noProof/>
        </w:rPr>
      </w:r>
      <w:r>
        <w:rPr>
          <w:noProof/>
        </w:rPr>
        <w:fldChar w:fldCharType="separate"/>
      </w:r>
      <w:r>
        <w:rPr>
          <w:noProof/>
        </w:rPr>
        <w:t>13</w:t>
      </w:r>
      <w:r>
        <w:rPr>
          <w:noProof/>
        </w:rPr>
        <w:fldChar w:fldCharType="end"/>
      </w:r>
    </w:p>
    <w:p w14:paraId="3B409C01"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w:t>
      </w:r>
      <w:r>
        <w:rPr>
          <w:rFonts w:asciiTheme="minorHAnsi" w:eastAsiaTheme="minorEastAsia" w:hAnsiTheme="minorHAnsi" w:cstheme="minorBidi"/>
          <w:noProof/>
          <w:color w:val="auto"/>
          <w:spacing w:val="0"/>
          <w:kern w:val="0"/>
          <w:sz w:val="24"/>
          <w:szCs w:val="24"/>
          <w:lang w:val="en-US" w:eastAsia="ja-JP"/>
        </w:rPr>
        <w:tab/>
      </w:r>
      <w:r>
        <w:rPr>
          <w:noProof/>
        </w:rPr>
        <w:t xml:space="preserve">Generic concepts and installation guidelines </w:t>
      </w:r>
      <w:r w:rsidRPr="006745AA">
        <w:rPr>
          <w:noProof/>
          <w:highlight w:val="yellow"/>
        </w:rPr>
        <w:t>EGI</w:t>
      </w:r>
      <w:r>
        <w:rPr>
          <w:noProof/>
        </w:rPr>
        <w:tab/>
      </w:r>
      <w:r>
        <w:rPr>
          <w:noProof/>
        </w:rPr>
        <w:fldChar w:fldCharType="begin"/>
      </w:r>
      <w:r>
        <w:rPr>
          <w:noProof/>
        </w:rPr>
        <w:instrText xml:space="preserve"> PAGEREF _Toc325709456 \h </w:instrText>
      </w:r>
      <w:r>
        <w:rPr>
          <w:noProof/>
        </w:rPr>
      </w:r>
      <w:r>
        <w:rPr>
          <w:noProof/>
        </w:rPr>
        <w:fldChar w:fldCharType="separate"/>
      </w:r>
      <w:r>
        <w:rPr>
          <w:noProof/>
        </w:rPr>
        <w:t>13</w:t>
      </w:r>
      <w:r>
        <w:rPr>
          <w:noProof/>
        </w:rPr>
        <w:fldChar w:fldCharType="end"/>
      </w:r>
    </w:p>
    <w:p w14:paraId="38ADB5F2"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 xml:space="preserve">Installation guideline for OpenStack providers </w:t>
      </w:r>
      <w:r w:rsidRPr="006745AA">
        <w:rPr>
          <w:noProof/>
          <w:highlight w:val="yellow"/>
        </w:rPr>
        <w:t>EGI</w:t>
      </w:r>
      <w:r>
        <w:rPr>
          <w:noProof/>
        </w:rPr>
        <w:tab/>
      </w:r>
      <w:r>
        <w:rPr>
          <w:noProof/>
        </w:rPr>
        <w:fldChar w:fldCharType="begin"/>
      </w:r>
      <w:r>
        <w:rPr>
          <w:noProof/>
        </w:rPr>
        <w:instrText xml:space="preserve"> PAGEREF _Toc325709457 \h </w:instrText>
      </w:r>
      <w:r>
        <w:rPr>
          <w:noProof/>
        </w:rPr>
      </w:r>
      <w:r>
        <w:rPr>
          <w:noProof/>
        </w:rPr>
        <w:fldChar w:fldCharType="separate"/>
      </w:r>
      <w:r>
        <w:rPr>
          <w:noProof/>
        </w:rPr>
        <w:t>14</w:t>
      </w:r>
      <w:r>
        <w:rPr>
          <w:noProof/>
        </w:rPr>
        <w:fldChar w:fldCharType="end"/>
      </w:r>
    </w:p>
    <w:p w14:paraId="7B29C7B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4.3</w:t>
      </w:r>
      <w:r>
        <w:rPr>
          <w:rFonts w:asciiTheme="minorHAnsi" w:eastAsiaTheme="minorEastAsia" w:hAnsiTheme="minorHAnsi" w:cstheme="minorBidi"/>
          <w:noProof/>
          <w:color w:val="auto"/>
          <w:spacing w:val="0"/>
          <w:kern w:val="0"/>
          <w:sz w:val="24"/>
          <w:szCs w:val="24"/>
          <w:lang w:val="en-US" w:eastAsia="ja-JP"/>
        </w:rPr>
        <w:tab/>
      </w:r>
      <w:r>
        <w:rPr>
          <w:noProof/>
        </w:rPr>
        <w:t xml:space="preserve">OpenStack-specific experiences, recommendations, tips </w:t>
      </w:r>
      <w:r w:rsidRPr="006745AA">
        <w:rPr>
          <w:noProof/>
          <w:highlight w:val="yellow"/>
        </w:rPr>
        <w:t>EBI</w:t>
      </w:r>
      <w:r>
        <w:rPr>
          <w:noProof/>
        </w:rPr>
        <w:tab/>
      </w:r>
      <w:r>
        <w:rPr>
          <w:noProof/>
        </w:rPr>
        <w:fldChar w:fldCharType="begin"/>
      </w:r>
      <w:r>
        <w:rPr>
          <w:noProof/>
        </w:rPr>
        <w:instrText xml:space="preserve"> PAGEREF _Toc325709458 \h </w:instrText>
      </w:r>
      <w:r>
        <w:rPr>
          <w:noProof/>
        </w:rPr>
      </w:r>
      <w:r>
        <w:rPr>
          <w:noProof/>
        </w:rPr>
        <w:fldChar w:fldCharType="separate"/>
      </w:r>
      <w:r>
        <w:rPr>
          <w:noProof/>
        </w:rPr>
        <w:t>15</w:t>
      </w:r>
      <w:r>
        <w:rPr>
          <w:noProof/>
        </w:rPr>
        <w:fldChar w:fldCharType="end"/>
      </w:r>
    </w:p>
    <w:p w14:paraId="0CE0EB7E"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4.4</w:t>
      </w:r>
      <w:r>
        <w:rPr>
          <w:rFonts w:asciiTheme="minorHAnsi" w:eastAsiaTheme="minorEastAsia" w:hAnsiTheme="minorHAnsi" w:cstheme="minorBidi"/>
          <w:noProof/>
          <w:color w:val="auto"/>
          <w:spacing w:val="0"/>
          <w:kern w:val="0"/>
          <w:sz w:val="24"/>
          <w:szCs w:val="24"/>
          <w:lang w:val="en-US" w:eastAsia="ja-JP"/>
        </w:rPr>
        <w:tab/>
      </w:r>
      <w:r>
        <w:rPr>
          <w:noProof/>
        </w:rPr>
        <w:t xml:space="preserve">Installation guideline for OpenNebula providers </w:t>
      </w:r>
      <w:r w:rsidRPr="006745AA">
        <w:rPr>
          <w:noProof/>
          <w:highlight w:val="yellow"/>
        </w:rPr>
        <w:t>EGI</w:t>
      </w:r>
      <w:r>
        <w:rPr>
          <w:noProof/>
        </w:rPr>
        <w:tab/>
      </w:r>
      <w:r>
        <w:rPr>
          <w:noProof/>
        </w:rPr>
        <w:fldChar w:fldCharType="begin"/>
      </w:r>
      <w:r>
        <w:rPr>
          <w:noProof/>
        </w:rPr>
        <w:instrText xml:space="preserve"> PAGEREF _Toc325709459 \h </w:instrText>
      </w:r>
      <w:r>
        <w:rPr>
          <w:noProof/>
        </w:rPr>
      </w:r>
      <w:r>
        <w:rPr>
          <w:noProof/>
        </w:rPr>
        <w:fldChar w:fldCharType="separate"/>
      </w:r>
      <w:r>
        <w:rPr>
          <w:noProof/>
        </w:rPr>
        <w:t>16</w:t>
      </w:r>
      <w:r>
        <w:rPr>
          <w:noProof/>
        </w:rPr>
        <w:fldChar w:fldCharType="end"/>
      </w:r>
    </w:p>
    <w:p w14:paraId="2BB6F30D"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4.5</w:t>
      </w:r>
      <w:r>
        <w:rPr>
          <w:rFonts w:asciiTheme="minorHAnsi" w:eastAsiaTheme="minorEastAsia" w:hAnsiTheme="minorHAnsi" w:cstheme="minorBidi"/>
          <w:noProof/>
          <w:color w:val="auto"/>
          <w:spacing w:val="0"/>
          <w:kern w:val="0"/>
          <w:sz w:val="24"/>
          <w:szCs w:val="24"/>
          <w:lang w:val="en-US" w:eastAsia="ja-JP"/>
        </w:rPr>
        <w:tab/>
      </w:r>
      <w:r>
        <w:rPr>
          <w:noProof/>
        </w:rPr>
        <w:t>OpenNebula-specific experiences, recommendations, tips</w:t>
      </w:r>
      <w:r>
        <w:rPr>
          <w:noProof/>
        </w:rPr>
        <w:tab/>
      </w:r>
      <w:r>
        <w:rPr>
          <w:noProof/>
        </w:rPr>
        <w:fldChar w:fldCharType="begin"/>
      </w:r>
      <w:r>
        <w:rPr>
          <w:noProof/>
        </w:rPr>
        <w:instrText xml:space="preserve"> PAGEREF _Toc325709460 \h </w:instrText>
      </w:r>
      <w:r>
        <w:rPr>
          <w:noProof/>
        </w:rPr>
      </w:r>
      <w:r>
        <w:rPr>
          <w:noProof/>
        </w:rPr>
        <w:fldChar w:fldCharType="separate"/>
      </w:r>
      <w:r>
        <w:rPr>
          <w:noProof/>
        </w:rPr>
        <w:t>17</w:t>
      </w:r>
      <w:r>
        <w:rPr>
          <w:noProof/>
        </w:rPr>
        <w:fldChar w:fldCharType="end"/>
      </w:r>
    </w:p>
    <w:p w14:paraId="24970EFE"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4.6</w:t>
      </w:r>
      <w:r>
        <w:rPr>
          <w:rFonts w:asciiTheme="minorHAnsi" w:eastAsiaTheme="minorEastAsia" w:hAnsiTheme="minorHAnsi" w:cstheme="minorBidi"/>
          <w:noProof/>
          <w:color w:val="auto"/>
          <w:spacing w:val="0"/>
          <w:kern w:val="0"/>
          <w:sz w:val="24"/>
          <w:szCs w:val="24"/>
          <w:lang w:val="en-US" w:eastAsia="ja-JP"/>
        </w:rPr>
        <w:tab/>
      </w:r>
      <w:r>
        <w:rPr>
          <w:noProof/>
        </w:rPr>
        <w:t xml:space="preserve">Installation guideline for Synnefo providers </w:t>
      </w:r>
      <w:r w:rsidRPr="006745AA">
        <w:rPr>
          <w:noProof/>
          <w:highlight w:val="yellow"/>
        </w:rPr>
        <w:t>EGI</w:t>
      </w:r>
      <w:r>
        <w:rPr>
          <w:noProof/>
        </w:rPr>
        <w:tab/>
      </w:r>
      <w:r>
        <w:rPr>
          <w:noProof/>
        </w:rPr>
        <w:fldChar w:fldCharType="begin"/>
      </w:r>
      <w:r>
        <w:rPr>
          <w:noProof/>
        </w:rPr>
        <w:instrText xml:space="preserve"> PAGEREF _Toc325709461 \h </w:instrText>
      </w:r>
      <w:r>
        <w:rPr>
          <w:noProof/>
        </w:rPr>
      </w:r>
      <w:r>
        <w:rPr>
          <w:noProof/>
        </w:rPr>
        <w:fldChar w:fldCharType="separate"/>
      </w:r>
      <w:r>
        <w:rPr>
          <w:noProof/>
        </w:rPr>
        <w:t>18</w:t>
      </w:r>
      <w:r>
        <w:rPr>
          <w:noProof/>
        </w:rPr>
        <w:fldChar w:fldCharType="end"/>
      </w:r>
    </w:p>
    <w:p w14:paraId="5226F4DF"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4.7</w:t>
      </w:r>
      <w:r>
        <w:rPr>
          <w:rFonts w:asciiTheme="minorHAnsi" w:eastAsiaTheme="minorEastAsia" w:hAnsiTheme="minorHAnsi" w:cstheme="minorBidi"/>
          <w:noProof/>
          <w:color w:val="auto"/>
          <w:spacing w:val="0"/>
          <w:kern w:val="0"/>
          <w:sz w:val="24"/>
          <w:szCs w:val="24"/>
          <w:lang w:val="en-US" w:eastAsia="ja-JP"/>
        </w:rPr>
        <w:tab/>
      </w:r>
      <w:r>
        <w:rPr>
          <w:noProof/>
        </w:rPr>
        <w:t xml:space="preserve">Synnefo-specific experiences, recommendations, tips </w:t>
      </w:r>
      <w:r w:rsidRPr="006745AA">
        <w:rPr>
          <w:noProof/>
          <w:highlight w:val="yellow"/>
        </w:rPr>
        <w:t>GRNET</w:t>
      </w:r>
      <w:r>
        <w:rPr>
          <w:noProof/>
        </w:rPr>
        <w:tab/>
      </w:r>
      <w:r>
        <w:rPr>
          <w:noProof/>
        </w:rPr>
        <w:fldChar w:fldCharType="begin"/>
      </w:r>
      <w:r>
        <w:rPr>
          <w:noProof/>
        </w:rPr>
        <w:instrText xml:space="preserve"> PAGEREF _Toc325709462 \h </w:instrText>
      </w:r>
      <w:r>
        <w:rPr>
          <w:noProof/>
        </w:rPr>
      </w:r>
      <w:r>
        <w:rPr>
          <w:noProof/>
        </w:rPr>
        <w:fldChar w:fldCharType="separate"/>
      </w:r>
      <w:r>
        <w:rPr>
          <w:noProof/>
        </w:rPr>
        <w:t>18</w:t>
      </w:r>
      <w:r>
        <w:rPr>
          <w:noProof/>
        </w:rPr>
        <w:fldChar w:fldCharType="end"/>
      </w:r>
    </w:p>
    <w:p w14:paraId="3B8CFD9B"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4.8</w:t>
      </w:r>
      <w:r>
        <w:rPr>
          <w:rFonts w:asciiTheme="minorHAnsi" w:eastAsiaTheme="minorEastAsia" w:hAnsiTheme="minorHAnsi" w:cstheme="minorBidi"/>
          <w:noProof/>
          <w:color w:val="auto"/>
          <w:spacing w:val="0"/>
          <w:kern w:val="0"/>
          <w:sz w:val="24"/>
          <w:szCs w:val="24"/>
          <w:lang w:val="en-US" w:eastAsia="ja-JP"/>
        </w:rPr>
        <w:tab/>
      </w:r>
      <w:r>
        <w:rPr>
          <w:noProof/>
        </w:rPr>
        <w:t xml:space="preserve">JetStream integration experiences </w:t>
      </w:r>
      <w:r w:rsidRPr="006745AA">
        <w:rPr>
          <w:noProof/>
          <w:highlight w:val="yellow"/>
        </w:rPr>
        <w:t>Indiana University</w:t>
      </w:r>
      <w:r>
        <w:rPr>
          <w:noProof/>
        </w:rPr>
        <w:tab/>
      </w:r>
      <w:r>
        <w:rPr>
          <w:noProof/>
        </w:rPr>
        <w:fldChar w:fldCharType="begin"/>
      </w:r>
      <w:r>
        <w:rPr>
          <w:noProof/>
        </w:rPr>
        <w:instrText xml:space="preserve"> PAGEREF _Toc325709463 \h </w:instrText>
      </w:r>
      <w:r>
        <w:rPr>
          <w:noProof/>
        </w:rPr>
      </w:r>
      <w:r>
        <w:rPr>
          <w:noProof/>
        </w:rPr>
        <w:fldChar w:fldCharType="separate"/>
      </w:r>
      <w:r>
        <w:rPr>
          <w:noProof/>
        </w:rPr>
        <w:t>18</w:t>
      </w:r>
      <w:r>
        <w:rPr>
          <w:noProof/>
        </w:rPr>
        <w:fldChar w:fldCharType="end"/>
      </w:r>
    </w:p>
    <w:p w14:paraId="2AEA010C" w14:textId="77777777" w:rsidR="00EE6A59" w:rsidRDefault="00EE6A5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w:t>
      </w:r>
      <w:r>
        <w:rPr>
          <w:rFonts w:asciiTheme="minorHAnsi" w:eastAsiaTheme="minorEastAsia" w:hAnsiTheme="minorHAnsi" w:cstheme="minorBidi"/>
          <w:noProof/>
          <w:color w:val="auto"/>
          <w:spacing w:val="0"/>
          <w:kern w:val="0"/>
          <w:sz w:val="24"/>
          <w:szCs w:val="24"/>
          <w:lang w:val="en-US" w:eastAsia="ja-JP"/>
        </w:rPr>
        <w:tab/>
      </w:r>
      <w:r>
        <w:rPr>
          <w:noProof/>
        </w:rPr>
        <w:t>Report on AAI integration</w:t>
      </w:r>
      <w:r>
        <w:rPr>
          <w:noProof/>
        </w:rPr>
        <w:tab/>
      </w:r>
      <w:r>
        <w:rPr>
          <w:noProof/>
        </w:rPr>
        <w:fldChar w:fldCharType="begin"/>
      </w:r>
      <w:r>
        <w:rPr>
          <w:noProof/>
        </w:rPr>
        <w:instrText xml:space="preserve"> PAGEREF _Toc325709464 \h </w:instrText>
      </w:r>
      <w:r>
        <w:rPr>
          <w:noProof/>
        </w:rPr>
      </w:r>
      <w:r>
        <w:rPr>
          <w:noProof/>
        </w:rPr>
        <w:fldChar w:fldCharType="separate"/>
      </w:r>
      <w:r>
        <w:rPr>
          <w:noProof/>
        </w:rPr>
        <w:t>19</w:t>
      </w:r>
      <w:r>
        <w:rPr>
          <w:noProof/>
        </w:rPr>
        <w:fldChar w:fldCharType="end"/>
      </w:r>
    </w:p>
    <w:p w14:paraId="6E36E5C0"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5.1</w:t>
      </w:r>
      <w:r>
        <w:rPr>
          <w:rFonts w:asciiTheme="minorHAnsi" w:eastAsiaTheme="minorEastAsia" w:hAnsiTheme="minorHAnsi" w:cstheme="minorBidi"/>
          <w:noProof/>
          <w:color w:val="auto"/>
          <w:spacing w:val="0"/>
          <w:kern w:val="0"/>
          <w:sz w:val="24"/>
          <w:szCs w:val="24"/>
          <w:lang w:val="en-US" w:eastAsia="ja-JP"/>
        </w:rPr>
        <w:tab/>
      </w:r>
      <w:r>
        <w:rPr>
          <w:noProof/>
        </w:rPr>
        <w:t>Integration of ELIXIR AAI with EGI AAI proxy</w:t>
      </w:r>
      <w:r>
        <w:rPr>
          <w:noProof/>
        </w:rPr>
        <w:tab/>
      </w:r>
      <w:r>
        <w:rPr>
          <w:noProof/>
        </w:rPr>
        <w:fldChar w:fldCharType="begin"/>
      </w:r>
      <w:r>
        <w:rPr>
          <w:noProof/>
        </w:rPr>
        <w:instrText xml:space="preserve"> PAGEREF _Toc325709465 \h </w:instrText>
      </w:r>
      <w:r>
        <w:rPr>
          <w:noProof/>
        </w:rPr>
      </w:r>
      <w:r>
        <w:rPr>
          <w:noProof/>
        </w:rPr>
        <w:fldChar w:fldCharType="separate"/>
      </w:r>
      <w:r>
        <w:rPr>
          <w:noProof/>
        </w:rPr>
        <w:t>19</w:t>
      </w:r>
      <w:r>
        <w:rPr>
          <w:noProof/>
        </w:rPr>
        <w:fldChar w:fldCharType="end"/>
      </w:r>
    </w:p>
    <w:p w14:paraId="4B18E006"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5.2</w:t>
      </w:r>
      <w:r>
        <w:rPr>
          <w:rFonts w:asciiTheme="minorHAnsi" w:eastAsiaTheme="minorEastAsia" w:hAnsiTheme="minorHAnsi" w:cstheme="minorBidi"/>
          <w:noProof/>
          <w:color w:val="auto"/>
          <w:spacing w:val="0"/>
          <w:kern w:val="0"/>
          <w:sz w:val="24"/>
          <w:szCs w:val="24"/>
          <w:lang w:val="en-US" w:eastAsia="ja-JP"/>
        </w:rPr>
        <w:tab/>
      </w:r>
      <w:r>
        <w:rPr>
          <w:noProof/>
        </w:rPr>
        <w:t>Integration of GOCDB with the EGI AAI proxy</w:t>
      </w:r>
      <w:r>
        <w:rPr>
          <w:noProof/>
        </w:rPr>
        <w:tab/>
      </w:r>
      <w:r>
        <w:rPr>
          <w:noProof/>
        </w:rPr>
        <w:fldChar w:fldCharType="begin"/>
      </w:r>
      <w:r>
        <w:rPr>
          <w:noProof/>
        </w:rPr>
        <w:instrText xml:space="preserve"> PAGEREF _Toc325709466 \h </w:instrText>
      </w:r>
      <w:r>
        <w:rPr>
          <w:noProof/>
        </w:rPr>
      </w:r>
      <w:r>
        <w:rPr>
          <w:noProof/>
        </w:rPr>
        <w:fldChar w:fldCharType="separate"/>
      </w:r>
      <w:r>
        <w:rPr>
          <w:noProof/>
        </w:rPr>
        <w:t>21</w:t>
      </w:r>
      <w:r>
        <w:rPr>
          <w:noProof/>
        </w:rPr>
        <w:fldChar w:fldCharType="end"/>
      </w:r>
    </w:p>
    <w:p w14:paraId="145727F7"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5.3</w:t>
      </w:r>
      <w:r>
        <w:rPr>
          <w:rFonts w:asciiTheme="minorHAnsi" w:eastAsiaTheme="minorEastAsia" w:hAnsiTheme="minorHAnsi" w:cstheme="minorBidi"/>
          <w:noProof/>
          <w:color w:val="auto"/>
          <w:spacing w:val="0"/>
          <w:kern w:val="0"/>
          <w:sz w:val="24"/>
          <w:szCs w:val="24"/>
          <w:lang w:val="en-US" w:eastAsia="ja-JP"/>
        </w:rPr>
        <w:tab/>
      </w:r>
      <w:r>
        <w:rPr>
          <w:noProof/>
        </w:rPr>
        <w:t>Integration of AppDB with the EGI AAI proxy</w:t>
      </w:r>
      <w:r>
        <w:rPr>
          <w:noProof/>
        </w:rPr>
        <w:tab/>
      </w:r>
      <w:r>
        <w:rPr>
          <w:noProof/>
        </w:rPr>
        <w:fldChar w:fldCharType="begin"/>
      </w:r>
      <w:r>
        <w:rPr>
          <w:noProof/>
        </w:rPr>
        <w:instrText xml:space="preserve"> PAGEREF _Toc325709467 \h </w:instrText>
      </w:r>
      <w:r>
        <w:rPr>
          <w:noProof/>
        </w:rPr>
      </w:r>
      <w:r>
        <w:rPr>
          <w:noProof/>
        </w:rPr>
        <w:fldChar w:fldCharType="separate"/>
      </w:r>
      <w:r>
        <w:rPr>
          <w:noProof/>
        </w:rPr>
        <w:t>21</w:t>
      </w:r>
      <w:r>
        <w:rPr>
          <w:noProof/>
        </w:rPr>
        <w:fldChar w:fldCharType="end"/>
      </w:r>
    </w:p>
    <w:p w14:paraId="6EA4E3C7" w14:textId="77777777" w:rsidR="00EE6A59" w:rsidRDefault="00EE6A5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lastRenderedPageBreak/>
        <w:t>5.4</w:t>
      </w:r>
      <w:r>
        <w:rPr>
          <w:rFonts w:asciiTheme="minorHAnsi" w:eastAsiaTheme="minorEastAsia" w:hAnsiTheme="minorHAnsi" w:cstheme="minorBidi"/>
          <w:noProof/>
          <w:color w:val="auto"/>
          <w:spacing w:val="0"/>
          <w:kern w:val="0"/>
          <w:sz w:val="24"/>
          <w:szCs w:val="24"/>
          <w:lang w:val="en-US" w:eastAsia="ja-JP"/>
        </w:rPr>
        <w:tab/>
      </w:r>
      <w:r>
        <w:rPr>
          <w:noProof/>
        </w:rPr>
        <w:t>Integration of OpenStack with the EGI AAI proxy</w:t>
      </w:r>
      <w:r>
        <w:rPr>
          <w:noProof/>
        </w:rPr>
        <w:tab/>
      </w:r>
      <w:r>
        <w:rPr>
          <w:noProof/>
        </w:rPr>
        <w:fldChar w:fldCharType="begin"/>
      </w:r>
      <w:r>
        <w:rPr>
          <w:noProof/>
        </w:rPr>
        <w:instrText xml:space="preserve"> PAGEREF _Toc325709468 \h </w:instrText>
      </w:r>
      <w:r>
        <w:rPr>
          <w:noProof/>
        </w:rPr>
      </w:r>
      <w:r>
        <w:rPr>
          <w:noProof/>
        </w:rPr>
        <w:fldChar w:fldCharType="separate"/>
      </w:r>
      <w:r>
        <w:rPr>
          <w:noProof/>
        </w:rPr>
        <w:t>22</w:t>
      </w:r>
      <w:r>
        <w:rPr>
          <w:noProof/>
        </w:rPr>
        <w:fldChar w:fldCharType="end"/>
      </w:r>
    </w:p>
    <w:p w14:paraId="46C33A36" w14:textId="77777777" w:rsidR="00EE6A59" w:rsidRDefault="00EE6A59">
      <w:pPr>
        <w:pStyle w:val="TOC1"/>
        <w:tabs>
          <w:tab w:val="left" w:pos="126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User roles and permissions in GOCDB</w:t>
      </w:r>
      <w:r>
        <w:rPr>
          <w:noProof/>
        </w:rPr>
        <w:tab/>
      </w:r>
      <w:r>
        <w:rPr>
          <w:noProof/>
        </w:rPr>
        <w:fldChar w:fldCharType="begin"/>
      </w:r>
      <w:r>
        <w:rPr>
          <w:noProof/>
        </w:rPr>
        <w:instrText xml:space="preserve"> PAGEREF _Toc325709469 \h </w:instrText>
      </w:r>
      <w:r>
        <w:rPr>
          <w:noProof/>
        </w:rPr>
      </w:r>
      <w:r>
        <w:rPr>
          <w:noProof/>
        </w:rPr>
        <w:fldChar w:fldCharType="separate"/>
      </w:r>
      <w:r>
        <w:rPr>
          <w:noProof/>
        </w:rPr>
        <w:t>24</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2390E1DE" w14:textId="260BCB77" w:rsidR="00AF7142"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79A7C402" w14:textId="77777777" w:rsidR="00C3237F" w:rsidRDefault="00C3237F" w:rsidP="00C3237F">
      <w:r>
        <w:t>This document gives in overview of the state of EGI Federated Cloud integration of the ELIXIR CC members: Two sites (CESNET and GRNER) are already fully integrated, one site is in piloting state (EBI) and one preparing (CSC).  Instructions for integrating new resources to EGI Federated Cloud are summed up and the experiences from the integration process  are discussed.</w:t>
      </w:r>
    </w:p>
    <w:p w14:paraId="4A0CA856" w14:textId="34178A12" w:rsidR="00C3237F" w:rsidRDefault="00C3237F" w:rsidP="00C3237F">
      <w:r>
        <w:t>A special focus is given to the recent work related to the integration of the Authentication and Authorization Infrastructures (AAI) of EGI and ELIXIR, as that will play a key role in the future activities.</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325709444"/>
      <w:bookmarkEnd w:id="0"/>
      <w:r>
        <w:lastRenderedPageBreak/>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w:t>
      </w:r>
      <w:r w:rsidRPr="009329A2">
        <w:lastRenderedPageBreak/>
        <w:t xml:space="preserve">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2" w:name="_Toc325709445"/>
      <w:commentRangeStart w:id="3"/>
      <w:r>
        <w:lastRenderedPageBreak/>
        <w:t>The ELIXIR Compute Platform</w:t>
      </w:r>
      <w:r w:rsidR="0096273D">
        <w:t>; R</w:t>
      </w:r>
      <w:r>
        <w:t>ole of service providers</w:t>
      </w:r>
      <w:commentRangeEnd w:id="3"/>
      <w:r w:rsidR="0096273D">
        <w:rPr>
          <w:rStyle w:val="CommentReference"/>
          <w:rFonts w:cs="Calibri"/>
          <w:b w:val="0"/>
          <w:bCs w:val="0"/>
          <w:color w:val="00000A"/>
          <w:spacing w:val="2"/>
        </w:rPr>
        <w:commentReference w:id="3"/>
      </w:r>
      <w:bookmarkEnd w:id="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lastRenderedPageBreak/>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0AE825F3"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4F1DA2">
        <w:t xml:space="preserve">4 </w:t>
      </w:r>
      <w:r w:rsidR="0058190B">
        <w:t xml:space="preserve">provides the related guidelines for service providers who are wishing to participate in the provisioning of the basic infrastructure services. </w:t>
      </w:r>
    </w:p>
    <w:p w14:paraId="6B02DF5A" w14:textId="40EA5BDB" w:rsidR="00A75645" w:rsidRPr="009329A2" w:rsidRDefault="00A75645" w:rsidP="00A75645">
      <w:pPr>
        <w:pStyle w:val="ListParagraph"/>
        <w:numPr>
          <w:ilvl w:val="0"/>
          <w:numId w:val="10"/>
        </w:numPr>
        <w:suppressAutoHyphens w:val="0"/>
      </w:pPr>
      <w:r w:rsidRPr="009329A2">
        <w:t xml:space="preserve">Integrating Infrastructure Services: providing a federating structure that ensures a consistency of operation and behaviour across all resources and services of the </w:t>
      </w:r>
      <w:r w:rsidRPr="009329A2">
        <w:lastRenderedPageBreak/>
        <w:t>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4F1DA2">
        <w:t>5.2</w:t>
      </w:r>
      <w:r w:rsidR="0058190B">
        <w:t xml:space="preserve"> of this report summarises the outcome of this work. </w:t>
      </w:r>
    </w:p>
    <w:p w14:paraId="683F5DF4" w14:textId="5284A751"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4F1DA2">
        <w:t xml:space="preserve"> Section</w:t>
      </w:r>
      <w:r w:rsidR="0058190B">
        <w:t xml:space="preserve"> </w:t>
      </w:r>
      <w:r w:rsidR="004F1DA2">
        <w:t xml:space="preserve">5.3 </w:t>
      </w:r>
      <w:r w:rsidR="0058190B">
        <w:t xml:space="preserve">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4" w:name="_Toc325709446"/>
      <w:r>
        <w:lastRenderedPageBreak/>
        <w:t>Integration status and plans</w:t>
      </w:r>
      <w:bookmarkEnd w:id="4"/>
    </w:p>
    <w:p w14:paraId="5294441A" w14:textId="77777777" w:rsidR="009F16CE" w:rsidRDefault="009F16CE" w:rsidP="009F16CE">
      <w:pPr>
        <w:pStyle w:val="Heading2"/>
      </w:pPr>
      <w:bookmarkStart w:id="5" w:name="_Toc325709447"/>
      <w:r>
        <w:t>CSC</w:t>
      </w:r>
      <w:bookmarkEnd w:id="5"/>
    </w:p>
    <w:p w14:paraId="303CE17A" w14:textId="4BC9BE31" w:rsidR="00FA2573" w:rsidRDefault="00FA2573" w:rsidP="00FA2573">
      <w:r>
        <w:t xml:space="preserve">CSC provides an IaaS cloud service called </w:t>
      </w:r>
      <w:proofErr w:type="spellStart"/>
      <w:r w:rsidR="009158EA">
        <w:t>c</w:t>
      </w:r>
      <w:r>
        <w:t>Pouta</w:t>
      </w:r>
      <w:proofErr w:type="spellEnd"/>
      <w:r>
        <w:t xml:space="preserve">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w:t>
      </w:r>
      <w:proofErr w:type="spellStart"/>
      <w:r w:rsidR="000E493D">
        <w:t>center</w:t>
      </w:r>
      <w:proofErr w:type="spellEnd"/>
      <w:r w:rsidR="000E493D">
        <w:t xml:space="preserve"> in </w:t>
      </w:r>
      <w:proofErr w:type="spellStart"/>
      <w:r w:rsidR="000E493D">
        <w:t>Kajaani</w:t>
      </w:r>
      <w:proofErr w:type="spellEnd"/>
      <w:r w:rsidR="000E493D">
        <w:t xml:space="preserve">. </w:t>
      </w:r>
    </w:p>
    <w:p w14:paraId="54B269D5" w14:textId="37517E61"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rsidR="004F1DA2">
        <w:t>board, but</w:t>
      </w:r>
      <w:r w:rsidR="002B2D16">
        <w:t xml:space="preserve"> </w:t>
      </w:r>
      <w:proofErr w:type="spellStart"/>
      <w:r w:rsidR="002B2D16">
        <w:t>cPouta</w:t>
      </w:r>
      <w:proofErr w:type="spellEnd"/>
      <w:r w:rsidR="002B2D16">
        <w:t xml:space="preserve"> is also</w:t>
      </w:r>
      <w:r w:rsidR="004F1DA2">
        <w:t xml:space="preserve"> international collaboration projects, including </w:t>
      </w:r>
      <w:r w:rsidR="002B2D16">
        <w:t>some  ELIXIR pilots.</w:t>
      </w:r>
      <w:r>
        <w:t xml:space="preserve"> There are also some commercial users</w:t>
      </w:r>
      <w:r w:rsidR="002B2D16">
        <w:t xml:space="preserve"> too</w:t>
      </w:r>
      <w:r>
        <w:t xml:space="preserve">, who buy the </w:t>
      </w:r>
      <w:proofErr w:type="spellStart"/>
      <w:r w:rsidR="005E256F">
        <w:t>c</w:t>
      </w:r>
      <w:r>
        <w:t>Po</w:t>
      </w:r>
      <w:r w:rsidR="000E493D">
        <w:t>uta</w:t>
      </w:r>
      <w:proofErr w:type="spellEnd"/>
      <w:r w:rsidR="000E493D">
        <w:t xml:space="preserve"> capacity directly from CSC.</w:t>
      </w:r>
    </w:p>
    <w:p w14:paraId="08E7FF70" w14:textId="4C6A33A5" w:rsidR="000E493D" w:rsidRDefault="00FA2573" w:rsidP="00FA2573">
      <w:r>
        <w:t>As a member of EGI, CSC is interested in being part of the EGI Federa</w:t>
      </w:r>
      <w:r w:rsidR="009158EA">
        <w:t>ted Cloud.  However, a</w:t>
      </w:r>
      <w:r w:rsidR="000E493D">
        <w:t xml:space="preserve">s </w:t>
      </w:r>
      <w:proofErr w:type="spellStart"/>
      <w:r w:rsidR="000E493D">
        <w:t>cPouta</w:t>
      </w:r>
      <w:proofErr w:type="spellEnd"/>
      <w:r w:rsidR="000E493D">
        <w:t xml:space="preserve">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 xml:space="preserve">The EGI's OpenStack integration will need to be tested by CSC to ensure compatibility with CSC's configuration. This also includes testing OpenStack release dependencies. </w:t>
      </w:r>
      <w:r>
        <w:t>This is to ensure that they work as 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proofErr w:type="spellStart"/>
      <w:r w:rsidR="009158EA">
        <w:t>c</w:t>
      </w:r>
      <w:r>
        <w:t>Pouta</w:t>
      </w:r>
      <w:proofErr w:type="spellEnd"/>
      <w:r>
        <w:t xml:space="preserve">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lastRenderedPageBreak/>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6" w:name="_Toc325709448"/>
      <w:r>
        <w:t>EMBL-EBI</w:t>
      </w:r>
      <w:bookmarkEnd w:id="6"/>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7" w:name="_Toc325709449"/>
      <w:r>
        <w:t>CESNET</w:t>
      </w:r>
      <w:bookmarkEnd w:id="7"/>
    </w:p>
    <w:p w14:paraId="0C6B1452" w14:textId="77777777" w:rsidR="00530A7D" w:rsidRDefault="00530A7D" w:rsidP="00530A7D">
      <w:r>
        <w:t>CESNET operates a sizable national HPC infrastructure in 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EGI Federated Cloud.</w:t>
      </w:r>
    </w:p>
    <w:p w14:paraId="02F746ED" w14:textId="77777777" w:rsidR="00530A7D" w:rsidRDefault="00530A7D" w:rsidP="00530A7D"/>
    <w:p w14:paraId="6368A59C" w14:textId="77777777" w:rsidR="00530A7D" w:rsidRDefault="00530A7D" w:rsidP="00530A7D">
      <w:r>
        <w:t>As a resource provider, CESNET is fully integrated and offering the following cloud services compliant with EGI Federated Cloud:</w:t>
      </w:r>
    </w:p>
    <w:p w14:paraId="40A63A03" w14:textId="77777777" w:rsidR="00530A7D" w:rsidRDefault="00530A7D" w:rsidP="00530A7D">
      <w:pPr>
        <w:numPr>
          <w:ilvl w:val="0"/>
          <w:numId w:val="20"/>
        </w:numPr>
      </w:pPr>
      <w:r>
        <w:t>Virtual machine management via OCCI</w:t>
      </w:r>
    </w:p>
    <w:p w14:paraId="440C6034" w14:textId="77777777" w:rsidR="00530A7D" w:rsidRDefault="00530A7D" w:rsidP="00530A7D">
      <w:pPr>
        <w:numPr>
          <w:ilvl w:val="0"/>
          <w:numId w:val="20"/>
        </w:numPr>
      </w:pPr>
      <w:r>
        <w:t>Accounting via APEL/SSM</w:t>
      </w:r>
    </w:p>
    <w:p w14:paraId="29D37FF0" w14:textId="77777777" w:rsidR="00530A7D" w:rsidRDefault="00530A7D" w:rsidP="00530A7D">
      <w:pPr>
        <w:numPr>
          <w:ilvl w:val="0"/>
          <w:numId w:val="20"/>
        </w:numPr>
      </w:pPr>
      <w:r>
        <w:t>Information discovery via BDII</w:t>
      </w:r>
    </w:p>
    <w:p w14:paraId="31DFD3E2" w14:textId="77777777" w:rsidR="00530A7D" w:rsidRDefault="00530A7D" w:rsidP="00530A7D">
      <w:pPr>
        <w:numPr>
          <w:ilvl w:val="0"/>
          <w:numId w:val="20"/>
        </w:numPr>
      </w:pPr>
      <w:r>
        <w:t xml:space="preserve">Virtual machine image management via </w:t>
      </w:r>
      <w:proofErr w:type="spellStart"/>
      <w:r>
        <w:t>HEPiX</w:t>
      </w:r>
      <w:proofErr w:type="spellEnd"/>
      <w:r>
        <w:t xml:space="preserve"> </w:t>
      </w:r>
      <w:proofErr w:type="spellStart"/>
      <w:r>
        <w:t>vmcatcher</w:t>
      </w:r>
      <w:proofErr w:type="spellEnd"/>
      <w:r>
        <w:t>/</w:t>
      </w:r>
      <w:proofErr w:type="spellStart"/>
      <w:r>
        <w:t>vmcaster</w:t>
      </w:r>
      <w:proofErr w:type="spellEnd"/>
    </w:p>
    <w:p w14:paraId="72D059B1" w14:textId="77777777" w:rsidR="00530A7D" w:rsidRDefault="00530A7D" w:rsidP="00530A7D">
      <w:pPr>
        <w:numPr>
          <w:ilvl w:val="0"/>
          <w:numId w:val="20"/>
        </w:numPr>
      </w:pPr>
      <w:r>
        <w:t>AAI</w:t>
      </w:r>
    </w:p>
    <w:p w14:paraId="3E0DDE47" w14:textId="77777777" w:rsidR="00530A7D" w:rsidRDefault="00530A7D" w:rsidP="00530A7D"/>
    <w:p w14:paraId="351510C0" w14:textId="77777777" w:rsidR="00530A7D" w:rsidRDefault="00530A7D" w:rsidP="00530A7D">
      <w:r>
        <w:t>CESNET supports appliances and virtual organizations required by the ELIXIR Compute platform.</w:t>
      </w:r>
    </w:p>
    <w:p w14:paraId="0430701E" w14:textId="77777777" w:rsidR="00530A7D" w:rsidRDefault="00530A7D" w:rsidP="00530A7D"/>
    <w:p w14:paraId="5149E49F" w14:textId="77777777" w:rsidR="00530A7D" w:rsidRDefault="00530A7D" w:rsidP="00530A7D">
      <w:r>
        <w:lastRenderedPageBreak/>
        <w:t>As a technology provider, CESNET develops and maintains the following EGI Federated Cloud integration components and tools:</w:t>
      </w:r>
    </w:p>
    <w:p w14:paraId="1AD48AAB" w14:textId="77777777" w:rsidR="00530A7D" w:rsidRDefault="00530A7D" w:rsidP="00530A7D">
      <w:pPr>
        <w:numPr>
          <w:ilvl w:val="0"/>
          <w:numId w:val="21"/>
        </w:numPr>
      </w:pPr>
      <w:r>
        <w:t>OCCI components for virtual machine management (</w:t>
      </w:r>
      <w:proofErr w:type="spellStart"/>
      <w:r>
        <w:t>rOCCI</w:t>
      </w:r>
      <w:proofErr w:type="spellEnd"/>
      <w:r>
        <w:t xml:space="preserve">-{core, </w:t>
      </w:r>
      <w:proofErr w:type="spellStart"/>
      <w:r>
        <w:t>api</w:t>
      </w:r>
      <w:proofErr w:type="spellEnd"/>
      <w:r>
        <w:t>, cli, server})</w:t>
      </w:r>
    </w:p>
    <w:p w14:paraId="66D892F7" w14:textId="77777777" w:rsidR="00530A7D" w:rsidRDefault="00530A7D" w:rsidP="00530A7D">
      <w:pPr>
        <w:numPr>
          <w:ilvl w:val="0"/>
          <w:numId w:val="21"/>
        </w:numPr>
      </w:pPr>
      <w:proofErr w:type="spellStart"/>
      <w:r>
        <w:t>OpenNebula</w:t>
      </w:r>
      <w:proofErr w:type="spellEnd"/>
      <w:r>
        <w:t xml:space="preserve"> APEL connector (</w:t>
      </w:r>
      <w:proofErr w:type="spellStart"/>
      <w:r>
        <w:t>oneacct</w:t>
      </w:r>
      <w:proofErr w:type="spellEnd"/>
      <w:r>
        <w:t>-export)</w:t>
      </w:r>
    </w:p>
    <w:p w14:paraId="1D8B0D90" w14:textId="77777777" w:rsidR="00530A7D" w:rsidRDefault="00530A7D" w:rsidP="00530A7D">
      <w:pPr>
        <w:numPr>
          <w:ilvl w:val="0"/>
          <w:numId w:val="21"/>
        </w:numPr>
      </w:pPr>
      <w:proofErr w:type="spellStart"/>
      <w:r>
        <w:t>OpenNebula</w:t>
      </w:r>
      <w:proofErr w:type="spellEnd"/>
      <w:r>
        <w:t xml:space="preserve"> Perun connector (</w:t>
      </w:r>
      <w:proofErr w:type="spellStart"/>
      <w:r>
        <w:t>fctf-perun</w:t>
      </w:r>
      <w:proofErr w:type="spellEnd"/>
      <w:r>
        <w:t>)</w:t>
      </w:r>
    </w:p>
    <w:p w14:paraId="7A93FC24" w14:textId="77777777" w:rsidR="00530A7D" w:rsidRDefault="00530A7D" w:rsidP="00530A7D">
      <w:pPr>
        <w:numPr>
          <w:ilvl w:val="0"/>
          <w:numId w:val="21"/>
        </w:numPr>
      </w:pPr>
      <w:proofErr w:type="spellStart"/>
      <w:r>
        <w:t>OpenNebula</w:t>
      </w:r>
      <w:proofErr w:type="spellEnd"/>
      <w:r>
        <w:t xml:space="preserve"> </w:t>
      </w:r>
      <w:proofErr w:type="spellStart"/>
      <w:r>
        <w:t>vmcatcher</w:t>
      </w:r>
      <w:proofErr w:type="spellEnd"/>
      <w:r>
        <w:t xml:space="preserve"> handler (itchy, nifty)</w:t>
      </w:r>
    </w:p>
    <w:p w14:paraId="1A3CDF13" w14:textId="77777777" w:rsidR="00530A7D" w:rsidRDefault="00530A7D" w:rsidP="00530A7D">
      <w:pPr>
        <w:numPr>
          <w:ilvl w:val="0"/>
          <w:numId w:val="21"/>
        </w:numPr>
      </w:pPr>
      <w:r>
        <w:t>OCCI monitoring probes for Nagios</w:t>
      </w:r>
    </w:p>
    <w:p w14:paraId="36D06726" w14:textId="6FF3FDB4" w:rsidR="009F16CE" w:rsidRDefault="009F16CE" w:rsidP="009F16CE">
      <w:pPr>
        <w:pStyle w:val="Heading2"/>
      </w:pPr>
      <w:bookmarkStart w:id="8" w:name="_Toc325709450"/>
      <w:r>
        <w:t>CNRS</w:t>
      </w:r>
      <w:bookmarkEnd w:id="8"/>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9" w:name="_Toc325709451"/>
      <w:r>
        <w:t>GRNET</w:t>
      </w:r>
      <w:bookmarkEnd w:id="9"/>
    </w:p>
    <w:p w14:paraId="4DBC0F19" w14:textId="77777777" w:rsidR="00BC6614" w:rsidRDefault="00BC6614" w:rsidP="00BC6614">
      <w:r>
        <w:t>GRNET operates Infrastructure as a Service ~</w:t>
      </w:r>
      <w:proofErr w:type="spellStart"/>
      <w:r>
        <w:t>okeanos</w:t>
      </w:r>
      <w:proofErr w:type="spellEnd"/>
      <w:r>
        <w:t xml:space="preserve"> via large </w:t>
      </w:r>
      <w:proofErr w:type="spellStart"/>
      <w:r>
        <w:t>datacenters</w:t>
      </w:r>
      <w:proofErr w:type="spellEnd"/>
      <w:r>
        <w:t xml:space="preserve"> (84 racks, 1200+ servers, 10000 Virtual Machines active, 5 Petabytes of storage).  GRNET is also developing </w:t>
      </w:r>
      <w:proofErr w:type="spellStart"/>
      <w:r>
        <w:t>Synnefo</w:t>
      </w:r>
      <w:proofErr w:type="spellEnd"/>
      <w:r>
        <w:t>, the cloud software for ~</w:t>
      </w:r>
      <w:proofErr w:type="spellStart"/>
      <w:r>
        <w:t>okeanos</w:t>
      </w:r>
      <w:proofErr w:type="spellEnd"/>
      <w:r>
        <w:t>.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w:t>
      </w:r>
      <w:proofErr w:type="spellStart"/>
      <w:r>
        <w:t>okeanos</w:t>
      </w:r>
      <w:proofErr w:type="spellEnd"/>
      <w:r>
        <w:t xml:space="preserve"> has joined the EGI Federated Cloud activities with the aim to enhance its interoperability features and enable the offering of computing resources to the high-productivity federated infrastructure offered by EGI. ~</w:t>
      </w:r>
      <w:proofErr w:type="spellStart"/>
      <w:r>
        <w:t>Okeanos</w:t>
      </w:r>
      <w:proofErr w:type="spellEnd"/>
      <w:r>
        <w:t xml:space="preserve"> is fully integrated with EGI Federated Cloud and is offering the following services: </w:t>
      </w:r>
    </w:p>
    <w:p w14:paraId="429C004F" w14:textId="77777777" w:rsidR="00BC6614" w:rsidRDefault="00BC6614" w:rsidP="00BC6614">
      <w:r>
        <w:t xml:space="preserve">OCCI via the SNF-OCCI an implementation of the OCCI specification on top of </w:t>
      </w:r>
      <w:proofErr w:type="spellStart"/>
      <w:r>
        <w:t>synnefo’s</w:t>
      </w:r>
      <w:proofErr w:type="spellEnd"/>
      <w:r>
        <w:t xml:space="preserve"> API </w:t>
      </w:r>
      <w:proofErr w:type="spellStart"/>
      <w:r>
        <w:t>kamaki</w:t>
      </w:r>
      <w:proofErr w:type="spellEnd"/>
      <w:r>
        <w:t xml:space="preserve"> </w:t>
      </w:r>
    </w:p>
    <w:p w14:paraId="75C4A273" w14:textId="77777777" w:rsidR="00BC6614" w:rsidRDefault="00BC6614" w:rsidP="00BC6614">
      <w:r>
        <w:t xml:space="preserve">CDMI via the SNF-CDMI an implementation of the CDMI specification on top of </w:t>
      </w:r>
      <w:proofErr w:type="spellStart"/>
      <w:r>
        <w:t>synnefo’s</w:t>
      </w:r>
      <w:proofErr w:type="spellEnd"/>
      <w:r>
        <w:t xml:space="preserve"> API </w:t>
      </w:r>
      <w:proofErr w:type="spellStart"/>
      <w:r>
        <w:t>kamaki</w:t>
      </w:r>
      <w:proofErr w:type="spellEnd"/>
      <w:r>
        <w:t xml:space="preserve"> </w:t>
      </w:r>
    </w:p>
    <w:p w14:paraId="1399081F" w14:textId="77777777" w:rsidR="00BC6614" w:rsidRDefault="00BC6614" w:rsidP="00BC6614">
      <w:r>
        <w:t>Accounting via the SNF-SSM implementation of the SSM accounting mechanism.</w:t>
      </w:r>
    </w:p>
    <w:p w14:paraId="70D947EE" w14:textId="77777777" w:rsidR="00BC6614" w:rsidRDefault="00BC6614" w:rsidP="00BC6614">
      <w:r>
        <w:t>VM Image management via  SNF-VMCATCHER.</w:t>
      </w:r>
    </w:p>
    <w:p w14:paraId="5AA957EA" w14:textId="77777777" w:rsidR="00BC6614" w:rsidRDefault="00BC6614" w:rsidP="00BC6614"/>
    <w:p w14:paraId="18E2BBFF" w14:textId="7C7CD896" w:rsidR="00466D4B" w:rsidRDefault="00BC6614" w:rsidP="00BC6614">
      <w:r>
        <w:t xml:space="preserve">GRNET supports the images required by ELIXIR CC such as </w:t>
      </w:r>
      <w:proofErr w:type="spellStart"/>
      <w:r>
        <w:t>Chipster</w:t>
      </w:r>
      <w:proofErr w:type="spellEnd"/>
      <w:r>
        <w:t xml:space="preserve">. The plans for the next year is to update </w:t>
      </w:r>
      <w:proofErr w:type="spellStart"/>
      <w:r>
        <w:t>snf-occi</w:t>
      </w:r>
      <w:proofErr w:type="spellEnd"/>
      <w:r>
        <w:t xml:space="preserve"> to support OCCI 1.2 specification and to extend it capabilities.</w:t>
      </w:r>
      <w:r w:rsidR="00466D4B">
        <w:t xml:space="preserve"> </w:t>
      </w:r>
    </w:p>
    <w:p w14:paraId="4F92494C" w14:textId="28DEA845" w:rsidR="009F16CE" w:rsidRDefault="009F16CE" w:rsidP="009F16CE">
      <w:pPr>
        <w:pStyle w:val="Heading2"/>
      </w:pPr>
      <w:bookmarkStart w:id="10" w:name="_Toc325709452"/>
      <w:proofErr w:type="spellStart"/>
      <w:r>
        <w:t>SURFsara</w:t>
      </w:r>
      <w:bookmarkEnd w:id="10"/>
      <w:proofErr w:type="spellEnd"/>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1" w:name="_Toc325709453"/>
      <w:proofErr w:type="spellStart"/>
      <w:r>
        <w:t>JetStream</w:t>
      </w:r>
      <w:bookmarkEnd w:id="11"/>
      <w:proofErr w:type="spellEnd"/>
    </w:p>
    <w:p w14:paraId="01D83740" w14:textId="77777777" w:rsidR="00466D4B" w:rsidRDefault="00466D4B" w:rsidP="00466D4B">
      <w:r>
        <w:t xml:space="preserve">What’s your status and plans for federating cloud and storage resources into the ELIXIR Compute Platform? What are the open questions (if any)?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2" w:name="_Toc325709455"/>
      <w:r>
        <w:lastRenderedPageBreak/>
        <w:t xml:space="preserve">Integration guidelines </w:t>
      </w:r>
      <w:r w:rsidR="004B1271">
        <w:t xml:space="preserve">and tips </w:t>
      </w:r>
      <w:r>
        <w:t>for service providers</w:t>
      </w:r>
      <w:bookmarkEnd w:id="12"/>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w:t>
      </w:r>
      <w:proofErr w:type="spellStart"/>
      <w:r>
        <w:t>OpenNebula</w:t>
      </w:r>
      <w:proofErr w:type="spellEnd"/>
      <w:r>
        <w:t xml:space="preserve"> and </w:t>
      </w:r>
      <w:proofErr w:type="spellStart"/>
      <w:r>
        <w:t>Synnefo</w:t>
      </w:r>
      <w:proofErr w:type="spellEnd"/>
      <w:r>
        <w:t xml:space="preserve"> cloud service providers</w:t>
      </w:r>
      <w:r>
        <w:rPr>
          <w:rStyle w:val="FootnoteReference"/>
        </w:rPr>
        <w:footnoteReference w:id="11"/>
      </w:r>
      <w:r>
        <w:t xml:space="preserve">. </w:t>
      </w:r>
    </w:p>
    <w:p w14:paraId="413B9E2C" w14:textId="649BCC9C" w:rsidR="004C79FC" w:rsidRDefault="004C79FC" w:rsidP="004C79FC">
      <w:pPr>
        <w:pStyle w:val="Heading2"/>
      </w:pPr>
      <w:bookmarkStart w:id="13" w:name="_Toc325709456"/>
      <w:r>
        <w:t xml:space="preserve">Generic concepts and </w:t>
      </w:r>
      <w:r w:rsidR="001C23D3">
        <w:t>installation</w:t>
      </w:r>
      <w:r>
        <w:t xml:space="preserve"> guidelines</w:t>
      </w:r>
      <w:bookmarkEnd w:id="13"/>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proofErr w:type="spellStart"/>
      <w:r>
        <w:t>OpenNebula</w:t>
      </w:r>
      <w:proofErr w:type="spellEnd"/>
      <w:r>
        <w:t xml:space="preserve">, OpenStack and </w:t>
      </w:r>
      <w:proofErr w:type="spellStart"/>
      <w:r>
        <w:t>Synnefo</w:t>
      </w:r>
      <w:proofErr w:type="spellEnd"/>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xml:space="preserve">. Whenever possible these software components are designed and developed to not interfere the usual deployment of the </w:t>
      </w:r>
      <w:r w:rsidR="00090A63">
        <w:lastRenderedPageBreak/>
        <w:t>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xml:space="preserve">. EGI </w:t>
      </w:r>
      <w:proofErr w:type="spellStart"/>
      <w:r>
        <w:t>AppDB</w:t>
      </w:r>
      <w:proofErr w:type="spellEnd"/>
      <w:r>
        <w:t xml:space="preserve">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7DED6AF9" w14:textId="48055D41" w:rsidR="002E7F2E" w:rsidRDefault="002E7F2E" w:rsidP="002E7F2E">
      <w:pPr>
        <w:pStyle w:val="Heading2"/>
      </w:pPr>
      <w:bookmarkStart w:id="14" w:name="_Toc325709457"/>
      <w:r>
        <w:lastRenderedPageBreak/>
        <w:t>Installation guideline for OpenStack providers</w:t>
      </w:r>
      <w:bookmarkEnd w:id="14"/>
    </w:p>
    <w:p w14:paraId="0EABCFF7" w14:textId="77777777" w:rsidR="002A2D02" w:rsidRDefault="002A2D02" w:rsidP="002A2D02">
      <w:r>
        <w:t xml:space="preserve">Integration with of OpenStack providers on EGI’s </w:t>
      </w:r>
      <w:proofErr w:type="spellStart"/>
      <w:r>
        <w:t>FedCloud</w:t>
      </w:r>
      <w:proofErr w:type="spellEnd"/>
      <w:r>
        <w:t xml:space="preserve"> is supported on OpenStack releases from Havana to </w:t>
      </w:r>
      <w:proofErr w:type="spellStart"/>
      <w:r>
        <w:t>Mitaka</w:t>
      </w:r>
      <w:proofErr w:type="spellEnd"/>
      <w:r>
        <w:t xml:space="preserve"> (current release). The installation manual available at EGI’s wiki</w:t>
      </w:r>
      <w:r>
        <w:rPr>
          <w:rStyle w:val="FootnoteReference"/>
        </w:rPr>
        <w:footnoteReference w:id="14"/>
      </w:r>
      <w:r>
        <w:t xml:space="preserve"> describe all the technical steps to perform this integration from a working OpenStack deployment. Which components must be installed and configured depends on the services to be offered: Keystone must be always available; if providing VM Management features (OCCI access or OpenStack access), then Nova, Cinder and Glance must be available; Swift needs to be available if providing object storage features.</w:t>
      </w:r>
    </w:p>
    <w:p w14:paraId="705602B5" w14:textId="77777777" w:rsidR="002A2D02" w:rsidRDefault="002A2D02" w:rsidP="002A2D02">
      <w:r>
        <w:t>The Figure shows the different components and their relation with the OpenStack and EGI services:</w:t>
      </w:r>
    </w:p>
    <w:p w14:paraId="2EB2BAA3" w14:textId="77777777" w:rsidR="002A2D02" w:rsidRDefault="002A2D02" w:rsidP="002A2D02">
      <w:pPr>
        <w:pStyle w:val="ListParagraph"/>
        <w:numPr>
          <w:ilvl w:val="0"/>
          <w:numId w:val="16"/>
        </w:numPr>
      </w:pPr>
      <w:r>
        <w:t>Keystone-VOMS Authorization plugin allows users with a valid VOMS proxy to access the OpenStack deployment. This plugin requires modification of a regular Keystone installation.</w:t>
      </w:r>
    </w:p>
    <w:p w14:paraId="19AED3D0" w14:textId="77777777" w:rsidR="002A2D02" w:rsidRDefault="002A2D02" w:rsidP="002A2D02">
      <w:pPr>
        <w:pStyle w:val="ListParagraph"/>
        <w:numPr>
          <w:ilvl w:val="0"/>
          <w:numId w:val="16"/>
        </w:numPr>
      </w:pPr>
      <w:r>
        <w:t>OpenStack OCCI Interface (</w:t>
      </w:r>
      <w:proofErr w:type="spellStart"/>
      <w:r>
        <w:t>ooi</w:t>
      </w:r>
      <w:proofErr w:type="spellEnd"/>
      <w:r>
        <w:t>) translates between OpenStack API and OCCI. This is a WSGI application similar to other OpenStack services, it can be scaled horizontally to accommodate high loads.</w:t>
      </w:r>
    </w:p>
    <w:p w14:paraId="630088CF" w14:textId="77777777" w:rsidR="002A2D02" w:rsidRDefault="002A2D02" w:rsidP="002A2D02">
      <w:pPr>
        <w:pStyle w:val="ListParagraph"/>
        <w:numPr>
          <w:ilvl w:val="0"/>
          <w:numId w:val="16"/>
        </w:numPr>
      </w:pPr>
      <w:proofErr w:type="spellStart"/>
      <w:r>
        <w:t>cASO</w:t>
      </w:r>
      <w:proofErr w:type="spellEnd"/>
      <w:r>
        <w:t xml:space="preserve"> collects accounting data from OpenStack using public APIs.</w:t>
      </w:r>
    </w:p>
    <w:p w14:paraId="268D5A85" w14:textId="77777777" w:rsidR="002A2D02" w:rsidRDefault="002A2D02" w:rsidP="002A2D02">
      <w:pPr>
        <w:pStyle w:val="ListParagraph"/>
        <w:numPr>
          <w:ilvl w:val="0"/>
          <w:numId w:val="16"/>
        </w:numPr>
      </w:pPr>
      <w:r>
        <w:t xml:space="preserve">SSM sends the records extracted by </w:t>
      </w:r>
      <w:proofErr w:type="spellStart"/>
      <w:r>
        <w:t>cASO</w:t>
      </w:r>
      <w:proofErr w:type="spellEnd"/>
      <w:r>
        <w:t xml:space="preserve"> to the central accounting database on the EGI Accounting service (APEL).</w:t>
      </w:r>
    </w:p>
    <w:p w14:paraId="17D67AAF" w14:textId="77777777" w:rsidR="002A2D02" w:rsidRDefault="002A2D02" w:rsidP="002A2D02">
      <w:pPr>
        <w:pStyle w:val="ListParagraph"/>
        <w:numPr>
          <w:ilvl w:val="0"/>
          <w:numId w:val="16"/>
        </w:numPr>
      </w:pPr>
      <w:r>
        <w:t>BDII cloud provider registers the site configuration and description through the EGI Information System to facilitate service discovery.</w:t>
      </w:r>
    </w:p>
    <w:p w14:paraId="1A2D414D" w14:textId="77777777" w:rsidR="002A2D02" w:rsidRPr="00EF6B53" w:rsidRDefault="002A2D02" w:rsidP="002A2D02">
      <w:pPr>
        <w:pStyle w:val="ListParagraph"/>
        <w:numPr>
          <w:ilvl w:val="0"/>
          <w:numId w:val="16"/>
        </w:numPr>
      </w:pPr>
      <w:proofErr w:type="spellStart"/>
      <w:r>
        <w:t>vmcatcher</w:t>
      </w:r>
      <w:proofErr w:type="spellEnd"/>
      <w:r>
        <w:t xml:space="preserve"> checks the EGI App DB for new or updated images that can be provided to the user communities (VO) supported and with the </w:t>
      </w:r>
      <w:proofErr w:type="spellStart"/>
      <w:r>
        <w:t>vmcatcher</w:t>
      </w:r>
      <w:proofErr w:type="spellEnd"/>
      <w:r>
        <w:t xml:space="preserve"> hooks (</w:t>
      </w:r>
      <w:proofErr w:type="spellStart"/>
      <w:r>
        <w:t>glancepush</w:t>
      </w:r>
      <w:proofErr w:type="spellEnd"/>
      <w:r>
        <w:t xml:space="preserve"> and OpenStack handler for </w:t>
      </w:r>
      <w:proofErr w:type="spellStart"/>
      <w:r>
        <w:t>vmcatcher</w:t>
      </w:r>
      <w:proofErr w:type="spellEnd"/>
      <w:r>
        <w:t xml:space="preserve">) push updated images from to Glance, using </w:t>
      </w:r>
      <w:proofErr w:type="spellStart"/>
      <w:r>
        <w:t>Openstack</w:t>
      </w:r>
      <w:proofErr w:type="spellEnd"/>
      <w:r>
        <w:t xml:space="preserve"> Python API</w:t>
      </w:r>
    </w:p>
    <w:p w14:paraId="552EE384" w14:textId="77777777" w:rsidR="002A2D02" w:rsidRDefault="002A2D02" w:rsidP="002A2D02"/>
    <w:p w14:paraId="02DB0FCE" w14:textId="77777777" w:rsidR="002A2D02" w:rsidRDefault="002A2D02" w:rsidP="002A2D02">
      <w:r>
        <w:rPr>
          <w:noProof/>
          <w:lang w:val="fi-FI" w:eastAsia="fi-FI"/>
        </w:rPr>
        <w:lastRenderedPageBreak/>
        <w:drawing>
          <wp:inline distT="0" distB="0" distL="0" distR="0" wp14:anchorId="775ECE3C" wp14:editId="0B1ABD73">
            <wp:extent cx="5731510" cy="38157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pdf"/>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5715"/>
                    </a:xfrm>
                    <a:prstGeom prst="rect">
                      <a:avLst/>
                    </a:prstGeom>
                  </pic:spPr>
                </pic:pic>
              </a:graphicData>
            </a:graphic>
          </wp:inline>
        </w:drawing>
      </w:r>
    </w:p>
    <w:p w14:paraId="28FA04F0" w14:textId="77777777" w:rsidR="002A2D02" w:rsidRDefault="002A2D02" w:rsidP="002A2D02">
      <w:r>
        <w:t xml:space="preserve"> </w:t>
      </w:r>
    </w:p>
    <w:p w14:paraId="1A9C4063" w14:textId="77777777" w:rsidR="002A2D02" w:rsidRDefault="002A2D02" w:rsidP="002A2D02">
      <w: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14:paraId="2EBF3BF4" w14:textId="5245D25B" w:rsidR="002E7F2E" w:rsidRDefault="002E7F2E" w:rsidP="002E7F2E">
      <w:pPr>
        <w:pStyle w:val="Heading2"/>
      </w:pPr>
      <w:bookmarkStart w:id="15" w:name="_Toc325709458"/>
      <w:r w:rsidRPr="004C79FC">
        <w:t xml:space="preserve">OpenStack-specific </w:t>
      </w:r>
      <w:r>
        <w:t xml:space="preserve">experiences, </w:t>
      </w:r>
      <w:r w:rsidRPr="004C79FC">
        <w:t>recommendations</w:t>
      </w:r>
      <w:r>
        <w:t>, tips</w:t>
      </w:r>
      <w:bookmarkEnd w:id="15"/>
      <w:r w:rsidR="004F1DA2">
        <w:t xml:space="preserve"> </w:t>
      </w:r>
      <w:r w:rsidR="004F1DA2" w:rsidRPr="004F1DA2">
        <w:rPr>
          <w:highlight w:val="yellow"/>
        </w:rPr>
        <w:t>EBI</w:t>
      </w:r>
    </w:p>
    <w:p w14:paraId="796BCD7D" w14:textId="77777777" w:rsidR="002E7F2E" w:rsidRDefault="002E7F2E" w:rsidP="002E7F2E">
      <w:r>
        <w:t xml:space="preserve">The deployment of EGI Federated Cloud integrator components has started at EMBL-EBI in late 2015. The goal was to federate the EMBL-EBI </w:t>
      </w:r>
      <w:proofErr w:type="spellStart"/>
      <w:r>
        <w:t>Openstack</w:t>
      </w:r>
      <w:proofErr w:type="spellEnd"/>
      <w:r>
        <w:t xml:space="preserve"> Kilo site into the EGI Federated Cloud, using the installation documentations</w:t>
      </w:r>
      <w:r>
        <w:rPr>
          <w:rStyle w:val="FootnoteReference"/>
        </w:rPr>
        <w:footnoteReference w:id="15"/>
      </w:r>
      <w:r>
        <w:t xml:space="preserve"> that were available from EGI at that time. The first feedback from this experience was reported to EGI in the second half of February 2016. The feedback pointed out weaknesses in the installation manual and in the quality of some of the software components. The relevant EGI teams have implemented improvements both in the software and in the installation manuals. Based </w:t>
      </w:r>
      <w:r>
        <w:lastRenderedPageBreak/>
        <w:t xml:space="preserve">on the new versions EMBL-EBI successfully federated its OpenStack cloud site during April-May 2016. The site is based on OpenStack Kilo at the time of writing. </w:t>
      </w:r>
    </w:p>
    <w:p w14:paraId="37B72A0C" w14:textId="77777777" w:rsidR="002E7F2E" w:rsidRDefault="002E7F2E" w:rsidP="002E7F2E">
      <w:r w:rsidRPr="00B2650F">
        <w:rPr>
          <w:highlight w:val="yellow"/>
        </w:rPr>
        <w:t xml:space="preserve">other info </w:t>
      </w:r>
      <w:r>
        <w:rPr>
          <w:highlight w:val="yellow"/>
        </w:rPr>
        <w:t xml:space="preserve"> about the experiences of </w:t>
      </w:r>
      <w:r w:rsidRPr="00B2650F">
        <w:rPr>
          <w:highlight w:val="yellow"/>
        </w:rPr>
        <w:t>EBI</w:t>
      </w:r>
      <w:r>
        <w:rPr>
          <w:highlight w:val="yellow"/>
        </w:rPr>
        <w:t>?</w:t>
      </w:r>
    </w:p>
    <w:p w14:paraId="320B62BA" w14:textId="77D445B2" w:rsidR="002E7F2E" w:rsidRDefault="002E7F2E" w:rsidP="002E7F2E">
      <w:pPr>
        <w:pStyle w:val="Heading2"/>
      </w:pPr>
      <w:bookmarkStart w:id="16" w:name="_Toc325709459"/>
      <w:r>
        <w:t xml:space="preserve">Installation guideline for </w:t>
      </w:r>
      <w:proofErr w:type="spellStart"/>
      <w:r>
        <w:t>OpenNebula</w:t>
      </w:r>
      <w:proofErr w:type="spellEnd"/>
      <w:r>
        <w:t xml:space="preserve"> providers </w:t>
      </w:r>
      <w:bookmarkEnd w:id="16"/>
    </w:p>
    <w:p w14:paraId="0BBAD472" w14:textId="77777777" w:rsidR="002A2D02" w:rsidRDefault="002A2D02" w:rsidP="002A2D02">
      <w:r>
        <w:t xml:space="preserve">An </w:t>
      </w:r>
      <w:r w:rsidRPr="006064F5">
        <w:t xml:space="preserve">EGI Cloud Site based on </w:t>
      </w:r>
      <w:proofErr w:type="spellStart"/>
      <w:r w:rsidRPr="006064F5">
        <w:t>OpenNebula</w:t>
      </w:r>
      <w:proofErr w:type="spellEnd"/>
      <w:r w:rsidRPr="006064F5">
        <w:t xml:space="preserve"> is an ordinary </w:t>
      </w:r>
      <w:proofErr w:type="spellStart"/>
      <w:r w:rsidRPr="006064F5">
        <w:t>OpenNebula</w:t>
      </w:r>
      <w:proofErr w:type="spellEnd"/>
      <w:r w:rsidRPr="006064F5">
        <w:t xml:space="preserve"> installation with some EGI-specific integration components. There are no additional requirements placed on internal site architecture.</w:t>
      </w:r>
      <w:r>
        <w:t xml:space="preserve"> The installation manual available at EGI’s wiki</w:t>
      </w:r>
      <w:r>
        <w:rPr>
          <w:rStyle w:val="FootnoteReference"/>
        </w:rPr>
        <w:footnoteReference w:id="16"/>
      </w:r>
      <w:r>
        <w:t xml:space="preserve"> describe all the technical steps to install the federation components on top of an </w:t>
      </w:r>
      <w:proofErr w:type="spellStart"/>
      <w:r>
        <w:t>OpenNebula</w:t>
      </w:r>
      <w:proofErr w:type="spellEnd"/>
      <w:r>
        <w:t xml:space="preserve"> deployment. CDMI storage endpoints are currently not supported for </w:t>
      </w:r>
      <w:proofErr w:type="spellStart"/>
      <w:r>
        <w:t>OpenNebula</w:t>
      </w:r>
      <w:proofErr w:type="spellEnd"/>
      <w:r>
        <w:t xml:space="preserve">-based sites. </w:t>
      </w:r>
    </w:p>
    <w:p w14:paraId="1974E1DF" w14:textId="77777777" w:rsidR="002A2D02" w:rsidRDefault="002A2D02" w:rsidP="002A2D02">
      <w:r>
        <w:t xml:space="preserve">The Figure shows the components and their relation with </w:t>
      </w:r>
      <w:proofErr w:type="spellStart"/>
      <w:r>
        <w:t>OpenNebula</w:t>
      </w:r>
      <w:proofErr w:type="spellEnd"/>
      <w:r>
        <w:t xml:space="preserve"> and EGI services:</w:t>
      </w:r>
    </w:p>
    <w:p w14:paraId="3409F44A" w14:textId="77777777" w:rsidR="002A2D02" w:rsidRDefault="002A2D02" w:rsidP="002A2D02">
      <w:pPr>
        <w:ind w:left="360"/>
      </w:pPr>
      <w:r>
        <w:rPr>
          <w:noProof/>
          <w:lang w:val="fi-FI" w:eastAsia="fi-FI"/>
        </w:rPr>
        <w:drawing>
          <wp:inline distT="0" distB="0" distL="0" distR="0" wp14:anchorId="0AE47A95" wp14:editId="7A3F5734">
            <wp:extent cx="5731510" cy="3167380"/>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penNebulaSite.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3167380"/>
                    </a:xfrm>
                    <a:prstGeom prst="rect">
                      <a:avLst/>
                    </a:prstGeom>
                  </pic:spPr>
                </pic:pic>
              </a:graphicData>
            </a:graphic>
          </wp:inline>
        </w:drawing>
      </w:r>
    </w:p>
    <w:p w14:paraId="7CED9146" w14:textId="77777777" w:rsidR="002A2D02" w:rsidRDefault="002A2D02" w:rsidP="002A2D02">
      <w:pPr>
        <w:pStyle w:val="ListParagraph"/>
        <w:numPr>
          <w:ilvl w:val="0"/>
          <w:numId w:val="17"/>
        </w:numPr>
      </w:pPr>
      <w:proofErr w:type="spellStart"/>
      <w:r>
        <w:t>rOCCI</w:t>
      </w:r>
      <w:proofErr w:type="spellEnd"/>
      <w:r>
        <w:t xml:space="preserve">-server, which provides a standard OCCI interface. It translates between </w:t>
      </w:r>
      <w:proofErr w:type="spellStart"/>
      <w:r>
        <w:t>OpenNebula</w:t>
      </w:r>
      <w:proofErr w:type="spellEnd"/>
      <w:r>
        <w:t xml:space="preserve"> API and OCCI. It must be configured to use its </w:t>
      </w:r>
      <w:proofErr w:type="spellStart"/>
      <w:r>
        <w:t>opennebula</w:t>
      </w:r>
      <w:proofErr w:type="spellEnd"/>
      <w:r>
        <w:t xml:space="preserve"> backend, and to use </w:t>
      </w:r>
      <w:proofErr w:type="spellStart"/>
      <w:r>
        <w:t>voms</w:t>
      </w:r>
      <w:proofErr w:type="spellEnd"/>
      <w:r>
        <w:t xml:space="preserve"> for authentication. </w:t>
      </w:r>
    </w:p>
    <w:p w14:paraId="40EB14D4" w14:textId="77777777" w:rsidR="002A2D02" w:rsidRDefault="002A2D02" w:rsidP="002A2D02">
      <w:pPr>
        <w:pStyle w:val="ListParagraph"/>
        <w:numPr>
          <w:ilvl w:val="0"/>
          <w:numId w:val="17"/>
        </w:numPr>
      </w:pPr>
      <w:r>
        <w:lastRenderedPageBreak/>
        <w:t xml:space="preserve">local </w:t>
      </w:r>
      <w:proofErr w:type="spellStart"/>
      <w:r>
        <w:t>perun</w:t>
      </w:r>
      <w:proofErr w:type="spellEnd"/>
      <w:r>
        <w:t xml:space="preserve"> scripts, which allow Perun</w:t>
      </w:r>
      <w:r>
        <w:rPr>
          <w:rStyle w:val="FootnoteReference"/>
        </w:rPr>
        <w:footnoteReference w:id="17"/>
      </w:r>
      <w:r>
        <w:t xml:space="preserve"> to set up, block and remove user accounts from </w:t>
      </w:r>
      <w:proofErr w:type="spellStart"/>
      <w:r>
        <w:t>OpenNebula</w:t>
      </w:r>
      <w:proofErr w:type="spellEnd"/>
      <w:r>
        <w:t>, thus managing the full life cycle of a user account.</w:t>
      </w:r>
    </w:p>
    <w:p w14:paraId="158AE029" w14:textId="77777777" w:rsidR="002A2D02" w:rsidRDefault="002A2D02" w:rsidP="002A2D02">
      <w:pPr>
        <w:pStyle w:val="ListParagraph"/>
        <w:numPr>
          <w:ilvl w:val="0"/>
          <w:numId w:val="17"/>
        </w:numPr>
      </w:pPr>
      <w:proofErr w:type="spellStart"/>
      <w:r>
        <w:t>vmcatcher</w:t>
      </w:r>
      <w:proofErr w:type="spellEnd"/>
      <w:r>
        <w:t xml:space="preserve">, which checks the EGI App DB for new or updated images that need to be supported on the site. It downloads images and registers them with </w:t>
      </w:r>
      <w:proofErr w:type="spellStart"/>
      <w:r>
        <w:t>OpenNebula</w:t>
      </w:r>
      <w:proofErr w:type="spellEnd"/>
      <w:r>
        <w:t xml:space="preserve">, so that they can be used in resource instantiation. </w:t>
      </w:r>
      <w:proofErr w:type="spellStart"/>
      <w:r>
        <w:t>Vmcatcher</w:t>
      </w:r>
      <w:proofErr w:type="spellEnd"/>
      <w:r>
        <w:t xml:space="preserve"> configuration is explained bellow.</w:t>
      </w:r>
    </w:p>
    <w:p w14:paraId="0BC641E4" w14:textId="77777777" w:rsidR="002A2D02" w:rsidRDefault="002A2D02" w:rsidP="002A2D02">
      <w:pPr>
        <w:pStyle w:val="ListParagraph"/>
        <w:numPr>
          <w:ilvl w:val="0"/>
          <w:numId w:val="18"/>
        </w:numPr>
      </w:pPr>
      <w:proofErr w:type="spellStart"/>
      <w:r>
        <w:t>oneacct</w:t>
      </w:r>
      <w:proofErr w:type="spellEnd"/>
      <w:r>
        <w:t xml:space="preserve"> scripts, which collect accounting data from </w:t>
      </w:r>
      <w:proofErr w:type="spellStart"/>
      <w:r>
        <w:t>OpenNebula</w:t>
      </w:r>
      <w:proofErr w:type="spellEnd"/>
      <w:r>
        <w:t xml:space="preserve"> and publish those into EGI's APEL instance. </w:t>
      </w:r>
      <w:proofErr w:type="spellStart"/>
      <w:r>
        <w:t>Oneacct</w:t>
      </w:r>
      <w:proofErr w:type="spellEnd"/>
      <w:r>
        <w:t xml:space="preserve"> configuration is explained at the </w:t>
      </w:r>
      <w:proofErr w:type="spellStart"/>
      <w:r>
        <w:t>FedCloud</w:t>
      </w:r>
      <w:proofErr w:type="spellEnd"/>
      <w:r>
        <w:t xml:space="preserve"> Accounting page.</w:t>
      </w:r>
    </w:p>
    <w:p w14:paraId="4FDA75C2" w14:textId="77777777" w:rsidR="002A2D02" w:rsidRDefault="002A2D02" w:rsidP="002A2D02">
      <w:pPr>
        <w:pStyle w:val="ListParagraph"/>
        <w:numPr>
          <w:ilvl w:val="0"/>
          <w:numId w:val="18"/>
        </w:numPr>
      </w:pPr>
      <w:r>
        <w:t>BDII cloud provider, which registers the site's configuration and description through the EGI Information System to facilitate service discovery.</w:t>
      </w:r>
    </w:p>
    <w:p w14:paraId="2C46A841" w14:textId="77777777" w:rsidR="00530A7D" w:rsidRDefault="002E7F2E" w:rsidP="002E7F2E">
      <w:pPr>
        <w:pStyle w:val="Heading2"/>
      </w:pPr>
      <w:bookmarkStart w:id="17" w:name="_Toc325709460"/>
      <w:proofErr w:type="spellStart"/>
      <w:r>
        <w:t>OpenNebula</w:t>
      </w:r>
      <w:proofErr w:type="spellEnd"/>
      <w:r w:rsidRPr="004C79FC">
        <w:t xml:space="preserve">-specific </w:t>
      </w:r>
      <w:r>
        <w:t xml:space="preserve">experiences, </w:t>
      </w:r>
      <w:r w:rsidRPr="004C79FC">
        <w:t>recommendations</w:t>
      </w:r>
      <w:r>
        <w:t>, tips</w:t>
      </w:r>
      <w:bookmarkEnd w:id="17"/>
      <w:r>
        <w:t xml:space="preserve"> </w:t>
      </w:r>
    </w:p>
    <w:p w14:paraId="47A55A04" w14:textId="77777777" w:rsidR="00530A7D" w:rsidRDefault="00530A7D" w:rsidP="00530A7D">
      <w:proofErr w:type="spellStart"/>
      <w:r>
        <w:t>OpenNebula</w:t>
      </w:r>
      <w:proofErr w:type="spellEnd"/>
      <w:r>
        <w:t>-based service providers should follow the generic integration guidelines outlined in previous sections. In order to enable the ELIXIR Compute Platform, the following additional configuration is required:</w:t>
      </w:r>
    </w:p>
    <w:p w14:paraId="2D7B3208" w14:textId="77777777" w:rsidR="00530A7D" w:rsidRDefault="00530A7D" w:rsidP="00530A7D">
      <w:pPr>
        <w:numPr>
          <w:ilvl w:val="0"/>
          <w:numId w:val="22"/>
        </w:numPr>
      </w:pPr>
      <w:r>
        <w:t xml:space="preserve"> Establish CA trust for proxy certificates issued by </w:t>
      </w:r>
      <w:proofErr w:type="spellStart"/>
      <w:r>
        <w:t>CILogon</w:t>
      </w:r>
      <w:proofErr w:type="spellEnd"/>
      <w:r>
        <w:t xml:space="preserve"> (https://snf-676811.vm.okeanos.grnet.gr/ca/demoroot.html)</w:t>
      </w:r>
    </w:p>
    <w:p w14:paraId="6A3B29EE" w14:textId="77777777" w:rsidR="00530A7D" w:rsidRDefault="00530A7D" w:rsidP="00530A7D"/>
    <w:p w14:paraId="7AC4852C" w14:textId="77777777" w:rsidR="00530A7D" w:rsidRDefault="00530A7D" w:rsidP="00530A7D">
      <w:r>
        <w:t>$ cd /</w:t>
      </w:r>
      <w:proofErr w:type="spellStart"/>
      <w:r>
        <w:t>etc</w:t>
      </w:r>
      <w:proofErr w:type="spellEnd"/>
      <w:r>
        <w:t>/grid-security/certificates</w:t>
      </w:r>
    </w:p>
    <w:p w14:paraId="6035D089" w14:textId="77777777" w:rsidR="00530A7D" w:rsidRDefault="00530A7D" w:rsidP="00530A7D">
      <w:r>
        <w:t>$ ls -la | grep Globus</w:t>
      </w:r>
    </w:p>
    <w:p w14:paraId="0B8DF2D0" w14:textId="77777777" w:rsidR="00530A7D" w:rsidRDefault="00530A7D" w:rsidP="00530A7D">
      <w:proofErr w:type="spellStart"/>
      <w:r>
        <w:t>lrwxrwxrwx</w:t>
      </w:r>
      <w:proofErr w:type="spellEnd"/>
      <w:r>
        <w:t xml:space="preserve"> 1 root </w:t>
      </w:r>
      <w:proofErr w:type="spellStart"/>
      <w:r>
        <w:t>root</w:t>
      </w:r>
      <w:proofErr w:type="spellEnd"/>
      <w:r>
        <w:t xml:space="preserve">    22 Feb 25 09:54 93df451c.0 -&gt; </w:t>
      </w:r>
      <w:proofErr w:type="spellStart"/>
      <w:r>
        <w:t>GlobusSimpleCaDemo.pem</w:t>
      </w:r>
      <w:proofErr w:type="spellEnd"/>
    </w:p>
    <w:p w14:paraId="5FA8BD46" w14:textId="77777777" w:rsidR="00530A7D" w:rsidRDefault="00530A7D" w:rsidP="00530A7D">
      <w:r>
        <w:t>-</w:t>
      </w:r>
      <w:proofErr w:type="spellStart"/>
      <w:r>
        <w:t>rw</w:t>
      </w:r>
      <w:proofErr w:type="spellEnd"/>
      <w:r>
        <w:t xml:space="preserve">-r--r-- 1 root </w:t>
      </w:r>
      <w:proofErr w:type="spellStart"/>
      <w:r>
        <w:t>root</w:t>
      </w:r>
      <w:proofErr w:type="spellEnd"/>
      <w:r>
        <w:t xml:space="preserve">  1931 Feb 25 09:53 </w:t>
      </w:r>
      <w:proofErr w:type="spellStart"/>
      <w:r>
        <w:t>GlobusSimpleCaDemo.pem</w:t>
      </w:r>
      <w:proofErr w:type="spellEnd"/>
    </w:p>
    <w:p w14:paraId="67720A9B" w14:textId="77777777" w:rsidR="00530A7D" w:rsidRDefault="00530A7D" w:rsidP="00530A7D"/>
    <w:p w14:paraId="1D0DD6E5" w14:textId="77777777" w:rsidR="00530A7D" w:rsidRDefault="00530A7D" w:rsidP="00530A7D">
      <w:pPr>
        <w:numPr>
          <w:ilvl w:val="0"/>
          <w:numId w:val="22"/>
        </w:numPr>
      </w:pPr>
      <w:r>
        <w:t xml:space="preserve"> Enable VO 'vo.elixir-europe.org' locally</w:t>
      </w:r>
    </w:p>
    <w:p w14:paraId="36F9C8F6" w14:textId="77777777" w:rsidR="00530A7D" w:rsidRDefault="00530A7D" w:rsidP="00530A7D">
      <w:r>
        <w:t>See https://wiki.egi.eu/wiki/HOWTO16#OpenNebula_2</w:t>
      </w:r>
    </w:p>
    <w:p w14:paraId="279F60EE" w14:textId="77777777" w:rsidR="00530A7D" w:rsidRDefault="00530A7D" w:rsidP="00530A7D">
      <w:pPr>
        <w:numPr>
          <w:ilvl w:val="0"/>
          <w:numId w:val="22"/>
        </w:numPr>
      </w:pPr>
      <w:r>
        <w:t xml:space="preserve"> Enable propagations from Perun</w:t>
      </w:r>
    </w:p>
    <w:p w14:paraId="285662F4" w14:textId="77777777" w:rsidR="00530A7D" w:rsidRDefault="00530A7D" w:rsidP="00530A7D">
      <w:r>
        <w:lastRenderedPageBreak/>
        <w:t>Notify the Perun team via GGUS, state interest in 'vo.elixir-europe.org' being propagated to your EGI Federated Cloud site (provide site ID and endpoint URL).</w:t>
      </w:r>
    </w:p>
    <w:p w14:paraId="151EF1FA" w14:textId="77777777" w:rsidR="00530A7D" w:rsidRDefault="00530A7D" w:rsidP="00530A7D"/>
    <w:p w14:paraId="5F35B44C" w14:textId="77777777" w:rsidR="00530A7D" w:rsidRDefault="00530A7D" w:rsidP="00530A7D">
      <w:pPr>
        <w:numPr>
          <w:ilvl w:val="0"/>
          <w:numId w:val="22"/>
        </w:numPr>
      </w:pPr>
      <w:r>
        <w:t xml:space="preserve"> Subscribe to 'vo.elixir-europe.org' VO-wide image list</w:t>
      </w:r>
    </w:p>
    <w:p w14:paraId="2A52B575" w14:textId="77777777" w:rsidR="00530A7D" w:rsidRDefault="00530A7D" w:rsidP="00530A7D">
      <w:r>
        <w:t>See https://wiki.appdb.egi.eu/main:guides:vmcatcher_site_setup</w:t>
      </w:r>
    </w:p>
    <w:p w14:paraId="420807EB" w14:textId="77777777" w:rsidR="00530A7D" w:rsidRDefault="00530A7D" w:rsidP="00530A7D"/>
    <w:p w14:paraId="4924A7F9" w14:textId="77777777" w:rsidR="00530A7D" w:rsidRDefault="00530A7D" w:rsidP="00530A7D">
      <w:r>
        <w:t xml:space="preserve">After the first successful propagation from Perun (user accounts) and </w:t>
      </w:r>
      <w:proofErr w:type="spellStart"/>
      <w:r>
        <w:t>AppDB</w:t>
      </w:r>
      <w:proofErr w:type="spellEnd"/>
      <w:r>
        <w:t xml:space="preserve"> (virtual appliances), your site will be a fully functional member of the ELIXIR Compute Platform.</w:t>
      </w:r>
    </w:p>
    <w:p w14:paraId="1E4CE0FD" w14:textId="77777777" w:rsidR="00530A7D" w:rsidRDefault="00530A7D" w:rsidP="00530A7D"/>
    <w:p w14:paraId="53D5DE42" w14:textId="062CBD0D" w:rsidR="002E7F2E" w:rsidRDefault="002E7F2E" w:rsidP="002E7F2E">
      <w:pPr>
        <w:pStyle w:val="Heading2"/>
      </w:pPr>
      <w:bookmarkStart w:id="18" w:name="_Toc325709461"/>
      <w:r>
        <w:t xml:space="preserve">Installation guideline for </w:t>
      </w:r>
      <w:proofErr w:type="spellStart"/>
      <w:r>
        <w:t>Synnefo</w:t>
      </w:r>
      <w:proofErr w:type="spellEnd"/>
      <w:r>
        <w:t xml:space="preserve"> providers</w:t>
      </w:r>
      <w:bookmarkEnd w:id="18"/>
    </w:p>
    <w:p w14:paraId="620994AA" w14:textId="26FBDB03" w:rsidR="00334626" w:rsidRDefault="00334626" w:rsidP="00334626">
      <w:r>
        <w:t xml:space="preserve">An </w:t>
      </w:r>
      <w:r w:rsidRPr="006064F5">
        <w:t xml:space="preserve">EGI Cloud Site based on </w:t>
      </w:r>
      <w:proofErr w:type="spellStart"/>
      <w:r>
        <w:t>Synnefo</w:t>
      </w:r>
      <w:proofErr w:type="spellEnd"/>
      <w:r>
        <w:rPr>
          <w:rStyle w:val="FootnoteReference"/>
        </w:rPr>
        <w:footnoteReference w:id="18"/>
      </w:r>
      <w:r w:rsidRPr="006064F5">
        <w:t xml:space="preserve"> is an ordinary </w:t>
      </w:r>
      <w:proofErr w:type="spellStart"/>
      <w:r>
        <w:t>Synnefo</w:t>
      </w:r>
      <w:proofErr w:type="spellEnd"/>
      <w:r w:rsidRPr="006064F5">
        <w:t xml:space="preserve"> installation with some EGI-specific integration components. There are no additional requirements placed on internal site architecture.</w:t>
      </w:r>
      <w:r>
        <w:t xml:space="preserve">  You will need however to install the following extra services.</w:t>
      </w:r>
    </w:p>
    <w:p w14:paraId="54C74F76" w14:textId="1121FBFF" w:rsidR="00334626" w:rsidRDefault="00334626" w:rsidP="00334626">
      <w:pPr>
        <w:pStyle w:val="ListParagraph"/>
        <w:numPr>
          <w:ilvl w:val="0"/>
          <w:numId w:val="19"/>
        </w:numPr>
      </w:pPr>
      <w:r>
        <w:t>SNF-OCCI</w:t>
      </w:r>
      <w:r>
        <w:rPr>
          <w:rStyle w:val="FootnoteReference"/>
        </w:rPr>
        <w:footnoteReference w:id="19"/>
      </w:r>
      <w:r>
        <w:t xml:space="preserve">: Which is an </w:t>
      </w:r>
      <w:proofErr w:type="spellStart"/>
      <w:r>
        <w:t>an</w:t>
      </w:r>
      <w:proofErr w:type="spellEnd"/>
      <w:r>
        <w:t xml:space="preserve"> implementation of OCCI 1.1 (OCCI 1.2 support will be available shortly) as a bridge to </w:t>
      </w:r>
      <w:proofErr w:type="spellStart"/>
      <w:r>
        <w:t>kakaki</w:t>
      </w:r>
      <w:proofErr w:type="spellEnd"/>
      <w:r>
        <w:t xml:space="preserve">, </w:t>
      </w:r>
      <w:proofErr w:type="spellStart"/>
      <w:r>
        <w:t>synnefo</w:t>
      </w:r>
      <w:proofErr w:type="spellEnd"/>
      <w:r>
        <w:t xml:space="preserve"> cli.</w:t>
      </w:r>
    </w:p>
    <w:p w14:paraId="7D40430C" w14:textId="49ACD5AB" w:rsidR="00334626" w:rsidRDefault="00334626" w:rsidP="00334626">
      <w:pPr>
        <w:pStyle w:val="ListParagraph"/>
        <w:numPr>
          <w:ilvl w:val="0"/>
          <w:numId w:val="19"/>
        </w:numPr>
      </w:pPr>
      <w:r>
        <w:t>ASTAVOMS</w:t>
      </w:r>
      <w:r>
        <w:rPr>
          <w:rStyle w:val="FootnoteReference"/>
        </w:rPr>
        <w:footnoteReference w:id="20"/>
      </w:r>
      <w:r>
        <w:t xml:space="preserve">: is the extension to </w:t>
      </w:r>
      <w:proofErr w:type="spellStart"/>
      <w:r>
        <w:t>synnefos</w:t>
      </w:r>
      <w:proofErr w:type="spellEnd"/>
      <w:r>
        <w:t xml:space="preserve"> </w:t>
      </w:r>
      <w:proofErr w:type="spellStart"/>
      <w:r>
        <w:t>astakos</w:t>
      </w:r>
      <w:proofErr w:type="spellEnd"/>
      <w:r>
        <w:t xml:space="preserve"> authentication services that handles a pool of user accounts to that are bind to a user authenticated via VOMS.</w:t>
      </w:r>
    </w:p>
    <w:p w14:paraId="65579845" w14:textId="05CD4561" w:rsidR="00334626" w:rsidRDefault="00334626" w:rsidP="00334626">
      <w:pPr>
        <w:pStyle w:val="ListParagraph"/>
        <w:numPr>
          <w:ilvl w:val="0"/>
          <w:numId w:val="19"/>
        </w:numPr>
      </w:pPr>
      <w:r>
        <w:t>SNF-CDMI</w:t>
      </w:r>
      <w:r>
        <w:rPr>
          <w:rStyle w:val="FootnoteReference"/>
        </w:rPr>
        <w:footnoteReference w:id="21"/>
      </w:r>
      <w:r w:rsidR="0086452B">
        <w:t xml:space="preserve">: Which is an implementation of CDMI Spec on top of </w:t>
      </w:r>
      <w:proofErr w:type="spellStart"/>
      <w:r w:rsidR="0086452B">
        <w:t>pithos</w:t>
      </w:r>
      <w:proofErr w:type="spellEnd"/>
      <w:r w:rsidR="0086452B">
        <w:t xml:space="preserve"> ~</w:t>
      </w:r>
      <w:proofErr w:type="spellStart"/>
      <w:r w:rsidR="0086452B">
        <w:t>Okeanos</w:t>
      </w:r>
      <w:proofErr w:type="spellEnd"/>
      <w:r w:rsidR="0086452B">
        <w:t xml:space="preserve"> storage service.</w:t>
      </w:r>
    </w:p>
    <w:p w14:paraId="0C7D52A2" w14:textId="3297D4D9" w:rsidR="00334626" w:rsidRDefault="00334626" w:rsidP="00334626">
      <w:pPr>
        <w:pStyle w:val="ListParagraph"/>
        <w:numPr>
          <w:ilvl w:val="0"/>
          <w:numId w:val="19"/>
        </w:numPr>
      </w:pPr>
      <w:r>
        <w:t>SNF-SSM</w:t>
      </w:r>
      <w:r>
        <w:rPr>
          <w:rStyle w:val="FootnoteReference"/>
        </w:rPr>
        <w:footnoteReference w:id="22"/>
      </w:r>
      <w:r>
        <w:t xml:space="preserve">: Which is a script that publishes </w:t>
      </w:r>
      <w:r w:rsidR="0086452B">
        <w:t xml:space="preserve">to </w:t>
      </w:r>
      <w:proofErr w:type="spellStart"/>
      <w:r w:rsidR="0086452B">
        <w:t>apel</w:t>
      </w:r>
      <w:proofErr w:type="spellEnd"/>
      <w:r w:rsidR="0086452B">
        <w:t xml:space="preserve"> </w:t>
      </w:r>
      <w:proofErr w:type="spellStart"/>
      <w:r w:rsidR="0086452B">
        <w:t>ssm</w:t>
      </w:r>
      <w:proofErr w:type="spellEnd"/>
      <w:r w:rsidR="0086452B">
        <w:t xml:space="preserve"> usage records.</w:t>
      </w:r>
    </w:p>
    <w:p w14:paraId="0CE9EC5D" w14:textId="01C782E8" w:rsidR="00334626" w:rsidRDefault="00334626" w:rsidP="00334626">
      <w:pPr>
        <w:pStyle w:val="ListParagraph"/>
        <w:numPr>
          <w:ilvl w:val="0"/>
          <w:numId w:val="19"/>
        </w:numPr>
      </w:pPr>
      <w:r>
        <w:t>SNF-VMCATCHER</w:t>
      </w:r>
      <w:r>
        <w:rPr>
          <w:rStyle w:val="FootnoteReference"/>
        </w:rPr>
        <w:footnoteReference w:id="23"/>
      </w:r>
      <w:r>
        <w:t>:</w:t>
      </w:r>
      <w:r w:rsidR="0086452B">
        <w:t xml:space="preserve"> Which is the implementation of </w:t>
      </w:r>
      <w:proofErr w:type="spellStart"/>
      <w:r w:rsidR="0086452B">
        <w:t>vmcatcher</w:t>
      </w:r>
      <w:proofErr w:type="spellEnd"/>
      <w:r w:rsidR="0086452B">
        <w:t xml:space="preserve"> to use </w:t>
      </w:r>
      <w:proofErr w:type="spellStart"/>
      <w:r w:rsidR="0086452B">
        <w:t>kakaki</w:t>
      </w:r>
      <w:proofErr w:type="spellEnd"/>
      <w:r w:rsidR="0086452B">
        <w:t xml:space="preserve"> and </w:t>
      </w:r>
      <w:proofErr w:type="spellStart"/>
      <w:r w:rsidR="0086452B">
        <w:t>snf</w:t>
      </w:r>
      <w:proofErr w:type="spellEnd"/>
      <w:r w:rsidR="0086452B">
        <w:t xml:space="preserve">-image to import images on your </w:t>
      </w:r>
      <w:proofErr w:type="spellStart"/>
      <w:r w:rsidR="0086452B">
        <w:t>Synnefo</w:t>
      </w:r>
      <w:proofErr w:type="spellEnd"/>
      <w:r w:rsidR="0086452B">
        <w:t xml:space="preserve"> installation.</w:t>
      </w:r>
    </w:p>
    <w:p w14:paraId="2EEB44B9" w14:textId="4B5FF7B8" w:rsidR="0086452B" w:rsidRDefault="0086452B" w:rsidP="0086452B">
      <w:pPr>
        <w:ind w:left="360"/>
      </w:pPr>
      <w:r>
        <w:t xml:space="preserve">Please note that </w:t>
      </w:r>
      <w:proofErr w:type="spellStart"/>
      <w:r>
        <w:t>astavoms</w:t>
      </w:r>
      <w:proofErr w:type="spellEnd"/>
      <w:r>
        <w:t xml:space="preserve"> is required for both SNF-OCCI and SNF-CDMI to work as they redirect to that service to authenticate a user.</w:t>
      </w:r>
    </w:p>
    <w:p w14:paraId="277FF14D" w14:textId="04CA5D4C" w:rsidR="004C79FC" w:rsidRDefault="004C79FC" w:rsidP="004C79FC">
      <w:pPr>
        <w:pStyle w:val="Heading2"/>
      </w:pPr>
      <w:bookmarkStart w:id="19" w:name="_Toc325709462"/>
      <w:proofErr w:type="spellStart"/>
      <w:r>
        <w:lastRenderedPageBreak/>
        <w:t>Synnefo</w:t>
      </w:r>
      <w:proofErr w:type="spellEnd"/>
      <w:r w:rsidRPr="004C79FC">
        <w:t xml:space="preserve">-specific </w:t>
      </w:r>
      <w:r>
        <w:t xml:space="preserve">experiences, </w:t>
      </w:r>
      <w:r w:rsidRPr="004C79FC">
        <w:t>recommendations</w:t>
      </w:r>
      <w:r>
        <w:t>, tips</w:t>
      </w:r>
      <w:bookmarkEnd w:id="19"/>
    </w:p>
    <w:p w14:paraId="49E89F3A" w14:textId="64E30521" w:rsidR="00466D4B" w:rsidRPr="00466D4B" w:rsidRDefault="00B22E55" w:rsidP="00466D4B">
      <w:proofErr w:type="spellStart"/>
      <w:r>
        <w:t>Synnefo</w:t>
      </w:r>
      <w:proofErr w:type="spellEnd"/>
      <w:r>
        <w:t xml:space="preserve"> does not have any specific requirements or recommendations besides that we do not support VMs with Logical Volumes.</w:t>
      </w:r>
    </w:p>
    <w:p w14:paraId="0EBB2E59" w14:textId="77777777" w:rsidR="0061075F" w:rsidRDefault="0061075F">
      <w:bookmarkStart w:id="20" w:name="_GoBack"/>
      <w:bookmarkEnd w:id="20"/>
    </w:p>
    <w:p w14:paraId="3DEDD3F7" w14:textId="77777777" w:rsidR="0061075F" w:rsidRDefault="0061075F"/>
    <w:p w14:paraId="058C3506" w14:textId="5B17A6D1" w:rsidR="004B1271" w:rsidRDefault="004B1271" w:rsidP="004B1271">
      <w:pPr>
        <w:pStyle w:val="Heading1"/>
        <w:numPr>
          <w:ilvl w:val="0"/>
          <w:numId w:val="1"/>
        </w:numPr>
      </w:pPr>
      <w:bookmarkStart w:id="21" w:name="_Toc325709464"/>
      <w:r>
        <w:lastRenderedPageBreak/>
        <w:t>Report on AAI integration</w:t>
      </w:r>
      <w:bookmarkEnd w:id="21"/>
    </w:p>
    <w:p w14:paraId="6B5DDDB9" w14:textId="18ACBF03" w:rsidR="00EE6A59" w:rsidRDefault="004B1271" w:rsidP="00B2650F">
      <w:r w:rsidRPr="009329A2">
        <w:t xml:space="preserve">This subsection provides details about the </w:t>
      </w:r>
      <w:r>
        <w:t>integration activit</w:t>
      </w:r>
      <w:r w:rsidR="007212E9">
        <w:t xml:space="preserve">ies that were performed by EGI and </w:t>
      </w:r>
      <w:r w:rsidR="00B2650F">
        <w:t xml:space="preserve">the ELIXIR AAI Task Force to integrate </w:t>
      </w:r>
      <w:r w:rsidR="00EE6A59">
        <w:t xml:space="preserve">EGI services </w:t>
      </w:r>
      <w:r w:rsidR="00B2650F">
        <w:t>with the ELIXIR A</w:t>
      </w:r>
      <w:r w:rsidR="007212E9">
        <w:t>uthentication-Authorisation Infrastructure (AAI)</w:t>
      </w:r>
      <w:r w:rsidR="00B2650F">
        <w:t xml:space="preserve">. </w:t>
      </w:r>
      <w:r w:rsidR="00EE6A59">
        <w:t>The AAI integration was implemented through the recently released EGI AAI proxy service</w:t>
      </w:r>
      <w:r w:rsidR="00EE6A59">
        <w:rPr>
          <w:rStyle w:val="FootnoteReference"/>
        </w:rPr>
        <w:footnoteReference w:id="24"/>
      </w:r>
      <w:r w:rsidR="00EE6A59">
        <w:t xml:space="preserve">. The GOCDB service registry, and the </w:t>
      </w:r>
      <w:proofErr w:type="spellStart"/>
      <w:r w:rsidR="00EE6A59">
        <w:t>AppDB</w:t>
      </w:r>
      <w:proofErr w:type="spellEnd"/>
      <w:r w:rsidR="00EE6A59">
        <w:t xml:space="preserve"> Virtual Machine Image catalogue were selected as priority services to conduct the integration. Besides these OpenStack was also integrated with the EGI AAI proxy. </w:t>
      </w:r>
    </w:p>
    <w:p w14:paraId="32F4F993" w14:textId="77777777" w:rsidR="00EE6A59" w:rsidRDefault="007212E9" w:rsidP="00B2650F">
      <w:r>
        <w:t>The</w:t>
      </w:r>
      <w:r w:rsidR="00EE6A59">
        <w:t>se</w:t>
      </w:r>
      <w:r>
        <w:t xml:space="preserve"> integration</w:t>
      </w:r>
      <w:r w:rsidR="00EE6A59">
        <w:t>s</w:t>
      </w:r>
      <w:r>
        <w:t xml:space="preserve"> enable members of the ELIXIR C</w:t>
      </w:r>
      <w:r w:rsidR="00EE6A59">
        <w:t xml:space="preserve">ommunity to interact with GOCDB, </w:t>
      </w:r>
      <w:proofErr w:type="spellStart"/>
      <w:r>
        <w:t>AppDB</w:t>
      </w:r>
      <w:proofErr w:type="spellEnd"/>
      <w:r w:rsidR="00EE6A59">
        <w:t xml:space="preserve"> and OpenStack resources</w:t>
      </w:r>
      <w:r>
        <w:t xml:space="preserve"> usin</w:t>
      </w:r>
      <w:r w:rsidR="00EE6A59">
        <w:t>g their ELIXIR user identities:</w:t>
      </w:r>
    </w:p>
    <w:p w14:paraId="3704A10E" w14:textId="77777777" w:rsidR="00EE6A59" w:rsidRDefault="007212E9" w:rsidP="00EE6A59">
      <w:pPr>
        <w:pStyle w:val="ListParagraph"/>
        <w:numPr>
          <w:ilvl w:val="0"/>
          <w:numId w:val="28"/>
        </w:numPr>
      </w:pPr>
      <w:r>
        <w:t xml:space="preserve">In GOCDB these ELIXIR </w:t>
      </w:r>
      <w:r w:rsidR="00EE6A59">
        <w:t xml:space="preserve">service providers </w:t>
      </w:r>
      <w:r>
        <w:t>can register and manage the registration of basic infrastructure resources</w:t>
      </w:r>
      <w:r w:rsidR="00EE6A59">
        <w:t xml:space="preserve"> (cloud and storage).</w:t>
      </w:r>
    </w:p>
    <w:p w14:paraId="0F45F728" w14:textId="514FBA8C" w:rsidR="004B1271" w:rsidRDefault="00EE6A59" w:rsidP="00EE6A59">
      <w:pPr>
        <w:pStyle w:val="ListParagraph"/>
        <w:numPr>
          <w:ilvl w:val="0"/>
          <w:numId w:val="28"/>
        </w:numPr>
      </w:pPr>
      <w:r>
        <w:t xml:space="preserve">In </w:t>
      </w:r>
      <w:proofErr w:type="spellStart"/>
      <w:r w:rsidR="007212E9">
        <w:t>AppDB</w:t>
      </w:r>
      <w:proofErr w:type="spellEnd"/>
      <w:r w:rsidR="007212E9">
        <w:t xml:space="preserve"> </w:t>
      </w:r>
      <w:r>
        <w:t xml:space="preserve">ELIXIR application developers can </w:t>
      </w:r>
      <w:r w:rsidR="007212E9">
        <w:t>register Virtual Machine Images</w:t>
      </w:r>
      <w:r>
        <w:t xml:space="preserve"> and </w:t>
      </w:r>
      <w:r w:rsidR="007212E9">
        <w:t xml:space="preserve">Virtual Appliances for </w:t>
      </w:r>
      <w:r>
        <w:t xml:space="preserve">publishing these on the ELIXIR cloud sites and for </w:t>
      </w:r>
      <w:r w:rsidR="007212E9">
        <w:t xml:space="preserve">sharing these with </w:t>
      </w:r>
      <w:r>
        <w:t>the</w:t>
      </w:r>
      <w:r w:rsidR="007212E9">
        <w:t xml:space="preserve"> broader </w:t>
      </w:r>
      <w:r>
        <w:t xml:space="preserve">life science </w:t>
      </w:r>
      <w:r w:rsidR="007212E9">
        <w:t xml:space="preserve">community. </w:t>
      </w:r>
    </w:p>
    <w:p w14:paraId="5AA11477" w14:textId="38A2B091" w:rsidR="00EE6A59" w:rsidRDefault="00EE6A59" w:rsidP="00EE6A59">
      <w:pPr>
        <w:pStyle w:val="ListParagraph"/>
        <w:numPr>
          <w:ilvl w:val="0"/>
          <w:numId w:val="28"/>
        </w:numPr>
      </w:pPr>
      <w:r>
        <w:t xml:space="preserve">In OpenStack ELIXIR members can instantiate applications from the pre-deployed Virtual Machine Images and Virtual Appliances. </w:t>
      </w:r>
    </w:p>
    <w:p w14:paraId="545C77ED" w14:textId="4CB0CBA8" w:rsidR="00EE6A59" w:rsidRDefault="00EE6A59" w:rsidP="00EE6A59">
      <w:r>
        <w:t>The next subsections provides details on how the integration was achieved and what are the next steps.</w:t>
      </w:r>
    </w:p>
    <w:p w14:paraId="75FC1D4E" w14:textId="3226677C" w:rsidR="007212E9" w:rsidRDefault="007212E9" w:rsidP="007212E9">
      <w:pPr>
        <w:pStyle w:val="Heading2"/>
      </w:pPr>
      <w:bookmarkStart w:id="22" w:name="_Ref451849891"/>
      <w:bookmarkStart w:id="23" w:name="_Toc325709465"/>
      <w:r>
        <w:t>Integration of ELIXIR AAI with EGI AAI proxy</w:t>
      </w:r>
      <w:bookmarkEnd w:id="22"/>
      <w:bookmarkEnd w:id="23"/>
    </w:p>
    <w:p w14:paraId="55B2D9FA" w14:textId="0B693D8C" w:rsidR="002F092C" w:rsidRDefault="004C06CC" w:rsidP="004C06CC">
      <w:r>
        <w:t xml:space="preserve">The </w:t>
      </w:r>
      <w:r w:rsidR="002F092C">
        <w:t>‘</w:t>
      </w:r>
      <w:r>
        <w:t>EGI AAI proxy</w:t>
      </w:r>
      <w:r w:rsidR="002F092C">
        <w:t>’</w:t>
      </w:r>
      <w:r>
        <w:t xml:space="preserve"> </w:t>
      </w:r>
      <w:r w:rsidR="002F092C">
        <w:t xml:space="preserve">is a new service in the EGI service portfolio which </w:t>
      </w:r>
      <w:r>
        <w:t xml:space="preserve">enables access to EGI services and resources with federated authentication mechanisms. Specifically, the proxy </w:t>
      </w:r>
      <w:r w:rsidR="002F092C">
        <w:t>service is operated</w:t>
      </w:r>
      <w:r>
        <w:t xml:space="preserve"> as a central hub between federated Identity Providers </w:t>
      </w:r>
      <w:r w:rsidR="002F092C">
        <w:t>(</w:t>
      </w:r>
      <w:proofErr w:type="spellStart"/>
      <w:r w:rsidR="002F092C">
        <w:t>IdPs</w:t>
      </w:r>
      <w:proofErr w:type="spellEnd"/>
      <w:r w:rsidR="002F092C">
        <w:t xml:space="preserve">) residing ‘outside’ of the EGI network of services, </w:t>
      </w:r>
      <w:r>
        <w:t>and Service Providers</w:t>
      </w:r>
      <w:r w:rsidR="002F092C">
        <w:t xml:space="preserve"> (SPs) that are part of EGI</w:t>
      </w:r>
      <w:r>
        <w:t>. The main advantage of this design principle is that all entities need to establish and maintain technical</w:t>
      </w:r>
      <w:r w:rsidR="002F092C">
        <w:t xml:space="preserve"> and </w:t>
      </w:r>
      <w:r>
        <w:t xml:space="preserve">trust relation </w:t>
      </w:r>
      <w:r w:rsidR="002F092C">
        <w:t xml:space="preserve">only to a single entity, </w:t>
      </w:r>
      <w:r>
        <w:t>the EGI AAI proxy</w:t>
      </w:r>
      <w:r w:rsidR="002F092C">
        <w:t xml:space="preserve">, instead of managing N-to-M relationships. </w:t>
      </w:r>
      <w:r>
        <w:t xml:space="preserve">The proxy acts as a Service Provider towards the Identity Providers and as an Identity Provider towards the Service Providers. </w:t>
      </w:r>
    </w:p>
    <w:p w14:paraId="648CDA05" w14:textId="77777777" w:rsidR="002F092C" w:rsidRDefault="002F092C" w:rsidP="004C06CC">
      <w:r>
        <w:lastRenderedPageBreak/>
        <w:t>Using the EGI AAI proxy, u</w:t>
      </w:r>
      <w:r w:rsidR="004C06CC">
        <w:t xml:space="preserve">sers are able to authenticate with the credentials provided by the </w:t>
      </w:r>
      <w:proofErr w:type="spellStart"/>
      <w:r w:rsidR="004C06CC">
        <w:t>IdP</w:t>
      </w:r>
      <w:proofErr w:type="spellEnd"/>
      <w:r w:rsidR="004C06CC">
        <w:t xml:space="preserve"> of their Home Organisation through </w:t>
      </w:r>
      <w:proofErr w:type="spellStart"/>
      <w:r w:rsidR="004C06CC">
        <w:t>eduGAIN</w:t>
      </w:r>
      <w:proofErr w:type="spellEnd"/>
      <w:r w:rsidR="004C06CC">
        <w:t xml:space="preserve">, as well as using social identity providers, </w:t>
      </w:r>
      <w:proofErr w:type="spellStart"/>
      <w:r w:rsidR="004C06CC">
        <w:t>eGOV</w:t>
      </w:r>
      <w:proofErr w:type="spellEnd"/>
      <w:r w:rsidR="004C06CC">
        <w:t xml:space="preserve"> IDs, or other selected external identity providers. To achieve this, the EGI AAI has built</w:t>
      </w:r>
      <w:r>
        <w:t>-</w:t>
      </w:r>
      <w:r w:rsidR="004C06CC">
        <w:t>in support for SAML, OpenID Connect and OAuth2 providers and already enables user logins through Facebook, Google, LinkedIn, and ORCID. In addition to serving as an authentication proxy, the EGI AAI provides a central Discovery Service (W</w:t>
      </w:r>
      <w:r>
        <w:t>here Are You From – W</w:t>
      </w:r>
      <w:r w:rsidR="004C06CC">
        <w:t xml:space="preserve">AYF) for users to select their preferred </w:t>
      </w:r>
      <w:proofErr w:type="spellStart"/>
      <w:r w:rsidR="004C06CC">
        <w:t>IdP</w:t>
      </w:r>
      <w:proofErr w:type="spellEnd"/>
      <w:r w:rsidR="004C06CC">
        <w:t xml:space="preserve">. </w:t>
      </w:r>
    </w:p>
    <w:p w14:paraId="0F50534B" w14:textId="3B86A39D" w:rsidR="004C06CC" w:rsidRDefault="002F092C" w:rsidP="004C06CC">
      <w:r>
        <w:t xml:space="preserve">The EGI AAI </w:t>
      </w:r>
      <w:r w:rsidR="004C06CC">
        <w:t xml:space="preserve">proxy is also responsible for aggregating user attributes originating from various authoritative sources </w:t>
      </w:r>
      <w:r>
        <w:t>(</w:t>
      </w:r>
      <w:proofErr w:type="spellStart"/>
      <w:r>
        <w:t>IdPs</w:t>
      </w:r>
      <w:proofErr w:type="spellEnd"/>
      <w:r>
        <w:t xml:space="preserve"> and attribute provider services) </w:t>
      </w:r>
      <w:r w:rsidR="004C06CC">
        <w:t xml:space="preserve">and delivering them to </w:t>
      </w:r>
      <w:r>
        <w:t xml:space="preserve">the connected EGI service providers </w:t>
      </w:r>
      <w:r w:rsidR="004C06CC">
        <w:t>in a harmonised and transparent way</w:t>
      </w:r>
      <w:r>
        <w:t xml:space="preserve">. Service Providers can use the received attributes for </w:t>
      </w:r>
      <w:r w:rsidR="004C06CC">
        <w:t>authorisation purposes</w:t>
      </w:r>
      <w:r>
        <w:t>, i.e. deciding what the user is allowed to use/do with the service</w:t>
      </w:r>
      <w:r w:rsidR="004C06CC">
        <w:t>. </w:t>
      </w:r>
      <w:r w:rsidR="00376C43">
        <w:t>The EGI services require a minimum set of attributes from the EGI AAI proxy about the user to grant access</w:t>
      </w:r>
      <w:r w:rsidR="00376C43">
        <w:rPr>
          <w:rStyle w:val="FootnoteReference"/>
        </w:rPr>
        <w:footnoteReference w:id="25"/>
      </w:r>
      <w:r w:rsidR="00376C43">
        <w:t xml:space="preserve">. </w:t>
      </w:r>
    </w:p>
    <w:p w14:paraId="06B7F659" w14:textId="5D5CCF63" w:rsidR="00501FF1" w:rsidRDefault="002F092C" w:rsidP="004C06CC">
      <w:r>
        <w:t xml:space="preserve">Within ELIXIR the ELIXIR AAI service operates as both an </w:t>
      </w:r>
      <w:proofErr w:type="spellStart"/>
      <w:r>
        <w:t>IdP</w:t>
      </w:r>
      <w:proofErr w:type="spellEnd"/>
      <w:r>
        <w:t xml:space="preserve"> and attribute provider service. It’s assumed that this service will manage user accounts and personal attributes for every ELIXIR user. During the last months the EE</w:t>
      </w:r>
      <w:r w:rsidR="004C06CC">
        <w:t xml:space="preserve">GI AAI </w:t>
      </w:r>
      <w:r>
        <w:t xml:space="preserve">proxy </w:t>
      </w:r>
      <w:r w:rsidR="004C06CC">
        <w:t xml:space="preserve">has been integrated with the ELXIR AAI </w:t>
      </w:r>
      <w:r>
        <w:t xml:space="preserve">with the goal </w:t>
      </w:r>
      <w:r w:rsidR="004C06CC">
        <w:t>to enable members of the ELIXIR Community access EGI services</w:t>
      </w:r>
      <w:r>
        <w:t xml:space="preserve">. Two EGI service – </w:t>
      </w:r>
      <w:r w:rsidR="004C06CC">
        <w:t xml:space="preserve">the GOCDB </w:t>
      </w:r>
      <w:r>
        <w:t xml:space="preserve">service registry and the </w:t>
      </w:r>
      <w:proofErr w:type="spellStart"/>
      <w:r>
        <w:t>AppDB</w:t>
      </w:r>
      <w:proofErr w:type="spellEnd"/>
      <w:r>
        <w:t xml:space="preserve"> Virtual Machine marketplace –</w:t>
      </w:r>
      <w:r w:rsidR="00501FF1">
        <w:t xml:space="preserve"> were chosen as priority services for the ELIXIR integration. The integration work was achieved by connecting </w:t>
      </w:r>
      <w:r w:rsidR="004C06CC">
        <w:t xml:space="preserve">the SP proxy element of the EGI AAI </w:t>
      </w:r>
      <w:r w:rsidR="00501FF1">
        <w:t xml:space="preserve">proxy </w:t>
      </w:r>
      <w:r w:rsidR="004C06CC">
        <w:t xml:space="preserve">with </w:t>
      </w:r>
      <w:r w:rsidR="00501FF1">
        <w:t xml:space="preserve">the </w:t>
      </w:r>
      <w:proofErr w:type="spellStart"/>
      <w:r w:rsidR="00501FF1">
        <w:t>IdP</w:t>
      </w:r>
      <w:proofErr w:type="spellEnd"/>
      <w:r w:rsidR="00501FF1">
        <w:t xml:space="preserve"> proxy of the ELIXIR AAI with</w:t>
      </w:r>
      <w:r w:rsidR="004C06CC">
        <w:t xml:space="preserve"> exchang</w:t>
      </w:r>
      <w:r w:rsidR="00501FF1">
        <w:t>ing</w:t>
      </w:r>
      <w:r w:rsidR="004C06CC">
        <w:t xml:space="preserve"> the</w:t>
      </w:r>
      <w:r w:rsidR="00501FF1">
        <w:t>ir</w:t>
      </w:r>
      <w:r w:rsidR="004C06CC">
        <w:t xml:space="preserve"> SAML metadata in XML format. </w:t>
      </w:r>
    </w:p>
    <w:p w14:paraId="0FCC3440" w14:textId="77777777" w:rsidR="00376C43" w:rsidRDefault="004C06CC" w:rsidP="004C06CC">
      <w:r>
        <w:t>The typical S</w:t>
      </w:r>
      <w:r w:rsidR="00501FF1">
        <w:t>ingle Sign-On (S</w:t>
      </w:r>
      <w:r>
        <w:t>SO</w:t>
      </w:r>
      <w:r w:rsidR="00501FF1">
        <w:t>)</w:t>
      </w:r>
      <w:r>
        <w:t xml:space="preserve"> flow </w:t>
      </w:r>
      <w:r w:rsidR="00501FF1">
        <w:t xml:space="preserve">in the integrated system </w:t>
      </w:r>
      <w:r>
        <w:t xml:space="preserve">begins with the ELIXIR user accessing an EGI application </w:t>
      </w:r>
      <w:r w:rsidR="00501FF1">
        <w:t xml:space="preserve">(GOCDB or </w:t>
      </w:r>
      <w:proofErr w:type="spellStart"/>
      <w:r w:rsidR="00501FF1">
        <w:t>AppDB</w:t>
      </w:r>
      <w:proofErr w:type="spellEnd"/>
      <w:r w:rsidR="00501FF1">
        <w:t xml:space="preserve">) </w:t>
      </w:r>
      <w:r>
        <w:t xml:space="preserve">through </w:t>
      </w:r>
      <w:r w:rsidR="00501FF1">
        <w:t>a</w:t>
      </w:r>
      <w:r>
        <w:t xml:space="preserve"> web browser (SP-initiated SSO). Since the user is not logged in at the SP</w:t>
      </w:r>
      <w:r w:rsidR="00501FF1">
        <w:t xml:space="preserve"> yet</w:t>
      </w:r>
      <w:r>
        <w:t xml:space="preserve">, the SP sends the user to the EGI </w:t>
      </w:r>
      <w:proofErr w:type="spellStart"/>
      <w:r>
        <w:t>IdP</w:t>
      </w:r>
      <w:proofErr w:type="spellEnd"/>
      <w:r>
        <w:t xml:space="preserve"> proxy to authenticate. The user is then redirected to the EGI central Discovery Service page where </w:t>
      </w:r>
      <w:r w:rsidR="00501FF1">
        <w:t>he/she</w:t>
      </w:r>
      <w:r>
        <w:t xml:space="preserve"> </w:t>
      </w:r>
      <w:r w:rsidR="00501FF1">
        <w:t>is</w:t>
      </w:r>
      <w:r>
        <w:t xml:space="preserve"> able to select t</w:t>
      </w:r>
      <w:r w:rsidR="00501FF1">
        <w:t>o authenticate at ELIXIR</w:t>
      </w:r>
      <w:r>
        <w:t xml:space="preserve">. This results in a SAML authentication request from the EGI </w:t>
      </w:r>
      <w:r w:rsidR="00501FF1">
        <w:t xml:space="preserve">AAI </w:t>
      </w:r>
      <w:r>
        <w:t xml:space="preserve">proxy to the ELIXIR </w:t>
      </w:r>
      <w:r w:rsidR="00501FF1">
        <w:t xml:space="preserve">AAI (it’s </w:t>
      </w:r>
      <w:proofErr w:type="spellStart"/>
      <w:r>
        <w:t>IdP</w:t>
      </w:r>
      <w:proofErr w:type="spellEnd"/>
      <w:r>
        <w:t xml:space="preserve"> proxy</w:t>
      </w:r>
      <w:r w:rsidR="00501FF1">
        <w:t xml:space="preserve"> component)</w:t>
      </w:r>
      <w:r>
        <w:t>. Compliance of the EGI SP proxy with the GÉANT Data Protection Code of Conduct (</w:t>
      </w:r>
      <w:proofErr w:type="spellStart"/>
      <w:r>
        <w:t>CoCo</w:t>
      </w:r>
      <w:proofErr w:type="spellEnd"/>
      <w:r>
        <w:t xml:space="preserve">) and the REFEDS Research and Scholarship (R&amp;S) allows the ELIXIR </w:t>
      </w:r>
      <w:r w:rsidR="00501FF1">
        <w:t xml:space="preserve">AAI </w:t>
      </w:r>
      <w:proofErr w:type="spellStart"/>
      <w:r>
        <w:t>IdP</w:t>
      </w:r>
      <w:proofErr w:type="spellEnd"/>
      <w:r>
        <w:t xml:space="preserve"> proxy to release the minimum set of attributes required for a user to make use of the EGI </w:t>
      </w:r>
      <w:r w:rsidR="00376C43">
        <w:t>service</w:t>
      </w:r>
      <w:r>
        <w:t xml:space="preserve">. </w:t>
      </w:r>
    </w:p>
    <w:p w14:paraId="057475E3" w14:textId="75B76327" w:rsidR="00DD4B00" w:rsidRDefault="004C06CC" w:rsidP="004C06CC">
      <w:r>
        <w:lastRenderedPageBreak/>
        <w:t>The released attribute set includes an opaque (</w:t>
      </w:r>
      <w:proofErr w:type="spellStart"/>
      <w:r>
        <w:t>eduPersonalUniqueId</w:t>
      </w:r>
      <w:proofErr w:type="spellEnd"/>
      <w:r>
        <w:t>), as well as a username-based (</w:t>
      </w:r>
      <w:proofErr w:type="spellStart"/>
      <w:r>
        <w:t>eduPersonPrincipalName</w:t>
      </w:r>
      <w:proofErr w:type="spellEnd"/>
      <w:r>
        <w:t xml:space="preserve">) user identifier scoped at </w:t>
      </w:r>
      <w:r w:rsidRPr="00376C43">
        <w:t>elixir-europe.org</w:t>
      </w:r>
      <w:r w:rsidR="00376C43">
        <w:t>.</w:t>
      </w:r>
      <w:r>
        <w:t xml:space="preserve"> The first name (</w:t>
      </w:r>
      <w:proofErr w:type="spellStart"/>
      <w:r>
        <w:t>givenName</w:t>
      </w:r>
      <w:proofErr w:type="spellEnd"/>
      <w:r>
        <w:t>), surname (</w:t>
      </w:r>
      <w:proofErr w:type="spellStart"/>
      <w:r>
        <w:t>sn</w:t>
      </w:r>
      <w:proofErr w:type="spellEnd"/>
      <w:r>
        <w:t xml:space="preserve">) and email (mail) </w:t>
      </w:r>
      <w:r w:rsidR="00376C43">
        <w:t>of the user are</w:t>
      </w:r>
      <w:r>
        <w:t xml:space="preserve"> also provided. To indicate the set of rights to specific EGI resources, the ELIXIR </w:t>
      </w:r>
      <w:proofErr w:type="spellStart"/>
      <w:r>
        <w:t>IdP</w:t>
      </w:r>
      <w:proofErr w:type="spellEnd"/>
      <w:r>
        <w:t xml:space="preserve"> proxy releases an </w:t>
      </w:r>
      <w:proofErr w:type="spellStart"/>
      <w:r>
        <w:t>eduPersonEntitlement</w:t>
      </w:r>
      <w:proofErr w:type="spellEnd"/>
      <w:r>
        <w:t xml:space="preserve"> attribute. This is a multi-valued attribute, with each value formatted as a URI. The structure of the value itself however, is based on an agreement between ELXIR and </w:t>
      </w:r>
      <w:r w:rsidR="00376C43">
        <w:t>EGI</w:t>
      </w:r>
      <w:r>
        <w:t>, since there are currently no commonly accepted standards or recommendations regarding the representation of entitlements.</w:t>
      </w:r>
      <w:r w:rsidR="00DD4B00">
        <w:t xml:space="preserve"> The </w:t>
      </w:r>
      <w:proofErr w:type="spellStart"/>
      <w:r w:rsidR="00DD4B00">
        <w:t>eduPersonEntitlement</w:t>
      </w:r>
      <w:proofErr w:type="spellEnd"/>
      <w:r w:rsidR="00DD4B00">
        <w:t xml:space="preserve"> content is still under discussion, finalisation is expected by the end of May.</w:t>
      </w:r>
    </w:p>
    <w:p w14:paraId="63FD3677" w14:textId="35A7F23C" w:rsidR="007212E9" w:rsidRPr="00466D4B" w:rsidRDefault="004C06CC" w:rsidP="007212E9">
      <w:r>
        <w:t xml:space="preserve">The ELIXIR </w:t>
      </w:r>
      <w:proofErr w:type="spellStart"/>
      <w:r>
        <w:t>IdP</w:t>
      </w:r>
      <w:proofErr w:type="spellEnd"/>
      <w:r>
        <w:t xml:space="preserve"> builds an assertion containing the attributes </w:t>
      </w:r>
      <w:r w:rsidR="00DD4B00">
        <w:t xml:space="preserve">above, which is sent to the </w:t>
      </w:r>
      <w:r>
        <w:t>SP proxy</w:t>
      </w:r>
      <w:r w:rsidR="00DD4B00">
        <w:t xml:space="preserve"> component of the EGI AAI proxy</w:t>
      </w:r>
      <w:r>
        <w:t>. Based on the authentication method selected by the user, the EGI proxy assigns a Level of Assurance (</w:t>
      </w:r>
      <w:proofErr w:type="spellStart"/>
      <w:r>
        <w:t>LoA</w:t>
      </w:r>
      <w:proofErr w:type="spellEnd"/>
      <w:r>
        <w:t>)</w:t>
      </w:r>
      <w:r w:rsidR="00DD4B00">
        <w:rPr>
          <w:rStyle w:val="FootnoteReference"/>
        </w:rPr>
        <w:footnoteReference w:id="26"/>
      </w:r>
      <w:r>
        <w:t xml:space="preserve">, which is conveyed to the SP through the </w:t>
      </w:r>
      <w:proofErr w:type="spellStart"/>
      <w:r>
        <w:t>eduPersonAssurance</w:t>
      </w:r>
      <w:proofErr w:type="spellEnd"/>
      <w:r>
        <w:t xml:space="preserve"> attribute and the Authentication Context Class of the SAML authentication response. EGI AAI currently distinguishes between three </w:t>
      </w:r>
      <w:proofErr w:type="spellStart"/>
      <w:r>
        <w:t>LoA</w:t>
      </w:r>
      <w:proofErr w:type="spellEnd"/>
      <w:r>
        <w:t xml:space="preserve"> levels, namely, Low, Substantial and High. Some EGI SPs have been configured to provide limited access (or not to accept at all) credentials with the</w:t>
      </w:r>
      <w:r w:rsidR="00DD4B00">
        <w:t xml:space="preserve"> Low </w:t>
      </w:r>
      <w:proofErr w:type="spellStart"/>
      <w:r w:rsidR="00DD4B00">
        <w:t>LoA</w:t>
      </w:r>
      <w:proofErr w:type="spellEnd"/>
      <w:r w:rsidR="00DD4B00">
        <w:t xml:space="preserve">. Details regarding </w:t>
      </w:r>
      <w:proofErr w:type="spellStart"/>
      <w:r w:rsidR="00DD4B00">
        <w:t>LoA</w:t>
      </w:r>
      <w:proofErr w:type="spellEnd"/>
      <w:r w:rsidR="00DD4B00">
        <w:t xml:space="preserve"> levels in case of GOCDB and </w:t>
      </w:r>
      <w:proofErr w:type="spellStart"/>
      <w:r w:rsidR="00DD4B00">
        <w:t>AppDB</w:t>
      </w:r>
      <w:proofErr w:type="spellEnd"/>
      <w:r w:rsidR="00DD4B00">
        <w:t xml:space="preserve"> </w:t>
      </w:r>
      <w:r>
        <w:t xml:space="preserve">are </w:t>
      </w:r>
      <w:r w:rsidR="00DD4B00">
        <w:t xml:space="preserve">reported </w:t>
      </w:r>
      <w:r>
        <w:t xml:space="preserve">in the </w:t>
      </w:r>
      <w:r w:rsidR="00DD4B00">
        <w:t xml:space="preserve">next </w:t>
      </w:r>
      <w:r>
        <w:t>subsections.</w:t>
      </w:r>
    </w:p>
    <w:p w14:paraId="4CCD6A4C" w14:textId="21EB84D0" w:rsidR="007212E9" w:rsidRDefault="007212E9" w:rsidP="007212E9">
      <w:pPr>
        <w:pStyle w:val="Heading2"/>
      </w:pPr>
      <w:bookmarkStart w:id="24" w:name="_Toc325709466"/>
      <w:r>
        <w:t>Integration of GOCDB with the EGI AAI proxy</w:t>
      </w:r>
      <w:bookmarkEnd w:id="24"/>
    </w:p>
    <w:p w14:paraId="077F4814" w14:textId="3AA00C91" w:rsidR="00A35869" w:rsidRDefault="00A35869" w:rsidP="00A35869">
      <w:r w:rsidRPr="00C64755">
        <w:t xml:space="preserve">GOCDB has been integrated with the EGI </w:t>
      </w:r>
      <w:r w:rsidR="00DD4B00">
        <w:t xml:space="preserve">AAI proxy. </w:t>
      </w:r>
      <w:r w:rsidRPr="00C64755">
        <w:t xml:space="preserve">This allows users without a client x509 certificate to access GOCDB provided the user authenticates to the </w:t>
      </w:r>
      <w:r w:rsidR="00DD4B00">
        <w:t>AAI proxy</w:t>
      </w:r>
      <w:r w:rsidRPr="00C64755">
        <w:t xml:space="preserve"> using an authentication scheme that provides an adequate level of assurance (</w:t>
      </w:r>
      <w:proofErr w:type="spellStart"/>
      <w:r w:rsidRPr="00C64755">
        <w:t>LoA</w:t>
      </w:r>
      <w:proofErr w:type="spellEnd"/>
      <w:r w:rsidRPr="00C64755">
        <w:t>)</w:t>
      </w:r>
      <w:r>
        <w:t>. As</w:t>
      </w:r>
      <w:r w:rsidRPr="00C64755">
        <w:t xml:space="preserve"> a central configuration management database, GOCDB requires the highest level of assurance</w:t>
      </w:r>
      <w:r w:rsidR="00DD4B00">
        <w:t>.</w:t>
      </w:r>
      <w:r w:rsidRPr="00C64755">
        <w:t xml:space="preserve"> For example, if the user authenticates to the </w:t>
      </w:r>
      <w:proofErr w:type="spellStart"/>
      <w:r w:rsidRPr="00C64755">
        <w:t>ProxyIdP</w:t>
      </w:r>
      <w:proofErr w:type="spellEnd"/>
      <w:r w:rsidRPr="00C64755">
        <w:t xml:space="preserve"> using a scheme that provides a </w:t>
      </w:r>
      <w:r w:rsidR="00DD4B00">
        <w:t>low or medium</w:t>
      </w:r>
      <w:r w:rsidRPr="00C64755">
        <w:t xml:space="preserve"> level of assurance such as social-media/Facebook, then access to GOCDB is denied. Conversely, if a project integrates a trusted identity provider with the </w:t>
      </w:r>
      <w:proofErr w:type="spellStart"/>
      <w:r w:rsidRPr="00C64755">
        <w:t>ProxyIdP</w:t>
      </w:r>
      <w:proofErr w:type="spellEnd"/>
      <w:r w:rsidRPr="00C64755">
        <w:t xml:space="preserve"> where the user authenticates using a scheme that provides a high </w:t>
      </w:r>
      <w:proofErr w:type="spellStart"/>
      <w:r w:rsidRPr="00C64755">
        <w:t>LoA</w:t>
      </w:r>
      <w:proofErr w:type="spellEnd"/>
      <w:r w:rsidRPr="00C64755">
        <w:t xml:space="preserve"> (e.g. institutional credentials), access is granted. During the login process, the </w:t>
      </w:r>
      <w:proofErr w:type="spellStart"/>
      <w:r w:rsidRPr="00C64755">
        <w:t>LoA</w:t>
      </w:r>
      <w:proofErr w:type="spellEnd"/>
      <w:r w:rsidRPr="00C64755">
        <w:t xml:space="preserve"> category that is assigned </w:t>
      </w:r>
      <w:r w:rsidRPr="00C64755">
        <w:lastRenderedPageBreak/>
        <w:t xml:space="preserve">to the user's </w:t>
      </w:r>
      <w:r w:rsidR="00DD4B00">
        <w:t>authenticated session (e.g. low</w:t>
      </w:r>
      <w:r w:rsidRPr="00C64755">
        <w:t xml:space="preserve">, </w:t>
      </w:r>
      <w:r w:rsidR="00DD4B00">
        <w:t>substantial</w:t>
      </w:r>
      <w:r w:rsidRPr="00C64755">
        <w:t xml:space="preserve">, </w:t>
      </w:r>
      <w:r w:rsidR="00DD4B00">
        <w:t>high</w:t>
      </w:r>
      <w:r w:rsidRPr="00C64755">
        <w:t xml:space="preserve">) is communicated to the GOCDB. </w:t>
      </w:r>
      <w:r>
        <w:t xml:space="preserve">The ELIXIR </w:t>
      </w:r>
      <w:r w:rsidR="00DD4B00">
        <w:t xml:space="preserve">AAI </w:t>
      </w:r>
      <w:proofErr w:type="spellStart"/>
      <w:r>
        <w:t>IdP</w:t>
      </w:r>
      <w:proofErr w:type="spellEnd"/>
      <w:r>
        <w:t xml:space="preserve"> provides the highest level of assurance to GOCDB. </w:t>
      </w:r>
    </w:p>
    <w:p w14:paraId="1650B2C8" w14:textId="13C420B6" w:rsidR="007212E9" w:rsidRDefault="00E27073" w:rsidP="00A35869">
      <w:r>
        <w:t xml:space="preserve">Based on the provided assurance level, GOCDB can make its own internal authorisation decisions. </w:t>
      </w:r>
      <w:r w:rsidR="00A35869" w:rsidRPr="00C64755">
        <w:t>If a user is granted access, they use the existing GOCDB role mechanisms to request roles and permissions</w:t>
      </w:r>
      <w:r w:rsidR="00A639CC">
        <w:t xml:space="preserve">. The list of available roles, with their permissions is provided in Appendix 1. There is no automatic mapping between ELIXIR roles and GOCDB roles. </w:t>
      </w:r>
    </w:p>
    <w:p w14:paraId="08261A6B" w14:textId="04AAC3A9" w:rsidR="00A639CC" w:rsidRDefault="00A639CC" w:rsidP="00A639CC">
      <w:pPr>
        <w:pStyle w:val="ListParagraph"/>
        <w:numPr>
          <w:ilvl w:val="1"/>
          <w:numId w:val="22"/>
        </w:numPr>
      </w:pPr>
      <w:r>
        <w:t>User logs in to GOCDB service registry with ELIXIR account (</w:t>
      </w:r>
      <w:hyperlink r:id="rId16" w:history="1">
        <w:r w:rsidRPr="001C2F60">
          <w:rPr>
            <w:rStyle w:val="Hyperlink"/>
          </w:rPr>
          <w:t>http://goc.egi.eu</w:t>
        </w:r>
      </w:hyperlink>
      <w:r>
        <w:t xml:space="preserve">) </w:t>
      </w:r>
    </w:p>
    <w:p w14:paraId="6FE09D3B" w14:textId="26CDD58F" w:rsidR="00A639CC" w:rsidRDefault="00E27073" w:rsidP="00A639CC">
      <w:pPr>
        <w:pStyle w:val="ListParagraph"/>
        <w:numPr>
          <w:ilvl w:val="1"/>
          <w:numId w:val="22"/>
        </w:numPr>
      </w:pPr>
      <w:r>
        <w:t xml:space="preserve">User requests a role. The request is passed to the existing users who already own the necessary roles to approve or reject the role request. Currently Steven Newhouse from EBI and Miroslav </w:t>
      </w:r>
      <w:proofErr w:type="spellStart"/>
      <w:r>
        <w:t>Ruda</w:t>
      </w:r>
      <w:proofErr w:type="spellEnd"/>
      <w:r>
        <w:t xml:space="preserve"> from CESNET who have roles over the ELIXR group. (Once this initial community admin group is established within GOCDB by the GOCDB admin, the group can subsequently self-manage their user memberships.) </w:t>
      </w:r>
    </w:p>
    <w:p w14:paraId="7D33D9BB" w14:textId="1C8A0C5D" w:rsidR="00A639CC" w:rsidRPr="007212E9" w:rsidRDefault="00A639CC" w:rsidP="00A639CC">
      <w:pPr>
        <w:pStyle w:val="ListParagraph"/>
        <w:numPr>
          <w:ilvl w:val="1"/>
          <w:numId w:val="22"/>
        </w:numPr>
      </w:pPr>
      <w:r>
        <w:t xml:space="preserve">User is granted with the approved role at next login, and can perform authorised operations. </w:t>
      </w:r>
    </w:p>
    <w:p w14:paraId="30E75323" w14:textId="3E615BCA" w:rsidR="007212E9" w:rsidRDefault="007212E9" w:rsidP="007212E9">
      <w:pPr>
        <w:pStyle w:val="Heading2"/>
      </w:pPr>
      <w:bookmarkStart w:id="25" w:name="_Toc325709467"/>
      <w:r>
        <w:t xml:space="preserve">Integration of </w:t>
      </w:r>
      <w:proofErr w:type="spellStart"/>
      <w:r>
        <w:t>AppDB</w:t>
      </w:r>
      <w:proofErr w:type="spellEnd"/>
      <w:r>
        <w:t xml:space="preserve"> with the EGI AAI proxy</w:t>
      </w:r>
      <w:bookmarkEnd w:id="25"/>
    </w:p>
    <w:p w14:paraId="326056FA" w14:textId="19EFEB02" w:rsidR="00E620D8" w:rsidRDefault="00E620D8" w:rsidP="00E620D8">
      <w:r>
        <w:t xml:space="preserve">EGI </w:t>
      </w:r>
      <w:proofErr w:type="spellStart"/>
      <w:r>
        <w:t>AppDB</w:t>
      </w:r>
      <w:proofErr w:type="spellEnd"/>
      <w:r>
        <w:t xml:space="preserve"> is planned to be used as a marketplace of Virtual Machine Images (VMIs) </w:t>
      </w:r>
      <w:r w:rsidR="00DD4B00">
        <w:t>within</w:t>
      </w:r>
      <w:r>
        <w:t xml:space="preserve"> the ELIXIR Compute platform. A user can have three roles </w:t>
      </w:r>
      <w:r w:rsidR="004C06CC">
        <w:t>when</w:t>
      </w:r>
      <w:r>
        <w:t xml:space="preserve"> accessing </w:t>
      </w:r>
      <w:r w:rsidR="00051947">
        <w:t xml:space="preserve">the EGI </w:t>
      </w:r>
      <w:proofErr w:type="spellStart"/>
      <w:r w:rsidR="00051947">
        <w:t>AppDB</w:t>
      </w:r>
      <w:proofErr w:type="spellEnd"/>
      <w:r>
        <w:t xml:space="preserve"> marketplace:</w:t>
      </w:r>
    </w:p>
    <w:p w14:paraId="23DD45DA" w14:textId="32C29C00" w:rsidR="00E620D8" w:rsidRDefault="004C06CC" w:rsidP="00E620D8">
      <w:pPr>
        <w:pStyle w:val="ListParagraph"/>
        <w:numPr>
          <w:ilvl w:val="0"/>
          <w:numId w:val="23"/>
        </w:numPr>
      </w:pPr>
      <w:r>
        <w:t>V</w:t>
      </w:r>
      <w:r w:rsidR="00E620D8">
        <w:t>isitor: Can browse publicly visible VMIs, can download them for local use.</w:t>
      </w:r>
      <w:r>
        <w:t xml:space="preserve"> Visitors do not </w:t>
      </w:r>
      <w:r w:rsidR="00051947">
        <w:t>have</w:t>
      </w:r>
      <w:r>
        <w:t xml:space="preserve"> to login.</w:t>
      </w:r>
    </w:p>
    <w:p w14:paraId="3F8EDE95" w14:textId="0EB88C95" w:rsidR="00DD3BFE" w:rsidRDefault="00DD3BFE" w:rsidP="00E620D8">
      <w:pPr>
        <w:pStyle w:val="ListParagraph"/>
        <w:numPr>
          <w:ilvl w:val="0"/>
          <w:numId w:val="23"/>
        </w:numPr>
      </w:pPr>
      <w:r>
        <w:t>Member of a scientific community: Can register new VMIs and VMI versions in the marketplace</w:t>
      </w:r>
      <w:r w:rsidR="004C06CC">
        <w:t xml:space="preserve"> and (optionally) c</w:t>
      </w:r>
      <w:r>
        <w:t xml:space="preserve">an submit </w:t>
      </w:r>
      <w:r w:rsidR="004C06CC">
        <w:t xml:space="preserve">these </w:t>
      </w:r>
      <w:r>
        <w:t>to community coordinator for inclusion in the community image list.</w:t>
      </w:r>
      <w:r w:rsidR="00051947">
        <w:t xml:space="preserve"> Community members have to login to </w:t>
      </w:r>
      <w:proofErr w:type="spellStart"/>
      <w:r w:rsidR="00051947">
        <w:t>AppDB</w:t>
      </w:r>
      <w:proofErr w:type="spellEnd"/>
      <w:r w:rsidR="00051947">
        <w:t xml:space="preserve"> and must have user attribute that express affiliation to the community. </w:t>
      </w:r>
    </w:p>
    <w:p w14:paraId="099169B4" w14:textId="6BADE88A" w:rsidR="00E620D8" w:rsidRDefault="00DD3BFE" w:rsidP="00E620D8">
      <w:pPr>
        <w:pStyle w:val="ListParagraph"/>
        <w:numPr>
          <w:ilvl w:val="0"/>
          <w:numId w:val="23"/>
        </w:numPr>
      </w:pPr>
      <w:r>
        <w:t xml:space="preserve">Coordinator of a scientific community: Can </w:t>
      </w:r>
      <w:r w:rsidR="004C06CC">
        <w:t>add VMIs</w:t>
      </w:r>
      <w:r>
        <w:t xml:space="preserve"> to the community image list</w:t>
      </w:r>
      <w:r w:rsidR="004C06CC">
        <w:t xml:space="preserve"> to</w:t>
      </w:r>
      <w:r>
        <w:t xml:space="preserve"> trigger the replication of the</w:t>
      </w:r>
      <w:r w:rsidR="004C06CC">
        <w:t>se</w:t>
      </w:r>
      <w:r>
        <w:t xml:space="preserve"> VMI</w:t>
      </w:r>
      <w:r w:rsidR="004C06CC">
        <w:t>s</w:t>
      </w:r>
      <w:r>
        <w:t xml:space="preserve"> to the cloud si</w:t>
      </w:r>
      <w:r w:rsidR="004C06CC">
        <w:t>tes that support the community. Community image list includes VMs that are of high relevance to the scientific community.</w:t>
      </w:r>
      <w:r w:rsidR="00051947" w:rsidRPr="00051947">
        <w:t xml:space="preserve"> </w:t>
      </w:r>
      <w:r w:rsidR="00051947">
        <w:t xml:space="preserve">Community coordinators have to login to </w:t>
      </w:r>
      <w:proofErr w:type="spellStart"/>
      <w:r w:rsidR="00051947">
        <w:t>AppDB</w:t>
      </w:r>
      <w:proofErr w:type="spellEnd"/>
      <w:r w:rsidR="00051947">
        <w:t xml:space="preserve"> and must have attributes that express affiliation to a community and coordinator role within that community.</w:t>
      </w:r>
    </w:p>
    <w:p w14:paraId="7B038686" w14:textId="54B60B65" w:rsidR="0008538C" w:rsidRDefault="004C06CC" w:rsidP="00E620D8">
      <w:r>
        <w:lastRenderedPageBreak/>
        <w:t xml:space="preserve">The goal of the </w:t>
      </w:r>
      <w:proofErr w:type="spellStart"/>
      <w:r>
        <w:t>AppDB</w:t>
      </w:r>
      <w:proofErr w:type="spellEnd"/>
      <w:r w:rsidR="00DD3BFE">
        <w:t>–ELIXIR AAI integration was to enable authorized access to the marketplace for members of the ELIXIR community</w:t>
      </w:r>
      <w:r>
        <w:t xml:space="preserve"> - </w:t>
      </w:r>
      <w:r w:rsidR="00DD3BFE">
        <w:t xml:space="preserve">i.e. for those </w:t>
      </w:r>
      <w:r>
        <w:t>possessing</w:t>
      </w:r>
      <w:r w:rsidR="00DD3BFE">
        <w:t xml:space="preserve"> ELIXIR accounts. </w:t>
      </w:r>
    </w:p>
    <w:p w14:paraId="2999B4DF" w14:textId="4C20F027" w:rsidR="00051947" w:rsidRDefault="00DD3BFE" w:rsidP="00E620D8">
      <w:r>
        <w:t>The i</w:t>
      </w:r>
      <w:r w:rsidR="00E620D8" w:rsidRPr="00E620D8">
        <w:t xml:space="preserve">ntegration of </w:t>
      </w:r>
      <w:proofErr w:type="spellStart"/>
      <w:r w:rsidR="00E620D8" w:rsidRPr="00E620D8">
        <w:t>AppDB</w:t>
      </w:r>
      <w:proofErr w:type="spellEnd"/>
      <w:r w:rsidR="00E620D8" w:rsidRPr="00E620D8">
        <w:t xml:space="preserve"> </w:t>
      </w:r>
      <w:r>
        <w:t>with the</w:t>
      </w:r>
      <w:r w:rsidR="00E620D8" w:rsidRPr="00E620D8">
        <w:t xml:space="preserve"> EGI </w:t>
      </w:r>
      <w:proofErr w:type="spellStart"/>
      <w:r w:rsidR="00E620D8" w:rsidRPr="00E620D8">
        <w:t>ProxyIdP</w:t>
      </w:r>
      <w:proofErr w:type="spellEnd"/>
      <w:r w:rsidR="00E620D8" w:rsidRPr="00E620D8">
        <w:t xml:space="preserve"> </w:t>
      </w:r>
      <w:r>
        <w:t>has been completed</w:t>
      </w:r>
      <w:r w:rsidR="00051947">
        <w:t xml:space="preserve">, so </w:t>
      </w:r>
      <w:proofErr w:type="spellStart"/>
      <w:r w:rsidR="00051947">
        <w:t>AppDB</w:t>
      </w:r>
      <w:proofErr w:type="spellEnd"/>
      <w:r w:rsidR="00051947">
        <w:t xml:space="preserve"> can login and authorise users coming through the EGI AAI proxy. </w:t>
      </w:r>
      <w:r w:rsidR="00E620D8" w:rsidRPr="00E620D8">
        <w:t>Authorization of user actions</w:t>
      </w:r>
      <w:r w:rsidR="00051947">
        <w:t xml:space="preserve"> is based on</w:t>
      </w:r>
      <w:r w:rsidR="00E620D8" w:rsidRPr="00E620D8">
        <w:t xml:space="preserve"> relevant entitlements returned by the </w:t>
      </w:r>
      <w:r w:rsidR="00051947">
        <w:t xml:space="preserve">EGI AAI proxy (including </w:t>
      </w:r>
      <w:proofErr w:type="spellStart"/>
      <w:r w:rsidR="00051947">
        <w:t>LoA</w:t>
      </w:r>
      <w:proofErr w:type="spellEnd"/>
      <w:r w:rsidR="00051947">
        <w:t xml:space="preserve"> entitlement)</w:t>
      </w:r>
      <w:r w:rsidR="00E620D8" w:rsidRPr="00E620D8">
        <w:t xml:space="preserve">. </w:t>
      </w:r>
    </w:p>
    <w:p w14:paraId="0F2A7751" w14:textId="61671CDA" w:rsidR="00E620D8" w:rsidRPr="00E620D8" w:rsidRDefault="00051947" w:rsidP="00E620D8">
      <w:r>
        <w:t xml:space="preserve">The integration is currently stalled on </w:t>
      </w:r>
      <w:r w:rsidR="00E620D8" w:rsidRPr="00E620D8">
        <w:t xml:space="preserve">waiting for </w:t>
      </w:r>
      <w:r>
        <w:t xml:space="preserve">the agreement on the </w:t>
      </w:r>
      <w:r w:rsidR="00E620D8" w:rsidRPr="00E620D8">
        <w:t xml:space="preserve">normalized </w:t>
      </w:r>
      <w:r>
        <w:t>entitlement schema</w:t>
      </w:r>
      <w:r w:rsidR="00E620D8" w:rsidRPr="00E620D8">
        <w:t xml:space="preserve"> </w:t>
      </w:r>
      <w:r>
        <w:t xml:space="preserve">between the ELIXIR AAI and EGI AAI proxy. </w:t>
      </w:r>
      <w:r w:rsidR="00E620D8" w:rsidRPr="00E620D8">
        <w:t xml:space="preserve">Once entitlement normalization is complete, the EGI AAI subsystem of </w:t>
      </w:r>
      <w:proofErr w:type="spellStart"/>
      <w:r w:rsidR="00E620D8" w:rsidRPr="00E620D8">
        <w:t>AppDB</w:t>
      </w:r>
      <w:proofErr w:type="spellEnd"/>
      <w:r w:rsidR="00E620D8" w:rsidRPr="00E620D8">
        <w:t xml:space="preserve"> will be able to move to pr</w:t>
      </w:r>
      <w:r w:rsidR="001041EF">
        <w:t>oduction and eventually expand</w:t>
      </w:r>
      <w:r w:rsidR="00E620D8" w:rsidRPr="00E620D8">
        <w:t xml:space="preserve"> the existing authentication and authorization methods (EGI SSO, x</w:t>
      </w:r>
      <w:r w:rsidR="001041EF">
        <w:t>.</w:t>
      </w:r>
      <w:r w:rsidR="00E620D8" w:rsidRPr="00E620D8">
        <w:t>509)</w:t>
      </w:r>
      <w:r w:rsidR="001041EF">
        <w:t xml:space="preserve"> with new options</w:t>
      </w:r>
      <w:r w:rsidR="00E620D8" w:rsidRPr="00E620D8">
        <w:t>.</w:t>
      </w:r>
    </w:p>
    <w:p w14:paraId="22DB4BF8" w14:textId="20FECC26" w:rsidR="00536BBD" w:rsidRDefault="00536BBD" w:rsidP="00536BBD">
      <w:pPr>
        <w:pStyle w:val="Heading2"/>
      </w:pPr>
      <w:bookmarkStart w:id="26" w:name="_Toc325709468"/>
      <w:r>
        <w:t>Integration of OpenStack with the EGI AAI proxy</w:t>
      </w:r>
      <w:bookmarkEnd w:id="26"/>
    </w:p>
    <w:p w14:paraId="3B8B2D0F" w14:textId="29DDC59C" w:rsidR="00A1016C" w:rsidRDefault="00EE6A59" w:rsidP="00B07157">
      <w:r>
        <w:t xml:space="preserve">Until recently </w:t>
      </w:r>
      <w:r w:rsidR="00E96459">
        <w:t>OpenStack resources</w:t>
      </w:r>
      <w:r>
        <w:t xml:space="preserve"> of the EGI Federated Cloud were able to authenticate and authorize</w:t>
      </w:r>
      <w:r w:rsidR="00E96459">
        <w:t xml:space="preserve"> users </w:t>
      </w:r>
      <w:r>
        <w:t>solely through</w:t>
      </w:r>
      <w:r w:rsidR="00E96459">
        <w:t xml:space="preserve"> X</w:t>
      </w:r>
      <w:r>
        <w:t>.</w:t>
      </w:r>
      <w:r w:rsidR="00E96459">
        <w:t>509 proxy certificates</w:t>
      </w:r>
      <w:r>
        <w:t xml:space="preserve">. This </w:t>
      </w:r>
      <w:r w:rsidR="00E96459">
        <w:t>prevent</w:t>
      </w:r>
      <w:r>
        <w:t>ed</w:t>
      </w:r>
      <w:r w:rsidR="00E96459">
        <w:t xml:space="preserve"> users without a client X</w:t>
      </w:r>
      <w:r>
        <w:t>.</w:t>
      </w:r>
      <w:r w:rsidR="00E96459">
        <w:t>509 certificate to interact</w:t>
      </w:r>
      <w:r w:rsidR="0095147C">
        <w:t xml:space="preserve"> </w:t>
      </w:r>
      <w:r>
        <w:t xml:space="preserve">with </w:t>
      </w:r>
      <w:r w:rsidR="00E96459">
        <w:t xml:space="preserve">the providers. </w:t>
      </w:r>
      <w:r w:rsidR="00B07157">
        <w:t xml:space="preserve">The </w:t>
      </w:r>
      <w:r>
        <w:t xml:space="preserve">latest versions of the </w:t>
      </w:r>
      <w:r w:rsidR="00B07157">
        <w:t xml:space="preserve">OpenStack identity service (Keystone) </w:t>
      </w:r>
      <w:r>
        <w:t xml:space="preserve">now </w:t>
      </w:r>
      <w:r w:rsidR="00B07157">
        <w:t>includes support for federated users</w:t>
      </w:r>
      <w:r>
        <w:t xml:space="preserve">: </w:t>
      </w:r>
      <w:r w:rsidR="00B07157">
        <w:t xml:space="preserve">Keystone </w:t>
      </w:r>
      <w:r>
        <w:t>can act</w:t>
      </w:r>
      <w:r w:rsidR="00B07157">
        <w:t xml:space="preserve"> as a Service Provider (SP) that consumes identity properties issued by an external Identity Provider, such as SAML assertions or OpenID Connect claims. The OpenStack web dashboard (</w:t>
      </w:r>
      <w:r w:rsidR="00B07157" w:rsidRPr="00B07157">
        <w:t>Horizon</w:t>
      </w:r>
      <w:r w:rsidR="00B07157">
        <w:t>)</w:t>
      </w:r>
      <w:r w:rsidR="00B07157" w:rsidRPr="00B07157">
        <w:t xml:space="preserve"> </w:t>
      </w:r>
      <w:r w:rsidR="00B07157">
        <w:t>has introduced also support for this kind of authentication</w:t>
      </w:r>
      <w:r>
        <w:t xml:space="preserve"> and authorisation</w:t>
      </w:r>
      <w:r w:rsidR="00B07157">
        <w:t xml:space="preserve">. </w:t>
      </w:r>
      <w:r>
        <w:t xml:space="preserve">Based on this new OpenStack feature EGI has connected OpenStack with the EGI AAI proxy. </w:t>
      </w:r>
      <w:r w:rsidR="00B07157">
        <w:t xml:space="preserve">The integration </w:t>
      </w:r>
      <w:r w:rsidR="00231479">
        <w:t>is</w:t>
      </w:r>
      <w:r w:rsidR="000C767B">
        <w:t xml:space="preserve"> achieved with a new</w:t>
      </w:r>
      <w:r w:rsidR="00B07157">
        <w:t xml:space="preserve"> configuration of the Keystone federation t</w:t>
      </w:r>
      <w:r w:rsidR="000C767B">
        <w:t>hat</w:t>
      </w:r>
      <w:r w:rsidR="00B07157">
        <w:t xml:space="preserve"> use</w:t>
      </w:r>
      <w:r w:rsidR="000C767B">
        <w:t>s</w:t>
      </w:r>
      <w:r w:rsidR="00B07157">
        <w:t xml:space="preserve"> EGI AAI as a SAML </w:t>
      </w:r>
      <w:proofErr w:type="spellStart"/>
      <w:r w:rsidR="00B07157">
        <w:t>IdP</w:t>
      </w:r>
      <w:proofErr w:type="spellEnd"/>
      <w:r w:rsidR="00B07157">
        <w:t xml:space="preserve">. </w:t>
      </w:r>
      <w:r w:rsidR="00914076">
        <w:t>Detailed instructions are available in the OpenStack guides</w:t>
      </w:r>
      <w:r w:rsidR="00914076">
        <w:rPr>
          <w:rStyle w:val="FootnoteReference"/>
        </w:rPr>
        <w:footnoteReference w:id="27"/>
      </w:r>
      <w:r w:rsidR="00A1016C">
        <w:t>.</w:t>
      </w:r>
    </w:p>
    <w:p w14:paraId="3FA7AB7A" w14:textId="1037E13F" w:rsidR="00A1016C" w:rsidRDefault="00231479" w:rsidP="00A1016C">
      <w:r>
        <w:t xml:space="preserve">The below screenshot shows the </w:t>
      </w:r>
      <w:r w:rsidR="00A1016C">
        <w:t xml:space="preserve">SAML-enabled OpenStack dashboard </w:t>
      </w:r>
      <w:r>
        <w:t>with its</w:t>
      </w:r>
      <w:r w:rsidR="00A1016C">
        <w:t xml:space="preserve"> drop down menu</w:t>
      </w:r>
      <w:r>
        <w:t xml:space="preserve"> of available authentication providers. </w:t>
      </w:r>
      <w:r w:rsidR="00A1016C">
        <w:t xml:space="preserve">When selecting the egi.eu </w:t>
      </w:r>
      <w:proofErr w:type="spellStart"/>
      <w:r w:rsidR="00A1016C">
        <w:t>IdP</w:t>
      </w:r>
      <w:proofErr w:type="spellEnd"/>
      <w:r w:rsidR="00A1016C">
        <w:t xml:space="preserve"> proxy option, user will be redirected to the EGI AAI proxy and </w:t>
      </w:r>
      <w:r>
        <w:t xml:space="preserve">can </w:t>
      </w:r>
      <w:r w:rsidR="00A1016C">
        <w:t xml:space="preserve">follow the process described in section </w:t>
      </w:r>
      <w:r w:rsidR="00A1016C">
        <w:fldChar w:fldCharType="begin"/>
      </w:r>
      <w:r w:rsidR="00A1016C">
        <w:instrText xml:space="preserve"> REF _Ref451849891 \r \h </w:instrText>
      </w:r>
      <w:r w:rsidR="00A1016C">
        <w:fldChar w:fldCharType="separate"/>
      </w:r>
      <w:r w:rsidR="00A1016C">
        <w:t>5.1</w:t>
      </w:r>
      <w:r w:rsidR="00A1016C">
        <w:fldChar w:fldCharType="end"/>
      </w:r>
      <w:r w:rsidR="00A1016C">
        <w:t xml:space="preserve"> to authenticate with an ELIXIR account.</w:t>
      </w:r>
    </w:p>
    <w:p w14:paraId="0E817A57" w14:textId="77777777" w:rsidR="00231479" w:rsidRDefault="00A1016C" w:rsidP="00231479">
      <w:pPr>
        <w:keepNext/>
        <w:jc w:val="center"/>
      </w:pPr>
      <w:r>
        <w:rPr>
          <w:noProof/>
          <w:lang w:val="fi-FI" w:eastAsia="fi-FI"/>
        </w:rPr>
        <w:lastRenderedPageBreak/>
        <w:drawing>
          <wp:inline distT="0" distB="0" distL="0" distR="0" wp14:anchorId="6C0242B2" wp14:editId="2DC595DC">
            <wp:extent cx="3184746" cy="1512467"/>
            <wp:effectExtent l="0" t="0" r="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lector.png"/>
                    <pic:cNvPicPr/>
                  </pic:nvPicPr>
                  <pic:blipFill rotWithShape="1">
                    <a:blip r:embed="rId17">
                      <a:extLst>
                        <a:ext uri="{28A0092B-C50C-407E-A947-70E740481C1C}">
                          <a14:useLocalDpi xmlns:a14="http://schemas.microsoft.com/office/drawing/2010/main" val="0"/>
                        </a:ext>
                      </a:extLst>
                    </a:blip>
                    <a:srcRect l="9694" t="41852" r="9091" b="-1"/>
                    <a:stretch/>
                  </pic:blipFill>
                  <pic:spPr bwMode="auto">
                    <a:xfrm>
                      <a:off x="0" y="0"/>
                      <a:ext cx="3190631" cy="15152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F689200" w14:textId="279A2AF0" w:rsidR="00A1016C" w:rsidRDefault="00231479" w:rsidP="00231479">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EGI AAI </w:t>
      </w:r>
      <w:proofErr w:type="spellStart"/>
      <w:r>
        <w:t>IdP</w:t>
      </w:r>
      <w:proofErr w:type="spellEnd"/>
      <w:r>
        <w:t xml:space="preserve"> proxy configured in OpenStack</w:t>
      </w:r>
    </w:p>
    <w:p w14:paraId="1DCA3F3E" w14:textId="189CCAC1" w:rsidR="00914076" w:rsidRDefault="00A1016C" w:rsidP="00A1016C">
      <w:r>
        <w:t>S</w:t>
      </w:r>
      <w:r w:rsidR="00914076">
        <w:t>ite administrators need to set up the rules that map the attri</w:t>
      </w:r>
      <w:r>
        <w:t xml:space="preserve">butes released from the EGI AAI </w:t>
      </w:r>
      <w:r w:rsidR="00914076">
        <w:t xml:space="preserve">proxy to local </w:t>
      </w:r>
      <w:r w:rsidR="003A44A3">
        <w:t>OpenStack identity objec</w:t>
      </w:r>
      <w:r w:rsidR="00231479">
        <w:t>t</w:t>
      </w:r>
      <w:r w:rsidR="003A44A3">
        <w:t>s</w:t>
      </w:r>
      <w:r w:rsidR="00914076">
        <w:t>. There are many ways t</w:t>
      </w:r>
      <w:r w:rsidR="00231479">
        <w:t xml:space="preserve">o setup and combine these rules. </w:t>
      </w:r>
      <w:r w:rsidR="00914076">
        <w:t xml:space="preserve"> </w:t>
      </w:r>
      <w:r w:rsidR="00231479">
        <w:t xml:space="preserve">For </w:t>
      </w:r>
      <w:r w:rsidR="00914076">
        <w:t xml:space="preserve">the </w:t>
      </w:r>
      <w:r w:rsidR="00231479">
        <w:t xml:space="preserve">EGI </w:t>
      </w:r>
      <w:r w:rsidR="00914076">
        <w:t xml:space="preserve">integration the following </w:t>
      </w:r>
      <w:r w:rsidR="00231479">
        <w:t xml:space="preserve">objects </w:t>
      </w:r>
      <w:r w:rsidR="00914076">
        <w:t>are used:</w:t>
      </w:r>
    </w:p>
    <w:p w14:paraId="3BDA29AA" w14:textId="77777777" w:rsidR="00A1016C" w:rsidRDefault="00914076" w:rsidP="00914076">
      <w:pPr>
        <w:pStyle w:val="ListParagraph"/>
        <w:numPr>
          <w:ilvl w:val="0"/>
          <w:numId w:val="26"/>
        </w:numPr>
      </w:pPr>
      <w:proofErr w:type="spellStart"/>
      <w:r>
        <w:t>eduPersonalUniqueId</w:t>
      </w:r>
      <w:proofErr w:type="spellEnd"/>
      <w:r>
        <w:t>, is ma</w:t>
      </w:r>
      <w:r w:rsidR="00A1016C">
        <w:t>pped to the user id in Keystone.</w:t>
      </w:r>
    </w:p>
    <w:p w14:paraId="02670065" w14:textId="58239A12" w:rsidR="00914076" w:rsidRDefault="00914076" w:rsidP="00914076">
      <w:pPr>
        <w:pStyle w:val="ListParagraph"/>
        <w:numPr>
          <w:ilvl w:val="0"/>
          <w:numId w:val="26"/>
        </w:numPr>
      </w:pPr>
      <w:proofErr w:type="spellStart"/>
      <w:r>
        <w:t>eduPersonEntitlement</w:t>
      </w:r>
      <w:proofErr w:type="spellEnd"/>
      <w:r w:rsidR="00A1016C">
        <w:t xml:space="preserve"> </w:t>
      </w:r>
      <w:r>
        <w:t>define</w:t>
      </w:r>
      <w:r w:rsidR="00231479">
        <w:t>s</w:t>
      </w:r>
      <w:r>
        <w:t xml:space="preserve"> the </w:t>
      </w:r>
      <w:r w:rsidR="00A1016C">
        <w:t xml:space="preserve">OpenStack </w:t>
      </w:r>
      <w:r>
        <w:t>groups the user is allowed to</w:t>
      </w:r>
      <w:r w:rsidR="00231479">
        <w:t xml:space="preserve"> access</w:t>
      </w:r>
      <w:r>
        <w:t>,</w:t>
      </w:r>
    </w:p>
    <w:p w14:paraId="136A6D7F" w14:textId="26277FF9" w:rsidR="00914076" w:rsidRDefault="00231479" w:rsidP="00914076">
      <w:pPr>
        <w:pStyle w:val="ListParagraph"/>
        <w:numPr>
          <w:ilvl w:val="0"/>
          <w:numId w:val="26"/>
        </w:numPr>
      </w:pPr>
      <w:r>
        <w:t>L</w:t>
      </w:r>
      <w:r w:rsidR="00914076">
        <w:t xml:space="preserve">evel of Assurance </w:t>
      </w:r>
      <w:r w:rsidR="00A1016C">
        <w:t xml:space="preserve">may restrict </w:t>
      </w:r>
      <w:r w:rsidR="00914076">
        <w:t xml:space="preserve">grant access to users with </w:t>
      </w:r>
      <w:r w:rsidR="003A44A3">
        <w:t>the desired</w:t>
      </w:r>
      <w:r w:rsidR="00914076">
        <w:t xml:space="preserve"> </w:t>
      </w:r>
      <w:proofErr w:type="spellStart"/>
      <w:r w:rsidR="00914076">
        <w:t>LoA</w:t>
      </w:r>
      <w:proofErr w:type="spellEnd"/>
      <w:r w:rsidR="00914076">
        <w:t xml:space="preserve"> </w:t>
      </w:r>
    </w:p>
    <w:p w14:paraId="311A21BA" w14:textId="33A33F94" w:rsidR="00A1016C" w:rsidRDefault="00A1016C" w:rsidP="00A1016C">
      <w:r>
        <w:t xml:space="preserve">Once the </w:t>
      </w:r>
      <w:proofErr w:type="spellStart"/>
      <w:r>
        <w:t>eduPersonEntitlement</w:t>
      </w:r>
      <w:proofErr w:type="spellEnd"/>
      <w:r>
        <w:t xml:space="preserve"> contents are agreed, recommended mappings will be provided for administrators to easily integrate their resources. Users authenticated through this mechanism can be managed by the OpenStack administrator as any other user.</w:t>
      </w:r>
    </w:p>
    <w:p w14:paraId="386BBBF2" w14:textId="77777777" w:rsidR="007212E9" w:rsidRPr="007212E9" w:rsidRDefault="007212E9" w:rsidP="007212E9">
      <w:pPr>
        <w:rPr>
          <w:b/>
        </w:rPr>
      </w:pPr>
    </w:p>
    <w:p w14:paraId="30102D41" w14:textId="3B7D6EBB" w:rsidR="0061075F" w:rsidRDefault="00A639CC">
      <w:pPr>
        <w:pStyle w:val="Appendix"/>
        <w:numPr>
          <w:ilvl w:val="0"/>
          <w:numId w:val="2"/>
        </w:numPr>
      </w:pPr>
      <w:bookmarkStart w:id="27" w:name="_Toc428966034"/>
      <w:bookmarkStart w:id="28" w:name="_Toc325709469"/>
      <w:bookmarkEnd w:id="27"/>
      <w:r>
        <w:lastRenderedPageBreak/>
        <w:t>User roles and permissions in GOCDB</w:t>
      </w:r>
      <w:bookmarkEnd w:id="28"/>
    </w:p>
    <w:p w14:paraId="0212F4EA" w14:textId="4518B4B5" w:rsidR="0027355A" w:rsidRPr="0027355A" w:rsidRDefault="0027355A" w:rsidP="0027355A">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 xml:space="preserve">In GOCDB, users request Roles over domain objects such as Projects, NGIs, Sites and </w:t>
      </w:r>
      <w:proofErr w:type="spellStart"/>
      <w:r w:rsidRPr="0027355A">
        <w:rPr>
          <w:rFonts w:asciiTheme="minorHAnsi" w:eastAsia="Times New Roman" w:hAnsiTheme="minorHAnsi" w:cs="Times New Roman"/>
          <w:bCs/>
          <w:color w:val="auto"/>
          <w:kern w:val="0"/>
          <w:sz w:val="27"/>
          <w:szCs w:val="27"/>
          <w:lang w:val="en-US" w:eastAsia="en-GB"/>
        </w:rPr>
        <w:t>ServiceGroups</w:t>
      </w:r>
      <w:proofErr w:type="spellEnd"/>
      <w:r w:rsidRPr="0027355A">
        <w:rPr>
          <w:rFonts w:asciiTheme="minorHAnsi" w:eastAsia="Times New Roman" w:hAnsiTheme="minorHAnsi" w:cs="Times New Roman"/>
          <w:bCs/>
          <w:color w:val="auto"/>
          <w:kern w:val="0"/>
          <w:sz w:val="27"/>
          <w:szCs w:val="27"/>
          <w:lang w:val="en-US" w:eastAsia="en-GB"/>
        </w:rPr>
        <w: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A Role enables Actions on target objects (often, the target is the same as the domain object).</w:t>
      </w:r>
      <w:r>
        <w:rPr>
          <w:rFonts w:asciiTheme="minorHAnsi" w:eastAsia="Times New Roman" w:hAnsiTheme="minorHAnsi" w:cs="Times New Roman"/>
          <w:bCs/>
          <w:color w:val="auto"/>
          <w:kern w:val="0"/>
          <w:sz w:val="27"/>
          <w:szCs w:val="27"/>
          <w:lang w:val="en-US" w:eastAsia="en-GB"/>
        </w:rPr>
        <w:t xml:space="preserve"> </w:t>
      </w:r>
      <w:r w:rsidRPr="0027355A">
        <w:rPr>
          <w:rFonts w:asciiTheme="minorHAnsi" w:eastAsia="Times New Roman" w:hAnsiTheme="minorHAnsi" w:cs="Times New Roman"/>
          <w:bCs/>
          <w:color w:val="auto"/>
          <w:kern w:val="0"/>
          <w:sz w:val="27"/>
          <w:szCs w:val="27"/>
          <w:lang w:val="en-US" w:eastAsia="en-GB"/>
        </w:rPr>
        <w:t>Some Roles allow actions over different targets.</w:t>
      </w:r>
    </w:p>
    <w:p w14:paraId="794E13E0" w14:textId="4D820555" w:rsid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r w:rsidRPr="0027355A">
        <w:rPr>
          <w:rFonts w:asciiTheme="minorHAnsi" w:eastAsia="Times New Roman" w:hAnsiTheme="minorHAnsi" w:cs="Times New Roman"/>
          <w:bCs/>
          <w:color w:val="auto"/>
          <w:kern w:val="0"/>
          <w:sz w:val="27"/>
          <w:szCs w:val="27"/>
          <w:lang w:val="en-US" w:eastAsia="en-GB"/>
        </w:rPr>
        <w:t>The Role-Action mapping matrix is shown below.</w:t>
      </w:r>
      <w:r>
        <w:rPr>
          <w:rFonts w:asciiTheme="minorHAnsi" w:eastAsia="Times New Roman" w:hAnsiTheme="minorHAnsi" w:cs="Times New Roman"/>
          <w:bCs/>
          <w:color w:val="auto"/>
          <w:kern w:val="0"/>
          <w:sz w:val="27"/>
          <w:szCs w:val="27"/>
          <w:lang w:val="en-US" w:eastAsia="en-GB"/>
        </w:rPr>
        <w:t xml:space="preserve"> </w:t>
      </w:r>
      <w:r w:rsidR="00512F50">
        <w:rPr>
          <w:rFonts w:asciiTheme="minorHAnsi" w:eastAsia="Times New Roman" w:hAnsiTheme="minorHAnsi" w:cs="Times New Roman"/>
          <w:bCs/>
          <w:color w:val="auto"/>
          <w:kern w:val="0"/>
          <w:sz w:val="27"/>
          <w:szCs w:val="27"/>
          <w:lang w:val="en-US" w:eastAsia="en-GB"/>
        </w:rPr>
        <w:t xml:space="preserve">The </w:t>
      </w:r>
      <w:r>
        <w:rPr>
          <w:rFonts w:asciiTheme="minorHAnsi" w:eastAsia="Times New Roman" w:hAnsiTheme="minorHAnsi" w:cs="Times New Roman"/>
          <w:bCs/>
          <w:color w:val="auto"/>
          <w:kern w:val="0"/>
          <w:sz w:val="27"/>
          <w:szCs w:val="27"/>
          <w:lang w:val="en-US" w:eastAsia="en-GB"/>
        </w:rPr>
        <w:t>matrix</w:t>
      </w:r>
      <w:r w:rsidR="00512F50">
        <w:rPr>
          <w:rFonts w:asciiTheme="minorHAnsi" w:eastAsia="Times New Roman" w:hAnsiTheme="minorHAnsi" w:cs="Times New Roman"/>
          <w:bCs/>
          <w:color w:val="auto"/>
          <w:kern w:val="0"/>
          <w:sz w:val="27"/>
          <w:szCs w:val="27"/>
          <w:lang w:val="en-US" w:eastAsia="en-GB"/>
        </w:rPr>
        <w:t xml:space="preserve"> was copied from GOCDB page </w:t>
      </w:r>
      <w:hyperlink r:id="rId18" w:history="1">
        <w:r w:rsidR="00512F50" w:rsidRPr="001C2F60">
          <w:rPr>
            <w:rStyle w:val="Hyperlink"/>
            <w:rFonts w:asciiTheme="minorHAnsi" w:eastAsia="Times New Roman" w:hAnsiTheme="minorHAnsi" w:cs="Times New Roman"/>
            <w:bCs/>
            <w:kern w:val="0"/>
            <w:sz w:val="27"/>
            <w:szCs w:val="27"/>
            <w:lang w:val="en-US" w:eastAsia="en-GB"/>
          </w:rPr>
          <w:t>https://goc.egi.eu/portal/index.php?Page_Type=View_Role_Action_Mappings</w:t>
        </w:r>
      </w:hyperlink>
      <w:r w:rsidR="00512F50">
        <w:rPr>
          <w:rFonts w:asciiTheme="minorHAnsi" w:eastAsia="Times New Roman" w:hAnsiTheme="minorHAnsi" w:cs="Times New Roman"/>
          <w:bCs/>
          <w:color w:val="auto"/>
          <w:kern w:val="0"/>
          <w:sz w:val="27"/>
          <w:szCs w:val="27"/>
          <w:lang w:val="en-US" w:eastAsia="en-GB"/>
        </w:rPr>
        <w:t xml:space="preserve">. </w:t>
      </w:r>
    </w:p>
    <w:p w14:paraId="081F95D7" w14:textId="77777777" w:rsidR="0027355A" w:rsidRPr="00A639CC" w:rsidRDefault="0027355A" w:rsidP="00A639CC">
      <w:pPr>
        <w:suppressAutoHyphens w:val="0"/>
        <w:spacing w:before="100" w:beforeAutospacing="1" w:after="100" w:afterAutospacing="1" w:line="240" w:lineRule="auto"/>
        <w:jc w:val="left"/>
        <w:rPr>
          <w:rFonts w:asciiTheme="minorHAnsi" w:eastAsia="Times New Roman" w:hAnsiTheme="minorHAnsi" w:cs="Times New Roman"/>
          <w:bCs/>
          <w:color w:val="auto"/>
          <w:kern w:val="0"/>
          <w:sz w:val="27"/>
          <w:szCs w:val="27"/>
          <w:lang w:val="en-US" w:eastAsia="en-GB"/>
        </w:rPr>
      </w:pPr>
    </w:p>
    <w:p w14:paraId="52FA5C3E" w14:textId="4887A21F"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proofErr w:type="spellStart"/>
      <w:r w:rsidRPr="00A639CC">
        <w:rPr>
          <w:rFonts w:asciiTheme="minorHAnsi" w:eastAsia="Times New Roman" w:hAnsiTheme="minorHAnsi" w:cs="Times New Roman"/>
          <w:b/>
          <w:bCs/>
          <w:color w:val="auto"/>
          <w:kern w:val="0"/>
          <w:sz w:val="27"/>
          <w:szCs w:val="27"/>
          <w:lang w:val="en-US" w:eastAsia="en-GB"/>
        </w:rPr>
        <w:t>ServiceGroup</w:t>
      </w:r>
      <w:proofErr w:type="spellEnd"/>
      <w:r w:rsidRPr="00A639CC">
        <w:rPr>
          <w:rFonts w:asciiTheme="minorHAnsi" w:eastAsia="Times New Roman" w:hAnsiTheme="minorHAnsi" w:cs="Times New Roman"/>
          <w:b/>
          <w:bCs/>
          <w:color w:val="auto"/>
          <w:kern w:val="0"/>
          <w:sz w:val="27"/>
          <w:szCs w:val="27"/>
          <w:lang w:val="en-US" w:eastAsia="en-GB"/>
        </w:rPr>
        <w:t xml:space="preserve"> Roles</w:t>
      </w:r>
    </w:p>
    <w:tbl>
      <w:tblPr>
        <w:tblW w:w="0" w:type="auto"/>
        <w:tblCellSpacing w:w="15" w:type="dxa"/>
        <w:tblCellMar>
          <w:left w:w="0" w:type="dxa"/>
          <w:right w:w="0" w:type="dxa"/>
        </w:tblCellMar>
        <w:tblLook w:val="04A0" w:firstRow="1" w:lastRow="0" w:firstColumn="1" w:lastColumn="0" w:noHBand="0" w:noVBand="1"/>
      </w:tblPr>
      <w:tblGrid>
        <w:gridCol w:w="2852"/>
        <w:gridCol w:w="2349"/>
        <w:gridCol w:w="2170"/>
      </w:tblGrid>
      <w:tr w:rsidR="00A639CC" w:rsidRPr="00A639CC" w14:paraId="0018FE4E" w14:textId="77777777" w:rsidTr="00A639CC">
        <w:trPr>
          <w:tblHeader/>
          <w:tblCellSpacing w:w="15" w:type="dxa"/>
        </w:trPr>
        <w:tc>
          <w:tcPr>
            <w:tcW w:w="0" w:type="auto"/>
            <w:tcMar>
              <w:top w:w="15" w:type="dxa"/>
              <w:left w:w="15" w:type="dxa"/>
              <w:bottom w:w="15" w:type="dxa"/>
              <w:right w:w="15" w:type="dxa"/>
            </w:tcMar>
            <w:vAlign w:val="center"/>
            <w:hideMark/>
          </w:tcPr>
          <w:p w14:paraId="69B187D2"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5AB4603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4DB675B"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799DDF43" w14:textId="77777777" w:rsidTr="00A639CC">
        <w:trPr>
          <w:tblCellSpacing w:w="15" w:type="dxa"/>
        </w:trPr>
        <w:tc>
          <w:tcPr>
            <w:tcW w:w="0" w:type="auto"/>
            <w:tcMar>
              <w:top w:w="15" w:type="dxa"/>
              <w:left w:w="15" w:type="dxa"/>
              <w:bottom w:w="15" w:type="dxa"/>
              <w:right w:w="15" w:type="dxa"/>
            </w:tcMar>
            <w:vAlign w:val="center"/>
            <w:hideMark/>
          </w:tcPr>
          <w:p w14:paraId="59E0AD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1B6F1BC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0892D5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55CF0C7C" w14:textId="77777777" w:rsidTr="00A639CC">
        <w:trPr>
          <w:tblCellSpacing w:w="15" w:type="dxa"/>
        </w:trPr>
        <w:tc>
          <w:tcPr>
            <w:tcW w:w="0" w:type="auto"/>
            <w:tcMar>
              <w:top w:w="15" w:type="dxa"/>
              <w:left w:w="15" w:type="dxa"/>
              <w:bottom w:w="15" w:type="dxa"/>
              <w:right w:w="15" w:type="dxa"/>
            </w:tcMar>
            <w:vAlign w:val="center"/>
            <w:hideMark/>
          </w:tcPr>
          <w:p w14:paraId="388AFA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46A800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6362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2E2F65F6" w14:textId="77777777" w:rsidTr="00A639CC">
        <w:trPr>
          <w:tblCellSpacing w:w="15" w:type="dxa"/>
        </w:trPr>
        <w:tc>
          <w:tcPr>
            <w:tcW w:w="0" w:type="auto"/>
            <w:tcMar>
              <w:top w:w="15" w:type="dxa"/>
              <w:left w:w="15" w:type="dxa"/>
              <w:bottom w:w="15" w:type="dxa"/>
              <w:right w:w="15" w:type="dxa"/>
            </w:tcMar>
            <w:vAlign w:val="center"/>
            <w:hideMark/>
          </w:tcPr>
          <w:p w14:paraId="031EDE7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5248766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40F2659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r w:rsidR="00A639CC" w:rsidRPr="00A639CC" w14:paraId="6276320E" w14:textId="77777777" w:rsidTr="00A639CC">
        <w:trPr>
          <w:tblCellSpacing w:w="15" w:type="dxa"/>
        </w:trPr>
        <w:tc>
          <w:tcPr>
            <w:tcW w:w="0" w:type="auto"/>
            <w:tcMar>
              <w:top w:w="15" w:type="dxa"/>
              <w:left w:w="15" w:type="dxa"/>
              <w:bottom w:w="15" w:type="dxa"/>
              <w:right w:w="15" w:type="dxa"/>
            </w:tcMar>
            <w:vAlign w:val="center"/>
            <w:hideMark/>
          </w:tcPr>
          <w:p w14:paraId="6B6752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Service Group Administrator</w:t>
            </w:r>
          </w:p>
        </w:tc>
        <w:tc>
          <w:tcPr>
            <w:tcW w:w="0" w:type="auto"/>
            <w:tcMar>
              <w:top w:w="15" w:type="dxa"/>
              <w:left w:w="15" w:type="dxa"/>
              <w:bottom w:w="15" w:type="dxa"/>
              <w:right w:w="15" w:type="dxa"/>
            </w:tcMar>
            <w:vAlign w:val="center"/>
            <w:hideMark/>
          </w:tcPr>
          <w:p w14:paraId="75D9B0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B485F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ServiceGroup</w:t>
            </w:r>
            <w:proofErr w:type="spellEnd"/>
          </w:p>
        </w:tc>
      </w:tr>
    </w:tbl>
    <w:p w14:paraId="6B6B1E5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Project Roles</w:t>
      </w:r>
    </w:p>
    <w:tbl>
      <w:tblPr>
        <w:tblW w:w="0" w:type="auto"/>
        <w:tblCellSpacing w:w="15" w:type="dxa"/>
        <w:tblCellMar>
          <w:left w:w="0" w:type="dxa"/>
          <w:right w:w="0" w:type="dxa"/>
        </w:tblCellMar>
        <w:tblLook w:val="04A0" w:firstRow="1" w:lastRow="0" w:firstColumn="1" w:lastColumn="0" w:noHBand="0" w:noVBand="1"/>
      </w:tblPr>
      <w:tblGrid>
        <w:gridCol w:w="2436"/>
        <w:gridCol w:w="3384"/>
        <w:gridCol w:w="2170"/>
      </w:tblGrid>
      <w:tr w:rsidR="00A639CC" w:rsidRPr="00A639CC" w14:paraId="23C0AD17" w14:textId="77777777" w:rsidTr="00A639CC">
        <w:trPr>
          <w:tblHeader/>
          <w:tblCellSpacing w:w="15" w:type="dxa"/>
        </w:trPr>
        <w:tc>
          <w:tcPr>
            <w:tcW w:w="0" w:type="auto"/>
            <w:tcMar>
              <w:top w:w="15" w:type="dxa"/>
              <w:left w:w="15" w:type="dxa"/>
              <w:bottom w:w="15" w:type="dxa"/>
              <w:right w:w="15" w:type="dxa"/>
            </w:tcMar>
            <w:vAlign w:val="center"/>
            <w:hideMark/>
          </w:tcPr>
          <w:p w14:paraId="07781F51" w14:textId="7C6DB4F2"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265617F5"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4FE1C7F4"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682EBBC9" w14:textId="77777777" w:rsidTr="00A639CC">
        <w:trPr>
          <w:tblCellSpacing w:w="15" w:type="dxa"/>
        </w:trPr>
        <w:tc>
          <w:tcPr>
            <w:tcW w:w="0" w:type="auto"/>
            <w:tcMar>
              <w:top w:w="15" w:type="dxa"/>
              <w:left w:w="15" w:type="dxa"/>
              <w:bottom w:w="15" w:type="dxa"/>
              <w:right w:w="15" w:type="dxa"/>
            </w:tcMar>
            <w:vAlign w:val="center"/>
            <w:hideMark/>
          </w:tcPr>
          <w:p w14:paraId="31BD0F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D1585B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DB6C84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AC775A0" w14:textId="77777777" w:rsidTr="00A639CC">
        <w:trPr>
          <w:tblCellSpacing w:w="15" w:type="dxa"/>
        </w:trPr>
        <w:tc>
          <w:tcPr>
            <w:tcW w:w="0" w:type="auto"/>
            <w:tcMar>
              <w:top w:w="15" w:type="dxa"/>
              <w:left w:w="15" w:type="dxa"/>
              <w:bottom w:w="15" w:type="dxa"/>
              <w:right w:w="15" w:type="dxa"/>
            </w:tcMar>
            <w:vAlign w:val="center"/>
            <w:hideMark/>
          </w:tcPr>
          <w:p w14:paraId="63E706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30EE7F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8AAC8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869AF15" w14:textId="77777777" w:rsidTr="00A639CC">
        <w:trPr>
          <w:tblCellSpacing w:w="15" w:type="dxa"/>
        </w:trPr>
        <w:tc>
          <w:tcPr>
            <w:tcW w:w="0" w:type="auto"/>
            <w:tcMar>
              <w:top w:w="15" w:type="dxa"/>
              <w:left w:w="15" w:type="dxa"/>
              <w:bottom w:w="15" w:type="dxa"/>
              <w:right w:w="15" w:type="dxa"/>
            </w:tcMar>
            <w:vAlign w:val="center"/>
            <w:hideMark/>
          </w:tcPr>
          <w:p w14:paraId="30F85B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2E8CD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820A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4A98399" w14:textId="77777777" w:rsidTr="00A639CC">
        <w:trPr>
          <w:tblCellSpacing w:w="15" w:type="dxa"/>
        </w:trPr>
        <w:tc>
          <w:tcPr>
            <w:tcW w:w="0" w:type="auto"/>
            <w:tcMar>
              <w:top w:w="15" w:type="dxa"/>
              <w:left w:w="15" w:type="dxa"/>
              <w:bottom w:w="15" w:type="dxa"/>
              <w:right w:w="15" w:type="dxa"/>
            </w:tcMar>
            <w:vAlign w:val="center"/>
            <w:hideMark/>
          </w:tcPr>
          <w:p w14:paraId="296E734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0D4A0D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6CE412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59C1F8FB" w14:textId="77777777" w:rsidTr="00A639CC">
        <w:trPr>
          <w:tblCellSpacing w:w="15" w:type="dxa"/>
        </w:trPr>
        <w:tc>
          <w:tcPr>
            <w:tcW w:w="0" w:type="auto"/>
            <w:tcMar>
              <w:top w:w="15" w:type="dxa"/>
              <w:left w:w="15" w:type="dxa"/>
              <w:bottom w:w="15" w:type="dxa"/>
              <w:right w:w="15" w:type="dxa"/>
            </w:tcMar>
            <w:vAlign w:val="center"/>
            <w:hideMark/>
          </w:tcPr>
          <w:p w14:paraId="762A312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4BACF50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54095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85DD407" w14:textId="77777777" w:rsidTr="00A639CC">
        <w:trPr>
          <w:tblCellSpacing w:w="15" w:type="dxa"/>
        </w:trPr>
        <w:tc>
          <w:tcPr>
            <w:tcW w:w="0" w:type="auto"/>
            <w:tcMar>
              <w:top w:w="15" w:type="dxa"/>
              <w:left w:w="15" w:type="dxa"/>
              <w:bottom w:w="15" w:type="dxa"/>
              <w:right w:w="15" w:type="dxa"/>
            </w:tcMar>
            <w:vAlign w:val="center"/>
            <w:hideMark/>
          </w:tcPr>
          <w:p w14:paraId="017989C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EA773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91652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68D7552" w14:textId="77777777" w:rsidTr="00A639CC">
        <w:trPr>
          <w:tblCellSpacing w:w="15" w:type="dxa"/>
        </w:trPr>
        <w:tc>
          <w:tcPr>
            <w:tcW w:w="0" w:type="auto"/>
            <w:tcMar>
              <w:top w:w="15" w:type="dxa"/>
              <w:left w:w="15" w:type="dxa"/>
              <w:bottom w:w="15" w:type="dxa"/>
              <w:right w:w="15" w:type="dxa"/>
            </w:tcMar>
            <w:vAlign w:val="center"/>
            <w:hideMark/>
          </w:tcPr>
          <w:p w14:paraId="629BD4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COD Staff</w:t>
            </w:r>
          </w:p>
        </w:tc>
        <w:tc>
          <w:tcPr>
            <w:tcW w:w="0" w:type="auto"/>
            <w:tcMar>
              <w:top w:w="15" w:type="dxa"/>
              <w:left w:w="15" w:type="dxa"/>
              <w:bottom w:w="15" w:type="dxa"/>
              <w:right w:w="15" w:type="dxa"/>
            </w:tcMar>
            <w:vAlign w:val="center"/>
            <w:hideMark/>
          </w:tcPr>
          <w:p w14:paraId="0F4288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067737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A7BC884" w14:textId="77777777" w:rsidTr="00A639CC">
        <w:trPr>
          <w:tblCellSpacing w:w="15" w:type="dxa"/>
        </w:trPr>
        <w:tc>
          <w:tcPr>
            <w:tcW w:w="0" w:type="auto"/>
            <w:tcMar>
              <w:top w:w="15" w:type="dxa"/>
              <w:left w:w="15" w:type="dxa"/>
              <w:bottom w:w="15" w:type="dxa"/>
              <w:right w:w="15" w:type="dxa"/>
            </w:tcMar>
            <w:vAlign w:val="center"/>
            <w:hideMark/>
          </w:tcPr>
          <w:p w14:paraId="1BDAA3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Staff</w:t>
            </w:r>
          </w:p>
        </w:tc>
        <w:tc>
          <w:tcPr>
            <w:tcW w:w="0" w:type="auto"/>
            <w:tcMar>
              <w:top w:w="15" w:type="dxa"/>
              <w:left w:w="15" w:type="dxa"/>
              <w:bottom w:w="15" w:type="dxa"/>
              <w:right w:w="15" w:type="dxa"/>
            </w:tcMar>
            <w:vAlign w:val="center"/>
            <w:hideMark/>
          </w:tcPr>
          <w:p w14:paraId="2DCAE7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5C231F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B80EF75" w14:textId="77777777" w:rsidTr="00A639CC">
        <w:trPr>
          <w:tblCellSpacing w:w="15" w:type="dxa"/>
        </w:trPr>
        <w:tc>
          <w:tcPr>
            <w:tcW w:w="0" w:type="auto"/>
            <w:tcMar>
              <w:top w:w="15" w:type="dxa"/>
              <w:left w:w="15" w:type="dxa"/>
              <w:bottom w:w="15" w:type="dxa"/>
              <w:right w:w="15" w:type="dxa"/>
            </w:tcMar>
            <w:vAlign w:val="center"/>
            <w:hideMark/>
          </w:tcPr>
          <w:p w14:paraId="09C83C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61B5BA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3B0AA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66F4348" w14:textId="77777777" w:rsidTr="00A639CC">
        <w:trPr>
          <w:tblCellSpacing w:w="15" w:type="dxa"/>
        </w:trPr>
        <w:tc>
          <w:tcPr>
            <w:tcW w:w="0" w:type="auto"/>
            <w:tcMar>
              <w:top w:w="15" w:type="dxa"/>
              <w:left w:w="15" w:type="dxa"/>
              <w:bottom w:w="15" w:type="dxa"/>
              <w:right w:w="15" w:type="dxa"/>
            </w:tcMar>
            <w:vAlign w:val="center"/>
            <w:hideMark/>
          </w:tcPr>
          <w:p w14:paraId="1C6F45E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3D986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AF8D0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219BFC93" w14:textId="77777777" w:rsidTr="00A639CC">
        <w:trPr>
          <w:tblCellSpacing w:w="15" w:type="dxa"/>
        </w:trPr>
        <w:tc>
          <w:tcPr>
            <w:tcW w:w="0" w:type="auto"/>
            <w:tcMar>
              <w:top w:w="15" w:type="dxa"/>
              <w:left w:w="15" w:type="dxa"/>
              <w:bottom w:w="15" w:type="dxa"/>
              <w:right w:w="15" w:type="dxa"/>
            </w:tcMar>
            <w:vAlign w:val="center"/>
            <w:hideMark/>
          </w:tcPr>
          <w:p w14:paraId="6574EFE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52246D7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A87AA4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7733C72" w14:textId="77777777" w:rsidTr="00A639CC">
        <w:trPr>
          <w:tblCellSpacing w:w="15" w:type="dxa"/>
        </w:trPr>
        <w:tc>
          <w:tcPr>
            <w:tcW w:w="0" w:type="auto"/>
            <w:tcMar>
              <w:top w:w="15" w:type="dxa"/>
              <w:left w:w="15" w:type="dxa"/>
              <w:bottom w:w="15" w:type="dxa"/>
              <w:right w:w="15" w:type="dxa"/>
            </w:tcMar>
            <w:vAlign w:val="center"/>
            <w:hideMark/>
          </w:tcPr>
          <w:p w14:paraId="78354F4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302EE8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2AAA4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08569A11" w14:textId="77777777" w:rsidTr="00A639CC">
        <w:trPr>
          <w:tblCellSpacing w:w="15" w:type="dxa"/>
        </w:trPr>
        <w:tc>
          <w:tcPr>
            <w:tcW w:w="0" w:type="auto"/>
            <w:tcMar>
              <w:top w:w="15" w:type="dxa"/>
              <w:left w:w="15" w:type="dxa"/>
              <w:bottom w:w="15" w:type="dxa"/>
              <w:right w:w="15" w:type="dxa"/>
            </w:tcMar>
            <w:vAlign w:val="center"/>
            <w:hideMark/>
          </w:tcPr>
          <w:p w14:paraId="5AE2C07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47FFB5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7D8844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61BE15B" w14:textId="77777777" w:rsidTr="00A639CC">
        <w:trPr>
          <w:tblCellSpacing w:w="15" w:type="dxa"/>
        </w:trPr>
        <w:tc>
          <w:tcPr>
            <w:tcW w:w="0" w:type="auto"/>
            <w:tcMar>
              <w:top w:w="15" w:type="dxa"/>
              <w:left w:w="15" w:type="dxa"/>
              <w:bottom w:w="15" w:type="dxa"/>
              <w:right w:w="15" w:type="dxa"/>
            </w:tcMar>
            <w:vAlign w:val="center"/>
            <w:hideMark/>
          </w:tcPr>
          <w:p w14:paraId="7D61399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15EB57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08DAC6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4EAC3A" w14:textId="77777777" w:rsidTr="00A639CC">
        <w:trPr>
          <w:tblCellSpacing w:w="15" w:type="dxa"/>
        </w:trPr>
        <w:tc>
          <w:tcPr>
            <w:tcW w:w="0" w:type="auto"/>
            <w:tcMar>
              <w:top w:w="15" w:type="dxa"/>
              <w:left w:w="15" w:type="dxa"/>
              <w:bottom w:w="15" w:type="dxa"/>
              <w:right w:w="15" w:type="dxa"/>
            </w:tcMar>
            <w:vAlign w:val="center"/>
            <w:hideMark/>
          </w:tcPr>
          <w:p w14:paraId="06A136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1A7502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ABAEE2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555EF8C0" w14:textId="77777777" w:rsidTr="00A639CC">
        <w:trPr>
          <w:tblCellSpacing w:w="15" w:type="dxa"/>
        </w:trPr>
        <w:tc>
          <w:tcPr>
            <w:tcW w:w="0" w:type="auto"/>
            <w:tcMar>
              <w:top w:w="15" w:type="dxa"/>
              <w:left w:w="15" w:type="dxa"/>
              <w:bottom w:w="15" w:type="dxa"/>
              <w:right w:w="15" w:type="dxa"/>
            </w:tcMar>
            <w:vAlign w:val="center"/>
            <w:hideMark/>
          </w:tcPr>
          <w:p w14:paraId="5531F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COD Administrator</w:t>
            </w:r>
          </w:p>
        </w:tc>
        <w:tc>
          <w:tcPr>
            <w:tcW w:w="0" w:type="auto"/>
            <w:tcMar>
              <w:top w:w="15" w:type="dxa"/>
              <w:left w:w="15" w:type="dxa"/>
              <w:bottom w:w="15" w:type="dxa"/>
              <w:right w:w="15" w:type="dxa"/>
            </w:tcMar>
            <w:vAlign w:val="center"/>
            <w:hideMark/>
          </w:tcPr>
          <w:p w14:paraId="799F1D1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682B04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8CBB3AC" w14:textId="77777777" w:rsidTr="00A639CC">
        <w:trPr>
          <w:tblCellSpacing w:w="15" w:type="dxa"/>
        </w:trPr>
        <w:tc>
          <w:tcPr>
            <w:tcW w:w="0" w:type="auto"/>
            <w:tcMar>
              <w:top w:w="15" w:type="dxa"/>
              <w:left w:w="15" w:type="dxa"/>
              <w:bottom w:w="15" w:type="dxa"/>
              <w:right w:w="15" w:type="dxa"/>
            </w:tcMar>
            <w:vAlign w:val="center"/>
            <w:hideMark/>
          </w:tcPr>
          <w:p w14:paraId="3779B5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33191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F9F2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04D3F05" w14:textId="77777777" w:rsidTr="00A639CC">
        <w:trPr>
          <w:tblCellSpacing w:w="15" w:type="dxa"/>
        </w:trPr>
        <w:tc>
          <w:tcPr>
            <w:tcW w:w="0" w:type="auto"/>
            <w:tcMar>
              <w:top w:w="15" w:type="dxa"/>
              <w:left w:w="15" w:type="dxa"/>
              <w:bottom w:w="15" w:type="dxa"/>
              <w:right w:w="15" w:type="dxa"/>
            </w:tcMar>
            <w:vAlign w:val="center"/>
            <w:hideMark/>
          </w:tcPr>
          <w:p w14:paraId="09B88C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7EA3B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FF9E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9AA7EC2" w14:textId="77777777" w:rsidTr="00A639CC">
        <w:trPr>
          <w:tblCellSpacing w:w="15" w:type="dxa"/>
        </w:trPr>
        <w:tc>
          <w:tcPr>
            <w:tcW w:w="0" w:type="auto"/>
            <w:tcMar>
              <w:top w:w="15" w:type="dxa"/>
              <w:left w:w="15" w:type="dxa"/>
              <w:bottom w:w="15" w:type="dxa"/>
              <w:right w:w="15" w:type="dxa"/>
            </w:tcMar>
            <w:vAlign w:val="center"/>
            <w:hideMark/>
          </w:tcPr>
          <w:p w14:paraId="5E779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2D6577C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28B0975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8E901E" w14:textId="77777777" w:rsidTr="00A639CC">
        <w:trPr>
          <w:tblCellSpacing w:w="15" w:type="dxa"/>
        </w:trPr>
        <w:tc>
          <w:tcPr>
            <w:tcW w:w="0" w:type="auto"/>
            <w:tcMar>
              <w:top w:w="15" w:type="dxa"/>
              <w:left w:w="15" w:type="dxa"/>
              <w:bottom w:w="15" w:type="dxa"/>
              <w:right w:w="15" w:type="dxa"/>
            </w:tcMar>
            <w:vAlign w:val="center"/>
            <w:hideMark/>
          </w:tcPr>
          <w:p w14:paraId="3CCD9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36C0A7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7DFB77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424BB9F7" w14:textId="77777777" w:rsidTr="00A639CC">
        <w:trPr>
          <w:tblCellSpacing w:w="15" w:type="dxa"/>
        </w:trPr>
        <w:tc>
          <w:tcPr>
            <w:tcW w:w="0" w:type="auto"/>
            <w:tcMar>
              <w:top w:w="15" w:type="dxa"/>
              <w:left w:w="15" w:type="dxa"/>
              <w:bottom w:w="15" w:type="dxa"/>
              <w:right w:w="15" w:type="dxa"/>
            </w:tcMar>
            <w:vAlign w:val="center"/>
            <w:hideMark/>
          </w:tcPr>
          <w:p w14:paraId="043BD61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06903E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66AAD21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375E243" w14:textId="77777777" w:rsidTr="00A639CC">
        <w:trPr>
          <w:tblCellSpacing w:w="15" w:type="dxa"/>
        </w:trPr>
        <w:tc>
          <w:tcPr>
            <w:tcW w:w="0" w:type="auto"/>
            <w:tcMar>
              <w:top w:w="15" w:type="dxa"/>
              <w:left w:w="15" w:type="dxa"/>
              <w:bottom w:w="15" w:type="dxa"/>
              <w:right w:w="15" w:type="dxa"/>
            </w:tcMar>
            <w:vAlign w:val="center"/>
            <w:hideMark/>
          </w:tcPr>
          <w:p w14:paraId="6E2A163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FA416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4FB30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0851D86" w14:textId="77777777" w:rsidTr="00A639CC">
        <w:trPr>
          <w:tblCellSpacing w:w="15" w:type="dxa"/>
        </w:trPr>
        <w:tc>
          <w:tcPr>
            <w:tcW w:w="0" w:type="auto"/>
            <w:tcMar>
              <w:top w:w="15" w:type="dxa"/>
              <w:left w:w="15" w:type="dxa"/>
              <w:bottom w:w="15" w:type="dxa"/>
              <w:right w:w="15" w:type="dxa"/>
            </w:tcMar>
            <w:vAlign w:val="center"/>
            <w:hideMark/>
          </w:tcPr>
          <w:p w14:paraId="7C75D8D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00D7C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79177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98FD579" w14:textId="77777777" w:rsidTr="00A639CC">
        <w:trPr>
          <w:tblCellSpacing w:w="15" w:type="dxa"/>
        </w:trPr>
        <w:tc>
          <w:tcPr>
            <w:tcW w:w="0" w:type="auto"/>
            <w:tcMar>
              <w:top w:w="15" w:type="dxa"/>
              <w:left w:w="15" w:type="dxa"/>
              <w:bottom w:w="15" w:type="dxa"/>
              <w:right w:w="15" w:type="dxa"/>
            </w:tcMar>
            <w:vAlign w:val="center"/>
            <w:hideMark/>
          </w:tcPr>
          <w:p w14:paraId="7DCA5E7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EGI CSIRT Officer</w:t>
            </w:r>
          </w:p>
        </w:tc>
        <w:tc>
          <w:tcPr>
            <w:tcW w:w="0" w:type="auto"/>
            <w:tcMar>
              <w:top w:w="15" w:type="dxa"/>
              <w:left w:w="15" w:type="dxa"/>
              <w:bottom w:w="15" w:type="dxa"/>
              <w:right w:w="15" w:type="dxa"/>
            </w:tcMar>
            <w:vAlign w:val="center"/>
            <w:hideMark/>
          </w:tcPr>
          <w:p w14:paraId="5797E6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79666D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E130A68" w14:textId="77777777" w:rsidTr="00A639CC">
        <w:trPr>
          <w:tblCellSpacing w:w="15" w:type="dxa"/>
        </w:trPr>
        <w:tc>
          <w:tcPr>
            <w:tcW w:w="0" w:type="auto"/>
            <w:tcMar>
              <w:top w:w="15" w:type="dxa"/>
              <w:left w:w="15" w:type="dxa"/>
              <w:bottom w:w="15" w:type="dxa"/>
              <w:right w:w="15" w:type="dxa"/>
            </w:tcMar>
            <w:vAlign w:val="center"/>
            <w:hideMark/>
          </w:tcPr>
          <w:p w14:paraId="4DFD68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0D92BC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147E4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12AA6A88" w14:textId="77777777" w:rsidTr="00A639CC">
        <w:trPr>
          <w:tblCellSpacing w:w="15" w:type="dxa"/>
        </w:trPr>
        <w:tc>
          <w:tcPr>
            <w:tcW w:w="0" w:type="auto"/>
            <w:tcMar>
              <w:top w:w="15" w:type="dxa"/>
              <w:left w:w="15" w:type="dxa"/>
              <w:bottom w:w="15" w:type="dxa"/>
              <w:right w:w="15" w:type="dxa"/>
            </w:tcMar>
            <w:vAlign w:val="center"/>
            <w:hideMark/>
          </w:tcPr>
          <w:p w14:paraId="4B8305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C7067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F44EF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388310B5" w14:textId="77777777" w:rsidTr="00A639CC">
        <w:trPr>
          <w:tblCellSpacing w:w="15" w:type="dxa"/>
        </w:trPr>
        <w:tc>
          <w:tcPr>
            <w:tcW w:w="0" w:type="auto"/>
            <w:tcMar>
              <w:top w:w="15" w:type="dxa"/>
              <w:left w:w="15" w:type="dxa"/>
              <w:bottom w:w="15" w:type="dxa"/>
              <w:right w:w="15" w:type="dxa"/>
            </w:tcMar>
            <w:vAlign w:val="center"/>
            <w:hideMark/>
          </w:tcPr>
          <w:p w14:paraId="2EC591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6C7C76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DD3918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C97DEAA" w14:textId="77777777" w:rsidTr="00A639CC">
        <w:trPr>
          <w:tblCellSpacing w:w="15" w:type="dxa"/>
        </w:trPr>
        <w:tc>
          <w:tcPr>
            <w:tcW w:w="0" w:type="auto"/>
            <w:tcMar>
              <w:top w:w="15" w:type="dxa"/>
              <w:left w:w="15" w:type="dxa"/>
              <w:bottom w:w="15" w:type="dxa"/>
              <w:right w:w="15" w:type="dxa"/>
            </w:tcMar>
            <w:vAlign w:val="center"/>
            <w:hideMark/>
          </w:tcPr>
          <w:p w14:paraId="1724C4C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789EA6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95994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Project</w:t>
            </w:r>
          </w:p>
        </w:tc>
      </w:tr>
      <w:tr w:rsidR="00A639CC" w:rsidRPr="00A639CC" w14:paraId="7272F541" w14:textId="77777777" w:rsidTr="00A639CC">
        <w:trPr>
          <w:tblCellSpacing w:w="15" w:type="dxa"/>
        </w:trPr>
        <w:tc>
          <w:tcPr>
            <w:tcW w:w="0" w:type="auto"/>
            <w:tcMar>
              <w:top w:w="15" w:type="dxa"/>
              <w:left w:w="15" w:type="dxa"/>
              <w:bottom w:w="15" w:type="dxa"/>
              <w:right w:w="15" w:type="dxa"/>
            </w:tcMar>
            <w:vAlign w:val="center"/>
            <w:hideMark/>
          </w:tcPr>
          <w:p w14:paraId="694614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407EC6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A93C8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58290AD" w14:textId="77777777" w:rsidTr="00A639CC">
        <w:trPr>
          <w:tblCellSpacing w:w="15" w:type="dxa"/>
        </w:trPr>
        <w:tc>
          <w:tcPr>
            <w:tcW w:w="0" w:type="auto"/>
            <w:tcMar>
              <w:top w:w="15" w:type="dxa"/>
              <w:left w:w="15" w:type="dxa"/>
              <w:bottom w:w="15" w:type="dxa"/>
              <w:right w:w="15" w:type="dxa"/>
            </w:tcMar>
            <w:vAlign w:val="center"/>
            <w:hideMark/>
          </w:tcPr>
          <w:p w14:paraId="3F37C47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977C0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20F718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A95CF7" w14:textId="77777777" w:rsidTr="00A639CC">
        <w:trPr>
          <w:tblCellSpacing w:w="15" w:type="dxa"/>
        </w:trPr>
        <w:tc>
          <w:tcPr>
            <w:tcW w:w="0" w:type="auto"/>
            <w:tcMar>
              <w:top w:w="15" w:type="dxa"/>
              <w:left w:w="15" w:type="dxa"/>
              <w:bottom w:w="15" w:type="dxa"/>
              <w:right w:w="15" w:type="dxa"/>
            </w:tcMar>
            <w:vAlign w:val="center"/>
            <w:hideMark/>
          </w:tcPr>
          <w:p w14:paraId="7CF4E7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5A5E613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71C44C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F6702AE" w14:textId="77777777" w:rsidTr="00A639CC">
        <w:trPr>
          <w:tblCellSpacing w:w="15" w:type="dxa"/>
        </w:trPr>
        <w:tc>
          <w:tcPr>
            <w:tcW w:w="0" w:type="auto"/>
            <w:tcMar>
              <w:top w:w="15" w:type="dxa"/>
              <w:left w:w="15" w:type="dxa"/>
              <w:bottom w:w="15" w:type="dxa"/>
              <w:right w:w="15" w:type="dxa"/>
            </w:tcMar>
            <w:vAlign w:val="center"/>
            <w:hideMark/>
          </w:tcPr>
          <w:p w14:paraId="066034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Chief Operations Officer</w:t>
            </w:r>
          </w:p>
        </w:tc>
        <w:tc>
          <w:tcPr>
            <w:tcW w:w="0" w:type="auto"/>
            <w:tcMar>
              <w:top w:w="15" w:type="dxa"/>
              <w:left w:w="15" w:type="dxa"/>
              <w:bottom w:w="15" w:type="dxa"/>
              <w:right w:w="15" w:type="dxa"/>
            </w:tcMar>
            <w:vAlign w:val="center"/>
            <w:hideMark/>
          </w:tcPr>
          <w:p w14:paraId="33CE5BE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A9492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7DDE8D92" w14:textId="2EB10753"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NGI Roles</w:t>
      </w:r>
    </w:p>
    <w:tbl>
      <w:tblPr>
        <w:tblW w:w="0" w:type="auto"/>
        <w:tblCellSpacing w:w="15" w:type="dxa"/>
        <w:tblCellMar>
          <w:left w:w="0" w:type="dxa"/>
          <w:right w:w="0" w:type="dxa"/>
        </w:tblCellMar>
        <w:tblLook w:val="04A0" w:firstRow="1" w:lastRow="0" w:firstColumn="1" w:lastColumn="0" w:noHBand="0" w:noVBand="1"/>
      </w:tblPr>
      <w:tblGrid>
        <w:gridCol w:w="3276"/>
        <w:gridCol w:w="3384"/>
        <w:gridCol w:w="2170"/>
      </w:tblGrid>
      <w:tr w:rsidR="00A639CC" w:rsidRPr="00A639CC" w14:paraId="275FB5C9" w14:textId="77777777" w:rsidTr="00A639CC">
        <w:trPr>
          <w:tblHeader/>
          <w:tblCellSpacing w:w="15" w:type="dxa"/>
        </w:trPr>
        <w:tc>
          <w:tcPr>
            <w:tcW w:w="0" w:type="auto"/>
            <w:tcMar>
              <w:top w:w="15" w:type="dxa"/>
              <w:left w:w="15" w:type="dxa"/>
              <w:bottom w:w="15" w:type="dxa"/>
              <w:right w:w="15" w:type="dxa"/>
            </w:tcMar>
            <w:vAlign w:val="center"/>
            <w:hideMark/>
          </w:tcPr>
          <w:p w14:paraId="5DEA1B5D"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lastRenderedPageBreak/>
              <w:t>RoleType</w:t>
            </w:r>
            <w:proofErr w:type="spellEnd"/>
          </w:p>
        </w:tc>
        <w:tc>
          <w:tcPr>
            <w:tcW w:w="0" w:type="auto"/>
            <w:tcMar>
              <w:top w:w="15" w:type="dxa"/>
              <w:left w:w="15" w:type="dxa"/>
              <w:bottom w:w="15" w:type="dxa"/>
              <w:right w:w="15" w:type="dxa"/>
            </w:tcMar>
            <w:vAlign w:val="center"/>
            <w:hideMark/>
          </w:tcPr>
          <w:p w14:paraId="7928AC67"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286AE1A8"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4293C763" w14:textId="77777777" w:rsidTr="00A639CC">
        <w:trPr>
          <w:tblCellSpacing w:w="15" w:type="dxa"/>
        </w:trPr>
        <w:tc>
          <w:tcPr>
            <w:tcW w:w="0" w:type="auto"/>
            <w:tcMar>
              <w:top w:w="15" w:type="dxa"/>
              <w:left w:w="15" w:type="dxa"/>
              <w:bottom w:w="15" w:type="dxa"/>
              <w:right w:w="15" w:type="dxa"/>
            </w:tcMar>
            <w:vAlign w:val="center"/>
            <w:hideMark/>
          </w:tcPr>
          <w:p w14:paraId="1DCDAC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64C368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64D460D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3D759AE" w14:textId="77777777" w:rsidTr="00A639CC">
        <w:trPr>
          <w:tblCellSpacing w:w="15" w:type="dxa"/>
        </w:trPr>
        <w:tc>
          <w:tcPr>
            <w:tcW w:w="0" w:type="auto"/>
            <w:tcMar>
              <w:top w:w="15" w:type="dxa"/>
              <w:left w:w="15" w:type="dxa"/>
              <w:bottom w:w="15" w:type="dxa"/>
              <w:right w:w="15" w:type="dxa"/>
            </w:tcMar>
            <w:vAlign w:val="center"/>
            <w:hideMark/>
          </w:tcPr>
          <w:p w14:paraId="3A54EC0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66F03B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293A122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E3E4073" w14:textId="77777777" w:rsidTr="00A639CC">
        <w:trPr>
          <w:tblCellSpacing w:w="15" w:type="dxa"/>
        </w:trPr>
        <w:tc>
          <w:tcPr>
            <w:tcW w:w="0" w:type="auto"/>
            <w:tcMar>
              <w:top w:w="15" w:type="dxa"/>
              <w:left w:w="15" w:type="dxa"/>
              <w:bottom w:w="15" w:type="dxa"/>
              <w:right w:w="15" w:type="dxa"/>
            </w:tcMar>
            <w:vAlign w:val="center"/>
            <w:hideMark/>
          </w:tcPr>
          <w:p w14:paraId="6798372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589F12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27F507F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9FB7D67" w14:textId="77777777" w:rsidTr="00A639CC">
        <w:trPr>
          <w:tblCellSpacing w:w="15" w:type="dxa"/>
        </w:trPr>
        <w:tc>
          <w:tcPr>
            <w:tcW w:w="0" w:type="auto"/>
            <w:tcMar>
              <w:top w:w="15" w:type="dxa"/>
              <w:left w:w="15" w:type="dxa"/>
              <w:bottom w:w="15" w:type="dxa"/>
              <w:right w:w="15" w:type="dxa"/>
            </w:tcMar>
            <w:vAlign w:val="center"/>
            <w:hideMark/>
          </w:tcPr>
          <w:p w14:paraId="353B79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45BCC1C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561F4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C4307BD" w14:textId="77777777" w:rsidTr="00A639CC">
        <w:trPr>
          <w:tblCellSpacing w:w="15" w:type="dxa"/>
        </w:trPr>
        <w:tc>
          <w:tcPr>
            <w:tcW w:w="0" w:type="auto"/>
            <w:tcMar>
              <w:top w:w="15" w:type="dxa"/>
              <w:left w:w="15" w:type="dxa"/>
              <w:bottom w:w="15" w:type="dxa"/>
              <w:right w:w="15" w:type="dxa"/>
            </w:tcMar>
            <w:vAlign w:val="center"/>
            <w:hideMark/>
          </w:tcPr>
          <w:p w14:paraId="5006BE6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DC30A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2E7E3EF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6A985D" w14:textId="77777777" w:rsidTr="00A639CC">
        <w:trPr>
          <w:tblCellSpacing w:w="15" w:type="dxa"/>
        </w:trPr>
        <w:tc>
          <w:tcPr>
            <w:tcW w:w="0" w:type="auto"/>
            <w:tcMar>
              <w:top w:w="15" w:type="dxa"/>
              <w:left w:w="15" w:type="dxa"/>
              <w:bottom w:w="15" w:type="dxa"/>
              <w:right w:w="15" w:type="dxa"/>
            </w:tcMar>
            <w:vAlign w:val="center"/>
            <w:hideMark/>
          </w:tcPr>
          <w:p w14:paraId="728CAE5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1A09CA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BBA9B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6A3525D" w14:textId="77777777" w:rsidTr="00A639CC">
        <w:trPr>
          <w:tblCellSpacing w:w="15" w:type="dxa"/>
        </w:trPr>
        <w:tc>
          <w:tcPr>
            <w:tcW w:w="0" w:type="auto"/>
            <w:tcMar>
              <w:top w:w="15" w:type="dxa"/>
              <w:left w:w="15" w:type="dxa"/>
              <w:bottom w:w="15" w:type="dxa"/>
              <w:right w:w="15" w:type="dxa"/>
            </w:tcMar>
            <w:vAlign w:val="center"/>
            <w:hideMark/>
          </w:tcPr>
          <w:p w14:paraId="4A63F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78A7F3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E4560E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0016F84" w14:textId="77777777" w:rsidTr="00A639CC">
        <w:trPr>
          <w:tblCellSpacing w:w="15" w:type="dxa"/>
        </w:trPr>
        <w:tc>
          <w:tcPr>
            <w:tcW w:w="0" w:type="auto"/>
            <w:tcMar>
              <w:top w:w="15" w:type="dxa"/>
              <w:left w:w="15" w:type="dxa"/>
              <w:bottom w:w="15" w:type="dxa"/>
              <w:right w:w="15" w:type="dxa"/>
            </w:tcMar>
            <w:vAlign w:val="center"/>
            <w:hideMark/>
          </w:tcPr>
          <w:p w14:paraId="629B88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3CEE6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335CF3C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32203FD" w14:textId="77777777" w:rsidTr="00A639CC">
        <w:trPr>
          <w:tblCellSpacing w:w="15" w:type="dxa"/>
        </w:trPr>
        <w:tc>
          <w:tcPr>
            <w:tcW w:w="0" w:type="auto"/>
            <w:tcMar>
              <w:top w:w="15" w:type="dxa"/>
              <w:left w:w="15" w:type="dxa"/>
              <w:bottom w:w="15" w:type="dxa"/>
              <w:right w:w="15" w:type="dxa"/>
            </w:tcMar>
            <w:vAlign w:val="center"/>
            <w:hideMark/>
          </w:tcPr>
          <w:p w14:paraId="221FDA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3B082F1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4029B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FC7533" w14:textId="77777777" w:rsidTr="00A639CC">
        <w:trPr>
          <w:tblCellSpacing w:w="15" w:type="dxa"/>
        </w:trPr>
        <w:tc>
          <w:tcPr>
            <w:tcW w:w="0" w:type="auto"/>
            <w:tcMar>
              <w:top w:w="15" w:type="dxa"/>
              <w:left w:w="15" w:type="dxa"/>
              <w:bottom w:w="15" w:type="dxa"/>
              <w:right w:w="15" w:type="dxa"/>
            </w:tcMar>
            <w:vAlign w:val="center"/>
            <w:hideMark/>
          </w:tcPr>
          <w:p w14:paraId="3AFFDC2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04AE66F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1B0E9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427E859" w14:textId="77777777" w:rsidTr="00A639CC">
        <w:trPr>
          <w:tblCellSpacing w:w="15" w:type="dxa"/>
        </w:trPr>
        <w:tc>
          <w:tcPr>
            <w:tcW w:w="0" w:type="auto"/>
            <w:tcMar>
              <w:top w:w="15" w:type="dxa"/>
              <w:left w:w="15" w:type="dxa"/>
              <w:bottom w:w="15" w:type="dxa"/>
              <w:right w:w="15" w:type="dxa"/>
            </w:tcMar>
            <w:vAlign w:val="center"/>
            <w:hideMark/>
          </w:tcPr>
          <w:p w14:paraId="7229217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2EF57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DB67C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2873D58" w14:textId="77777777" w:rsidTr="00A639CC">
        <w:trPr>
          <w:tblCellSpacing w:w="15" w:type="dxa"/>
        </w:trPr>
        <w:tc>
          <w:tcPr>
            <w:tcW w:w="0" w:type="auto"/>
            <w:tcMar>
              <w:top w:w="15" w:type="dxa"/>
              <w:left w:w="15" w:type="dxa"/>
              <w:bottom w:w="15" w:type="dxa"/>
              <w:right w:w="15" w:type="dxa"/>
            </w:tcMar>
            <w:vAlign w:val="center"/>
            <w:hideMark/>
          </w:tcPr>
          <w:p w14:paraId="7A096FA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Manager</w:t>
            </w:r>
          </w:p>
        </w:tc>
        <w:tc>
          <w:tcPr>
            <w:tcW w:w="0" w:type="auto"/>
            <w:tcMar>
              <w:top w:w="15" w:type="dxa"/>
              <w:left w:w="15" w:type="dxa"/>
              <w:bottom w:w="15" w:type="dxa"/>
              <w:right w:w="15" w:type="dxa"/>
            </w:tcMar>
            <w:vAlign w:val="center"/>
            <w:hideMark/>
          </w:tcPr>
          <w:p w14:paraId="570C506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0E753BE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D19BC7" w14:textId="77777777" w:rsidTr="00A639CC">
        <w:trPr>
          <w:tblCellSpacing w:w="15" w:type="dxa"/>
        </w:trPr>
        <w:tc>
          <w:tcPr>
            <w:tcW w:w="0" w:type="auto"/>
            <w:tcMar>
              <w:top w:w="15" w:type="dxa"/>
              <w:left w:w="15" w:type="dxa"/>
              <w:bottom w:w="15" w:type="dxa"/>
              <w:right w:w="15" w:type="dxa"/>
            </w:tcMar>
            <w:vAlign w:val="center"/>
            <w:hideMark/>
          </w:tcPr>
          <w:p w14:paraId="594936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8BEBA6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801F2E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7010E9B5" w14:textId="77777777" w:rsidTr="00A639CC">
        <w:trPr>
          <w:tblCellSpacing w:w="15" w:type="dxa"/>
        </w:trPr>
        <w:tc>
          <w:tcPr>
            <w:tcW w:w="0" w:type="auto"/>
            <w:tcMar>
              <w:top w:w="15" w:type="dxa"/>
              <w:left w:w="15" w:type="dxa"/>
              <w:bottom w:w="15" w:type="dxa"/>
              <w:right w:w="15" w:type="dxa"/>
            </w:tcMar>
            <w:vAlign w:val="center"/>
            <w:hideMark/>
          </w:tcPr>
          <w:p w14:paraId="6D52234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320D3C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1D6969E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1FA854B" w14:textId="77777777" w:rsidTr="00A639CC">
        <w:trPr>
          <w:tblCellSpacing w:w="15" w:type="dxa"/>
        </w:trPr>
        <w:tc>
          <w:tcPr>
            <w:tcW w:w="0" w:type="auto"/>
            <w:tcMar>
              <w:top w:w="15" w:type="dxa"/>
              <w:left w:w="15" w:type="dxa"/>
              <w:bottom w:w="15" w:type="dxa"/>
              <w:right w:w="15" w:type="dxa"/>
            </w:tcMar>
            <w:vAlign w:val="center"/>
            <w:hideMark/>
          </w:tcPr>
          <w:p w14:paraId="53E2C25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D46213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4674981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2E1F967D" w14:textId="77777777" w:rsidTr="00A639CC">
        <w:trPr>
          <w:tblCellSpacing w:w="15" w:type="dxa"/>
        </w:trPr>
        <w:tc>
          <w:tcPr>
            <w:tcW w:w="0" w:type="auto"/>
            <w:tcMar>
              <w:top w:w="15" w:type="dxa"/>
              <w:left w:w="15" w:type="dxa"/>
              <w:bottom w:w="15" w:type="dxa"/>
              <w:right w:w="15" w:type="dxa"/>
            </w:tcMar>
            <w:vAlign w:val="center"/>
            <w:hideMark/>
          </w:tcPr>
          <w:p w14:paraId="02D83BC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C7B12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87225C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127CFB60" w14:textId="77777777" w:rsidTr="00A639CC">
        <w:trPr>
          <w:tblCellSpacing w:w="15" w:type="dxa"/>
        </w:trPr>
        <w:tc>
          <w:tcPr>
            <w:tcW w:w="0" w:type="auto"/>
            <w:tcMar>
              <w:top w:w="15" w:type="dxa"/>
              <w:left w:w="15" w:type="dxa"/>
              <w:bottom w:w="15" w:type="dxa"/>
              <w:right w:w="15" w:type="dxa"/>
            </w:tcMar>
            <w:vAlign w:val="center"/>
            <w:hideMark/>
          </w:tcPr>
          <w:p w14:paraId="0CDCFB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14A6390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47E760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38AB41C" w14:textId="77777777" w:rsidTr="00A639CC">
        <w:trPr>
          <w:tblCellSpacing w:w="15" w:type="dxa"/>
        </w:trPr>
        <w:tc>
          <w:tcPr>
            <w:tcW w:w="0" w:type="auto"/>
            <w:tcMar>
              <w:top w:w="15" w:type="dxa"/>
              <w:left w:w="15" w:type="dxa"/>
              <w:bottom w:w="15" w:type="dxa"/>
              <w:right w:w="15" w:type="dxa"/>
            </w:tcMar>
            <w:vAlign w:val="center"/>
            <w:hideMark/>
          </w:tcPr>
          <w:p w14:paraId="5FC43E9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6A2AB0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987386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9EDD8B5" w14:textId="77777777" w:rsidTr="00A639CC">
        <w:trPr>
          <w:tblCellSpacing w:w="15" w:type="dxa"/>
        </w:trPr>
        <w:tc>
          <w:tcPr>
            <w:tcW w:w="0" w:type="auto"/>
            <w:tcMar>
              <w:top w:w="15" w:type="dxa"/>
              <w:left w:w="15" w:type="dxa"/>
              <w:bottom w:w="15" w:type="dxa"/>
              <w:right w:w="15" w:type="dxa"/>
            </w:tcMar>
            <w:vAlign w:val="center"/>
            <w:hideMark/>
          </w:tcPr>
          <w:p w14:paraId="3B2C6B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36BBB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8CD60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736DB1B" w14:textId="77777777" w:rsidTr="00A639CC">
        <w:trPr>
          <w:tblCellSpacing w:w="15" w:type="dxa"/>
        </w:trPr>
        <w:tc>
          <w:tcPr>
            <w:tcW w:w="0" w:type="auto"/>
            <w:tcMar>
              <w:top w:w="15" w:type="dxa"/>
              <w:left w:w="15" w:type="dxa"/>
              <w:bottom w:w="15" w:type="dxa"/>
              <w:right w:w="15" w:type="dxa"/>
            </w:tcMar>
            <w:vAlign w:val="center"/>
            <w:hideMark/>
          </w:tcPr>
          <w:p w14:paraId="349F885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673F7E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09EA93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C47FCE" w14:textId="77777777" w:rsidTr="00A639CC">
        <w:trPr>
          <w:tblCellSpacing w:w="15" w:type="dxa"/>
        </w:trPr>
        <w:tc>
          <w:tcPr>
            <w:tcW w:w="0" w:type="auto"/>
            <w:tcMar>
              <w:top w:w="15" w:type="dxa"/>
              <w:left w:w="15" w:type="dxa"/>
              <w:bottom w:w="15" w:type="dxa"/>
              <w:right w:w="15" w:type="dxa"/>
            </w:tcMar>
            <w:vAlign w:val="center"/>
            <w:hideMark/>
          </w:tcPr>
          <w:p w14:paraId="5E80442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79C409A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0B311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368EEB9" w14:textId="77777777" w:rsidTr="00A639CC">
        <w:trPr>
          <w:tblCellSpacing w:w="15" w:type="dxa"/>
        </w:trPr>
        <w:tc>
          <w:tcPr>
            <w:tcW w:w="0" w:type="auto"/>
            <w:tcMar>
              <w:top w:w="15" w:type="dxa"/>
              <w:left w:w="15" w:type="dxa"/>
              <w:bottom w:w="15" w:type="dxa"/>
              <w:right w:w="15" w:type="dxa"/>
            </w:tcMar>
            <w:vAlign w:val="center"/>
            <w:hideMark/>
          </w:tcPr>
          <w:p w14:paraId="2D67C4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00E275E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AD0B2D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AE85CA6" w14:textId="77777777" w:rsidTr="00A639CC">
        <w:trPr>
          <w:tblCellSpacing w:w="15" w:type="dxa"/>
        </w:trPr>
        <w:tc>
          <w:tcPr>
            <w:tcW w:w="0" w:type="auto"/>
            <w:tcMar>
              <w:top w:w="15" w:type="dxa"/>
              <w:left w:w="15" w:type="dxa"/>
              <w:bottom w:w="15" w:type="dxa"/>
              <w:right w:w="15" w:type="dxa"/>
            </w:tcMar>
            <w:vAlign w:val="center"/>
            <w:hideMark/>
          </w:tcPr>
          <w:p w14:paraId="6B9AD2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NGI Operations Deputy Manager</w:t>
            </w:r>
          </w:p>
        </w:tc>
        <w:tc>
          <w:tcPr>
            <w:tcW w:w="0" w:type="auto"/>
            <w:tcMar>
              <w:top w:w="15" w:type="dxa"/>
              <w:left w:w="15" w:type="dxa"/>
              <w:bottom w:w="15" w:type="dxa"/>
              <w:right w:w="15" w:type="dxa"/>
            </w:tcMar>
            <w:vAlign w:val="center"/>
            <w:hideMark/>
          </w:tcPr>
          <w:p w14:paraId="2D83118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435A3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9B41A48" w14:textId="77777777" w:rsidTr="00A639CC">
        <w:trPr>
          <w:tblCellSpacing w:w="15" w:type="dxa"/>
        </w:trPr>
        <w:tc>
          <w:tcPr>
            <w:tcW w:w="0" w:type="auto"/>
            <w:tcMar>
              <w:top w:w="15" w:type="dxa"/>
              <w:left w:w="15" w:type="dxa"/>
              <w:bottom w:w="15" w:type="dxa"/>
              <w:right w:w="15" w:type="dxa"/>
            </w:tcMar>
            <w:vAlign w:val="center"/>
            <w:hideMark/>
          </w:tcPr>
          <w:p w14:paraId="6F372B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Operations Deputy Manager</w:t>
            </w:r>
          </w:p>
        </w:tc>
        <w:tc>
          <w:tcPr>
            <w:tcW w:w="0" w:type="auto"/>
            <w:tcMar>
              <w:top w:w="15" w:type="dxa"/>
              <w:left w:w="15" w:type="dxa"/>
              <w:bottom w:w="15" w:type="dxa"/>
              <w:right w:w="15" w:type="dxa"/>
            </w:tcMar>
            <w:vAlign w:val="center"/>
            <w:hideMark/>
          </w:tcPr>
          <w:p w14:paraId="3288622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3529A53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7800532" w14:textId="77777777" w:rsidTr="00A639CC">
        <w:trPr>
          <w:tblCellSpacing w:w="15" w:type="dxa"/>
        </w:trPr>
        <w:tc>
          <w:tcPr>
            <w:tcW w:w="0" w:type="auto"/>
            <w:tcMar>
              <w:top w:w="15" w:type="dxa"/>
              <w:left w:w="15" w:type="dxa"/>
              <w:bottom w:w="15" w:type="dxa"/>
              <w:right w:w="15" w:type="dxa"/>
            </w:tcMar>
            <w:vAlign w:val="center"/>
            <w:hideMark/>
          </w:tcPr>
          <w:p w14:paraId="2D60F3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B76E44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B2076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1E57EC2" w14:textId="77777777" w:rsidTr="00A639CC">
        <w:trPr>
          <w:tblCellSpacing w:w="15" w:type="dxa"/>
        </w:trPr>
        <w:tc>
          <w:tcPr>
            <w:tcW w:w="0" w:type="auto"/>
            <w:tcMar>
              <w:top w:w="15" w:type="dxa"/>
              <w:left w:w="15" w:type="dxa"/>
              <w:bottom w:w="15" w:type="dxa"/>
              <w:right w:w="15" w:type="dxa"/>
            </w:tcMar>
            <w:vAlign w:val="center"/>
            <w:hideMark/>
          </w:tcPr>
          <w:p w14:paraId="15541C7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6D5D2A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ACTION_NGI_ADD_SITE</w:t>
            </w:r>
          </w:p>
        </w:tc>
        <w:tc>
          <w:tcPr>
            <w:tcW w:w="0" w:type="auto"/>
            <w:tcMar>
              <w:top w:w="15" w:type="dxa"/>
              <w:left w:w="15" w:type="dxa"/>
              <w:bottom w:w="15" w:type="dxa"/>
              <w:right w:w="15" w:type="dxa"/>
            </w:tcMar>
            <w:vAlign w:val="center"/>
            <w:hideMark/>
          </w:tcPr>
          <w:p w14:paraId="63FE67E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44C50B54" w14:textId="77777777" w:rsidTr="00A639CC">
        <w:trPr>
          <w:tblCellSpacing w:w="15" w:type="dxa"/>
        </w:trPr>
        <w:tc>
          <w:tcPr>
            <w:tcW w:w="0" w:type="auto"/>
            <w:tcMar>
              <w:top w:w="15" w:type="dxa"/>
              <w:left w:w="15" w:type="dxa"/>
              <w:bottom w:w="15" w:type="dxa"/>
              <w:right w:w="15" w:type="dxa"/>
            </w:tcMar>
            <w:vAlign w:val="center"/>
            <w:hideMark/>
          </w:tcPr>
          <w:p w14:paraId="4C3CB0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F5B01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71577F8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89447B6" w14:textId="77777777" w:rsidTr="00A639CC">
        <w:trPr>
          <w:tblCellSpacing w:w="15" w:type="dxa"/>
        </w:trPr>
        <w:tc>
          <w:tcPr>
            <w:tcW w:w="0" w:type="auto"/>
            <w:tcMar>
              <w:top w:w="15" w:type="dxa"/>
              <w:left w:w="15" w:type="dxa"/>
              <w:bottom w:w="15" w:type="dxa"/>
              <w:right w:w="15" w:type="dxa"/>
            </w:tcMar>
            <w:vAlign w:val="center"/>
            <w:hideMark/>
          </w:tcPr>
          <w:p w14:paraId="56507DE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FA6EA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6A7369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63477007" w14:textId="77777777" w:rsidTr="00A639CC">
        <w:trPr>
          <w:tblCellSpacing w:w="15" w:type="dxa"/>
        </w:trPr>
        <w:tc>
          <w:tcPr>
            <w:tcW w:w="0" w:type="auto"/>
            <w:tcMar>
              <w:top w:w="15" w:type="dxa"/>
              <w:left w:w="15" w:type="dxa"/>
              <w:bottom w:w="15" w:type="dxa"/>
              <w:right w:w="15" w:type="dxa"/>
            </w:tcMar>
            <w:vAlign w:val="center"/>
            <w:hideMark/>
          </w:tcPr>
          <w:p w14:paraId="1B900A9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7FF294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82876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037F36D" w14:textId="77777777" w:rsidTr="00A639CC">
        <w:trPr>
          <w:tblCellSpacing w:w="15" w:type="dxa"/>
        </w:trPr>
        <w:tc>
          <w:tcPr>
            <w:tcW w:w="0" w:type="auto"/>
            <w:tcMar>
              <w:top w:w="15" w:type="dxa"/>
              <w:left w:w="15" w:type="dxa"/>
              <w:bottom w:w="15" w:type="dxa"/>
              <w:right w:w="15" w:type="dxa"/>
            </w:tcMar>
            <w:vAlign w:val="center"/>
            <w:hideMark/>
          </w:tcPr>
          <w:p w14:paraId="46A1994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40831A3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0921B8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131CA62" w14:textId="77777777" w:rsidTr="00A639CC">
        <w:trPr>
          <w:tblCellSpacing w:w="15" w:type="dxa"/>
        </w:trPr>
        <w:tc>
          <w:tcPr>
            <w:tcW w:w="0" w:type="auto"/>
            <w:tcMar>
              <w:top w:w="15" w:type="dxa"/>
              <w:left w:w="15" w:type="dxa"/>
              <w:bottom w:w="15" w:type="dxa"/>
              <w:right w:w="15" w:type="dxa"/>
            </w:tcMar>
            <w:vAlign w:val="center"/>
            <w:hideMark/>
          </w:tcPr>
          <w:p w14:paraId="7D8252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B9462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696C5D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7744E1C" w14:textId="77777777" w:rsidTr="00A639CC">
        <w:trPr>
          <w:tblCellSpacing w:w="15" w:type="dxa"/>
        </w:trPr>
        <w:tc>
          <w:tcPr>
            <w:tcW w:w="0" w:type="auto"/>
            <w:tcMar>
              <w:top w:w="15" w:type="dxa"/>
              <w:left w:w="15" w:type="dxa"/>
              <w:bottom w:w="15" w:type="dxa"/>
              <w:right w:w="15" w:type="dxa"/>
            </w:tcMar>
            <w:vAlign w:val="center"/>
            <w:hideMark/>
          </w:tcPr>
          <w:p w14:paraId="1E2E11A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68681DD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7D4DA9B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877EBD1" w14:textId="77777777" w:rsidTr="00A639CC">
        <w:trPr>
          <w:tblCellSpacing w:w="15" w:type="dxa"/>
        </w:trPr>
        <w:tc>
          <w:tcPr>
            <w:tcW w:w="0" w:type="auto"/>
            <w:tcMar>
              <w:top w:w="15" w:type="dxa"/>
              <w:left w:w="15" w:type="dxa"/>
              <w:bottom w:w="15" w:type="dxa"/>
              <w:right w:w="15" w:type="dxa"/>
            </w:tcMar>
            <w:vAlign w:val="center"/>
            <w:hideMark/>
          </w:tcPr>
          <w:p w14:paraId="33E55B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00F0EA2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355351D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81FF7E" w14:textId="77777777" w:rsidTr="00A639CC">
        <w:trPr>
          <w:tblCellSpacing w:w="15" w:type="dxa"/>
        </w:trPr>
        <w:tc>
          <w:tcPr>
            <w:tcW w:w="0" w:type="auto"/>
            <w:tcMar>
              <w:top w:w="15" w:type="dxa"/>
              <w:left w:w="15" w:type="dxa"/>
              <w:bottom w:w="15" w:type="dxa"/>
              <w:right w:w="15" w:type="dxa"/>
            </w:tcMar>
            <w:vAlign w:val="center"/>
            <w:hideMark/>
          </w:tcPr>
          <w:p w14:paraId="0B9E8B2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5C4E223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3C82EB1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B24A2A4" w14:textId="77777777" w:rsidTr="00A639CC">
        <w:trPr>
          <w:tblCellSpacing w:w="15" w:type="dxa"/>
        </w:trPr>
        <w:tc>
          <w:tcPr>
            <w:tcW w:w="0" w:type="auto"/>
            <w:tcMar>
              <w:top w:w="15" w:type="dxa"/>
              <w:left w:w="15" w:type="dxa"/>
              <w:bottom w:w="15" w:type="dxa"/>
              <w:right w:w="15" w:type="dxa"/>
            </w:tcMar>
            <w:vAlign w:val="center"/>
            <w:hideMark/>
          </w:tcPr>
          <w:p w14:paraId="67333D5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3C5382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300717B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FA9796D" w14:textId="77777777" w:rsidTr="00A639CC">
        <w:trPr>
          <w:tblCellSpacing w:w="15" w:type="dxa"/>
        </w:trPr>
        <w:tc>
          <w:tcPr>
            <w:tcW w:w="0" w:type="auto"/>
            <w:tcMar>
              <w:top w:w="15" w:type="dxa"/>
              <w:left w:w="15" w:type="dxa"/>
              <w:bottom w:w="15" w:type="dxa"/>
              <w:right w:w="15" w:type="dxa"/>
            </w:tcMar>
            <w:vAlign w:val="center"/>
            <w:hideMark/>
          </w:tcPr>
          <w:p w14:paraId="6780300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NGI Security Officer</w:t>
            </w:r>
          </w:p>
        </w:tc>
        <w:tc>
          <w:tcPr>
            <w:tcW w:w="0" w:type="auto"/>
            <w:tcMar>
              <w:top w:w="15" w:type="dxa"/>
              <w:left w:w="15" w:type="dxa"/>
              <w:bottom w:w="15" w:type="dxa"/>
              <w:right w:w="15" w:type="dxa"/>
            </w:tcMar>
            <w:vAlign w:val="center"/>
            <w:hideMark/>
          </w:tcPr>
          <w:p w14:paraId="3BBFCD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ACTION_SITE_EDIT_CERT_STATUS</w:t>
            </w:r>
          </w:p>
        </w:tc>
        <w:tc>
          <w:tcPr>
            <w:tcW w:w="0" w:type="auto"/>
            <w:tcMar>
              <w:top w:w="15" w:type="dxa"/>
              <w:left w:w="15" w:type="dxa"/>
              <w:bottom w:w="15" w:type="dxa"/>
              <w:right w:w="15" w:type="dxa"/>
            </w:tcMar>
            <w:vAlign w:val="center"/>
            <w:hideMark/>
          </w:tcPr>
          <w:p w14:paraId="484A91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92BB811" w14:textId="77777777" w:rsidTr="00A639CC">
        <w:trPr>
          <w:tblCellSpacing w:w="15" w:type="dxa"/>
        </w:trPr>
        <w:tc>
          <w:tcPr>
            <w:tcW w:w="0" w:type="auto"/>
            <w:tcMar>
              <w:top w:w="15" w:type="dxa"/>
              <w:left w:w="15" w:type="dxa"/>
              <w:bottom w:w="15" w:type="dxa"/>
              <w:right w:w="15" w:type="dxa"/>
            </w:tcMar>
            <w:vAlign w:val="center"/>
            <w:hideMark/>
          </w:tcPr>
          <w:p w14:paraId="53A42EE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CA91C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5EB0A16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0D4D0BFC" w14:textId="77777777" w:rsidTr="00A639CC">
        <w:trPr>
          <w:tblCellSpacing w:w="15" w:type="dxa"/>
        </w:trPr>
        <w:tc>
          <w:tcPr>
            <w:tcW w:w="0" w:type="auto"/>
            <w:tcMar>
              <w:top w:w="15" w:type="dxa"/>
              <w:left w:w="15" w:type="dxa"/>
              <w:bottom w:w="15" w:type="dxa"/>
              <w:right w:w="15" w:type="dxa"/>
            </w:tcMar>
            <w:vAlign w:val="center"/>
            <w:hideMark/>
          </w:tcPr>
          <w:p w14:paraId="5D4135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29C15E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A64EFB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C2C892A" w14:textId="77777777" w:rsidTr="00A639CC">
        <w:trPr>
          <w:tblCellSpacing w:w="15" w:type="dxa"/>
        </w:trPr>
        <w:tc>
          <w:tcPr>
            <w:tcW w:w="0" w:type="auto"/>
            <w:tcMar>
              <w:top w:w="15" w:type="dxa"/>
              <w:left w:w="15" w:type="dxa"/>
              <w:bottom w:w="15" w:type="dxa"/>
              <w:right w:w="15" w:type="dxa"/>
            </w:tcMar>
            <w:vAlign w:val="center"/>
            <w:hideMark/>
          </w:tcPr>
          <w:p w14:paraId="5FD1878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044A379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43700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D252FCB" w14:textId="77777777" w:rsidTr="00A639CC">
        <w:trPr>
          <w:tblCellSpacing w:w="15" w:type="dxa"/>
        </w:trPr>
        <w:tc>
          <w:tcPr>
            <w:tcW w:w="0" w:type="auto"/>
            <w:tcMar>
              <w:top w:w="15" w:type="dxa"/>
              <w:left w:w="15" w:type="dxa"/>
              <w:bottom w:w="15" w:type="dxa"/>
              <w:right w:w="15" w:type="dxa"/>
            </w:tcMar>
            <w:vAlign w:val="center"/>
            <w:hideMark/>
          </w:tcPr>
          <w:p w14:paraId="0396EFF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Staff (ROD)</w:t>
            </w:r>
          </w:p>
        </w:tc>
        <w:tc>
          <w:tcPr>
            <w:tcW w:w="0" w:type="auto"/>
            <w:tcMar>
              <w:top w:w="15" w:type="dxa"/>
              <w:left w:w="15" w:type="dxa"/>
              <w:bottom w:w="15" w:type="dxa"/>
              <w:right w:w="15" w:type="dxa"/>
            </w:tcMar>
            <w:vAlign w:val="center"/>
            <w:hideMark/>
          </w:tcPr>
          <w:p w14:paraId="507FC8B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144F2D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EED687C" w14:textId="77777777" w:rsidTr="00A639CC">
        <w:trPr>
          <w:tblCellSpacing w:w="15" w:type="dxa"/>
        </w:trPr>
        <w:tc>
          <w:tcPr>
            <w:tcW w:w="0" w:type="auto"/>
            <w:tcMar>
              <w:top w:w="15" w:type="dxa"/>
              <w:left w:w="15" w:type="dxa"/>
              <w:bottom w:w="15" w:type="dxa"/>
              <w:right w:w="15" w:type="dxa"/>
            </w:tcMar>
            <w:vAlign w:val="center"/>
            <w:hideMark/>
          </w:tcPr>
          <w:p w14:paraId="76A76B1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FC4443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777A03B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color w:val="auto"/>
                <w:spacing w:val="0"/>
                <w:kern w:val="0"/>
                <w:sz w:val="24"/>
                <w:szCs w:val="24"/>
                <w:lang w:val="en-US" w:eastAsia="en-GB"/>
              </w:rPr>
              <w:t>Ngi</w:t>
            </w:r>
            <w:proofErr w:type="spellEnd"/>
          </w:p>
        </w:tc>
      </w:tr>
      <w:tr w:rsidR="00A639CC" w:rsidRPr="00A639CC" w14:paraId="3F86D6A0" w14:textId="77777777" w:rsidTr="00A639CC">
        <w:trPr>
          <w:tblCellSpacing w:w="15" w:type="dxa"/>
        </w:trPr>
        <w:tc>
          <w:tcPr>
            <w:tcW w:w="0" w:type="auto"/>
            <w:tcMar>
              <w:top w:w="15" w:type="dxa"/>
              <w:left w:w="15" w:type="dxa"/>
              <w:bottom w:w="15" w:type="dxa"/>
              <w:right w:w="15" w:type="dxa"/>
            </w:tcMar>
            <w:vAlign w:val="center"/>
            <w:hideMark/>
          </w:tcPr>
          <w:p w14:paraId="14CE3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4541FD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FB8CC6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35A364DF" w14:textId="77777777" w:rsidTr="00A639CC">
        <w:trPr>
          <w:tblCellSpacing w:w="15" w:type="dxa"/>
        </w:trPr>
        <w:tc>
          <w:tcPr>
            <w:tcW w:w="0" w:type="auto"/>
            <w:tcMar>
              <w:top w:w="15" w:type="dxa"/>
              <w:left w:w="15" w:type="dxa"/>
              <w:bottom w:w="15" w:type="dxa"/>
              <w:right w:w="15" w:type="dxa"/>
            </w:tcMar>
            <w:vAlign w:val="center"/>
            <w:hideMark/>
          </w:tcPr>
          <w:p w14:paraId="32E482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03819C4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E54C8A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5FC470B" w14:textId="77777777" w:rsidTr="00A639CC">
        <w:trPr>
          <w:tblCellSpacing w:w="15" w:type="dxa"/>
        </w:trPr>
        <w:tc>
          <w:tcPr>
            <w:tcW w:w="0" w:type="auto"/>
            <w:tcMar>
              <w:top w:w="15" w:type="dxa"/>
              <w:left w:w="15" w:type="dxa"/>
              <w:bottom w:w="15" w:type="dxa"/>
              <w:right w:w="15" w:type="dxa"/>
            </w:tcMar>
            <w:vAlign w:val="center"/>
            <w:hideMark/>
          </w:tcPr>
          <w:p w14:paraId="5861988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Regional First Line Support</w:t>
            </w:r>
          </w:p>
        </w:tc>
        <w:tc>
          <w:tcPr>
            <w:tcW w:w="0" w:type="auto"/>
            <w:tcMar>
              <w:top w:w="15" w:type="dxa"/>
              <w:left w:w="15" w:type="dxa"/>
              <w:bottom w:w="15" w:type="dxa"/>
              <w:right w:w="15" w:type="dxa"/>
            </w:tcMar>
            <w:vAlign w:val="center"/>
            <w:hideMark/>
          </w:tcPr>
          <w:p w14:paraId="332635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BDADA7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6A3E713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kern w:val="0"/>
          <w:sz w:val="20"/>
          <w:szCs w:val="20"/>
          <w:lang w:val="en-US"/>
        </w:rPr>
      </w:pPr>
      <w:r w:rsidRPr="00A639CC">
        <w:rPr>
          <w:rFonts w:asciiTheme="minorHAnsi" w:eastAsia="Times New Roman" w:hAnsiTheme="minorHAnsi" w:cs="Times New Roman"/>
          <w:b/>
          <w:bCs/>
          <w:color w:val="auto"/>
          <w:kern w:val="0"/>
          <w:sz w:val="27"/>
          <w:szCs w:val="27"/>
          <w:lang w:val="en-US" w:eastAsia="en-GB"/>
        </w:rPr>
        <w:t>Site Roles</w:t>
      </w:r>
    </w:p>
    <w:tbl>
      <w:tblPr>
        <w:tblW w:w="0" w:type="auto"/>
        <w:tblCellSpacing w:w="15" w:type="dxa"/>
        <w:tblCellMar>
          <w:left w:w="0" w:type="dxa"/>
          <w:right w:w="0" w:type="dxa"/>
        </w:tblCellMar>
        <w:tblLook w:val="04A0" w:firstRow="1" w:lastRow="0" w:firstColumn="1" w:lastColumn="0" w:noHBand="0" w:noVBand="1"/>
      </w:tblPr>
      <w:tblGrid>
        <w:gridCol w:w="3274"/>
        <w:gridCol w:w="3099"/>
        <w:gridCol w:w="2170"/>
      </w:tblGrid>
      <w:tr w:rsidR="00A639CC" w:rsidRPr="00A639CC" w14:paraId="080C4E48" w14:textId="77777777" w:rsidTr="00A639CC">
        <w:trPr>
          <w:tblHeader/>
          <w:tblCellSpacing w:w="15" w:type="dxa"/>
        </w:trPr>
        <w:tc>
          <w:tcPr>
            <w:tcW w:w="0" w:type="auto"/>
            <w:tcMar>
              <w:top w:w="15" w:type="dxa"/>
              <w:left w:w="15" w:type="dxa"/>
              <w:bottom w:w="15" w:type="dxa"/>
              <w:right w:w="15" w:type="dxa"/>
            </w:tcMar>
            <w:vAlign w:val="center"/>
            <w:hideMark/>
          </w:tcPr>
          <w:p w14:paraId="78898345" w14:textId="77777777" w:rsidR="00A639CC" w:rsidRPr="00A639CC" w:rsidRDefault="00A639CC" w:rsidP="00A639CC">
            <w:pPr>
              <w:suppressAutoHyphens w:val="0"/>
              <w:spacing w:before="100" w:beforeAutospacing="1" w:after="100" w:afterAutospacing="1" w:line="240" w:lineRule="auto"/>
              <w:rPr>
                <w:rFonts w:asciiTheme="minorHAnsi" w:eastAsia="Times New Roman" w:hAnsiTheme="minorHAnsi" w:cs="Times New Roman"/>
                <w:color w:val="auto"/>
                <w:spacing w:val="0"/>
                <w:kern w:val="0"/>
                <w:sz w:val="20"/>
                <w:szCs w:val="20"/>
                <w:lang w:val="en-US"/>
              </w:rPr>
            </w:pPr>
            <w:proofErr w:type="spellStart"/>
            <w:r w:rsidRPr="00A639CC">
              <w:rPr>
                <w:rFonts w:asciiTheme="minorHAnsi" w:eastAsia="Times New Roman" w:hAnsiTheme="minorHAnsi" w:cs="Times New Roman"/>
                <w:b/>
                <w:bCs/>
                <w:color w:val="auto"/>
                <w:spacing w:val="0"/>
                <w:kern w:val="0"/>
                <w:sz w:val="24"/>
                <w:szCs w:val="24"/>
                <w:lang w:val="en-US" w:eastAsia="en-GB"/>
              </w:rPr>
              <w:t>RoleType</w:t>
            </w:r>
            <w:proofErr w:type="spellEnd"/>
          </w:p>
        </w:tc>
        <w:tc>
          <w:tcPr>
            <w:tcW w:w="0" w:type="auto"/>
            <w:tcMar>
              <w:top w:w="15" w:type="dxa"/>
              <w:left w:w="15" w:type="dxa"/>
              <w:bottom w:w="15" w:type="dxa"/>
              <w:right w:w="15" w:type="dxa"/>
            </w:tcMar>
            <w:vAlign w:val="center"/>
            <w:hideMark/>
          </w:tcPr>
          <w:p w14:paraId="4E7DF4C9"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Action</w:t>
            </w:r>
          </w:p>
        </w:tc>
        <w:tc>
          <w:tcPr>
            <w:tcW w:w="0" w:type="auto"/>
            <w:tcMar>
              <w:top w:w="15" w:type="dxa"/>
              <w:left w:w="15" w:type="dxa"/>
              <w:bottom w:w="15" w:type="dxa"/>
              <w:right w:w="15" w:type="dxa"/>
            </w:tcMar>
            <w:vAlign w:val="center"/>
            <w:hideMark/>
          </w:tcPr>
          <w:p w14:paraId="5124B3A3" w14:textId="77777777" w:rsidR="00A639CC" w:rsidRPr="00A639CC" w:rsidRDefault="00A639CC" w:rsidP="00A639CC">
            <w:pPr>
              <w:suppressAutoHyphens w:val="0"/>
              <w:spacing w:before="100" w:beforeAutospacing="1" w:after="100" w:afterAutospacing="1" w:line="240" w:lineRule="auto"/>
              <w:jc w:val="center"/>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b/>
                <w:bCs/>
                <w:color w:val="auto"/>
                <w:spacing w:val="0"/>
                <w:kern w:val="0"/>
                <w:sz w:val="24"/>
                <w:szCs w:val="24"/>
                <w:lang w:val="en-US" w:eastAsia="en-GB"/>
              </w:rPr>
              <w:t>On (Target of Action)</w:t>
            </w:r>
          </w:p>
        </w:tc>
      </w:tr>
      <w:tr w:rsidR="00A639CC" w:rsidRPr="00A639CC" w14:paraId="526A303C" w14:textId="77777777" w:rsidTr="00A639CC">
        <w:trPr>
          <w:tblCellSpacing w:w="15" w:type="dxa"/>
        </w:trPr>
        <w:tc>
          <w:tcPr>
            <w:tcW w:w="0" w:type="auto"/>
            <w:tcMar>
              <w:top w:w="15" w:type="dxa"/>
              <w:left w:w="15" w:type="dxa"/>
              <w:bottom w:w="15" w:type="dxa"/>
              <w:right w:w="15" w:type="dxa"/>
            </w:tcMar>
            <w:vAlign w:val="center"/>
            <w:hideMark/>
          </w:tcPr>
          <w:p w14:paraId="5B23E05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0A63698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2D4A27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D985C9E" w14:textId="77777777" w:rsidTr="00A639CC">
        <w:trPr>
          <w:tblCellSpacing w:w="15" w:type="dxa"/>
        </w:trPr>
        <w:tc>
          <w:tcPr>
            <w:tcW w:w="0" w:type="auto"/>
            <w:tcMar>
              <w:top w:w="15" w:type="dxa"/>
              <w:left w:w="15" w:type="dxa"/>
              <w:bottom w:w="15" w:type="dxa"/>
              <w:right w:w="15" w:type="dxa"/>
            </w:tcMar>
            <w:vAlign w:val="center"/>
            <w:hideMark/>
          </w:tcPr>
          <w:p w14:paraId="4EC948A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1AF6481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7537ED5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9C8D9FF" w14:textId="77777777" w:rsidTr="00A639CC">
        <w:trPr>
          <w:tblCellSpacing w:w="15" w:type="dxa"/>
        </w:trPr>
        <w:tc>
          <w:tcPr>
            <w:tcW w:w="0" w:type="auto"/>
            <w:tcMar>
              <w:top w:w="15" w:type="dxa"/>
              <w:left w:w="15" w:type="dxa"/>
              <w:bottom w:w="15" w:type="dxa"/>
              <w:right w:w="15" w:type="dxa"/>
            </w:tcMar>
            <w:vAlign w:val="center"/>
            <w:hideMark/>
          </w:tcPr>
          <w:p w14:paraId="5926271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Administrator</w:t>
            </w:r>
          </w:p>
        </w:tc>
        <w:tc>
          <w:tcPr>
            <w:tcW w:w="0" w:type="auto"/>
            <w:tcMar>
              <w:top w:w="15" w:type="dxa"/>
              <w:left w:w="15" w:type="dxa"/>
              <w:bottom w:w="15" w:type="dxa"/>
              <w:right w:w="15" w:type="dxa"/>
            </w:tcMar>
            <w:vAlign w:val="center"/>
            <w:hideMark/>
          </w:tcPr>
          <w:p w14:paraId="27B6636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1B10ACF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511235B" w14:textId="77777777" w:rsidTr="00A639CC">
        <w:trPr>
          <w:tblCellSpacing w:w="15" w:type="dxa"/>
        </w:trPr>
        <w:tc>
          <w:tcPr>
            <w:tcW w:w="0" w:type="auto"/>
            <w:tcMar>
              <w:top w:w="15" w:type="dxa"/>
              <w:left w:w="15" w:type="dxa"/>
              <w:bottom w:w="15" w:type="dxa"/>
              <w:right w:w="15" w:type="dxa"/>
            </w:tcMar>
            <w:vAlign w:val="center"/>
            <w:hideMark/>
          </w:tcPr>
          <w:p w14:paraId="595FEA0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lastRenderedPageBreak/>
              <w:t>Site Security Officer</w:t>
            </w:r>
          </w:p>
        </w:tc>
        <w:tc>
          <w:tcPr>
            <w:tcW w:w="0" w:type="auto"/>
            <w:tcMar>
              <w:top w:w="15" w:type="dxa"/>
              <w:left w:w="15" w:type="dxa"/>
              <w:bottom w:w="15" w:type="dxa"/>
              <w:right w:w="15" w:type="dxa"/>
            </w:tcMar>
            <w:vAlign w:val="center"/>
            <w:hideMark/>
          </w:tcPr>
          <w:p w14:paraId="4FA2A31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2D5806F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05ADAB8" w14:textId="77777777" w:rsidTr="00A639CC">
        <w:trPr>
          <w:tblCellSpacing w:w="15" w:type="dxa"/>
        </w:trPr>
        <w:tc>
          <w:tcPr>
            <w:tcW w:w="0" w:type="auto"/>
            <w:tcMar>
              <w:top w:w="15" w:type="dxa"/>
              <w:left w:w="15" w:type="dxa"/>
              <w:bottom w:w="15" w:type="dxa"/>
              <w:right w:w="15" w:type="dxa"/>
            </w:tcMar>
            <w:vAlign w:val="center"/>
            <w:hideMark/>
          </w:tcPr>
          <w:p w14:paraId="1D860E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AF2F0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14F75A9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5A70C7C" w14:textId="77777777" w:rsidTr="00A639CC">
        <w:trPr>
          <w:tblCellSpacing w:w="15" w:type="dxa"/>
        </w:trPr>
        <w:tc>
          <w:tcPr>
            <w:tcW w:w="0" w:type="auto"/>
            <w:tcMar>
              <w:top w:w="15" w:type="dxa"/>
              <w:left w:w="15" w:type="dxa"/>
              <w:bottom w:w="15" w:type="dxa"/>
              <w:right w:w="15" w:type="dxa"/>
            </w:tcMar>
            <w:vAlign w:val="center"/>
            <w:hideMark/>
          </w:tcPr>
          <w:p w14:paraId="6885C7D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F4F8A3E"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9776D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D3DB849" w14:textId="77777777" w:rsidTr="00A639CC">
        <w:trPr>
          <w:tblCellSpacing w:w="15" w:type="dxa"/>
        </w:trPr>
        <w:tc>
          <w:tcPr>
            <w:tcW w:w="0" w:type="auto"/>
            <w:tcMar>
              <w:top w:w="15" w:type="dxa"/>
              <w:left w:w="15" w:type="dxa"/>
              <w:bottom w:w="15" w:type="dxa"/>
              <w:right w:w="15" w:type="dxa"/>
            </w:tcMar>
            <w:vAlign w:val="center"/>
            <w:hideMark/>
          </w:tcPr>
          <w:p w14:paraId="0496E1E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2B64B0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0D16C8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13373E6C" w14:textId="77777777" w:rsidTr="00A639CC">
        <w:trPr>
          <w:tblCellSpacing w:w="15" w:type="dxa"/>
        </w:trPr>
        <w:tc>
          <w:tcPr>
            <w:tcW w:w="0" w:type="auto"/>
            <w:tcMar>
              <w:top w:w="15" w:type="dxa"/>
              <w:left w:w="15" w:type="dxa"/>
              <w:bottom w:w="15" w:type="dxa"/>
              <w:right w:w="15" w:type="dxa"/>
            </w:tcMar>
            <w:vAlign w:val="center"/>
            <w:hideMark/>
          </w:tcPr>
          <w:p w14:paraId="13D38D4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35E0B96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0936B7D6"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F32138F" w14:textId="77777777" w:rsidTr="00A639CC">
        <w:trPr>
          <w:tblCellSpacing w:w="15" w:type="dxa"/>
        </w:trPr>
        <w:tc>
          <w:tcPr>
            <w:tcW w:w="0" w:type="auto"/>
            <w:tcMar>
              <w:top w:w="15" w:type="dxa"/>
              <w:left w:w="15" w:type="dxa"/>
              <w:bottom w:w="15" w:type="dxa"/>
              <w:right w:w="15" w:type="dxa"/>
            </w:tcMar>
            <w:vAlign w:val="center"/>
            <w:hideMark/>
          </w:tcPr>
          <w:p w14:paraId="4962791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Security Officer</w:t>
            </w:r>
          </w:p>
        </w:tc>
        <w:tc>
          <w:tcPr>
            <w:tcW w:w="0" w:type="auto"/>
            <w:tcMar>
              <w:top w:w="15" w:type="dxa"/>
              <w:left w:w="15" w:type="dxa"/>
              <w:bottom w:w="15" w:type="dxa"/>
              <w:right w:w="15" w:type="dxa"/>
            </w:tcMar>
            <w:vAlign w:val="center"/>
            <w:hideMark/>
          </w:tcPr>
          <w:p w14:paraId="61CD637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1F6DB7D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74BBDC7E" w14:textId="77777777" w:rsidTr="00A639CC">
        <w:trPr>
          <w:tblCellSpacing w:w="15" w:type="dxa"/>
        </w:trPr>
        <w:tc>
          <w:tcPr>
            <w:tcW w:w="0" w:type="auto"/>
            <w:tcMar>
              <w:top w:w="15" w:type="dxa"/>
              <w:left w:w="15" w:type="dxa"/>
              <w:bottom w:w="15" w:type="dxa"/>
              <w:right w:w="15" w:type="dxa"/>
            </w:tcMar>
            <w:vAlign w:val="center"/>
            <w:hideMark/>
          </w:tcPr>
          <w:p w14:paraId="4F254318"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638BCA0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04D183D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2923BEB" w14:textId="77777777" w:rsidTr="00A639CC">
        <w:trPr>
          <w:tblCellSpacing w:w="15" w:type="dxa"/>
        </w:trPr>
        <w:tc>
          <w:tcPr>
            <w:tcW w:w="0" w:type="auto"/>
            <w:tcMar>
              <w:top w:w="15" w:type="dxa"/>
              <w:left w:w="15" w:type="dxa"/>
              <w:bottom w:w="15" w:type="dxa"/>
              <w:right w:w="15" w:type="dxa"/>
            </w:tcMar>
            <w:vAlign w:val="center"/>
            <w:hideMark/>
          </w:tcPr>
          <w:p w14:paraId="6606C49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2CB171C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2E67E39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9149FC" w14:textId="77777777" w:rsidTr="00A639CC">
        <w:trPr>
          <w:tblCellSpacing w:w="15" w:type="dxa"/>
        </w:trPr>
        <w:tc>
          <w:tcPr>
            <w:tcW w:w="0" w:type="auto"/>
            <w:tcMar>
              <w:top w:w="15" w:type="dxa"/>
              <w:left w:w="15" w:type="dxa"/>
              <w:bottom w:w="15" w:type="dxa"/>
              <w:right w:w="15" w:type="dxa"/>
            </w:tcMar>
            <w:vAlign w:val="center"/>
            <w:hideMark/>
          </w:tcPr>
          <w:p w14:paraId="1F1185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E2B40E1"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5C64F82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A2CF294" w14:textId="77777777" w:rsidTr="00A639CC">
        <w:trPr>
          <w:tblCellSpacing w:w="15" w:type="dxa"/>
        </w:trPr>
        <w:tc>
          <w:tcPr>
            <w:tcW w:w="0" w:type="auto"/>
            <w:tcMar>
              <w:top w:w="15" w:type="dxa"/>
              <w:left w:w="15" w:type="dxa"/>
              <w:bottom w:w="15" w:type="dxa"/>
              <w:right w:w="15" w:type="dxa"/>
            </w:tcMar>
            <w:vAlign w:val="center"/>
            <w:hideMark/>
          </w:tcPr>
          <w:p w14:paraId="68D023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13EF1FB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579FD7F7"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00AAE60" w14:textId="77777777" w:rsidTr="00A639CC">
        <w:trPr>
          <w:tblCellSpacing w:w="15" w:type="dxa"/>
        </w:trPr>
        <w:tc>
          <w:tcPr>
            <w:tcW w:w="0" w:type="auto"/>
            <w:tcMar>
              <w:top w:w="15" w:type="dxa"/>
              <w:left w:w="15" w:type="dxa"/>
              <w:bottom w:w="15" w:type="dxa"/>
              <w:right w:w="15" w:type="dxa"/>
            </w:tcMar>
            <w:vAlign w:val="center"/>
            <w:hideMark/>
          </w:tcPr>
          <w:p w14:paraId="1962D50F"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7F946A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7BBD16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514C89E" w14:textId="77777777" w:rsidTr="00A639CC">
        <w:trPr>
          <w:tblCellSpacing w:w="15" w:type="dxa"/>
        </w:trPr>
        <w:tc>
          <w:tcPr>
            <w:tcW w:w="0" w:type="auto"/>
            <w:tcMar>
              <w:top w:w="15" w:type="dxa"/>
              <w:left w:w="15" w:type="dxa"/>
              <w:bottom w:w="15" w:type="dxa"/>
              <w:right w:w="15" w:type="dxa"/>
            </w:tcMar>
            <w:vAlign w:val="center"/>
            <w:hideMark/>
          </w:tcPr>
          <w:p w14:paraId="54D063B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Deputy Manager</w:t>
            </w:r>
          </w:p>
        </w:tc>
        <w:tc>
          <w:tcPr>
            <w:tcW w:w="0" w:type="auto"/>
            <w:tcMar>
              <w:top w:w="15" w:type="dxa"/>
              <w:left w:w="15" w:type="dxa"/>
              <w:bottom w:w="15" w:type="dxa"/>
              <w:right w:w="15" w:type="dxa"/>
            </w:tcMar>
            <w:vAlign w:val="center"/>
            <w:hideMark/>
          </w:tcPr>
          <w:p w14:paraId="598EC20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4B5FF6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28B0F6CC" w14:textId="77777777" w:rsidTr="00A639CC">
        <w:trPr>
          <w:tblCellSpacing w:w="15" w:type="dxa"/>
        </w:trPr>
        <w:tc>
          <w:tcPr>
            <w:tcW w:w="0" w:type="auto"/>
            <w:tcMar>
              <w:top w:w="15" w:type="dxa"/>
              <w:left w:w="15" w:type="dxa"/>
              <w:bottom w:w="15" w:type="dxa"/>
              <w:right w:w="15" w:type="dxa"/>
            </w:tcMar>
            <w:vAlign w:val="center"/>
            <w:hideMark/>
          </w:tcPr>
          <w:p w14:paraId="6961554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5612472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ACTION_EDIT_OBJECT</w:t>
            </w:r>
          </w:p>
        </w:tc>
        <w:tc>
          <w:tcPr>
            <w:tcW w:w="0" w:type="auto"/>
            <w:tcMar>
              <w:top w:w="15" w:type="dxa"/>
              <w:left w:w="15" w:type="dxa"/>
              <w:bottom w:w="15" w:type="dxa"/>
              <w:right w:w="15" w:type="dxa"/>
            </w:tcMar>
            <w:vAlign w:val="center"/>
            <w:hideMark/>
          </w:tcPr>
          <w:p w14:paraId="163FCD3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53180558" w14:textId="77777777" w:rsidTr="00A639CC">
        <w:trPr>
          <w:tblCellSpacing w:w="15" w:type="dxa"/>
        </w:trPr>
        <w:tc>
          <w:tcPr>
            <w:tcW w:w="0" w:type="auto"/>
            <w:tcMar>
              <w:top w:w="15" w:type="dxa"/>
              <w:left w:w="15" w:type="dxa"/>
              <w:bottom w:w="15" w:type="dxa"/>
              <w:right w:w="15" w:type="dxa"/>
            </w:tcMar>
            <w:vAlign w:val="center"/>
            <w:hideMark/>
          </w:tcPr>
          <w:p w14:paraId="27F8C9F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E6840F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ACTION_SITE_ADD_SERVICE</w:t>
            </w:r>
          </w:p>
        </w:tc>
        <w:tc>
          <w:tcPr>
            <w:tcW w:w="0" w:type="auto"/>
            <w:tcMar>
              <w:top w:w="15" w:type="dxa"/>
              <w:left w:w="15" w:type="dxa"/>
              <w:bottom w:w="15" w:type="dxa"/>
              <w:right w:w="15" w:type="dxa"/>
            </w:tcMar>
            <w:vAlign w:val="center"/>
            <w:hideMark/>
          </w:tcPr>
          <w:p w14:paraId="509083A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4C2ABB57" w14:textId="77777777" w:rsidTr="00A639CC">
        <w:trPr>
          <w:tblCellSpacing w:w="15" w:type="dxa"/>
        </w:trPr>
        <w:tc>
          <w:tcPr>
            <w:tcW w:w="0" w:type="auto"/>
            <w:tcMar>
              <w:top w:w="15" w:type="dxa"/>
              <w:left w:w="15" w:type="dxa"/>
              <w:bottom w:w="15" w:type="dxa"/>
              <w:right w:w="15" w:type="dxa"/>
            </w:tcMar>
            <w:vAlign w:val="center"/>
            <w:hideMark/>
          </w:tcPr>
          <w:p w14:paraId="5B91F315"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09275EF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ACTION_SITE_DELETE_SERVICE</w:t>
            </w:r>
          </w:p>
        </w:tc>
        <w:tc>
          <w:tcPr>
            <w:tcW w:w="0" w:type="auto"/>
            <w:tcMar>
              <w:top w:w="15" w:type="dxa"/>
              <w:left w:w="15" w:type="dxa"/>
              <w:bottom w:w="15" w:type="dxa"/>
              <w:right w:w="15" w:type="dxa"/>
            </w:tcMar>
            <w:vAlign w:val="center"/>
            <w:hideMark/>
          </w:tcPr>
          <w:p w14:paraId="467330FA"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6DC3DC78" w14:textId="77777777" w:rsidTr="00A639CC">
        <w:trPr>
          <w:tblCellSpacing w:w="15" w:type="dxa"/>
        </w:trPr>
        <w:tc>
          <w:tcPr>
            <w:tcW w:w="0" w:type="auto"/>
            <w:tcMar>
              <w:top w:w="15" w:type="dxa"/>
              <w:left w:w="15" w:type="dxa"/>
              <w:bottom w:w="15" w:type="dxa"/>
              <w:right w:w="15" w:type="dxa"/>
            </w:tcMar>
            <w:vAlign w:val="center"/>
            <w:hideMark/>
          </w:tcPr>
          <w:p w14:paraId="1E61CE4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29323854"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ACTION_GRANT_ROLE</w:t>
            </w:r>
          </w:p>
        </w:tc>
        <w:tc>
          <w:tcPr>
            <w:tcW w:w="0" w:type="auto"/>
            <w:tcMar>
              <w:top w:w="15" w:type="dxa"/>
              <w:left w:w="15" w:type="dxa"/>
              <w:bottom w:w="15" w:type="dxa"/>
              <w:right w:w="15" w:type="dxa"/>
            </w:tcMar>
            <w:vAlign w:val="center"/>
            <w:hideMark/>
          </w:tcPr>
          <w:p w14:paraId="06A7C882"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5C0351C" w14:textId="77777777" w:rsidTr="00A639CC">
        <w:trPr>
          <w:tblCellSpacing w:w="15" w:type="dxa"/>
        </w:trPr>
        <w:tc>
          <w:tcPr>
            <w:tcW w:w="0" w:type="auto"/>
            <w:tcMar>
              <w:top w:w="15" w:type="dxa"/>
              <w:left w:w="15" w:type="dxa"/>
              <w:bottom w:w="15" w:type="dxa"/>
              <w:right w:w="15" w:type="dxa"/>
            </w:tcMar>
            <w:vAlign w:val="center"/>
            <w:hideMark/>
          </w:tcPr>
          <w:p w14:paraId="0DEDDF1C"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7994DDDB"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ACTION_REJECT_ROLE</w:t>
            </w:r>
          </w:p>
        </w:tc>
        <w:tc>
          <w:tcPr>
            <w:tcW w:w="0" w:type="auto"/>
            <w:tcMar>
              <w:top w:w="15" w:type="dxa"/>
              <w:left w:w="15" w:type="dxa"/>
              <w:bottom w:w="15" w:type="dxa"/>
              <w:right w:w="15" w:type="dxa"/>
            </w:tcMar>
            <w:vAlign w:val="center"/>
            <w:hideMark/>
          </w:tcPr>
          <w:p w14:paraId="5F100C99"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r w:rsidR="00A639CC" w:rsidRPr="00A639CC" w14:paraId="003838F5" w14:textId="77777777" w:rsidTr="00A639CC">
        <w:trPr>
          <w:tblCellSpacing w:w="15" w:type="dxa"/>
        </w:trPr>
        <w:tc>
          <w:tcPr>
            <w:tcW w:w="0" w:type="auto"/>
            <w:tcMar>
              <w:top w:w="15" w:type="dxa"/>
              <w:left w:w="15" w:type="dxa"/>
              <w:bottom w:w="15" w:type="dxa"/>
              <w:right w:w="15" w:type="dxa"/>
            </w:tcMar>
            <w:vAlign w:val="center"/>
            <w:hideMark/>
          </w:tcPr>
          <w:p w14:paraId="39C21963"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 Operations Manager</w:t>
            </w:r>
          </w:p>
        </w:tc>
        <w:tc>
          <w:tcPr>
            <w:tcW w:w="0" w:type="auto"/>
            <w:tcMar>
              <w:top w:w="15" w:type="dxa"/>
              <w:left w:w="15" w:type="dxa"/>
              <w:bottom w:w="15" w:type="dxa"/>
              <w:right w:w="15" w:type="dxa"/>
            </w:tcMar>
            <w:vAlign w:val="center"/>
            <w:hideMark/>
          </w:tcPr>
          <w:p w14:paraId="6654B6DD"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ACTION_REVOKE_ROLE</w:t>
            </w:r>
          </w:p>
        </w:tc>
        <w:tc>
          <w:tcPr>
            <w:tcW w:w="0" w:type="auto"/>
            <w:tcMar>
              <w:top w:w="15" w:type="dxa"/>
              <w:left w:w="15" w:type="dxa"/>
              <w:bottom w:w="15" w:type="dxa"/>
              <w:right w:w="15" w:type="dxa"/>
            </w:tcMar>
            <w:vAlign w:val="center"/>
            <w:hideMark/>
          </w:tcPr>
          <w:p w14:paraId="5AF83C90" w14:textId="77777777" w:rsidR="00A639CC" w:rsidRPr="00A639CC" w:rsidRDefault="00A639CC" w:rsidP="00A639CC">
            <w:pPr>
              <w:suppressAutoHyphens w:val="0"/>
              <w:spacing w:before="100" w:beforeAutospacing="1" w:after="100" w:afterAutospacing="1" w:line="240" w:lineRule="auto"/>
              <w:jc w:val="left"/>
              <w:rPr>
                <w:rFonts w:asciiTheme="minorHAnsi" w:eastAsia="Times New Roman" w:hAnsiTheme="minorHAnsi" w:cs="Times New Roman"/>
                <w:color w:val="auto"/>
                <w:spacing w:val="0"/>
                <w:kern w:val="0"/>
                <w:sz w:val="20"/>
                <w:szCs w:val="20"/>
                <w:lang w:val="en-US"/>
              </w:rPr>
            </w:pPr>
            <w:r w:rsidRPr="00A639CC">
              <w:rPr>
                <w:rFonts w:asciiTheme="minorHAnsi" w:eastAsia="Times New Roman" w:hAnsiTheme="minorHAnsi" w:cs="Times New Roman"/>
                <w:color w:val="auto"/>
                <w:spacing w:val="0"/>
                <w:kern w:val="0"/>
                <w:sz w:val="24"/>
                <w:szCs w:val="24"/>
                <w:lang w:val="en-US" w:eastAsia="en-GB"/>
              </w:rPr>
              <w:t>Site</w:t>
            </w:r>
          </w:p>
        </w:tc>
      </w:tr>
    </w:tbl>
    <w:p w14:paraId="0BB86167" w14:textId="77777777" w:rsidR="00A639CC" w:rsidRPr="00A639CC" w:rsidRDefault="00A639CC" w:rsidP="00A639CC">
      <w:pPr>
        <w:rPr>
          <w:rFonts w:asciiTheme="minorHAnsi" w:hAnsiTheme="minorHAnsi"/>
        </w:rPr>
      </w:pPr>
    </w:p>
    <w:p w14:paraId="77A4DE04" w14:textId="77777777" w:rsidR="0061075F" w:rsidRDefault="0061075F"/>
    <w:p w14:paraId="0AE643A1" w14:textId="77777777" w:rsidR="0061075F" w:rsidRDefault="0061075F"/>
    <w:p w14:paraId="3EBD3AD9" w14:textId="77777777" w:rsidR="00054EFF" w:rsidRDefault="00054EFF">
      <w:bookmarkStart w:id="29" w:name="__UnoMark__6693_10336534681111"/>
      <w:bookmarkStart w:id="30" w:name="__UnoMark__6694_10336534681111"/>
      <w:bookmarkStart w:id="31" w:name="__UnoMark__473_66132523411"/>
      <w:bookmarkStart w:id="32" w:name="__UnoMark__476_66132523411"/>
      <w:bookmarkStart w:id="33" w:name="__UnoMark__6695_10336534681111"/>
      <w:bookmarkStart w:id="34" w:name="__UnoMark__6696_10336534681111"/>
      <w:bookmarkStart w:id="35" w:name="__UnoMark__477_66132523411"/>
      <w:bookmarkStart w:id="36" w:name="__UnoMark__480_66132523411"/>
      <w:bookmarkStart w:id="37" w:name="__UnoMark__6697_10336534681111"/>
      <w:bookmarkStart w:id="38" w:name="__UnoMark__6698_10336534681111"/>
      <w:bookmarkStart w:id="39" w:name="__UnoMark__481_66132523411"/>
      <w:bookmarkStart w:id="40" w:name="__UnoMark__484_66132523411"/>
      <w:bookmarkEnd w:id="29"/>
      <w:bookmarkEnd w:id="30"/>
      <w:bookmarkEnd w:id="31"/>
      <w:bookmarkEnd w:id="32"/>
      <w:bookmarkEnd w:id="33"/>
      <w:bookmarkEnd w:id="34"/>
      <w:bookmarkEnd w:id="35"/>
      <w:bookmarkEnd w:id="36"/>
      <w:bookmarkEnd w:id="37"/>
      <w:bookmarkEnd w:id="38"/>
      <w:bookmarkEnd w:id="39"/>
      <w:bookmarkEnd w:id="40"/>
    </w:p>
    <w:sectPr w:rsidR="00054EF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gely Sipos" w:date="2016-05-04T17:03:00Z" w:initials="GS">
    <w:p w14:paraId="314D2D29" w14:textId="1F9F370F" w:rsidR="00AF7142" w:rsidRDefault="00AF7142">
      <w:pPr>
        <w:pStyle w:val="CommentText"/>
      </w:pPr>
      <w:r>
        <w:rPr>
          <w:rStyle w:val="CommentReference"/>
        </w:rPr>
        <w:annotationRef/>
      </w:r>
      <w:r>
        <w:t xml:space="preserve">Initial text added by Gergely. </w:t>
      </w:r>
    </w:p>
    <w:p w14:paraId="01F142E0" w14:textId="48F9D2BB" w:rsidR="00AF7142" w:rsidRDefault="00AF7142">
      <w:pPr>
        <w:pStyle w:val="CommentText"/>
      </w:pPr>
      <w:r>
        <w:t>Steven, please check for correctness, completeness.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142E" w14:textId="77777777" w:rsidR="00AF7142" w:rsidRDefault="00AF7142">
      <w:pPr>
        <w:spacing w:after="0" w:line="240" w:lineRule="auto"/>
      </w:pPr>
      <w:r>
        <w:separator/>
      </w:r>
    </w:p>
  </w:endnote>
  <w:endnote w:type="continuationSeparator" w:id="0">
    <w:p w14:paraId="4D98BD64" w14:textId="77777777" w:rsidR="00AF7142" w:rsidRDefault="00AF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AF7142" w:rsidRDefault="00AF7142">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AF7142" w14:paraId="4F9B783F" w14:textId="77777777">
      <w:trPr>
        <w:trHeight w:val="857"/>
      </w:trPr>
      <w:tc>
        <w:tcPr>
          <w:tcW w:w="3060" w:type="dxa"/>
          <w:tcBorders>
            <w:top w:val="single" w:sz="4" w:space="0" w:color="000000"/>
          </w:tcBorders>
          <w:shd w:val="clear" w:color="auto" w:fill="FFFFFF"/>
          <w:vAlign w:val="bottom"/>
        </w:tcPr>
        <w:p w14:paraId="4C0242FE" w14:textId="77777777" w:rsidR="00AF7142" w:rsidRDefault="00AF7142">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AF7142" w:rsidRDefault="00AF7142">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AF7142" w:rsidRDefault="00AF7142">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AF7142" w:rsidRDefault="00AF7142">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AF7142" w14:paraId="5D8B2D49" w14:textId="77777777">
      <w:tc>
        <w:tcPr>
          <w:tcW w:w="1239" w:type="dxa"/>
          <w:shd w:val="clear" w:color="auto" w:fill="FFFFFF"/>
          <w:vAlign w:val="center"/>
        </w:tcPr>
        <w:p w14:paraId="6FAA5BEA" w14:textId="77777777" w:rsidR="00AF7142" w:rsidRDefault="00AF7142">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AF7142" w:rsidRDefault="00AF7142">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AF7142" w:rsidRDefault="00AF7142">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AF7142" w:rsidRDefault="00AF71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AF7142" w:rsidRDefault="00AF71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AF7142" w:rsidRDefault="00AF7142">
    <w:pPr>
      <w:pStyle w:val="NoSpacing"/>
    </w:pPr>
  </w:p>
  <w:tbl>
    <w:tblPr>
      <w:tblW w:w="0" w:type="auto"/>
      <w:tblInd w:w="216" w:type="dxa"/>
      <w:tblLayout w:type="fixed"/>
      <w:tblLook w:val="0000" w:firstRow="0" w:lastRow="0" w:firstColumn="0" w:lastColumn="0" w:noHBand="0" w:noVBand="0"/>
    </w:tblPr>
    <w:tblGrid>
      <w:gridCol w:w="3060"/>
    </w:tblGrid>
    <w:tr w:rsidR="00AF7142"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AF7142" w14:paraId="7443C1B4" w14:textId="77777777">
            <w:trPr>
              <w:trHeight w:val="857"/>
            </w:trPr>
            <w:tc>
              <w:tcPr>
                <w:tcW w:w="3060" w:type="dxa"/>
                <w:tcBorders>
                  <w:top w:val="single" w:sz="4" w:space="0" w:color="000000"/>
                </w:tcBorders>
                <w:shd w:val="clear" w:color="auto" w:fill="FFFFFF"/>
                <w:vAlign w:val="bottom"/>
              </w:tcPr>
              <w:p w14:paraId="7A008066" w14:textId="77777777" w:rsidR="00AF7142" w:rsidRDefault="00AF7142">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AF7142" w:rsidRDefault="00AF7142">
                <w:pPr>
                  <w:pStyle w:val="Header"/>
                  <w:jc w:val="center"/>
                </w:pPr>
                <w:r>
                  <w:fldChar w:fldCharType="begin"/>
                </w:r>
                <w:r>
                  <w:instrText xml:space="preserve"> PAGE </w:instrText>
                </w:r>
                <w:r>
                  <w:fldChar w:fldCharType="separate"/>
                </w:r>
                <w:r w:rsidR="00957209">
                  <w:rPr>
                    <w:noProof/>
                  </w:rPr>
                  <w:t>21</w:t>
                </w:r>
                <w:r>
                  <w:fldChar w:fldCharType="end"/>
                </w:r>
              </w:p>
            </w:tc>
            <w:tc>
              <w:tcPr>
                <w:tcW w:w="3061" w:type="dxa"/>
                <w:tcBorders>
                  <w:top w:val="single" w:sz="4" w:space="0" w:color="000000"/>
                </w:tcBorders>
                <w:shd w:val="clear" w:color="auto" w:fill="FFFFFF"/>
                <w:vAlign w:val="bottom"/>
              </w:tcPr>
              <w:p w14:paraId="4E46269A" w14:textId="77777777" w:rsidR="00AF7142" w:rsidRDefault="00AF7142">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AF7142" w:rsidRDefault="00AF7142">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AF7142" w14:paraId="3673BB42" w14:textId="77777777">
      <w:trPr>
        <w:trHeight w:val="857"/>
      </w:trPr>
      <w:tc>
        <w:tcPr>
          <w:tcW w:w="3060" w:type="dxa"/>
          <w:tcBorders>
            <w:top w:val="single" w:sz="4" w:space="0" w:color="000000"/>
          </w:tcBorders>
          <w:shd w:val="clear" w:color="auto" w:fill="FFFFFF"/>
          <w:vAlign w:val="bottom"/>
        </w:tcPr>
        <w:p w14:paraId="1007A325" w14:textId="77777777" w:rsidR="00AF7142" w:rsidRDefault="00AF7142">
          <w:pPr>
            <w:pStyle w:val="NoSpacing"/>
          </w:pPr>
        </w:p>
        <w:p w14:paraId="100A8B5A" w14:textId="77777777" w:rsidR="00AF7142" w:rsidRDefault="00AF7142">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AF7142" w:rsidRDefault="00AF7142">
          <w:pPr>
            <w:pStyle w:val="Header"/>
            <w:jc w:val="center"/>
          </w:pPr>
          <w:r>
            <w:fldChar w:fldCharType="begin"/>
          </w:r>
          <w:r>
            <w:instrText xml:space="preserve"> PAGE </w:instrText>
          </w:r>
          <w:r>
            <w:fldChar w:fldCharType="separate"/>
          </w:r>
          <w:r w:rsidR="00C3237F">
            <w:rPr>
              <w:noProof/>
            </w:rPr>
            <w:t>2</w:t>
          </w:r>
          <w:r>
            <w:fldChar w:fldCharType="end"/>
          </w:r>
        </w:p>
      </w:tc>
      <w:tc>
        <w:tcPr>
          <w:tcW w:w="3061" w:type="dxa"/>
          <w:tcBorders>
            <w:top w:val="single" w:sz="4" w:space="0" w:color="000000"/>
          </w:tcBorders>
          <w:shd w:val="clear" w:color="auto" w:fill="FFFFFF"/>
          <w:vAlign w:val="bottom"/>
        </w:tcPr>
        <w:p w14:paraId="6B18EE1D" w14:textId="77777777" w:rsidR="00AF7142" w:rsidRDefault="00AF7142">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AF7142" w:rsidRDefault="00AF7142">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5B87" w14:textId="77777777" w:rsidR="00AF7142" w:rsidRDefault="00AF7142">
      <w:pPr>
        <w:spacing w:after="0" w:line="240" w:lineRule="auto"/>
      </w:pPr>
      <w:r>
        <w:separator/>
      </w:r>
    </w:p>
  </w:footnote>
  <w:footnote w:type="continuationSeparator" w:id="0">
    <w:p w14:paraId="7DAC5952" w14:textId="77777777" w:rsidR="00AF7142" w:rsidRDefault="00AF7142">
      <w:pPr>
        <w:spacing w:after="0" w:line="240" w:lineRule="auto"/>
      </w:pPr>
      <w:r>
        <w:continuationSeparator/>
      </w:r>
    </w:p>
  </w:footnote>
  <w:footnote w:id="1">
    <w:p w14:paraId="24C17DC8" w14:textId="77777777" w:rsidR="00AF7142" w:rsidRDefault="00AF7142"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AF7142" w:rsidRDefault="00AF7142"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AF7142" w:rsidRDefault="00AF7142"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AF7142" w:rsidRDefault="00AF7142"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AF7142" w:rsidRDefault="00AF7142"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AF7142" w:rsidRDefault="00AF7142"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AF7142" w:rsidRDefault="00AF7142"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AF7142" w:rsidRDefault="00AF7142"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AF7142" w:rsidRDefault="00AF7142"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AF7142" w:rsidRPr="0058190B" w:rsidRDefault="00AF7142">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AF7142" w:rsidRPr="0058190B" w:rsidRDefault="00AF7142" w:rsidP="004B1271">
      <w:pPr>
        <w:pStyle w:val="FootnoteText"/>
        <w:rPr>
          <w:lang w:val="en-US"/>
        </w:rPr>
      </w:pPr>
      <w:r>
        <w:rPr>
          <w:rStyle w:val="FootnoteReference"/>
        </w:rPr>
        <w:footnoteRef/>
      </w:r>
      <w:r>
        <w:t xml:space="preserve"> OpenStack, </w:t>
      </w:r>
      <w:proofErr w:type="spellStart"/>
      <w:r>
        <w:rPr>
          <w:lang w:val="en-US"/>
        </w:rPr>
        <w:t>OpenNebula</w:t>
      </w:r>
      <w:proofErr w:type="spellEnd"/>
      <w:r>
        <w:rPr>
          <w:lang w:val="en-US"/>
        </w:rPr>
        <w:t xml:space="preserve"> and </w:t>
      </w:r>
      <w:proofErr w:type="spellStart"/>
      <w:r>
        <w:rPr>
          <w:lang w:val="en-US"/>
        </w:rPr>
        <w:t>Synnefo</w:t>
      </w:r>
      <w:proofErr w:type="spellEnd"/>
      <w:r>
        <w:rPr>
          <w:lang w:val="en-US"/>
        </w:rPr>
        <w:t xml:space="preserve"> are those cloud management frameworks for which integration components already exists. Integrator components can be developed for additional cloud system if needed.</w:t>
      </w:r>
    </w:p>
  </w:footnote>
  <w:footnote w:id="12">
    <w:p w14:paraId="2EE39963" w14:textId="77777777" w:rsidR="00AF7142" w:rsidRPr="00090A63" w:rsidRDefault="00AF7142"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AF7142" w:rsidRPr="003754A8" w:rsidRDefault="00AF7142">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1BE29CC0" w14:textId="77777777" w:rsidR="00AF7142" w:rsidRPr="00BE73EF" w:rsidRDefault="00AF7142" w:rsidP="002A2D02">
      <w:pPr>
        <w:pStyle w:val="FootnoteText"/>
        <w:rPr>
          <w:lang w:val="es-ES"/>
        </w:rPr>
      </w:pPr>
      <w:r>
        <w:rPr>
          <w:rStyle w:val="FootnoteReference"/>
        </w:rPr>
        <w:footnoteRef/>
      </w:r>
      <w:r w:rsidRPr="00530A7D">
        <w:rPr>
          <w:lang w:val="es-ES"/>
        </w:rPr>
        <w:t xml:space="preserve"> https://wiki.egi.eu/wiki/MAN10#Integrating_OpenStack</w:t>
      </w:r>
    </w:p>
  </w:footnote>
  <w:footnote w:id="15">
    <w:p w14:paraId="08D4EF18" w14:textId="77777777" w:rsidR="00AF7142" w:rsidRPr="00FA2573" w:rsidRDefault="00AF7142" w:rsidP="002E7F2E">
      <w:pPr>
        <w:pStyle w:val="FootnoteText"/>
        <w:rPr>
          <w:lang w:val="es-ES"/>
        </w:rPr>
      </w:pPr>
      <w:r>
        <w:rPr>
          <w:rStyle w:val="FootnoteReference"/>
        </w:rPr>
        <w:footnoteRef/>
      </w:r>
      <w:r w:rsidRPr="00FA2573">
        <w:rPr>
          <w:lang w:val="es-ES"/>
        </w:rPr>
        <w:t xml:space="preserve"> </w:t>
      </w:r>
      <w:hyperlink r:id="rId10" w:anchor="Join_as_a_Resource_Provider" w:history="1">
        <w:r w:rsidRPr="00FA2573">
          <w:rPr>
            <w:rStyle w:val="Hyperlink"/>
            <w:lang w:val="es-ES"/>
          </w:rPr>
          <w:t>https://wiki.egi.eu/wiki/Federated_Cloud_resource_providers_support#Join_as_a_Resource_Provider</w:t>
        </w:r>
      </w:hyperlink>
      <w:r w:rsidRPr="00FA2573">
        <w:rPr>
          <w:lang w:val="es-ES"/>
        </w:rPr>
        <w:t xml:space="preserve"> </w:t>
      </w:r>
    </w:p>
  </w:footnote>
  <w:footnote w:id="16">
    <w:p w14:paraId="6B01651E" w14:textId="77777777" w:rsidR="00AF7142" w:rsidRPr="00BE73EF" w:rsidRDefault="00AF7142" w:rsidP="002A2D02">
      <w:pPr>
        <w:pStyle w:val="FootnoteText"/>
        <w:rPr>
          <w:lang w:val="es-ES"/>
        </w:rPr>
      </w:pPr>
      <w:r>
        <w:rPr>
          <w:rStyle w:val="FootnoteReference"/>
        </w:rPr>
        <w:footnoteRef/>
      </w:r>
      <w:r w:rsidRPr="00530A7D">
        <w:rPr>
          <w:lang w:val="es-ES"/>
        </w:rPr>
        <w:t xml:space="preserve"> https://wiki.egi.eu/wiki/MAN10#Integrating_OpenNebula</w:t>
      </w:r>
    </w:p>
  </w:footnote>
  <w:footnote w:id="17">
    <w:p w14:paraId="2F911A39" w14:textId="77777777" w:rsidR="00AF7142" w:rsidRPr="004B5A11" w:rsidRDefault="00AF7142" w:rsidP="002A2D02">
      <w:pPr>
        <w:pStyle w:val="FootnoteText"/>
        <w:rPr>
          <w:lang w:val="es-ES"/>
        </w:rPr>
      </w:pPr>
      <w:r>
        <w:rPr>
          <w:rStyle w:val="FootnoteReference"/>
        </w:rPr>
        <w:footnoteRef/>
      </w:r>
      <w:r w:rsidRPr="00530A7D">
        <w:rPr>
          <w:lang w:val="es-ES"/>
        </w:rPr>
        <w:t xml:space="preserve"> https://perun.metacentrum.cz/</w:t>
      </w:r>
    </w:p>
  </w:footnote>
  <w:footnote w:id="18">
    <w:p w14:paraId="270DCD79" w14:textId="7625095E" w:rsidR="00AF7142" w:rsidRPr="00530A7D" w:rsidRDefault="00AF7142">
      <w:pPr>
        <w:pStyle w:val="FootnoteText"/>
        <w:rPr>
          <w:lang w:val="es-ES"/>
        </w:rPr>
      </w:pPr>
      <w:r>
        <w:rPr>
          <w:rStyle w:val="FootnoteReference"/>
        </w:rPr>
        <w:footnoteRef/>
      </w:r>
      <w:r w:rsidRPr="00530A7D">
        <w:rPr>
          <w:lang w:val="es-ES"/>
        </w:rPr>
        <w:t xml:space="preserve"> https://www.synnefo.org</w:t>
      </w:r>
    </w:p>
  </w:footnote>
  <w:footnote w:id="19">
    <w:p w14:paraId="5FCD19C9" w14:textId="68C6A79A" w:rsidR="00AF7142" w:rsidRPr="00530A7D" w:rsidRDefault="00AF7142">
      <w:pPr>
        <w:pStyle w:val="FootnoteText"/>
        <w:rPr>
          <w:lang w:val="es-ES"/>
        </w:rPr>
      </w:pPr>
      <w:r>
        <w:rPr>
          <w:rStyle w:val="FootnoteReference"/>
        </w:rPr>
        <w:footnoteRef/>
      </w:r>
      <w:r w:rsidRPr="00530A7D">
        <w:rPr>
          <w:lang w:val="es-ES"/>
        </w:rPr>
        <w:t xml:space="preserve"> </w:t>
      </w:r>
      <w:hyperlink r:id="rId11" w:history="1">
        <w:r w:rsidRPr="00530A7D">
          <w:rPr>
            <w:rStyle w:val="Hyperlink"/>
            <w:lang w:val="es-ES"/>
          </w:rPr>
          <w:t>https://github.com/grnet/snf-occi</w:t>
        </w:r>
      </w:hyperlink>
      <w:r w:rsidRPr="00530A7D">
        <w:rPr>
          <w:lang w:val="es-ES"/>
        </w:rPr>
        <w:t xml:space="preserve"> </w:t>
      </w:r>
    </w:p>
  </w:footnote>
  <w:footnote w:id="20">
    <w:p w14:paraId="068DDA97" w14:textId="3A070492" w:rsidR="00AF7142" w:rsidRPr="00530A7D" w:rsidRDefault="00AF7142">
      <w:pPr>
        <w:pStyle w:val="FootnoteText"/>
        <w:rPr>
          <w:lang w:val="es-ES"/>
        </w:rPr>
      </w:pPr>
      <w:r>
        <w:rPr>
          <w:rStyle w:val="FootnoteReference"/>
        </w:rPr>
        <w:footnoteRef/>
      </w:r>
      <w:r w:rsidRPr="00530A7D">
        <w:rPr>
          <w:lang w:val="es-ES"/>
        </w:rPr>
        <w:t xml:space="preserve"> </w:t>
      </w:r>
    </w:p>
  </w:footnote>
  <w:footnote w:id="21">
    <w:p w14:paraId="13D6ACF9" w14:textId="719E1387" w:rsidR="00AF7142" w:rsidRPr="00530A7D" w:rsidRDefault="00AF7142">
      <w:pPr>
        <w:pStyle w:val="FootnoteText"/>
        <w:rPr>
          <w:lang w:val="es-ES"/>
        </w:rPr>
      </w:pPr>
      <w:r>
        <w:rPr>
          <w:rStyle w:val="FootnoteReference"/>
        </w:rPr>
        <w:footnoteRef/>
      </w:r>
      <w:r w:rsidRPr="00530A7D">
        <w:rPr>
          <w:lang w:val="es-ES"/>
        </w:rPr>
        <w:t xml:space="preserve"> </w:t>
      </w:r>
      <w:hyperlink r:id="rId12" w:history="1">
        <w:r w:rsidRPr="00530A7D">
          <w:rPr>
            <w:rStyle w:val="Hyperlink"/>
            <w:lang w:val="es-ES"/>
          </w:rPr>
          <w:t>https://github.com/grnet/snf-cdmi</w:t>
        </w:r>
      </w:hyperlink>
      <w:r w:rsidRPr="00530A7D">
        <w:rPr>
          <w:lang w:val="es-ES"/>
        </w:rPr>
        <w:t xml:space="preserve"> </w:t>
      </w:r>
    </w:p>
  </w:footnote>
  <w:footnote w:id="22">
    <w:p w14:paraId="3A38C5EC" w14:textId="0F07C877" w:rsidR="00AF7142" w:rsidRPr="00530A7D" w:rsidRDefault="00AF7142">
      <w:pPr>
        <w:pStyle w:val="FootnoteText"/>
        <w:rPr>
          <w:lang w:val="es-ES"/>
        </w:rPr>
      </w:pPr>
      <w:r>
        <w:rPr>
          <w:rStyle w:val="FootnoteReference"/>
        </w:rPr>
        <w:footnoteRef/>
      </w:r>
      <w:r w:rsidRPr="00530A7D">
        <w:rPr>
          <w:lang w:val="es-ES"/>
        </w:rPr>
        <w:t xml:space="preserve"> </w:t>
      </w:r>
      <w:hyperlink r:id="rId13" w:history="1">
        <w:r w:rsidRPr="00530A7D">
          <w:rPr>
            <w:rStyle w:val="Hyperlink"/>
            <w:lang w:val="es-ES"/>
          </w:rPr>
          <w:t>https://github.com/grnet/snf-ssm</w:t>
        </w:r>
      </w:hyperlink>
      <w:r w:rsidRPr="00530A7D">
        <w:rPr>
          <w:lang w:val="es-ES"/>
        </w:rPr>
        <w:t xml:space="preserve"> </w:t>
      </w:r>
    </w:p>
  </w:footnote>
  <w:footnote w:id="23">
    <w:p w14:paraId="33599487" w14:textId="5BE9C2C9" w:rsidR="00AF7142" w:rsidRPr="00530A7D" w:rsidRDefault="00AF7142">
      <w:pPr>
        <w:pStyle w:val="FootnoteText"/>
        <w:rPr>
          <w:lang w:val="es-ES"/>
        </w:rPr>
      </w:pPr>
      <w:r>
        <w:rPr>
          <w:rStyle w:val="FootnoteReference"/>
        </w:rPr>
        <w:footnoteRef/>
      </w:r>
      <w:r w:rsidRPr="00530A7D">
        <w:rPr>
          <w:lang w:val="es-ES"/>
        </w:rPr>
        <w:t xml:space="preserve"> https://github.com/grnet/snf-vmcatcher</w:t>
      </w:r>
    </w:p>
  </w:footnote>
  <w:footnote w:id="24">
    <w:p w14:paraId="5771FBB1" w14:textId="77777777" w:rsidR="00AF7142" w:rsidRPr="007212E9" w:rsidRDefault="00AF7142" w:rsidP="00EE6A59">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4"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 w:id="25">
    <w:p w14:paraId="373F9314" w14:textId="5241291B" w:rsidR="00AF7142" w:rsidRPr="00376C43" w:rsidRDefault="00AF7142">
      <w:pPr>
        <w:pStyle w:val="FootnoteText"/>
        <w:rPr>
          <w:lang w:val="en-US"/>
        </w:rPr>
      </w:pPr>
      <w:r>
        <w:rPr>
          <w:rStyle w:val="FootnoteReference"/>
        </w:rPr>
        <w:footnoteRef/>
      </w:r>
      <w:r>
        <w:t xml:space="preserve"> The required attributes are </w:t>
      </w:r>
      <w:proofErr w:type="spellStart"/>
      <w:r>
        <w:t>eduPersonalUniqueId</w:t>
      </w:r>
      <w:proofErr w:type="spellEnd"/>
      <w:r>
        <w:t xml:space="preserve"> and the username-based </w:t>
      </w:r>
      <w:proofErr w:type="spellStart"/>
      <w:r>
        <w:t>eduPersonPrincipalName</w:t>
      </w:r>
      <w:proofErr w:type="spellEnd"/>
      <w:r>
        <w:t xml:space="preserve"> user identifier (scoped at </w:t>
      </w:r>
      <w:hyperlink r:id="rId15" w:history="1">
        <w:r>
          <w:rPr>
            <w:rStyle w:val="Hyperlink"/>
          </w:rPr>
          <w:t>elixir-europe.org</w:t>
        </w:r>
      </w:hyperlink>
      <w:r>
        <w:t xml:space="preserve"> in case of ELIXIR).</w:t>
      </w:r>
    </w:p>
  </w:footnote>
  <w:footnote w:id="26">
    <w:p w14:paraId="48E49F1D" w14:textId="48A32686" w:rsidR="00AF7142" w:rsidRPr="00DD4B00" w:rsidRDefault="00AF7142">
      <w:pPr>
        <w:pStyle w:val="FootnoteText"/>
        <w:rPr>
          <w:lang w:val="en-US"/>
        </w:rPr>
      </w:pPr>
      <w:r>
        <w:rPr>
          <w:rStyle w:val="FootnoteReference"/>
        </w:rPr>
        <w:footnoteRef/>
      </w:r>
      <w:r>
        <w:t xml:space="preserve"> </w:t>
      </w:r>
      <w:proofErr w:type="spellStart"/>
      <w:r>
        <w:rPr>
          <w:lang w:val="en-US"/>
        </w:rPr>
        <w:t>LoA</w:t>
      </w:r>
      <w:proofErr w:type="spellEnd"/>
      <w:r>
        <w:rPr>
          <w:lang w:val="en-US"/>
        </w:rPr>
        <w:t xml:space="preserve"> expresses the </w:t>
      </w:r>
      <w:r w:rsidRPr="00DD4B00">
        <w:rPr>
          <w:lang w:val="en-US"/>
        </w:rPr>
        <w:t xml:space="preserve">ability to determine, with some level of certainty, that </w:t>
      </w:r>
      <w:r>
        <w:rPr>
          <w:lang w:val="en-US"/>
        </w:rPr>
        <w:t>the</w:t>
      </w:r>
      <w:r w:rsidRPr="00DD4B00">
        <w:rPr>
          <w:lang w:val="en-US"/>
        </w:rPr>
        <w:t xml:space="preserve"> electronic credential representing an entity (human or a machine) with which it interacts to effect a transaction, can be trusted to actually belong to the entity.</w:t>
      </w:r>
    </w:p>
  </w:footnote>
  <w:footnote w:id="27">
    <w:p w14:paraId="6B219F30" w14:textId="77777777" w:rsidR="00AF7142" w:rsidRPr="00914076" w:rsidRDefault="00AF7142" w:rsidP="00914076">
      <w:pPr>
        <w:pStyle w:val="FootnoteText"/>
        <w:rPr>
          <w:lang w:val="es-ES"/>
        </w:rPr>
      </w:pPr>
      <w:r>
        <w:rPr>
          <w:rStyle w:val="FootnoteReference"/>
        </w:rPr>
        <w:footnoteRef/>
      </w:r>
      <w:r>
        <w:t xml:space="preserve"> </w:t>
      </w:r>
      <w:hyperlink r:id="rId16" w:history="1">
        <w:r w:rsidRPr="00C876DD">
          <w:rPr>
            <w:rStyle w:val="Hyperlink"/>
          </w:rPr>
          <w:t>http://docs.openstack.org/developer/keystone/federation/federated_identity.html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AF7142" w:rsidRDefault="00AF71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AF7142" w:rsidRDefault="00AF71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AF7142" w14:paraId="3D12E6D2" w14:textId="77777777">
      <w:trPr>
        <w:trHeight w:val="857"/>
      </w:trPr>
      <w:tc>
        <w:tcPr>
          <w:tcW w:w="3060" w:type="dxa"/>
          <w:tcBorders>
            <w:top w:val="single" w:sz="4" w:space="0" w:color="000000"/>
          </w:tcBorders>
          <w:shd w:val="clear" w:color="auto" w:fill="FFFFFF"/>
          <w:vAlign w:val="bottom"/>
        </w:tcPr>
        <w:p w14:paraId="74F383C4" w14:textId="77777777" w:rsidR="00AF7142" w:rsidRDefault="00AF7142"/>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337784D"/>
    <w:multiLevelType w:val="multilevel"/>
    <w:tmpl w:val="CBDE7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4BA767C"/>
    <w:multiLevelType w:val="hybridMultilevel"/>
    <w:tmpl w:val="B85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E0584"/>
    <w:multiLevelType w:val="hybridMultilevel"/>
    <w:tmpl w:val="E7A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D3007"/>
    <w:multiLevelType w:val="hybridMultilevel"/>
    <w:tmpl w:val="781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B4286"/>
    <w:multiLevelType w:val="multilevel"/>
    <w:tmpl w:val="BCD6D2C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37775C8"/>
    <w:multiLevelType w:val="hybridMultilevel"/>
    <w:tmpl w:val="AA8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C89"/>
    <w:multiLevelType w:val="hybridMultilevel"/>
    <w:tmpl w:val="2DD8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30AD9"/>
    <w:multiLevelType w:val="hybridMultilevel"/>
    <w:tmpl w:val="9838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248A9"/>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B2D19E2"/>
    <w:multiLevelType w:val="hybridMultilevel"/>
    <w:tmpl w:val="5AD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BD7"/>
    <w:multiLevelType w:val="hybridMultilevel"/>
    <w:tmpl w:val="8DA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CB53C48"/>
    <w:multiLevelType w:val="multilevel"/>
    <w:tmpl w:val="D0607C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11382E"/>
    <w:multiLevelType w:val="hybridMultilevel"/>
    <w:tmpl w:val="F64A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4"/>
  </w:num>
  <w:num w:numId="5">
    <w:abstractNumId w:val="8"/>
  </w:num>
  <w:num w:numId="6">
    <w:abstractNumId w:val="3"/>
  </w:num>
  <w:num w:numId="7">
    <w:abstractNumId w:val="27"/>
  </w:num>
  <w:num w:numId="8">
    <w:abstractNumId w:val="9"/>
  </w:num>
  <w:num w:numId="9">
    <w:abstractNumId w:val="15"/>
  </w:num>
  <w:num w:numId="10">
    <w:abstractNumId w:val="10"/>
  </w:num>
  <w:num w:numId="11">
    <w:abstractNumId w:val="18"/>
  </w:num>
  <w:num w:numId="12">
    <w:abstractNumId w:val="26"/>
  </w:num>
  <w:num w:numId="13">
    <w:abstractNumId w:val="16"/>
  </w:num>
  <w:num w:numId="14">
    <w:abstractNumId w:val="14"/>
  </w:num>
  <w:num w:numId="15">
    <w:abstractNumId w:val="22"/>
  </w:num>
  <w:num w:numId="16">
    <w:abstractNumId w:val="17"/>
  </w:num>
  <w:num w:numId="17">
    <w:abstractNumId w:val="25"/>
  </w:num>
  <w:num w:numId="18">
    <w:abstractNumId w:val="5"/>
  </w:num>
  <w:num w:numId="19">
    <w:abstractNumId w:val="12"/>
  </w:num>
  <w:num w:numId="20">
    <w:abstractNumId w:val="4"/>
  </w:num>
  <w:num w:numId="21">
    <w:abstractNumId w:val="11"/>
  </w:num>
  <w:num w:numId="22">
    <w:abstractNumId w:val="23"/>
  </w:num>
  <w:num w:numId="23">
    <w:abstractNumId w:val="21"/>
  </w:num>
  <w:num w:numId="24">
    <w:abstractNumId w:val="6"/>
  </w:num>
  <w:num w:numId="25">
    <w:abstractNumId w:val="19"/>
  </w:num>
  <w:num w:numId="26">
    <w:abstractNumId w:val="7"/>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1947"/>
    <w:rsid w:val="00054EFF"/>
    <w:rsid w:val="00057A5D"/>
    <w:rsid w:val="00075B24"/>
    <w:rsid w:val="0008538C"/>
    <w:rsid w:val="00090A63"/>
    <w:rsid w:val="000C767B"/>
    <w:rsid w:val="000E493D"/>
    <w:rsid w:val="001041EF"/>
    <w:rsid w:val="0016261A"/>
    <w:rsid w:val="00187DC1"/>
    <w:rsid w:val="001A37C4"/>
    <w:rsid w:val="001C23D3"/>
    <w:rsid w:val="00230F58"/>
    <w:rsid w:val="00231479"/>
    <w:rsid w:val="00234E7E"/>
    <w:rsid w:val="0027355A"/>
    <w:rsid w:val="002743EA"/>
    <w:rsid w:val="00283AD3"/>
    <w:rsid w:val="002A2D02"/>
    <w:rsid w:val="002B2D16"/>
    <w:rsid w:val="002B6A70"/>
    <w:rsid w:val="002E7F2E"/>
    <w:rsid w:val="002F092C"/>
    <w:rsid w:val="00325111"/>
    <w:rsid w:val="00331899"/>
    <w:rsid w:val="00334626"/>
    <w:rsid w:val="003754A8"/>
    <w:rsid w:val="00376C43"/>
    <w:rsid w:val="003A44A3"/>
    <w:rsid w:val="0040474B"/>
    <w:rsid w:val="0042359E"/>
    <w:rsid w:val="004256FD"/>
    <w:rsid w:val="00431873"/>
    <w:rsid w:val="00457EAF"/>
    <w:rsid w:val="00466D4B"/>
    <w:rsid w:val="0048110F"/>
    <w:rsid w:val="00485257"/>
    <w:rsid w:val="00496AF0"/>
    <w:rsid w:val="004B1271"/>
    <w:rsid w:val="004C06CC"/>
    <w:rsid w:val="004C79FC"/>
    <w:rsid w:val="004F1DA2"/>
    <w:rsid w:val="00501FF1"/>
    <w:rsid w:val="00512F50"/>
    <w:rsid w:val="0053001C"/>
    <w:rsid w:val="00530A7D"/>
    <w:rsid w:val="0053100B"/>
    <w:rsid w:val="00536BBD"/>
    <w:rsid w:val="0058190B"/>
    <w:rsid w:val="005A3B56"/>
    <w:rsid w:val="005E256F"/>
    <w:rsid w:val="0061075F"/>
    <w:rsid w:val="00634A46"/>
    <w:rsid w:val="007212E9"/>
    <w:rsid w:val="0077464C"/>
    <w:rsid w:val="00774676"/>
    <w:rsid w:val="00795243"/>
    <w:rsid w:val="007A5A27"/>
    <w:rsid w:val="007D76F7"/>
    <w:rsid w:val="008057F2"/>
    <w:rsid w:val="0086452B"/>
    <w:rsid w:val="00914076"/>
    <w:rsid w:val="009158EA"/>
    <w:rsid w:val="00922849"/>
    <w:rsid w:val="009463E1"/>
    <w:rsid w:val="0095147C"/>
    <w:rsid w:val="00957209"/>
    <w:rsid w:val="0096273D"/>
    <w:rsid w:val="00977D7F"/>
    <w:rsid w:val="009B7E39"/>
    <w:rsid w:val="009F16CE"/>
    <w:rsid w:val="00A1016C"/>
    <w:rsid w:val="00A35869"/>
    <w:rsid w:val="00A502F3"/>
    <w:rsid w:val="00A639CC"/>
    <w:rsid w:val="00A75645"/>
    <w:rsid w:val="00AF5E1A"/>
    <w:rsid w:val="00AF7142"/>
    <w:rsid w:val="00B07157"/>
    <w:rsid w:val="00B22E55"/>
    <w:rsid w:val="00B2650F"/>
    <w:rsid w:val="00BC6614"/>
    <w:rsid w:val="00BF790E"/>
    <w:rsid w:val="00C16D0B"/>
    <w:rsid w:val="00C3237F"/>
    <w:rsid w:val="00C438F5"/>
    <w:rsid w:val="00C744E7"/>
    <w:rsid w:val="00CD26DF"/>
    <w:rsid w:val="00CE43D5"/>
    <w:rsid w:val="00CE5FB0"/>
    <w:rsid w:val="00D05AE8"/>
    <w:rsid w:val="00DC6217"/>
    <w:rsid w:val="00DD3BFE"/>
    <w:rsid w:val="00DD4B00"/>
    <w:rsid w:val="00DF5FFE"/>
    <w:rsid w:val="00E126F8"/>
    <w:rsid w:val="00E27073"/>
    <w:rsid w:val="00E620D8"/>
    <w:rsid w:val="00E76EF0"/>
    <w:rsid w:val="00E810DA"/>
    <w:rsid w:val="00E96459"/>
    <w:rsid w:val="00EE6A59"/>
    <w:rsid w:val="00F84E54"/>
    <w:rsid w:val="00FA2573"/>
    <w:rsid w:val="00FC7FB6"/>
    <w:rsid w:val="00FD42CE"/>
    <w:rsid w:val="00FD5D20"/>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2946C43D-CB09-417B-8A01-1FEAA2F9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387187802">
      <w:bodyDiv w:val="1"/>
      <w:marLeft w:val="0"/>
      <w:marRight w:val="0"/>
      <w:marTop w:val="0"/>
      <w:marBottom w:val="0"/>
      <w:divBdr>
        <w:top w:val="none" w:sz="0" w:space="0" w:color="auto"/>
        <w:left w:val="none" w:sz="0" w:space="0" w:color="auto"/>
        <w:bottom w:val="none" w:sz="0" w:space="0" w:color="auto"/>
        <w:right w:val="none" w:sz="0" w:space="0" w:color="auto"/>
      </w:divBdr>
    </w:div>
    <w:div w:id="472531086">
      <w:bodyDiv w:val="1"/>
      <w:marLeft w:val="0"/>
      <w:marRight w:val="0"/>
      <w:marTop w:val="0"/>
      <w:marBottom w:val="0"/>
      <w:divBdr>
        <w:top w:val="none" w:sz="0" w:space="0" w:color="auto"/>
        <w:left w:val="none" w:sz="0" w:space="0" w:color="auto"/>
        <w:bottom w:val="none" w:sz="0" w:space="0" w:color="auto"/>
        <w:right w:val="none" w:sz="0" w:space="0" w:color="auto"/>
      </w:divBdr>
    </w:div>
    <w:div w:id="574823578">
      <w:bodyDiv w:val="1"/>
      <w:marLeft w:val="0"/>
      <w:marRight w:val="0"/>
      <w:marTop w:val="0"/>
      <w:marBottom w:val="0"/>
      <w:divBdr>
        <w:top w:val="none" w:sz="0" w:space="0" w:color="auto"/>
        <w:left w:val="none" w:sz="0" w:space="0" w:color="auto"/>
        <w:bottom w:val="none" w:sz="0" w:space="0" w:color="auto"/>
        <w:right w:val="none" w:sz="0" w:space="0" w:color="auto"/>
      </w:divBdr>
    </w:div>
    <w:div w:id="605889473">
      <w:bodyDiv w:val="1"/>
      <w:marLeft w:val="0"/>
      <w:marRight w:val="0"/>
      <w:marTop w:val="0"/>
      <w:marBottom w:val="0"/>
      <w:divBdr>
        <w:top w:val="none" w:sz="0" w:space="0" w:color="auto"/>
        <w:left w:val="none" w:sz="0" w:space="0" w:color="auto"/>
        <w:bottom w:val="none" w:sz="0" w:space="0" w:color="auto"/>
        <w:right w:val="none" w:sz="0" w:space="0" w:color="auto"/>
      </w:divBdr>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02369811">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034843994">
      <w:bodyDiv w:val="1"/>
      <w:marLeft w:val="0"/>
      <w:marRight w:val="0"/>
      <w:marTop w:val="0"/>
      <w:marBottom w:val="0"/>
      <w:divBdr>
        <w:top w:val="none" w:sz="0" w:space="0" w:color="auto"/>
        <w:left w:val="none" w:sz="0" w:space="0" w:color="auto"/>
        <w:bottom w:val="none" w:sz="0" w:space="0" w:color="auto"/>
        <w:right w:val="none" w:sz="0" w:space="0" w:color="auto"/>
      </w:divBdr>
      <w:divsChild>
        <w:div w:id="748767859">
          <w:marLeft w:val="0"/>
          <w:marRight w:val="0"/>
          <w:marTop w:val="0"/>
          <w:marBottom w:val="0"/>
          <w:divBdr>
            <w:top w:val="none" w:sz="0" w:space="0" w:color="auto"/>
            <w:left w:val="none" w:sz="0" w:space="0" w:color="auto"/>
            <w:bottom w:val="none" w:sz="0" w:space="0" w:color="auto"/>
            <w:right w:val="none" w:sz="0" w:space="0" w:color="auto"/>
          </w:divBdr>
        </w:div>
        <w:div w:id="1155217836">
          <w:marLeft w:val="0"/>
          <w:marRight w:val="0"/>
          <w:marTop w:val="0"/>
          <w:marBottom w:val="0"/>
          <w:divBdr>
            <w:top w:val="none" w:sz="0" w:space="0" w:color="auto"/>
            <w:left w:val="none" w:sz="0" w:space="0" w:color="auto"/>
            <w:bottom w:val="none" w:sz="0" w:space="0" w:color="auto"/>
            <w:right w:val="none" w:sz="0" w:space="0" w:color="auto"/>
          </w:divBdr>
        </w:div>
        <w:div w:id="632713622">
          <w:marLeft w:val="0"/>
          <w:marRight w:val="0"/>
          <w:marTop w:val="0"/>
          <w:marBottom w:val="0"/>
          <w:divBdr>
            <w:top w:val="none" w:sz="0" w:space="0" w:color="auto"/>
            <w:left w:val="none" w:sz="0" w:space="0" w:color="auto"/>
            <w:bottom w:val="none" w:sz="0" w:space="0" w:color="auto"/>
            <w:right w:val="none" w:sz="0" w:space="0" w:color="auto"/>
          </w:divBdr>
        </w:div>
      </w:divsChild>
    </w:div>
    <w:div w:id="1048530645">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85448988">
      <w:bodyDiv w:val="1"/>
      <w:marLeft w:val="0"/>
      <w:marRight w:val="0"/>
      <w:marTop w:val="0"/>
      <w:marBottom w:val="0"/>
      <w:divBdr>
        <w:top w:val="none" w:sz="0" w:space="0" w:color="auto"/>
        <w:left w:val="none" w:sz="0" w:space="0" w:color="auto"/>
        <w:bottom w:val="none" w:sz="0" w:space="0" w:color="auto"/>
        <w:right w:val="none" w:sz="0" w:space="0" w:color="auto"/>
      </w:divBdr>
    </w:div>
    <w:div w:id="1387073661">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400404355">
      <w:bodyDiv w:val="1"/>
      <w:marLeft w:val="0"/>
      <w:marRight w:val="0"/>
      <w:marTop w:val="0"/>
      <w:marBottom w:val="0"/>
      <w:divBdr>
        <w:top w:val="none" w:sz="0" w:space="0" w:color="auto"/>
        <w:left w:val="none" w:sz="0" w:space="0" w:color="auto"/>
        <w:bottom w:val="none" w:sz="0" w:space="0" w:color="auto"/>
        <w:right w:val="none" w:sz="0" w:space="0" w:color="auto"/>
      </w:divBdr>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s://goc.egi.eu/portal/index.php?Page_Type=View_Role_Action_Mapping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c.egi.e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13" Type="http://schemas.openxmlformats.org/officeDocument/2006/relationships/hyperlink" Target="https://github.com/grnet/snf-ssm"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12" Type="http://schemas.openxmlformats.org/officeDocument/2006/relationships/hyperlink" Target="https://github.com/grnet/snf-cdmi" TargetMode="External"/><Relationship Id="rId2" Type="http://schemas.openxmlformats.org/officeDocument/2006/relationships/hyperlink" Target="http://www.egi.eu/" TargetMode="External"/><Relationship Id="rId16" Type="http://schemas.openxmlformats.org/officeDocument/2006/relationships/hyperlink" Target="http://docs.openstack.org/developer/keystone/federation/federated_identity.html"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github.com/grnet/snf-occi" TargetMode="External"/><Relationship Id="rId5" Type="http://schemas.openxmlformats.org/officeDocument/2006/relationships/hyperlink" Target="http://www.eudat.eu/" TargetMode="External"/><Relationship Id="rId15" Type="http://schemas.openxmlformats.org/officeDocument/2006/relationships/hyperlink" Target="http://elixir-europe.org" TargetMode="External"/><Relationship Id="rId10" Type="http://schemas.openxmlformats.org/officeDocument/2006/relationships/hyperlink" Target="https://wiki.egi.eu/wiki/Federated_Cloud_resource_providers_support"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 Id="rId14" Type="http://schemas.openxmlformats.org/officeDocument/2006/relationships/hyperlink" Target="https://wiki.egi.eu/wiki/EGI-Engage:W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27</Pages>
  <Words>5250</Words>
  <Characters>42529</Characters>
  <Application>Microsoft Office Word</Application>
  <DocSecurity>0</DocSecurity>
  <Lines>354</Lines>
  <Paragraphs>95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4</cp:revision>
  <cp:lastPrinted>1900-12-31T23:00:00Z</cp:lastPrinted>
  <dcterms:created xsi:type="dcterms:W3CDTF">2016-05-27T07:53:00Z</dcterms:created>
  <dcterms:modified xsi:type="dcterms:W3CDTF">2016-05-27T09:47:00Z</dcterms:modified>
</cp:coreProperties>
</file>