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420F" w14:textId="77777777" w:rsidR="0061075F" w:rsidRDefault="00054EFF">
      <w:pPr>
        <w:jc w:val="center"/>
        <w:rPr>
          <w:b/>
          <w:color w:val="0067B1"/>
          <w:sz w:val="56"/>
        </w:rPr>
      </w:pPr>
      <w:r>
        <w:rPr>
          <w:noProof/>
          <w:lang w:val="en-US"/>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5B440D4" w14:textId="1363461E" w:rsidR="0061075F" w:rsidRDefault="00600E17" w:rsidP="008F3D33">
      <w:pPr>
        <w:ind w:left="360"/>
        <w:sectPr w:rsidR="0061075F">
          <w:footerReference w:type="default" r:id="rId9"/>
          <w:footerReference w:type="first" r:id="rId10"/>
          <w:pgSz w:w="11906" w:h="16838"/>
          <w:pgMar w:top="1985" w:right="1440" w:bottom="1440" w:left="1440" w:header="993" w:footer="844" w:gutter="0"/>
          <w:cols w:space="708"/>
          <w:titlePg/>
          <w:docGrid w:linePitch="360" w:charSpace="-2049"/>
        </w:sectPr>
      </w:pPr>
      <w:r>
        <w:t xml:space="preserve">The </w:t>
      </w:r>
      <w:r w:rsidR="00054EFF">
        <w:t xml:space="preserve">ELIXIR Competence </w:t>
      </w:r>
      <w:r w:rsidR="00CE5FB0">
        <w:t>Centre</w:t>
      </w:r>
      <w:r w:rsidR="00054EFF">
        <w:t xml:space="preserve"> </w:t>
      </w:r>
      <w:r w:rsidR="00CE5FB0">
        <w:t xml:space="preserve">(CC) </w:t>
      </w:r>
      <w:r w:rsidR="00054EFF">
        <w:t xml:space="preserve">aims to bring EGI resources, especially the EGI Federated Could, better available to the ELIXIR user community. </w:t>
      </w:r>
      <w:r w:rsidR="00AD2722">
        <w:t xml:space="preserve">The document </w:t>
      </w:r>
      <w:r w:rsidR="008F3D33">
        <w:t>briefly describes ELIXIR’s</w:t>
      </w:r>
      <w:r w:rsidR="00AD2722">
        <w:t xml:space="preserve"> plans </w:t>
      </w:r>
      <w:r w:rsidR="008F3D33">
        <w:t xml:space="preserve">for using services and technologies from the EGI Federated Cloud in the ELIXIR Compute Platform. The document provides detailed </w:t>
      </w:r>
      <w:r w:rsidR="00AD2722">
        <w:t xml:space="preserve">guidelines </w:t>
      </w:r>
      <w:r w:rsidR="008F3D33">
        <w:t xml:space="preserve">and usage practices </w:t>
      </w:r>
      <w:r w:rsidR="00AD2722">
        <w:t xml:space="preserve">for </w:t>
      </w:r>
      <w:r w:rsidR="008F3D33">
        <w:t xml:space="preserve">cloud </w:t>
      </w:r>
      <w:r w:rsidR="00AD2722">
        <w:t xml:space="preserve">providers </w:t>
      </w:r>
      <w:r w:rsidR="008F3D33">
        <w:t>on how to</w:t>
      </w:r>
      <w:r w:rsidR="00AD2722">
        <w:t xml:space="preserve"> join the platform </w:t>
      </w:r>
      <w:r w:rsidR="008F3D33">
        <w:t>as a service provider</w:t>
      </w:r>
      <w:r w:rsidR="00AD2722">
        <w:t xml:space="preserve">. </w:t>
      </w:r>
      <w:r w:rsidR="00FC6862">
        <w:t xml:space="preserve">The </w:t>
      </w:r>
      <w:r w:rsidR="00FC6862">
        <w:t xml:space="preserve">document </w:t>
      </w:r>
      <w:r w:rsidR="00FC6862">
        <w:t xml:space="preserve">also </w:t>
      </w:r>
      <w:r w:rsidR="00FC6862">
        <w:t xml:space="preserve">sums up the experiences </w:t>
      </w:r>
      <w:r w:rsidR="00FC6862">
        <w:t xml:space="preserve">and plans </w:t>
      </w:r>
      <w:r w:rsidR="00FC6862">
        <w:t>of the ELI</w:t>
      </w:r>
      <w:r w:rsidR="00FC6862">
        <w:t>X</w:t>
      </w:r>
      <w:r w:rsidR="00FC6862">
        <w:t xml:space="preserve">IR CC members </w:t>
      </w:r>
      <w:r w:rsidR="008F3D33">
        <w:t>concerning their participation in the</w:t>
      </w:r>
      <w:r w:rsidR="00FC6862">
        <w:t xml:space="preserve"> ELIXIR Compute Platform</w:t>
      </w:r>
      <w:r w:rsidR="00FC6862">
        <w:t>.</w:t>
      </w: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en-US"/>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15F4EDF1" w:rsidR="0061075F" w:rsidRDefault="00467C0D">
            <w:pPr>
              <w:pStyle w:val="NoSpacing"/>
            </w:pPr>
            <w:r>
              <w:t>Kimmo Mattila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058E8D3" w:rsidR="0061075F" w:rsidRDefault="00467C0D">
            <w:pPr>
              <w:pStyle w:val="NoSpacing"/>
            </w:pPr>
            <w:r>
              <w:t>CSC / SA2</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1DE8E249" w:rsidR="0061075F" w:rsidRDefault="00467C0D">
            <w:pPr>
              <w:pStyle w:val="NoSpacing"/>
            </w:pPr>
            <w:r>
              <w:t>3/Jun/2016</w:t>
            </w: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r>
              <w:t>ToC</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CF1CB2" w14:paraId="7D5386D1" w14:textId="77777777" w:rsidTr="00CF1CB2">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8855A05" w14:textId="6A0C6E4D" w:rsidR="00CF1CB2" w:rsidRPr="007D76F7" w:rsidRDefault="00CF1CB2" w:rsidP="000B26BC">
            <w:pPr>
              <w:pStyle w:val="NoSpacing"/>
              <w:rPr>
                <w:b/>
              </w:rPr>
            </w:pPr>
            <w:r w:rsidRPr="007D76F7">
              <w:rPr>
                <w:b/>
              </w:rPr>
              <w:t>v.6</w:t>
            </w:r>
            <w:r w:rsidR="00467C0D">
              <w:rPr>
                <w:b/>
              </w:rPr>
              <w:t>-1</w:t>
            </w:r>
            <w:r w:rsidR="000B26BC">
              <w:rPr>
                <w:b/>
              </w:rPr>
              <w:t>9</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EDB345B" w14:textId="77777777" w:rsidR="00CF1CB2" w:rsidRDefault="00CF1CB2" w:rsidP="00CF1CB2">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5A7445EC" w14:textId="0939CBC2" w:rsidR="00CF1CB2" w:rsidRDefault="000B26BC" w:rsidP="006C789E">
            <w:pPr>
              <w:pStyle w:val="NoSpacing"/>
            </w:pPr>
            <w:r>
              <w:t xml:space="preserve">Adding </w:t>
            </w:r>
            <w:r w:rsidR="000034E9">
              <w:t xml:space="preserve">content to </w:t>
            </w:r>
            <w:r>
              <w:t xml:space="preserve">various </w:t>
            </w:r>
            <w:r w:rsidR="006C789E">
              <w:t>sections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9AB57C9" w14:textId="77777777" w:rsidR="00CF1CB2" w:rsidRDefault="00CF1CB2" w:rsidP="00CF1CB2">
            <w:pPr>
              <w:pStyle w:val="NoSpacing"/>
            </w:pPr>
            <w:r>
              <w:t>K. Mattila / CSC</w:t>
            </w:r>
          </w:p>
        </w:tc>
      </w:tr>
      <w:tr w:rsidR="00467C0D" w14:paraId="100C893A" w14:textId="77777777" w:rsidTr="0082118F">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35E666BC" w14:textId="33F61383" w:rsidR="00467C0D" w:rsidRPr="007D76F7" w:rsidRDefault="00467C0D" w:rsidP="0082118F">
            <w:pPr>
              <w:pStyle w:val="NoSpacing"/>
              <w:rPr>
                <w:b/>
              </w:rPr>
            </w:pPr>
            <w:r w:rsidRPr="007D76F7">
              <w:rPr>
                <w:b/>
              </w:rPr>
              <w:t>v.</w:t>
            </w:r>
            <w:r w:rsidR="000B26BC">
              <w:rPr>
                <w:b/>
              </w:rPr>
              <w:t>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2FFFCD5" w14:textId="77777777" w:rsidR="00467C0D" w:rsidRDefault="00467C0D" w:rsidP="0082118F">
            <w:pPr>
              <w:pStyle w:val="NoSpacing"/>
            </w:pPr>
            <w:r>
              <w:t>30/May/2016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1935C9C" w14:textId="77777777" w:rsidR="00467C0D" w:rsidRDefault="00467C0D" w:rsidP="0082118F">
            <w:pPr>
              <w:pStyle w:val="NoSpacing"/>
            </w:pPr>
            <w:r>
              <w:t>Merged CNRS contribution, cleaned CSC section, wrote Summary and Next steps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5D548F5B" w14:textId="77777777" w:rsidR="00467C0D" w:rsidRDefault="00467C0D" w:rsidP="0082118F">
            <w:pPr>
              <w:pStyle w:val="NoSpacing"/>
            </w:pPr>
            <w:r>
              <w:t>G. Sipos / EGI.eu</w:t>
            </w:r>
          </w:p>
        </w:tc>
      </w:tr>
      <w:tr w:rsidR="00467C0D" w14:paraId="2FE35C52"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58D8DD7" w14:textId="530C076A" w:rsidR="00467C0D" w:rsidRPr="007D76F7" w:rsidRDefault="00467C0D" w:rsidP="00CF1CB2">
            <w:pPr>
              <w:pStyle w:val="NoSpacing"/>
              <w:rPr>
                <w:b/>
              </w:rPr>
            </w:pPr>
            <w:r>
              <w:rPr>
                <w:b/>
              </w:rPr>
              <w:t>v.</w:t>
            </w:r>
            <w:r w:rsidR="000B26BC">
              <w:rPr>
                <w:b/>
              </w:rPr>
              <w:t>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28748B2" w14:textId="4BADE267" w:rsidR="00467C0D" w:rsidRDefault="00467C0D">
            <w:pPr>
              <w:pStyle w:val="NoSpacing"/>
            </w:pPr>
            <w:r>
              <w:t>3/June/2016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AFCBB76" w14:textId="68D36A99" w:rsidR="00467C0D" w:rsidRDefault="00467C0D" w:rsidP="00CF1CB2">
            <w:pPr>
              <w:pStyle w:val="NoSpacing"/>
            </w:pPr>
            <w:r>
              <w:t>Added JetStream section; Updated CSC section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4CB0A629" w14:textId="11AD5FFA" w:rsidR="00467C0D" w:rsidRDefault="00467C0D" w:rsidP="00CF1CB2">
            <w:pPr>
              <w:pStyle w:val="NoSpacing"/>
            </w:pPr>
            <w:r>
              <w:t>K. Mattila / CSC</w:t>
            </w:r>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20DB377A" w:rsidR="0061075F" w:rsidRPr="007D76F7" w:rsidRDefault="007D76F7" w:rsidP="000B26BC">
            <w:pPr>
              <w:pStyle w:val="NoSpacing"/>
              <w:rPr>
                <w:b/>
              </w:rPr>
            </w:pPr>
            <w:r w:rsidRPr="007D76F7">
              <w:rPr>
                <w:b/>
              </w:rPr>
              <w:t>v.</w:t>
            </w:r>
            <w:r w:rsidR="000B26BC">
              <w:rPr>
                <w:b/>
              </w:rPr>
              <w:t>22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050C8ED5" w:rsidR="0061075F" w:rsidRDefault="00467C0D" w:rsidP="00467C0D">
            <w:pPr>
              <w:pStyle w:val="NoSpacing"/>
            </w:pPr>
            <w:r>
              <w:t>3</w:t>
            </w:r>
            <w:r w:rsidR="007D76F7">
              <w:t>/</w:t>
            </w:r>
            <w:r>
              <w:t>Jun</w:t>
            </w:r>
            <w:r w:rsidR="007D76F7">
              <w:t>/2016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49AAAEA9" w:rsidR="0061075F" w:rsidRDefault="00467C0D" w:rsidP="00CF1CB2">
            <w:pPr>
              <w:pStyle w:val="NoSpacing"/>
            </w:pPr>
            <w:r>
              <w:t>Finalised for external review</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73332057" w:rsidR="0061075F" w:rsidRDefault="00CF1CB2" w:rsidP="00CF1CB2">
            <w:pPr>
              <w:pStyle w:val="NoSpacing"/>
            </w:pPr>
            <w:r>
              <w:t>G. Sipos</w:t>
            </w:r>
            <w:r w:rsidR="007D76F7">
              <w:t xml:space="preserve"> / </w:t>
            </w:r>
            <w:r>
              <w:t>EGI.eu</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2"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2D6D2B53" w14:textId="29552D3E" w:rsidR="00462704" w:rsidRDefault="00054EFF">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fldChar w:fldCharType="begin"/>
      </w:r>
      <w:r>
        <w:instrText xml:space="preserve"> TOC </w:instrText>
      </w:r>
      <w:r>
        <w:fldChar w:fldCharType="separate"/>
      </w:r>
      <w:r w:rsidR="00462704">
        <w:t>ß</w:t>
      </w:r>
      <w:bookmarkStart w:id="0" w:name="_GoBack"/>
      <w:bookmarkEnd w:id="0"/>
      <w:r w:rsidR="00462704">
        <w:rPr>
          <w:noProof/>
        </w:rPr>
        <w:t>1</w:t>
      </w:r>
      <w:r w:rsidR="00462704">
        <w:rPr>
          <w:rFonts w:asciiTheme="minorHAnsi" w:eastAsiaTheme="minorEastAsia" w:hAnsiTheme="minorHAnsi" w:cstheme="minorBidi"/>
          <w:noProof/>
          <w:color w:val="auto"/>
          <w:spacing w:val="0"/>
          <w:kern w:val="0"/>
          <w:sz w:val="24"/>
          <w:szCs w:val="24"/>
          <w:lang w:val="en-US" w:eastAsia="ja-JP"/>
        </w:rPr>
        <w:tab/>
      </w:r>
      <w:r w:rsidR="00462704">
        <w:rPr>
          <w:noProof/>
        </w:rPr>
        <w:t>Introduction</w:t>
      </w:r>
      <w:r w:rsidR="00462704">
        <w:rPr>
          <w:noProof/>
        </w:rPr>
        <w:tab/>
      </w:r>
      <w:r w:rsidR="00462704">
        <w:rPr>
          <w:noProof/>
        </w:rPr>
        <w:fldChar w:fldCharType="begin"/>
      </w:r>
      <w:r w:rsidR="00462704">
        <w:rPr>
          <w:noProof/>
        </w:rPr>
        <w:instrText xml:space="preserve"> PAGEREF _Toc326585229 \h </w:instrText>
      </w:r>
      <w:r w:rsidR="00462704">
        <w:rPr>
          <w:noProof/>
        </w:rPr>
      </w:r>
      <w:r w:rsidR="00462704">
        <w:rPr>
          <w:noProof/>
        </w:rPr>
        <w:fldChar w:fldCharType="separate"/>
      </w:r>
      <w:r w:rsidR="00462704">
        <w:rPr>
          <w:noProof/>
        </w:rPr>
        <w:t>5</w:t>
      </w:r>
      <w:r w:rsidR="00462704">
        <w:rPr>
          <w:noProof/>
        </w:rPr>
        <w:fldChar w:fldCharType="end"/>
      </w:r>
    </w:p>
    <w:p w14:paraId="5023CCBE" w14:textId="77777777" w:rsidR="00462704" w:rsidRDefault="00462704">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w:t>
      </w:r>
      <w:r>
        <w:rPr>
          <w:rFonts w:asciiTheme="minorHAnsi" w:eastAsiaTheme="minorEastAsia" w:hAnsiTheme="minorHAnsi" w:cstheme="minorBidi"/>
          <w:noProof/>
          <w:color w:val="auto"/>
          <w:spacing w:val="0"/>
          <w:kern w:val="0"/>
          <w:sz w:val="24"/>
          <w:szCs w:val="24"/>
          <w:lang w:val="en-US" w:eastAsia="ja-JP"/>
        </w:rPr>
        <w:tab/>
      </w:r>
      <w:r>
        <w:rPr>
          <w:noProof/>
        </w:rPr>
        <w:t>The ELIXIR Compute Platform; Role of service providers</w:t>
      </w:r>
      <w:r>
        <w:rPr>
          <w:noProof/>
        </w:rPr>
        <w:tab/>
      </w:r>
      <w:r>
        <w:rPr>
          <w:noProof/>
        </w:rPr>
        <w:fldChar w:fldCharType="begin"/>
      </w:r>
      <w:r>
        <w:rPr>
          <w:noProof/>
        </w:rPr>
        <w:instrText xml:space="preserve"> PAGEREF _Toc326585230 \h </w:instrText>
      </w:r>
      <w:r>
        <w:rPr>
          <w:noProof/>
        </w:rPr>
      </w:r>
      <w:r>
        <w:rPr>
          <w:noProof/>
        </w:rPr>
        <w:fldChar w:fldCharType="separate"/>
      </w:r>
      <w:r>
        <w:rPr>
          <w:noProof/>
        </w:rPr>
        <w:t>6</w:t>
      </w:r>
      <w:r>
        <w:rPr>
          <w:noProof/>
        </w:rPr>
        <w:fldChar w:fldCharType="end"/>
      </w:r>
    </w:p>
    <w:p w14:paraId="08727AB4" w14:textId="77777777" w:rsidR="00462704" w:rsidRDefault="00462704">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w:t>
      </w:r>
      <w:r>
        <w:rPr>
          <w:rFonts w:asciiTheme="minorHAnsi" w:eastAsiaTheme="minorEastAsia" w:hAnsiTheme="minorHAnsi" w:cstheme="minorBidi"/>
          <w:noProof/>
          <w:color w:val="auto"/>
          <w:spacing w:val="0"/>
          <w:kern w:val="0"/>
          <w:sz w:val="24"/>
          <w:szCs w:val="24"/>
          <w:lang w:val="en-US" w:eastAsia="ja-JP"/>
        </w:rPr>
        <w:tab/>
      </w:r>
      <w:r>
        <w:rPr>
          <w:noProof/>
        </w:rPr>
        <w:t>Integration guidelines for service providers</w:t>
      </w:r>
      <w:r>
        <w:rPr>
          <w:noProof/>
        </w:rPr>
        <w:tab/>
      </w:r>
      <w:r>
        <w:rPr>
          <w:noProof/>
        </w:rPr>
        <w:fldChar w:fldCharType="begin"/>
      </w:r>
      <w:r>
        <w:rPr>
          <w:noProof/>
        </w:rPr>
        <w:instrText xml:space="preserve"> PAGEREF _Toc326585231 \h </w:instrText>
      </w:r>
      <w:r>
        <w:rPr>
          <w:noProof/>
        </w:rPr>
      </w:r>
      <w:r>
        <w:rPr>
          <w:noProof/>
        </w:rPr>
        <w:fldChar w:fldCharType="separate"/>
      </w:r>
      <w:r>
        <w:rPr>
          <w:noProof/>
        </w:rPr>
        <w:t>8</w:t>
      </w:r>
      <w:r>
        <w:rPr>
          <w:noProof/>
        </w:rPr>
        <w:fldChar w:fldCharType="end"/>
      </w:r>
    </w:p>
    <w:p w14:paraId="2ADA1186"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3.1</w:t>
      </w:r>
      <w:r>
        <w:rPr>
          <w:rFonts w:asciiTheme="minorHAnsi" w:eastAsiaTheme="minorEastAsia" w:hAnsiTheme="minorHAnsi" w:cstheme="minorBidi"/>
          <w:noProof/>
          <w:color w:val="auto"/>
          <w:spacing w:val="0"/>
          <w:kern w:val="0"/>
          <w:sz w:val="24"/>
          <w:szCs w:val="24"/>
          <w:lang w:val="en-US" w:eastAsia="ja-JP"/>
        </w:rPr>
        <w:tab/>
      </w:r>
      <w:r>
        <w:rPr>
          <w:noProof/>
        </w:rPr>
        <w:t>Generic concepts and guideline</w:t>
      </w:r>
      <w:r>
        <w:rPr>
          <w:noProof/>
        </w:rPr>
        <w:tab/>
      </w:r>
      <w:r>
        <w:rPr>
          <w:noProof/>
        </w:rPr>
        <w:fldChar w:fldCharType="begin"/>
      </w:r>
      <w:r>
        <w:rPr>
          <w:noProof/>
        </w:rPr>
        <w:instrText xml:space="preserve"> PAGEREF _Toc326585232 \h </w:instrText>
      </w:r>
      <w:r>
        <w:rPr>
          <w:noProof/>
        </w:rPr>
      </w:r>
      <w:r>
        <w:rPr>
          <w:noProof/>
        </w:rPr>
        <w:fldChar w:fldCharType="separate"/>
      </w:r>
      <w:r>
        <w:rPr>
          <w:noProof/>
        </w:rPr>
        <w:t>8</w:t>
      </w:r>
      <w:r>
        <w:rPr>
          <w:noProof/>
        </w:rPr>
        <w:fldChar w:fldCharType="end"/>
      </w:r>
    </w:p>
    <w:p w14:paraId="0ADF1C1F"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3.2</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OpenStack providers</w:t>
      </w:r>
      <w:r>
        <w:rPr>
          <w:noProof/>
        </w:rPr>
        <w:tab/>
      </w:r>
      <w:r>
        <w:rPr>
          <w:noProof/>
        </w:rPr>
        <w:fldChar w:fldCharType="begin"/>
      </w:r>
      <w:r>
        <w:rPr>
          <w:noProof/>
        </w:rPr>
        <w:instrText xml:space="preserve"> PAGEREF _Toc326585233 \h </w:instrText>
      </w:r>
      <w:r>
        <w:rPr>
          <w:noProof/>
        </w:rPr>
      </w:r>
      <w:r>
        <w:rPr>
          <w:noProof/>
        </w:rPr>
        <w:fldChar w:fldCharType="separate"/>
      </w:r>
      <w:r>
        <w:rPr>
          <w:noProof/>
        </w:rPr>
        <w:t>9</w:t>
      </w:r>
      <w:r>
        <w:rPr>
          <w:noProof/>
        </w:rPr>
        <w:fldChar w:fldCharType="end"/>
      </w:r>
    </w:p>
    <w:p w14:paraId="2C468DF5"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3.3</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OpenNebula providers</w:t>
      </w:r>
      <w:r>
        <w:rPr>
          <w:noProof/>
        </w:rPr>
        <w:tab/>
      </w:r>
      <w:r>
        <w:rPr>
          <w:noProof/>
        </w:rPr>
        <w:fldChar w:fldCharType="begin"/>
      </w:r>
      <w:r>
        <w:rPr>
          <w:noProof/>
        </w:rPr>
        <w:instrText xml:space="preserve"> PAGEREF _Toc326585234 \h </w:instrText>
      </w:r>
      <w:r>
        <w:rPr>
          <w:noProof/>
        </w:rPr>
      </w:r>
      <w:r>
        <w:rPr>
          <w:noProof/>
        </w:rPr>
        <w:fldChar w:fldCharType="separate"/>
      </w:r>
      <w:r>
        <w:rPr>
          <w:noProof/>
        </w:rPr>
        <w:t>10</w:t>
      </w:r>
      <w:r>
        <w:rPr>
          <w:noProof/>
        </w:rPr>
        <w:fldChar w:fldCharType="end"/>
      </w:r>
    </w:p>
    <w:p w14:paraId="29C0A86D"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3.4</w:t>
      </w:r>
      <w:r>
        <w:rPr>
          <w:rFonts w:asciiTheme="minorHAnsi" w:eastAsiaTheme="minorEastAsia" w:hAnsiTheme="minorHAnsi" w:cstheme="minorBidi"/>
          <w:noProof/>
          <w:color w:val="auto"/>
          <w:spacing w:val="0"/>
          <w:kern w:val="0"/>
          <w:sz w:val="24"/>
          <w:szCs w:val="24"/>
          <w:lang w:val="en-US" w:eastAsia="ja-JP"/>
        </w:rPr>
        <w:tab/>
      </w:r>
      <w:r>
        <w:rPr>
          <w:noProof/>
        </w:rPr>
        <w:t>Installation guideline for Synnefo providers</w:t>
      </w:r>
      <w:r>
        <w:rPr>
          <w:noProof/>
        </w:rPr>
        <w:tab/>
      </w:r>
      <w:r>
        <w:rPr>
          <w:noProof/>
        </w:rPr>
        <w:fldChar w:fldCharType="begin"/>
      </w:r>
      <w:r>
        <w:rPr>
          <w:noProof/>
        </w:rPr>
        <w:instrText xml:space="preserve"> PAGEREF _Toc326585235 \h </w:instrText>
      </w:r>
      <w:r>
        <w:rPr>
          <w:noProof/>
        </w:rPr>
      </w:r>
      <w:r>
        <w:rPr>
          <w:noProof/>
        </w:rPr>
        <w:fldChar w:fldCharType="separate"/>
      </w:r>
      <w:r>
        <w:rPr>
          <w:noProof/>
        </w:rPr>
        <w:t>12</w:t>
      </w:r>
      <w:r>
        <w:rPr>
          <w:noProof/>
        </w:rPr>
        <w:fldChar w:fldCharType="end"/>
      </w:r>
    </w:p>
    <w:p w14:paraId="5F0A2ED1" w14:textId="77777777" w:rsidR="00462704" w:rsidRDefault="00462704">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w:t>
      </w:r>
      <w:r>
        <w:rPr>
          <w:rFonts w:asciiTheme="minorHAnsi" w:eastAsiaTheme="minorEastAsia" w:hAnsiTheme="minorHAnsi" w:cstheme="minorBidi"/>
          <w:noProof/>
          <w:color w:val="auto"/>
          <w:spacing w:val="0"/>
          <w:kern w:val="0"/>
          <w:sz w:val="24"/>
          <w:szCs w:val="24"/>
          <w:lang w:val="en-US" w:eastAsia="ja-JP"/>
        </w:rPr>
        <w:tab/>
      </w:r>
      <w:r>
        <w:rPr>
          <w:noProof/>
        </w:rPr>
        <w:t>Integration status and plans</w:t>
      </w:r>
      <w:r>
        <w:rPr>
          <w:noProof/>
        </w:rPr>
        <w:tab/>
      </w:r>
      <w:r>
        <w:rPr>
          <w:noProof/>
        </w:rPr>
        <w:fldChar w:fldCharType="begin"/>
      </w:r>
      <w:r>
        <w:rPr>
          <w:noProof/>
        </w:rPr>
        <w:instrText xml:space="preserve"> PAGEREF _Toc326585236 \h </w:instrText>
      </w:r>
      <w:r>
        <w:rPr>
          <w:noProof/>
        </w:rPr>
      </w:r>
      <w:r>
        <w:rPr>
          <w:noProof/>
        </w:rPr>
        <w:fldChar w:fldCharType="separate"/>
      </w:r>
      <w:r>
        <w:rPr>
          <w:noProof/>
        </w:rPr>
        <w:t>14</w:t>
      </w:r>
      <w:r>
        <w:rPr>
          <w:noProof/>
        </w:rPr>
        <w:fldChar w:fldCharType="end"/>
      </w:r>
    </w:p>
    <w:p w14:paraId="24B3043C"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4.1</w:t>
      </w:r>
      <w:r>
        <w:rPr>
          <w:rFonts w:asciiTheme="minorHAnsi" w:eastAsiaTheme="minorEastAsia" w:hAnsiTheme="minorHAnsi" w:cstheme="minorBidi"/>
          <w:noProof/>
          <w:color w:val="auto"/>
          <w:spacing w:val="0"/>
          <w:kern w:val="0"/>
          <w:sz w:val="24"/>
          <w:szCs w:val="24"/>
          <w:lang w:val="en-US" w:eastAsia="ja-JP"/>
        </w:rPr>
        <w:tab/>
      </w:r>
      <w:r>
        <w:rPr>
          <w:noProof/>
        </w:rPr>
        <w:t>CSC</w:t>
      </w:r>
      <w:r>
        <w:rPr>
          <w:noProof/>
        </w:rPr>
        <w:tab/>
      </w:r>
      <w:r>
        <w:rPr>
          <w:noProof/>
        </w:rPr>
        <w:fldChar w:fldCharType="begin"/>
      </w:r>
      <w:r>
        <w:rPr>
          <w:noProof/>
        </w:rPr>
        <w:instrText xml:space="preserve"> PAGEREF _Toc326585237 \h </w:instrText>
      </w:r>
      <w:r>
        <w:rPr>
          <w:noProof/>
        </w:rPr>
      </w:r>
      <w:r>
        <w:rPr>
          <w:noProof/>
        </w:rPr>
        <w:fldChar w:fldCharType="separate"/>
      </w:r>
      <w:r>
        <w:rPr>
          <w:noProof/>
        </w:rPr>
        <w:t>14</w:t>
      </w:r>
      <w:r>
        <w:rPr>
          <w:noProof/>
        </w:rPr>
        <w:fldChar w:fldCharType="end"/>
      </w:r>
    </w:p>
    <w:p w14:paraId="02B63264"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4.2</w:t>
      </w:r>
      <w:r>
        <w:rPr>
          <w:rFonts w:asciiTheme="minorHAnsi" w:eastAsiaTheme="minorEastAsia" w:hAnsiTheme="minorHAnsi" w:cstheme="minorBidi"/>
          <w:noProof/>
          <w:color w:val="auto"/>
          <w:spacing w:val="0"/>
          <w:kern w:val="0"/>
          <w:sz w:val="24"/>
          <w:szCs w:val="24"/>
          <w:lang w:val="en-US" w:eastAsia="ja-JP"/>
        </w:rPr>
        <w:tab/>
      </w:r>
      <w:r>
        <w:rPr>
          <w:noProof/>
        </w:rPr>
        <w:t>CESNET</w:t>
      </w:r>
      <w:r>
        <w:rPr>
          <w:noProof/>
        </w:rPr>
        <w:tab/>
      </w:r>
      <w:r>
        <w:rPr>
          <w:noProof/>
        </w:rPr>
        <w:fldChar w:fldCharType="begin"/>
      </w:r>
      <w:r>
        <w:rPr>
          <w:noProof/>
        </w:rPr>
        <w:instrText xml:space="preserve"> PAGEREF _Toc326585238 \h </w:instrText>
      </w:r>
      <w:r>
        <w:rPr>
          <w:noProof/>
        </w:rPr>
      </w:r>
      <w:r>
        <w:rPr>
          <w:noProof/>
        </w:rPr>
        <w:fldChar w:fldCharType="separate"/>
      </w:r>
      <w:r>
        <w:rPr>
          <w:noProof/>
        </w:rPr>
        <w:t>15</w:t>
      </w:r>
      <w:r>
        <w:rPr>
          <w:noProof/>
        </w:rPr>
        <w:fldChar w:fldCharType="end"/>
      </w:r>
    </w:p>
    <w:p w14:paraId="22B7C979"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4.3</w:t>
      </w:r>
      <w:r>
        <w:rPr>
          <w:rFonts w:asciiTheme="minorHAnsi" w:eastAsiaTheme="minorEastAsia" w:hAnsiTheme="minorHAnsi" w:cstheme="minorBidi"/>
          <w:noProof/>
          <w:color w:val="auto"/>
          <w:spacing w:val="0"/>
          <w:kern w:val="0"/>
          <w:sz w:val="24"/>
          <w:szCs w:val="24"/>
          <w:lang w:val="en-US" w:eastAsia="ja-JP"/>
        </w:rPr>
        <w:tab/>
      </w:r>
      <w:r>
        <w:rPr>
          <w:noProof/>
        </w:rPr>
        <w:t>CNRS</w:t>
      </w:r>
      <w:r>
        <w:rPr>
          <w:noProof/>
        </w:rPr>
        <w:tab/>
      </w:r>
      <w:r>
        <w:rPr>
          <w:noProof/>
        </w:rPr>
        <w:fldChar w:fldCharType="begin"/>
      </w:r>
      <w:r>
        <w:rPr>
          <w:noProof/>
        </w:rPr>
        <w:instrText xml:space="preserve"> PAGEREF _Toc326585239 \h </w:instrText>
      </w:r>
      <w:r>
        <w:rPr>
          <w:noProof/>
        </w:rPr>
      </w:r>
      <w:r>
        <w:rPr>
          <w:noProof/>
        </w:rPr>
        <w:fldChar w:fldCharType="separate"/>
      </w:r>
      <w:r>
        <w:rPr>
          <w:noProof/>
        </w:rPr>
        <w:t>15</w:t>
      </w:r>
      <w:r>
        <w:rPr>
          <w:noProof/>
        </w:rPr>
        <w:fldChar w:fldCharType="end"/>
      </w:r>
    </w:p>
    <w:p w14:paraId="7FB8E1B3"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4.4</w:t>
      </w:r>
      <w:r>
        <w:rPr>
          <w:rFonts w:asciiTheme="minorHAnsi" w:eastAsiaTheme="minorEastAsia" w:hAnsiTheme="minorHAnsi" w:cstheme="minorBidi"/>
          <w:noProof/>
          <w:color w:val="auto"/>
          <w:spacing w:val="0"/>
          <w:kern w:val="0"/>
          <w:sz w:val="24"/>
          <w:szCs w:val="24"/>
          <w:lang w:val="en-US" w:eastAsia="ja-JP"/>
        </w:rPr>
        <w:tab/>
      </w:r>
      <w:r>
        <w:rPr>
          <w:noProof/>
        </w:rPr>
        <w:t>EMBL-EBI</w:t>
      </w:r>
      <w:r>
        <w:rPr>
          <w:noProof/>
        </w:rPr>
        <w:tab/>
      </w:r>
      <w:r>
        <w:rPr>
          <w:noProof/>
        </w:rPr>
        <w:fldChar w:fldCharType="begin"/>
      </w:r>
      <w:r>
        <w:rPr>
          <w:noProof/>
        </w:rPr>
        <w:instrText xml:space="preserve"> PAGEREF _Toc326585240 \h </w:instrText>
      </w:r>
      <w:r>
        <w:rPr>
          <w:noProof/>
        </w:rPr>
      </w:r>
      <w:r>
        <w:rPr>
          <w:noProof/>
        </w:rPr>
        <w:fldChar w:fldCharType="separate"/>
      </w:r>
      <w:r>
        <w:rPr>
          <w:noProof/>
        </w:rPr>
        <w:t>16</w:t>
      </w:r>
      <w:r>
        <w:rPr>
          <w:noProof/>
        </w:rPr>
        <w:fldChar w:fldCharType="end"/>
      </w:r>
    </w:p>
    <w:p w14:paraId="72B79074"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4.5</w:t>
      </w:r>
      <w:r>
        <w:rPr>
          <w:rFonts w:asciiTheme="minorHAnsi" w:eastAsiaTheme="minorEastAsia" w:hAnsiTheme="minorHAnsi" w:cstheme="minorBidi"/>
          <w:noProof/>
          <w:color w:val="auto"/>
          <w:spacing w:val="0"/>
          <w:kern w:val="0"/>
          <w:sz w:val="24"/>
          <w:szCs w:val="24"/>
          <w:lang w:val="en-US" w:eastAsia="ja-JP"/>
        </w:rPr>
        <w:tab/>
      </w:r>
      <w:r>
        <w:rPr>
          <w:noProof/>
        </w:rPr>
        <w:t>GRNET</w:t>
      </w:r>
      <w:r>
        <w:rPr>
          <w:noProof/>
        </w:rPr>
        <w:tab/>
      </w:r>
      <w:r>
        <w:rPr>
          <w:noProof/>
        </w:rPr>
        <w:fldChar w:fldCharType="begin"/>
      </w:r>
      <w:r>
        <w:rPr>
          <w:noProof/>
        </w:rPr>
        <w:instrText xml:space="preserve"> PAGEREF _Toc326585241 \h </w:instrText>
      </w:r>
      <w:r>
        <w:rPr>
          <w:noProof/>
        </w:rPr>
      </w:r>
      <w:r>
        <w:rPr>
          <w:noProof/>
        </w:rPr>
        <w:fldChar w:fldCharType="separate"/>
      </w:r>
      <w:r>
        <w:rPr>
          <w:noProof/>
        </w:rPr>
        <w:t>17</w:t>
      </w:r>
      <w:r>
        <w:rPr>
          <w:noProof/>
        </w:rPr>
        <w:fldChar w:fldCharType="end"/>
      </w:r>
    </w:p>
    <w:p w14:paraId="072D98DF"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4.6</w:t>
      </w:r>
      <w:r>
        <w:rPr>
          <w:rFonts w:asciiTheme="minorHAnsi" w:eastAsiaTheme="minorEastAsia" w:hAnsiTheme="minorHAnsi" w:cstheme="minorBidi"/>
          <w:noProof/>
          <w:color w:val="auto"/>
          <w:spacing w:val="0"/>
          <w:kern w:val="0"/>
          <w:sz w:val="24"/>
          <w:szCs w:val="24"/>
          <w:lang w:val="en-US" w:eastAsia="ja-JP"/>
        </w:rPr>
        <w:tab/>
      </w:r>
      <w:r>
        <w:rPr>
          <w:noProof/>
        </w:rPr>
        <w:t>Jetstream</w:t>
      </w:r>
      <w:r>
        <w:rPr>
          <w:noProof/>
        </w:rPr>
        <w:tab/>
      </w:r>
      <w:r>
        <w:rPr>
          <w:noProof/>
        </w:rPr>
        <w:fldChar w:fldCharType="begin"/>
      </w:r>
      <w:r>
        <w:rPr>
          <w:noProof/>
        </w:rPr>
        <w:instrText xml:space="preserve"> PAGEREF _Toc326585242 \h </w:instrText>
      </w:r>
      <w:r>
        <w:rPr>
          <w:noProof/>
        </w:rPr>
      </w:r>
      <w:r>
        <w:rPr>
          <w:noProof/>
        </w:rPr>
        <w:fldChar w:fldCharType="separate"/>
      </w:r>
      <w:r>
        <w:rPr>
          <w:noProof/>
        </w:rPr>
        <w:t>18</w:t>
      </w:r>
      <w:r>
        <w:rPr>
          <w:noProof/>
        </w:rPr>
        <w:fldChar w:fldCharType="end"/>
      </w:r>
    </w:p>
    <w:p w14:paraId="7B4E57AF" w14:textId="77777777" w:rsidR="00462704" w:rsidRDefault="00462704">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w:t>
      </w:r>
      <w:r>
        <w:rPr>
          <w:rFonts w:asciiTheme="minorHAnsi" w:eastAsiaTheme="minorEastAsia" w:hAnsiTheme="minorHAnsi" w:cstheme="minorBidi"/>
          <w:noProof/>
          <w:color w:val="auto"/>
          <w:spacing w:val="0"/>
          <w:kern w:val="0"/>
          <w:sz w:val="24"/>
          <w:szCs w:val="24"/>
          <w:lang w:val="en-US" w:eastAsia="ja-JP"/>
        </w:rPr>
        <w:tab/>
      </w:r>
      <w:r>
        <w:rPr>
          <w:noProof/>
        </w:rPr>
        <w:t>Report on AAI integration</w:t>
      </w:r>
      <w:r>
        <w:rPr>
          <w:noProof/>
        </w:rPr>
        <w:tab/>
      </w:r>
      <w:r>
        <w:rPr>
          <w:noProof/>
        </w:rPr>
        <w:fldChar w:fldCharType="begin"/>
      </w:r>
      <w:r>
        <w:rPr>
          <w:noProof/>
        </w:rPr>
        <w:instrText xml:space="preserve"> PAGEREF _Toc326585243 \h </w:instrText>
      </w:r>
      <w:r>
        <w:rPr>
          <w:noProof/>
        </w:rPr>
      </w:r>
      <w:r>
        <w:rPr>
          <w:noProof/>
        </w:rPr>
        <w:fldChar w:fldCharType="separate"/>
      </w:r>
      <w:r>
        <w:rPr>
          <w:noProof/>
        </w:rPr>
        <w:t>19</w:t>
      </w:r>
      <w:r>
        <w:rPr>
          <w:noProof/>
        </w:rPr>
        <w:fldChar w:fldCharType="end"/>
      </w:r>
    </w:p>
    <w:p w14:paraId="0786C904"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5.1</w:t>
      </w:r>
      <w:r>
        <w:rPr>
          <w:rFonts w:asciiTheme="minorHAnsi" w:eastAsiaTheme="minorEastAsia" w:hAnsiTheme="minorHAnsi" w:cstheme="minorBidi"/>
          <w:noProof/>
          <w:color w:val="auto"/>
          <w:spacing w:val="0"/>
          <w:kern w:val="0"/>
          <w:sz w:val="24"/>
          <w:szCs w:val="24"/>
          <w:lang w:val="en-US" w:eastAsia="ja-JP"/>
        </w:rPr>
        <w:tab/>
      </w:r>
      <w:r>
        <w:rPr>
          <w:noProof/>
        </w:rPr>
        <w:t>Integration of ELIXIR AAI with EGI AAI proxy</w:t>
      </w:r>
      <w:r>
        <w:rPr>
          <w:noProof/>
        </w:rPr>
        <w:tab/>
      </w:r>
      <w:r>
        <w:rPr>
          <w:noProof/>
        </w:rPr>
        <w:fldChar w:fldCharType="begin"/>
      </w:r>
      <w:r>
        <w:rPr>
          <w:noProof/>
        </w:rPr>
        <w:instrText xml:space="preserve"> PAGEREF _Toc326585244 \h </w:instrText>
      </w:r>
      <w:r>
        <w:rPr>
          <w:noProof/>
        </w:rPr>
      </w:r>
      <w:r>
        <w:rPr>
          <w:noProof/>
        </w:rPr>
        <w:fldChar w:fldCharType="separate"/>
      </w:r>
      <w:r>
        <w:rPr>
          <w:noProof/>
        </w:rPr>
        <w:t>19</w:t>
      </w:r>
      <w:r>
        <w:rPr>
          <w:noProof/>
        </w:rPr>
        <w:fldChar w:fldCharType="end"/>
      </w:r>
    </w:p>
    <w:p w14:paraId="58DA5C6B"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5.2</w:t>
      </w:r>
      <w:r>
        <w:rPr>
          <w:rFonts w:asciiTheme="minorHAnsi" w:eastAsiaTheme="minorEastAsia" w:hAnsiTheme="minorHAnsi" w:cstheme="minorBidi"/>
          <w:noProof/>
          <w:color w:val="auto"/>
          <w:spacing w:val="0"/>
          <w:kern w:val="0"/>
          <w:sz w:val="24"/>
          <w:szCs w:val="24"/>
          <w:lang w:val="en-US" w:eastAsia="ja-JP"/>
        </w:rPr>
        <w:tab/>
      </w:r>
      <w:r>
        <w:rPr>
          <w:noProof/>
        </w:rPr>
        <w:t>Integration of GOCDB with the EGI AAI proxy</w:t>
      </w:r>
      <w:r>
        <w:rPr>
          <w:noProof/>
        </w:rPr>
        <w:tab/>
      </w:r>
      <w:r>
        <w:rPr>
          <w:noProof/>
        </w:rPr>
        <w:fldChar w:fldCharType="begin"/>
      </w:r>
      <w:r>
        <w:rPr>
          <w:noProof/>
        </w:rPr>
        <w:instrText xml:space="preserve"> PAGEREF _Toc326585245 \h </w:instrText>
      </w:r>
      <w:r>
        <w:rPr>
          <w:noProof/>
        </w:rPr>
      </w:r>
      <w:r>
        <w:rPr>
          <w:noProof/>
        </w:rPr>
        <w:fldChar w:fldCharType="separate"/>
      </w:r>
      <w:r>
        <w:rPr>
          <w:noProof/>
        </w:rPr>
        <w:t>21</w:t>
      </w:r>
      <w:r>
        <w:rPr>
          <w:noProof/>
        </w:rPr>
        <w:fldChar w:fldCharType="end"/>
      </w:r>
    </w:p>
    <w:p w14:paraId="4C185707"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5.3</w:t>
      </w:r>
      <w:r>
        <w:rPr>
          <w:rFonts w:asciiTheme="minorHAnsi" w:eastAsiaTheme="minorEastAsia" w:hAnsiTheme="minorHAnsi" w:cstheme="minorBidi"/>
          <w:noProof/>
          <w:color w:val="auto"/>
          <w:spacing w:val="0"/>
          <w:kern w:val="0"/>
          <w:sz w:val="24"/>
          <w:szCs w:val="24"/>
          <w:lang w:val="en-US" w:eastAsia="ja-JP"/>
        </w:rPr>
        <w:tab/>
      </w:r>
      <w:r>
        <w:rPr>
          <w:noProof/>
        </w:rPr>
        <w:t>Integration of AppDB with the EGI AAI proxy</w:t>
      </w:r>
      <w:r>
        <w:rPr>
          <w:noProof/>
        </w:rPr>
        <w:tab/>
      </w:r>
      <w:r>
        <w:rPr>
          <w:noProof/>
        </w:rPr>
        <w:fldChar w:fldCharType="begin"/>
      </w:r>
      <w:r>
        <w:rPr>
          <w:noProof/>
        </w:rPr>
        <w:instrText xml:space="preserve"> PAGEREF _Toc326585246 \h </w:instrText>
      </w:r>
      <w:r>
        <w:rPr>
          <w:noProof/>
        </w:rPr>
      </w:r>
      <w:r>
        <w:rPr>
          <w:noProof/>
        </w:rPr>
        <w:fldChar w:fldCharType="separate"/>
      </w:r>
      <w:r>
        <w:rPr>
          <w:noProof/>
        </w:rPr>
        <w:t>21</w:t>
      </w:r>
      <w:r>
        <w:rPr>
          <w:noProof/>
        </w:rPr>
        <w:fldChar w:fldCharType="end"/>
      </w:r>
    </w:p>
    <w:p w14:paraId="5CCF7F6F" w14:textId="77777777" w:rsidR="00462704" w:rsidRDefault="00462704">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5.4</w:t>
      </w:r>
      <w:r>
        <w:rPr>
          <w:rFonts w:asciiTheme="minorHAnsi" w:eastAsiaTheme="minorEastAsia" w:hAnsiTheme="minorHAnsi" w:cstheme="minorBidi"/>
          <w:noProof/>
          <w:color w:val="auto"/>
          <w:spacing w:val="0"/>
          <w:kern w:val="0"/>
          <w:sz w:val="24"/>
          <w:szCs w:val="24"/>
          <w:lang w:val="en-US" w:eastAsia="ja-JP"/>
        </w:rPr>
        <w:tab/>
      </w:r>
      <w:r>
        <w:rPr>
          <w:noProof/>
        </w:rPr>
        <w:t>Integration of OpenStack with the EGI AAI proxy</w:t>
      </w:r>
      <w:r>
        <w:rPr>
          <w:noProof/>
        </w:rPr>
        <w:tab/>
      </w:r>
      <w:r>
        <w:rPr>
          <w:noProof/>
        </w:rPr>
        <w:fldChar w:fldCharType="begin"/>
      </w:r>
      <w:r>
        <w:rPr>
          <w:noProof/>
        </w:rPr>
        <w:instrText xml:space="preserve"> PAGEREF _Toc326585247 \h </w:instrText>
      </w:r>
      <w:r>
        <w:rPr>
          <w:noProof/>
        </w:rPr>
      </w:r>
      <w:r>
        <w:rPr>
          <w:noProof/>
        </w:rPr>
        <w:fldChar w:fldCharType="separate"/>
      </w:r>
      <w:r>
        <w:rPr>
          <w:noProof/>
        </w:rPr>
        <w:t>22</w:t>
      </w:r>
      <w:r>
        <w:rPr>
          <w:noProof/>
        </w:rPr>
        <w:fldChar w:fldCharType="end"/>
      </w:r>
    </w:p>
    <w:p w14:paraId="1F58A1A3" w14:textId="77777777" w:rsidR="00462704" w:rsidRDefault="00462704">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6</w:t>
      </w:r>
      <w:r>
        <w:rPr>
          <w:rFonts w:asciiTheme="minorHAnsi" w:eastAsiaTheme="minorEastAsia" w:hAnsiTheme="minorHAnsi" w:cstheme="minorBidi"/>
          <w:noProof/>
          <w:color w:val="auto"/>
          <w:spacing w:val="0"/>
          <w:kern w:val="0"/>
          <w:sz w:val="24"/>
          <w:szCs w:val="24"/>
          <w:lang w:val="en-US" w:eastAsia="ja-JP"/>
        </w:rPr>
        <w:tab/>
      </w:r>
      <w:r>
        <w:rPr>
          <w:noProof/>
        </w:rPr>
        <w:t>Summary and next steps</w:t>
      </w:r>
      <w:r>
        <w:rPr>
          <w:noProof/>
        </w:rPr>
        <w:tab/>
      </w:r>
      <w:r>
        <w:rPr>
          <w:noProof/>
        </w:rPr>
        <w:fldChar w:fldCharType="begin"/>
      </w:r>
      <w:r>
        <w:rPr>
          <w:noProof/>
        </w:rPr>
        <w:instrText xml:space="preserve"> PAGEREF _Toc326585248 \h </w:instrText>
      </w:r>
      <w:r>
        <w:rPr>
          <w:noProof/>
        </w:rPr>
      </w:r>
      <w:r>
        <w:rPr>
          <w:noProof/>
        </w:rPr>
        <w:fldChar w:fldCharType="separate"/>
      </w:r>
      <w:r>
        <w:rPr>
          <w:noProof/>
        </w:rPr>
        <w:t>24</w:t>
      </w:r>
      <w:r>
        <w:rPr>
          <w:noProof/>
        </w:rPr>
        <w:fldChar w:fldCharType="end"/>
      </w:r>
    </w:p>
    <w:p w14:paraId="263DBBAA" w14:textId="77777777" w:rsidR="00462704" w:rsidRDefault="00462704">
      <w:pPr>
        <w:pStyle w:val="TOC1"/>
        <w:tabs>
          <w:tab w:val="left" w:pos="1266"/>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Appendix I.</w:t>
      </w:r>
      <w:r>
        <w:rPr>
          <w:rFonts w:asciiTheme="minorHAnsi" w:eastAsiaTheme="minorEastAsia" w:hAnsiTheme="minorHAnsi" w:cstheme="minorBidi"/>
          <w:noProof/>
          <w:color w:val="auto"/>
          <w:spacing w:val="0"/>
          <w:kern w:val="0"/>
          <w:sz w:val="24"/>
          <w:szCs w:val="24"/>
          <w:lang w:val="en-US" w:eastAsia="ja-JP"/>
        </w:rPr>
        <w:tab/>
      </w:r>
      <w:r>
        <w:rPr>
          <w:noProof/>
        </w:rPr>
        <w:t>User roles and permissions in GOCDB</w:t>
      </w:r>
      <w:r>
        <w:rPr>
          <w:noProof/>
        </w:rPr>
        <w:tab/>
      </w:r>
      <w:r>
        <w:rPr>
          <w:noProof/>
        </w:rPr>
        <w:fldChar w:fldCharType="begin"/>
      </w:r>
      <w:r>
        <w:rPr>
          <w:noProof/>
        </w:rPr>
        <w:instrText xml:space="preserve"> PAGEREF _Toc326585249 \h </w:instrText>
      </w:r>
      <w:r>
        <w:rPr>
          <w:noProof/>
        </w:rPr>
      </w:r>
      <w:r>
        <w:rPr>
          <w:noProof/>
        </w:rPr>
        <w:fldChar w:fldCharType="separate"/>
      </w:r>
      <w:r>
        <w:rPr>
          <w:noProof/>
        </w:rPr>
        <w:t>25</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325C785C" w14:textId="77777777" w:rsidR="00462704"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w:t>
      </w:r>
    </w:p>
    <w:p w14:paraId="7CFC40D2" w14:textId="18E4D8A6" w:rsidR="00462704" w:rsidRDefault="00462704" w:rsidP="00462704">
      <w:pPr>
        <w:pStyle w:val="ListParagraph"/>
        <w:numPr>
          <w:ilvl w:val="0"/>
          <w:numId w:val="40"/>
        </w:numPr>
      </w:pPr>
      <w:r>
        <w:t>describes</w:t>
      </w:r>
      <w:r w:rsidR="00431873">
        <w:t xml:space="preserve"> the concept of the ELIXIR Compute Platform and </w:t>
      </w:r>
      <w:r>
        <w:t xml:space="preserve">the </w:t>
      </w:r>
      <w:r w:rsidR="00431873">
        <w:t xml:space="preserve">responsibilities of </w:t>
      </w:r>
      <w:r>
        <w:t xml:space="preserve">participating </w:t>
      </w:r>
      <w:r w:rsidR="00431873">
        <w:t>service</w:t>
      </w:r>
      <w:r>
        <w:t xml:space="preserve"> providers</w:t>
      </w:r>
    </w:p>
    <w:p w14:paraId="202B61C8" w14:textId="5D634113" w:rsidR="00462704" w:rsidRDefault="00462704" w:rsidP="00462704">
      <w:pPr>
        <w:pStyle w:val="ListParagraph"/>
        <w:numPr>
          <w:ilvl w:val="0"/>
          <w:numId w:val="40"/>
        </w:numPr>
      </w:pPr>
      <w:r>
        <w:t>p</w:t>
      </w:r>
      <w:r>
        <w:t xml:space="preserve">resents integration guidelines for </w:t>
      </w:r>
      <w:r>
        <w:t>cloud</w:t>
      </w:r>
      <w:r>
        <w:t xml:space="preserve"> providers who are wishing to participate in this infrastructure</w:t>
      </w:r>
      <w:r>
        <w:t xml:space="preserve"> and</w:t>
      </w:r>
    </w:p>
    <w:p w14:paraId="24074B1F" w14:textId="04E93036" w:rsidR="00431873" w:rsidRDefault="00462704" w:rsidP="00462704">
      <w:pPr>
        <w:pStyle w:val="ListParagraph"/>
        <w:numPr>
          <w:ilvl w:val="0"/>
          <w:numId w:val="40"/>
        </w:numPr>
      </w:pPr>
      <w:r>
        <w:t>p</w:t>
      </w:r>
      <w:r>
        <w:t xml:space="preserve">rovides a status update about the completed, ongoing and planned integration of </w:t>
      </w:r>
      <w:r>
        <w:t xml:space="preserve">cloud </w:t>
      </w:r>
      <w:r>
        <w:t xml:space="preserve">resources </w:t>
      </w:r>
      <w:r>
        <w:t xml:space="preserve">operated by CC members.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43C46E2A" w:rsidR="00C3237F" w:rsidRDefault="00C3237F" w:rsidP="00C3237F">
      <w:r>
        <w:t xml:space="preserve">This document gives in overview of the state of EGI Federated Cloud integration </w:t>
      </w:r>
      <w:r w:rsidR="00C97FAC">
        <w:t>from</w:t>
      </w:r>
      <w:r>
        <w:t xml:space="preserve"> the ELIXIR CC memb</w:t>
      </w:r>
      <w:r w:rsidR="008A7C63">
        <w:t>ers: Two sites (CESNET and GRNET</w:t>
      </w:r>
      <w:r>
        <w:t xml:space="preserve">) are already fully </w:t>
      </w:r>
      <w:r w:rsidR="0082118F">
        <w:t>integrated;</w:t>
      </w:r>
      <w:r>
        <w:t xml:space="preserve"> one site is in piloting state (</w:t>
      </w:r>
      <w:r w:rsidR="008A7C63">
        <w:t>EMBL-</w:t>
      </w:r>
      <w:r w:rsidR="009014DB">
        <w:t>EBI),</w:t>
      </w:r>
      <w:r w:rsidR="0082118F">
        <w:t xml:space="preserve"> one</w:t>
      </w:r>
      <w:r>
        <w:t xml:space="preserve"> preparing (</w:t>
      </w:r>
      <w:r w:rsidR="009014DB">
        <w:t>JetStream)</w:t>
      </w:r>
      <w:r w:rsidR="00C97FAC">
        <w:t xml:space="preserve"> and</w:t>
      </w:r>
      <w:r w:rsidR="009014DB">
        <w:t xml:space="preserve"> one considering (</w:t>
      </w:r>
      <w:r>
        <w:t>CSC)</w:t>
      </w:r>
      <w:r w:rsidR="00C97FAC">
        <w:t xml:space="preserve"> to join</w:t>
      </w:r>
      <w:r>
        <w:t xml:space="preserve">. Instructions for integrating new resources </w:t>
      </w:r>
      <w:r w:rsidR="00462704">
        <w:t xml:space="preserve"> (OpenStack, OpenNebula, Synnefo) </w:t>
      </w:r>
      <w:r>
        <w:t xml:space="preserve">to EGI Federated Cloud are summed up and the experiences from the integration </w:t>
      </w:r>
      <w:r w:rsidR="0082118F">
        <w:t>process are</w:t>
      </w:r>
      <w:r>
        <w:t xml:space="preserve"> discussed.</w:t>
      </w:r>
    </w:p>
    <w:p w14:paraId="4A0CA856" w14:textId="7EE9FE6B" w:rsidR="00C3237F" w:rsidRDefault="00462704" w:rsidP="00C3237F">
      <w:r>
        <w:t>Extra attention</w:t>
      </w:r>
      <w:r w:rsidR="00C3237F">
        <w:t xml:space="preserve"> is given to the recent work related to the integration of the Authentication and Authorization Infrastructures (AAI) of EGI and ELIXIR</w:t>
      </w:r>
      <w:r w:rsidR="00AD2722">
        <w:t>. This integrated AAI</w:t>
      </w:r>
      <w:r w:rsidR="0082118F">
        <w:t xml:space="preserve"> </w:t>
      </w:r>
      <w:r w:rsidR="00C3237F">
        <w:t xml:space="preserve">will play a key role in the </w:t>
      </w:r>
      <w:r w:rsidR="00AD2722">
        <w:t xml:space="preserve">seamless integration of ELIXIR and EGI services for serving life science communities. </w:t>
      </w:r>
    </w:p>
    <w:p w14:paraId="61B0536D" w14:textId="18866B8F" w:rsidR="00431873" w:rsidRDefault="00431873" w:rsidP="00431873"/>
    <w:p w14:paraId="4DA5A34E" w14:textId="06F3CB52" w:rsidR="0061075F" w:rsidRDefault="00054EFF">
      <w:pPr>
        <w:pStyle w:val="Heading1"/>
        <w:numPr>
          <w:ilvl w:val="0"/>
          <w:numId w:val="1"/>
        </w:numPr>
      </w:pPr>
      <w:bookmarkStart w:id="1" w:name="_Toc428966022"/>
      <w:bookmarkStart w:id="2" w:name="_Toc326585229"/>
      <w:bookmarkEnd w:id="1"/>
      <w:r>
        <w:lastRenderedPageBreak/>
        <w:t>Introduction</w:t>
      </w:r>
      <w:bookmarkEnd w:id="2"/>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9691F10" w:rsidR="00431873" w:rsidRPr="009329A2" w:rsidRDefault="00431873" w:rsidP="00431873">
      <w:pPr>
        <w:pStyle w:val="ListParagraph"/>
        <w:numPr>
          <w:ilvl w:val="0"/>
          <w:numId w:val="7"/>
        </w:numPr>
        <w:suppressAutoHyphens w:val="0"/>
      </w:pPr>
      <w:r w:rsidRPr="009329A2">
        <w:t>Implement the use cases as demonstrators based on EGI</w:t>
      </w:r>
      <w:r w:rsidR="008A7C63">
        <w:t>’s</w:t>
      </w:r>
      <w:r w:rsidRPr="009329A2">
        <w:t xml:space="preserve">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3" w:name="_Toc326585230"/>
      <w:r>
        <w:lastRenderedPageBreak/>
        <w:t>The ELIXIR Compute Platform</w:t>
      </w:r>
      <w:r w:rsidR="0096273D">
        <w:t>; R</w:t>
      </w:r>
      <w:r>
        <w:t>ole of service providers</w:t>
      </w:r>
      <w:bookmarkEnd w:id="3"/>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The need for an ELIXIR reference technical architecture was first discussed during a BioMedBridges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ng ‘Desktop as a Service’ where researchers are able to obtain a desktop image (e.g. BioLinux) in a cloud that they can use for their data analysis activities that is always on for their use.</w:t>
      </w:r>
    </w:p>
    <w:p w14:paraId="4A9F1BA8" w14:textId="77777777" w:rsidR="00A75645" w:rsidRPr="009329A2" w:rsidRDefault="00A75645" w:rsidP="00A75645">
      <w:r w:rsidRPr="009329A2">
        <w:t xml:space="preserve">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w:t>
      </w:r>
      <w:r w:rsidRPr="009329A2">
        <w:lastRenderedPageBreak/>
        <w:t>Developers can build upon and that ELIXIR Nodes and other infrastructure service providers can deploy and support. The ECP is envisaged to consist of the following service groups:</w:t>
      </w:r>
    </w:p>
    <w:p w14:paraId="54F4DB30" w14:textId="71DB071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r w:rsidR="00AD2722">
        <w:t xml:space="preserve"> ELIXIR with working with EGI to connect the ELIXIR AAI and EGI AAI services to offer seamless access to EGI services for life science users.</w:t>
      </w:r>
      <w:r w:rsidR="00176578">
        <w:t xml:space="preserve"> Section 5.1 provides a summary of this work. </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0AE825F3" w:rsidR="00A75645" w:rsidRPr="009329A2" w:rsidRDefault="00A75645" w:rsidP="00A75645">
      <w:pPr>
        <w:pStyle w:val="ListParagraph"/>
        <w:numPr>
          <w:ilvl w:val="0"/>
          <w:numId w:val="10"/>
        </w:numPr>
        <w:suppressAutoHyphens w:val="0"/>
      </w:pPr>
      <w:r w:rsidRPr="009329A2">
        <w:t xml:space="preserve">Basic Infrastructure Services: Cloud IaaS,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4F1DA2">
        <w:t xml:space="preserve">4 </w:t>
      </w:r>
      <w:r w:rsidR="0058190B">
        <w:t xml:space="preserve">provides the related guidelines for service providers who are wishing to participate in the provisioning of the basic infrastructure services. </w:t>
      </w:r>
    </w:p>
    <w:p w14:paraId="6B02DF5A" w14:textId="43C0C431"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 xml:space="preserve">together </w:t>
      </w:r>
      <w:r w:rsidR="00176578">
        <w:t xml:space="preserve">(through </w:t>
      </w:r>
      <w:r w:rsidR="0058190B">
        <w:t xml:space="preserve">the ELIXIR </w:t>
      </w:r>
      <w:r w:rsidR="00176578">
        <w:t>AAI)</w:t>
      </w:r>
      <w:r w:rsidR="0058190B">
        <w:t xml:space="preserve"> is the high priority integration activity.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7C44CF48"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r w:rsidR="00176578">
        <w:t xml:space="preserve">of AppDB </w:t>
      </w:r>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5311519A" w14:textId="77777777" w:rsidR="00C9780E" w:rsidRDefault="00C9780E" w:rsidP="00C9780E">
      <w:pPr>
        <w:pStyle w:val="Heading1"/>
        <w:numPr>
          <w:ilvl w:val="0"/>
          <w:numId w:val="1"/>
        </w:numPr>
      </w:pPr>
      <w:bookmarkStart w:id="4" w:name="_Toc326585231"/>
      <w:r>
        <w:lastRenderedPageBreak/>
        <w:t>Integration guidelines for service providers</w:t>
      </w:r>
      <w:bookmarkEnd w:id="4"/>
    </w:p>
    <w:p w14:paraId="5A7472C3" w14:textId="3DBF2752" w:rsidR="00C9780E" w:rsidRDefault="00C9780E" w:rsidP="00C9780E">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then provides technology-specific integration information for OpenStack, OpenNebula and Synnefo cloud service providers</w:t>
      </w:r>
      <w:r>
        <w:rPr>
          <w:rStyle w:val="FootnoteReference"/>
        </w:rPr>
        <w:footnoteReference w:id="11"/>
      </w:r>
      <w:r>
        <w:t xml:space="preserve">. </w:t>
      </w:r>
    </w:p>
    <w:p w14:paraId="4063794F" w14:textId="62D7C278" w:rsidR="00C9780E" w:rsidRDefault="00C9780E" w:rsidP="00C9780E">
      <w:pPr>
        <w:pStyle w:val="Heading2"/>
      </w:pPr>
      <w:bookmarkStart w:id="5" w:name="_Toc326585232"/>
      <w:r>
        <w:t>Generic concepts and guideline</w:t>
      </w:r>
      <w:bookmarkEnd w:id="5"/>
    </w:p>
    <w:p w14:paraId="433196B4" w14:textId="77777777" w:rsidR="00C9780E" w:rsidRDefault="00C9780E" w:rsidP="00C9780E">
      <w:r>
        <w:t xml:space="preserve">The EGI Federated Cloud integrates public and community </w:t>
      </w:r>
      <w:r w:rsidRPr="00C16D0B">
        <w:t xml:space="preserve">clouds into a scalable computing platform for data and/or compute driven applications and services. </w:t>
      </w:r>
      <w:r>
        <w:t>Its</w:t>
      </w:r>
      <w:r w:rsidRPr="00C16D0B">
        <w:t xml:space="preserve"> architecture is based on the </w:t>
      </w:r>
      <w:r>
        <w:t>extension of the Cloud Management Frameworks deployed at the resource centres to provide a set of agreed uniform interfaces to the user communities and to the EGI Core infrastructure federator services. The f</w:t>
      </w:r>
      <w:r w:rsidRPr="00C16D0B">
        <w:t xml:space="preserve">ederation of IaaS Resource Providers in EGI is built </w:t>
      </w:r>
      <w:r>
        <w:t>upon the extensive autonomy of r</w:t>
      </w:r>
      <w:r w:rsidRPr="00C16D0B">
        <w:t xml:space="preserve">esource </w:t>
      </w:r>
      <w:r>
        <w:t>centres</w:t>
      </w:r>
      <w:r w:rsidRPr="00C16D0B">
        <w:t xml:space="preserve"> in terms of owner</w:t>
      </w:r>
      <w:r>
        <w:t xml:space="preserve">ship of the exposed resources.  </w:t>
      </w:r>
      <w:r w:rsidRPr="00C16D0B">
        <w:t>EGI does not mandate deploying any particular or speci</w:t>
      </w:r>
      <w:r>
        <w:t>fic Cloud Management Framework</w:t>
      </w:r>
      <w:r w:rsidRPr="00C16D0B">
        <w:t>, providers should deploy the solution that fits best their individual needs whilst ensuring that the offered services implement the required interfaces</w:t>
      </w:r>
      <w:r>
        <w:t>.  Connectors currently exist to federate OpenNebula, OpenStack and Synnefo clouds. Connectors to federate other types of clouds (e.g. StratusLab) can be developed as a joint effort of EGI with the user and service provider communities.</w:t>
      </w:r>
    </w:p>
    <w:p w14:paraId="606F4A69" w14:textId="77777777" w:rsidR="00C9780E" w:rsidRDefault="00C9780E" w:rsidP="00C9780E">
      <w:r>
        <w:t>The cloud resource provider installation manual</w:t>
      </w:r>
      <w:r>
        <w:rPr>
          <w:rStyle w:val="FootnoteReference"/>
        </w:rPr>
        <w:footnoteReference w:id="12"/>
      </w:r>
      <w:r>
        <w:t xml:space="preserve"> provides all the steps to deploy and configure the software components to support the federation on the supported Cloud Management Frameworks. Whenever possible these software components are designed and developed to not interfere the usual deployment of the cloud services but to use the already existing public interfaces and simply act as a client for those. The following services help to achieve the federation:</w:t>
      </w:r>
    </w:p>
    <w:p w14:paraId="288681E0" w14:textId="77777777" w:rsidR="00C9780E" w:rsidRDefault="00C9780E" w:rsidP="00C9780E">
      <w:pPr>
        <w:pStyle w:val="ListParagraph"/>
        <w:numPr>
          <w:ilvl w:val="0"/>
          <w:numId w:val="11"/>
        </w:numPr>
      </w:pPr>
      <w:r>
        <w:rPr>
          <w:b/>
        </w:rPr>
        <w:t xml:space="preserve">Federated </w:t>
      </w:r>
      <w:r w:rsidRPr="00E76EF0">
        <w:rPr>
          <w:b/>
        </w:rPr>
        <w:t>AAI</w:t>
      </w:r>
      <w:r>
        <w:t>, using X.509 proxy certificates and VOMS extensions with information on the VO of users. Integration with the new EGI AAI is currently under development.</w:t>
      </w:r>
    </w:p>
    <w:p w14:paraId="4B313F26" w14:textId="77777777" w:rsidR="00C9780E" w:rsidRDefault="00C9780E" w:rsidP="00C9780E">
      <w:pPr>
        <w:pStyle w:val="ListParagraph"/>
        <w:numPr>
          <w:ilvl w:val="0"/>
          <w:numId w:val="11"/>
        </w:numPr>
      </w:pPr>
      <w:r w:rsidRPr="00E76EF0">
        <w:rPr>
          <w:b/>
        </w:rPr>
        <w:t>Accounting</w:t>
      </w:r>
      <w:r>
        <w:t>, usage information is collected via a secure messaging infrastructure in a centralised repository and displayed in a web portal where both individual users and communities can monitor their own resource/service usage across the whole federation.</w:t>
      </w:r>
    </w:p>
    <w:p w14:paraId="3B50674D" w14:textId="77777777" w:rsidR="00C9780E" w:rsidRDefault="00C9780E" w:rsidP="00C9780E">
      <w:pPr>
        <w:pStyle w:val="ListParagraph"/>
        <w:numPr>
          <w:ilvl w:val="0"/>
          <w:numId w:val="11"/>
        </w:numPr>
      </w:pPr>
      <w:r w:rsidRPr="00E76EF0">
        <w:rPr>
          <w:b/>
        </w:rPr>
        <w:t>Service Registry</w:t>
      </w:r>
      <w:r>
        <w:t>, where providers register the different services offered to the federation.</w:t>
      </w:r>
    </w:p>
    <w:p w14:paraId="1697CE4A" w14:textId="77777777" w:rsidR="00C9780E" w:rsidRDefault="00C9780E" w:rsidP="00C9780E">
      <w:pPr>
        <w:pStyle w:val="ListParagraph"/>
        <w:numPr>
          <w:ilvl w:val="0"/>
          <w:numId w:val="11"/>
        </w:numPr>
      </w:pPr>
      <w:r w:rsidRPr="00E76EF0">
        <w:rPr>
          <w:b/>
        </w:rPr>
        <w:t>Information Discovery</w:t>
      </w:r>
      <w:r>
        <w:t>, so users and tools can retrieve a real-time view of the actual capabilities of the infrastructure.</w:t>
      </w:r>
    </w:p>
    <w:p w14:paraId="58D1B423" w14:textId="77777777" w:rsidR="00C9780E" w:rsidRDefault="00C9780E" w:rsidP="00C9780E">
      <w:pPr>
        <w:pStyle w:val="ListParagraph"/>
        <w:numPr>
          <w:ilvl w:val="0"/>
          <w:numId w:val="11"/>
        </w:numPr>
      </w:pPr>
      <w:r w:rsidRPr="00E76EF0">
        <w:rPr>
          <w:b/>
        </w:rPr>
        <w:lastRenderedPageBreak/>
        <w:t>VM Image catalogue and replication</w:t>
      </w:r>
      <w:r>
        <w:t>. EGI AppDB provides a catalogue of Virtual Machine Images that encapsulate software appliances relevant for a given community. These images are automatically replicated to the local catalogues of the CMFs supporting the community.</w:t>
      </w:r>
    </w:p>
    <w:p w14:paraId="7FF898F3" w14:textId="77777777" w:rsidR="00C9780E" w:rsidRDefault="00C9780E" w:rsidP="00C9780E">
      <w:pPr>
        <w:pStyle w:val="ListParagraph"/>
        <w:numPr>
          <w:ilvl w:val="0"/>
          <w:numId w:val="11"/>
        </w:numPr>
      </w:pPr>
      <w:r w:rsidRPr="00E76EF0">
        <w:rPr>
          <w:b/>
        </w:rPr>
        <w:t>Availability Monitoring</w:t>
      </w:r>
      <w:r>
        <w:t>, to collect availability and reliability statistics about the providers that can be used to monitor SLAs and OLAs agreed with user communities and resource providers.</w:t>
      </w:r>
    </w:p>
    <w:p w14:paraId="7F10943D" w14:textId="77777777" w:rsidR="00C9780E" w:rsidRDefault="00C9780E" w:rsidP="00C9780E">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3A13F301" w14:textId="77777777" w:rsidR="00C9780E" w:rsidRDefault="00C9780E" w:rsidP="00C9780E">
      <w:r>
        <w:t>Cloud providers joining the Federated Cloud follow EGI procedure to register and certify a Resource Centre (RC)</w:t>
      </w:r>
      <w:r>
        <w:rPr>
          <w:rStyle w:val="FootnoteReference"/>
        </w:rPr>
        <w:footnoteReference w:id="13"/>
      </w:r>
      <w:r>
        <w:t xml:space="preserve">, which makes the EGI infrastructure aware of the new resources you offer, and takes care of validating and testing the behaviour of the services. In the context of the registration, the Resource Centre will become part of a Resource Infrastructure such as a National Grid Initiative (NGI), an EIRO, or a multi-country Resource Infrastructure. </w:t>
      </w:r>
      <w:r w:rsidRPr="009A2897">
        <w:t>ELIXIR is currently reviewing these certification procedures to understand which elements are needed to the support the ELIXIR Compute Platform.</w:t>
      </w:r>
    </w:p>
    <w:p w14:paraId="2A5E372B" w14:textId="77777777" w:rsidR="00C9780E" w:rsidRDefault="00C9780E" w:rsidP="00C9780E">
      <w:pPr>
        <w:pStyle w:val="Heading2"/>
      </w:pPr>
      <w:bookmarkStart w:id="6" w:name="_Toc326585233"/>
      <w:r>
        <w:t>Installation guideline for OpenStack providers</w:t>
      </w:r>
      <w:bookmarkEnd w:id="6"/>
    </w:p>
    <w:p w14:paraId="7B77433C" w14:textId="77777777" w:rsidR="00C9780E" w:rsidRDefault="00C9780E" w:rsidP="00C9780E">
      <w:r>
        <w:t>Integration with of OpenStack providers on EGI’s FedCloud is supported on OpenStack releases from Havana to Mitaka (current release). The installation manual is available at EGI’s wiki</w:t>
      </w:r>
      <w:r>
        <w:rPr>
          <w:rStyle w:val="FootnoteReference"/>
        </w:rPr>
        <w:footnoteReference w:id="14"/>
      </w:r>
      <w:r>
        <w:t xml:space="preserve"> and it describes all the technical steps to perform this integration from a working OpenStack deployment. The list of components that must be installed depends on the services to be offered: </w:t>
      </w:r>
    </w:p>
    <w:p w14:paraId="295B541A" w14:textId="77777777" w:rsidR="00C9780E" w:rsidRDefault="00C9780E" w:rsidP="00C9780E">
      <w:pPr>
        <w:pStyle w:val="ListParagraph"/>
        <w:numPr>
          <w:ilvl w:val="0"/>
          <w:numId w:val="33"/>
        </w:numPr>
      </w:pPr>
      <w:r>
        <w:t xml:space="preserve">Keystone must be always available. </w:t>
      </w:r>
    </w:p>
    <w:p w14:paraId="2FB6344D" w14:textId="77777777" w:rsidR="00C9780E" w:rsidRDefault="00C9780E" w:rsidP="00C9780E">
      <w:pPr>
        <w:pStyle w:val="ListParagraph"/>
        <w:numPr>
          <w:ilvl w:val="0"/>
          <w:numId w:val="33"/>
        </w:numPr>
      </w:pPr>
      <w:r>
        <w:t>VM Management features (OCCI access or OpenStack access) requies Nova, Cinder and Glance.</w:t>
      </w:r>
    </w:p>
    <w:p w14:paraId="7C01330E" w14:textId="77777777" w:rsidR="00C9780E" w:rsidRDefault="00C9780E" w:rsidP="00C9780E">
      <w:pPr>
        <w:pStyle w:val="ListParagraph"/>
        <w:numPr>
          <w:ilvl w:val="0"/>
          <w:numId w:val="33"/>
        </w:numPr>
      </w:pPr>
      <w:r>
        <w:t>Object storage features required Swift.</w:t>
      </w:r>
    </w:p>
    <w:p w14:paraId="55108C0F" w14:textId="77777777" w:rsidR="00C9780E" w:rsidRDefault="00C9780E" w:rsidP="00C9780E">
      <w:r>
        <w:fldChar w:fldCharType="begin"/>
      </w:r>
      <w:r>
        <w:instrText xml:space="preserve"> REF _Ref326250549 \h </w:instrText>
      </w:r>
      <w:r>
        <w:fldChar w:fldCharType="separate"/>
      </w:r>
      <w:r>
        <w:t xml:space="preserve">Figure </w:t>
      </w:r>
      <w:r>
        <w:rPr>
          <w:noProof/>
        </w:rPr>
        <w:t>1</w:t>
      </w:r>
      <w:r>
        <w:fldChar w:fldCharType="end"/>
      </w:r>
      <w:r>
        <w:t xml:space="preserve"> below shows the different components and their relation with the OpenStack and EGI services:</w:t>
      </w:r>
    </w:p>
    <w:p w14:paraId="76D9EB8B" w14:textId="77777777" w:rsidR="00C9780E" w:rsidRDefault="00C9780E" w:rsidP="00C9780E">
      <w:pPr>
        <w:pStyle w:val="ListParagraph"/>
        <w:numPr>
          <w:ilvl w:val="0"/>
          <w:numId w:val="16"/>
        </w:numPr>
      </w:pPr>
      <w:r>
        <w:t>Keystone-VOMS Authorization plugin allows users with a valid VOMS proxy to access the OpenStack deployment. This plugin requires modification of a regular Keystone installation.</w:t>
      </w:r>
    </w:p>
    <w:p w14:paraId="212E3A5F" w14:textId="77777777" w:rsidR="00C9780E" w:rsidRDefault="00C9780E" w:rsidP="00C9780E">
      <w:pPr>
        <w:pStyle w:val="ListParagraph"/>
        <w:numPr>
          <w:ilvl w:val="0"/>
          <w:numId w:val="16"/>
        </w:numPr>
      </w:pPr>
      <w:r>
        <w:t>OpenStack OCCI Interface (ooi) translates between OpenStack API and OCCI. This is a WSGI application similar to other OpenStack services, it can be scaled horizontally to accommodate high loads.</w:t>
      </w:r>
    </w:p>
    <w:p w14:paraId="05820031" w14:textId="77777777" w:rsidR="00C9780E" w:rsidRDefault="00C9780E" w:rsidP="00C9780E">
      <w:pPr>
        <w:pStyle w:val="ListParagraph"/>
        <w:numPr>
          <w:ilvl w:val="0"/>
          <w:numId w:val="16"/>
        </w:numPr>
      </w:pPr>
      <w:r>
        <w:t>cASO collects accounting data from OpenStack using public APIs.</w:t>
      </w:r>
    </w:p>
    <w:p w14:paraId="674E1BAF" w14:textId="77777777" w:rsidR="00C9780E" w:rsidRDefault="00C9780E" w:rsidP="00C9780E">
      <w:pPr>
        <w:pStyle w:val="ListParagraph"/>
        <w:numPr>
          <w:ilvl w:val="0"/>
          <w:numId w:val="16"/>
        </w:numPr>
      </w:pPr>
      <w:r>
        <w:t>SSM sends the records extracted by cASO to the central accounting database on the EGI Accounting service (APEL).</w:t>
      </w:r>
    </w:p>
    <w:p w14:paraId="3A88F825" w14:textId="77777777" w:rsidR="00C9780E" w:rsidRDefault="00C9780E" w:rsidP="00C9780E">
      <w:pPr>
        <w:pStyle w:val="ListParagraph"/>
        <w:numPr>
          <w:ilvl w:val="0"/>
          <w:numId w:val="16"/>
        </w:numPr>
      </w:pPr>
      <w:r>
        <w:lastRenderedPageBreak/>
        <w:t>BDII cloud provider registers the site configuration and description through the EGI Information System to facilitate service discovery.</w:t>
      </w:r>
    </w:p>
    <w:p w14:paraId="33A468AD" w14:textId="77777777" w:rsidR="00C9780E" w:rsidRPr="00EF6B53" w:rsidRDefault="00C9780E" w:rsidP="00C9780E">
      <w:pPr>
        <w:pStyle w:val="ListParagraph"/>
        <w:numPr>
          <w:ilvl w:val="0"/>
          <w:numId w:val="16"/>
        </w:numPr>
      </w:pPr>
      <w:r>
        <w:t>vmcatcher checks the EGI App DB for new or updated images that can be provided to the user communities (VO) supported and with the vmcatcher hooks (glancepush and OpenStack handler for vmcatcher) push updated images from to Glance, using Openstack Python API</w:t>
      </w:r>
    </w:p>
    <w:p w14:paraId="45508865" w14:textId="77777777" w:rsidR="00C9780E" w:rsidRDefault="00C9780E" w:rsidP="00C9780E"/>
    <w:p w14:paraId="3D8D5279" w14:textId="77777777" w:rsidR="00C9780E" w:rsidRDefault="00C9780E" w:rsidP="00C9780E">
      <w:pPr>
        <w:keepNext/>
      </w:pPr>
      <w:r>
        <w:rPr>
          <w:noProof/>
          <w:lang w:val="en-US"/>
        </w:rPr>
        <w:drawing>
          <wp:inline distT="0" distB="0" distL="0" distR="0" wp14:anchorId="77DDACE9" wp14:editId="0E3F4D00">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3">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71A1C63E" w14:textId="77777777" w:rsidR="00C9780E" w:rsidRDefault="00C9780E" w:rsidP="00C9780E">
      <w:pPr>
        <w:pStyle w:val="Caption"/>
        <w:jc w:val="center"/>
      </w:pPr>
      <w:bookmarkStart w:id="7" w:name="_Ref326250549"/>
      <w:r>
        <w:t xml:space="preserve">Figure </w:t>
      </w:r>
      <w:r>
        <w:fldChar w:fldCharType="begin"/>
      </w:r>
      <w:r>
        <w:instrText xml:space="preserve"> SEQ Figure \* ARABIC </w:instrText>
      </w:r>
      <w:r>
        <w:fldChar w:fldCharType="separate"/>
      </w:r>
      <w:r>
        <w:rPr>
          <w:noProof/>
        </w:rPr>
        <w:t>1</w:t>
      </w:r>
      <w:r>
        <w:fldChar w:fldCharType="end"/>
      </w:r>
      <w:bookmarkEnd w:id="7"/>
      <w:r>
        <w:t>. Architecture of an OpenStack site within the EGI Federated Cloud</w:t>
      </w:r>
    </w:p>
    <w:p w14:paraId="663F3401" w14:textId="77777777" w:rsidR="00C9780E" w:rsidRDefault="00C9780E" w:rsidP="00C9780E">
      <w:r>
        <w:t xml:space="preserve"> </w:t>
      </w:r>
    </w:p>
    <w:p w14:paraId="21BAF164" w14:textId="77777777" w:rsidR="00C9780E" w:rsidRDefault="00C9780E" w:rsidP="00C9780E">
      <w: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14:paraId="1BCB59CE" w14:textId="77777777" w:rsidR="00C9780E" w:rsidRDefault="00C9780E" w:rsidP="00C9780E">
      <w:pPr>
        <w:pStyle w:val="Heading2"/>
      </w:pPr>
      <w:bookmarkStart w:id="8" w:name="_Toc326585234"/>
      <w:r>
        <w:t>Installation guideline for OpenNebula providers</w:t>
      </w:r>
      <w:bookmarkEnd w:id="8"/>
      <w:r>
        <w:t xml:space="preserve"> </w:t>
      </w:r>
    </w:p>
    <w:p w14:paraId="6340EA75" w14:textId="77777777" w:rsidR="00C9780E" w:rsidRDefault="00C9780E" w:rsidP="00C9780E">
      <w:r>
        <w:t xml:space="preserve">An </w:t>
      </w:r>
      <w:r w:rsidRPr="006064F5">
        <w:t>EGI Cloud Site based on OpenNebula is an ordinary OpenNebula installation with some EGI-specific integration components. There are no additional requirements placed on internal site architecture.</w:t>
      </w:r>
      <w:r>
        <w:t xml:space="preserve"> The installation manual is available in the EGI wiki</w:t>
      </w:r>
      <w:r>
        <w:rPr>
          <w:rStyle w:val="FootnoteReference"/>
        </w:rPr>
        <w:footnoteReference w:id="15"/>
      </w:r>
      <w:r>
        <w:t xml:space="preserve"> and it describes all the technical </w:t>
      </w:r>
      <w:r>
        <w:lastRenderedPageBreak/>
        <w:t>steps to install the federation components on top of an OpenNebula deployment. CDMI storage endpoints are currently not supported for OpenNebula-based sites.</w:t>
      </w:r>
    </w:p>
    <w:p w14:paraId="4C6F744D" w14:textId="77777777" w:rsidR="00C9780E" w:rsidRDefault="00C9780E" w:rsidP="00C9780E">
      <w:r>
        <w:fldChar w:fldCharType="begin"/>
      </w:r>
      <w:r>
        <w:instrText xml:space="preserve"> REF _Ref326251502 \h </w:instrText>
      </w:r>
      <w:r>
        <w:fldChar w:fldCharType="separate"/>
      </w:r>
      <w:r>
        <w:t xml:space="preserve">Figure </w:t>
      </w:r>
      <w:r>
        <w:rPr>
          <w:noProof/>
        </w:rPr>
        <w:t>2</w:t>
      </w:r>
      <w:r>
        <w:fldChar w:fldCharType="end"/>
      </w:r>
      <w:r>
        <w:t xml:space="preserve"> shows the components and their relation with OpenNebula and EGI services:</w:t>
      </w:r>
      <w:r w:rsidRPr="00296FA9">
        <w:t xml:space="preserve"> </w:t>
      </w:r>
    </w:p>
    <w:p w14:paraId="6ACD9A18" w14:textId="77777777" w:rsidR="00C9780E" w:rsidRDefault="00C9780E" w:rsidP="00C9780E">
      <w:pPr>
        <w:pStyle w:val="ListParagraph"/>
        <w:numPr>
          <w:ilvl w:val="0"/>
          <w:numId w:val="17"/>
        </w:numPr>
      </w:pPr>
      <w:r>
        <w:t xml:space="preserve">rOCCI-server, which provides a standard OCCI interface. It translates between OpenNebula API and OCCI. It must be configured to use its opennebula backend, and to use voms for authentication. </w:t>
      </w:r>
    </w:p>
    <w:p w14:paraId="6C9D68AD" w14:textId="77777777" w:rsidR="00C9780E" w:rsidRDefault="00C9780E" w:rsidP="00C9780E">
      <w:pPr>
        <w:pStyle w:val="ListParagraph"/>
        <w:numPr>
          <w:ilvl w:val="0"/>
          <w:numId w:val="17"/>
        </w:numPr>
      </w:pPr>
      <w:r>
        <w:t>local perun scripts, which allow Perun</w:t>
      </w:r>
      <w:r>
        <w:rPr>
          <w:rStyle w:val="FootnoteReference"/>
        </w:rPr>
        <w:footnoteReference w:id="16"/>
      </w:r>
      <w:r>
        <w:t xml:space="preserve"> to set up, block and remove user accounts from OpenNebula, thus managing the full life cycle of a user account.</w:t>
      </w:r>
    </w:p>
    <w:p w14:paraId="6DC5ACA8" w14:textId="77777777" w:rsidR="00C9780E" w:rsidRDefault="00C9780E" w:rsidP="00C9780E">
      <w:pPr>
        <w:pStyle w:val="ListParagraph"/>
        <w:numPr>
          <w:ilvl w:val="0"/>
          <w:numId w:val="17"/>
        </w:numPr>
      </w:pPr>
      <w:r>
        <w:t>vmcatcher, which checks the EGI App DB for new or updated images that need to be supported on the site. It downloads images and registers them with OpenNebula, so that they can be used in resource instantiation. Vmcatcher configuration is explained bellow.</w:t>
      </w:r>
    </w:p>
    <w:p w14:paraId="537D93F4" w14:textId="77777777" w:rsidR="00C9780E" w:rsidRDefault="00C9780E" w:rsidP="00C9780E">
      <w:pPr>
        <w:pStyle w:val="ListParagraph"/>
        <w:numPr>
          <w:ilvl w:val="0"/>
          <w:numId w:val="18"/>
        </w:numPr>
      </w:pPr>
      <w:r>
        <w:t>oneacct scripts, which collect accounting data from OpenNebula and publish those into EGI's APEL instance. Oneacct configuration is explained at the FedCloud Accounting page.</w:t>
      </w:r>
    </w:p>
    <w:p w14:paraId="13A1D946" w14:textId="77777777" w:rsidR="00C9780E" w:rsidRDefault="00C9780E" w:rsidP="00C9780E">
      <w:pPr>
        <w:pStyle w:val="ListParagraph"/>
        <w:numPr>
          <w:ilvl w:val="0"/>
          <w:numId w:val="18"/>
        </w:numPr>
      </w:pPr>
      <w:r>
        <w:t>BDII cloud provider, which registers the site's configuration and description through the EGI Information System to facilitate service discovery.</w:t>
      </w:r>
    </w:p>
    <w:p w14:paraId="43191FE8" w14:textId="77777777" w:rsidR="00C9780E" w:rsidRDefault="00C9780E" w:rsidP="00C9780E">
      <w:pPr>
        <w:keepNext/>
        <w:ind w:left="360"/>
      </w:pPr>
      <w:r>
        <w:rPr>
          <w:noProof/>
          <w:lang w:val="en-US"/>
        </w:rPr>
        <w:drawing>
          <wp:inline distT="0" distB="0" distL="0" distR="0" wp14:anchorId="2D79B146" wp14:editId="30928DB7">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35E9DA14" w14:textId="77777777" w:rsidR="00C9780E" w:rsidRDefault="00C9780E" w:rsidP="00C9780E">
      <w:pPr>
        <w:pStyle w:val="Caption"/>
        <w:jc w:val="center"/>
      </w:pPr>
      <w:bookmarkStart w:id="9" w:name="_Ref326251502"/>
      <w:r>
        <w:t xml:space="preserve">Figure </w:t>
      </w:r>
      <w:r>
        <w:fldChar w:fldCharType="begin"/>
      </w:r>
      <w:r>
        <w:instrText xml:space="preserve"> SEQ Figure \* ARABIC </w:instrText>
      </w:r>
      <w:r>
        <w:fldChar w:fldCharType="separate"/>
      </w:r>
      <w:r>
        <w:rPr>
          <w:noProof/>
        </w:rPr>
        <w:t>2</w:t>
      </w:r>
      <w:r>
        <w:fldChar w:fldCharType="end"/>
      </w:r>
      <w:bookmarkEnd w:id="9"/>
      <w:r>
        <w:t>. Architecture of an OpenStack site within the EGI Federated Cloud</w:t>
      </w:r>
    </w:p>
    <w:p w14:paraId="67600017" w14:textId="77777777" w:rsidR="00C9780E" w:rsidRDefault="00C9780E" w:rsidP="00C9780E"/>
    <w:p w14:paraId="68F04F7D" w14:textId="77777777" w:rsidR="00C9780E" w:rsidRDefault="00C9780E" w:rsidP="00C9780E">
      <w:r>
        <w:t>Those OpenNebula-based service providers who want to support ELIXIR should follow the generic integration guidelines outlined in previous sections. In order to enable the ELIXIR Compute Platform, the following additional configuration is required:</w:t>
      </w:r>
    </w:p>
    <w:p w14:paraId="66266625" w14:textId="77777777" w:rsidR="00C9780E" w:rsidRDefault="00C9780E" w:rsidP="00C9780E">
      <w:pPr>
        <w:numPr>
          <w:ilvl w:val="0"/>
          <w:numId w:val="22"/>
        </w:numPr>
      </w:pPr>
      <w:r>
        <w:lastRenderedPageBreak/>
        <w:t xml:space="preserve"> Establish CA trust for proxy certificates issued by CILogon (https://snf-676811.vm.okeanos.grnet.gr/ca/demoroot.html)</w:t>
      </w:r>
    </w:p>
    <w:p w14:paraId="6A297D52" w14:textId="77777777" w:rsidR="00C9780E" w:rsidRDefault="00C9780E" w:rsidP="00C9780E">
      <w:r>
        <w:t>$ cd /etc/grid-security/certificates</w:t>
      </w:r>
    </w:p>
    <w:p w14:paraId="54B9917F" w14:textId="77777777" w:rsidR="00C9780E" w:rsidRDefault="00C9780E" w:rsidP="00C9780E">
      <w:r>
        <w:t>$ ls -la | grep Globus</w:t>
      </w:r>
    </w:p>
    <w:p w14:paraId="6E0FA5C0" w14:textId="77777777" w:rsidR="00C9780E" w:rsidRDefault="00C9780E" w:rsidP="00C9780E">
      <w:r>
        <w:t>lrwxrwxrwx 1 root root    22 Feb 25 09:54 93df451c.0 -&gt; GlobusSimpleCaDemo.pem</w:t>
      </w:r>
    </w:p>
    <w:p w14:paraId="6956B72D" w14:textId="77777777" w:rsidR="00C9780E" w:rsidRDefault="00C9780E" w:rsidP="00C9780E">
      <w:r>
        <w:t>-rw-r--r-- 1 root root  1931 Feb 25 09:53 GlobusSimpleCaDemo.pem</w:t>
      </w:r>
    </w:p>
    <w:p w14:paraId="3EBE2013" w14:textId="77777777" w:rsidR="00C9780E" w:rsidRDefault="00C9780E" w:rsidP="00C9780E"/>
    <w:p w14:paraId="1EE153DE" w14:textId="77777777" w:rsidR="00C9780E" w:rsidRDefault="00C9780E" w:rsidP="00C9780E">
      <w:pPr>
        <w:numPr>
          <w:ilvl w:val="0"/>
          <w:numId w:val="22"/>
        </w:numPr>
      </w:pPr>
      <w:r>
        <w:t xml:space="preserve"> Enable VO 'vo.elixir-europe.org' locally</w:t>
      </w:r>
    </w:p>
    <w:p w14:paraId="455B32C1" w14:textId="77777777" w:rsidR="00C9780E" w:rsidRDefault="00C9780E" w:rsidP="00C9780E">
      <w:r>
        <w:t xml:space="preserve">See </w:t>
      </w:r>
      <w:hyperlink r:id="rId15" w:anchor="OpenNebula_2" w:history="1">
        <w:r w:rsidRPr="00296FA9">
          <w:rPr>
            <w:rStyle w:val="Hyperlink"/>
          </w:rPr>
          <w:t>https://wiki.egi.eu/wiki/HOWTO16#OpenNebula_</w:t>
        </w:r>
        <w:r w:rsidRPr="00736DFC">
          <w:rPr>
            <w:rStyle w:val="Hyperlink"/>
          </w:rPr>
          <w:t>2</w:t>
        </w:r>
      </w:hyperlink>
    </w:p>
    <w:p w14:paraId="56B6FE6A" w14:textId="77777777" w:rsidR="00C9780E" w:rsidRDefault="00C9780E" w:rsidP="00C9780E"/>
    <w:p w14:paraId="454AFC5A" w14:textId="77777777" w:rsidR="00C9780E" w:rsidRDefault="00C9780E" w:rsidP="00C9780E">
      <w:pPr>
        <w:numPr>
          <w:ilvl w:val="0"/>
          <w:numId w:val="22"/>
        </w:numPr>
      </w:pPr>
      <w:r>
        <w:t xml:space="preserve"> Enable propagations from Perun</w:t>
      </w:r>
    </w:p>
    <w:p w14:paraId="68BFEC59" w14:textId="77777777" w:rsidR="00C9780E" w:rsidRDefault="00C9780E" w:rsidP="00C9780E">
      <w:r>
        <w:t>Notify the Perun team via GGUS, state interest in 'vo.elixir-europe.org' being propagated to your EGI Federated Cloud site (provide site ID and endpoint URL).</w:t>
      </w:r>
    </w:p>
    <w:p w14:paraId="25DB0280" w14:textId="77777777" w:rsidR="00C9780E" w:rsidRDefault="00C9780E" w:rsidP="00C9780E"/>
    <w:p w14:paraId="5DFBBF1E" w14:textId="77777777" w:rsidR="00C9780E" w:rsidRDefault="00C9780E" w:rsidP="00C9780E">
      <w:pPr>
        <w:numPr>
          <w:ilvl w:val="0"/>
          <w:numId w:val="22"/>
        </w:numPr>
      </w:pPr>
      <w:r>
        <w:t xml:space="preserve"> Subscribe to 'vo.elixir-europe.org' VO-wide image list</w:t>
      </w:r>
    </w:p>
    <w:p w14:paraId="1DDFBAD7" w14:textId="77777777" w:rsidR="00C9780E" w:rsidRDefault="00C9780E" w:rsidP="00C9780E">
      <w:r>
        <w:t>See https://wiki.appdb.egi.eu/main:guides:vmcatcher_site_setup</w:t>
      </w:r>
    </w:p>
    <w:p w14:paraId="2B0F94E3" w14:textId="77777777" w:rsidR="00C9780E" w:rsidRDefault="00C9780E" w:rsidP="00C9780E"/>
    <w:p w14:paraId="0FCF8695" w14:textId="77777777" w:rsidR="00C9780E" w:rsidRDefault="00C9780E" w:rsidP="00C9780E">
      <w:r>
        <w:t>After the first successful propagation from Perun (user accounts) and AppDB (virtual appliances), your site will be a fully functional member of the ELIXIR Compute Platform.</w:t>
      </w:r>
    </w:p>
    <w:p w14:paraId="276ACBDC" w14:textId="77777777" w:rsidR="00C9780E" w:rsidRDefault="00C9780E" w:rsidP="00C9780E"/>
    <w:p w14:paraId="471B8692" w14:textId="77777777" w:rsidR="00C9780E" w:rsidRDefault="00C9780E" w:rsidP="00C9780E">
      <w:pPr>
        <w:pStyle w:val="Heading2"/>
      </w:pPr>
      <w:bookmarkStart w:id="10" w:name="_Toc326585235"/>
      <w:r>
        <w:t>Installation guideline for Synnefo providers</w:t>
      </w:r>
      <w:bookmarkEnd w:id="10"/>
    </w:p>
    <w:p w14:paraId="06066C1B" w14:textId="77777777" w:rsidR="00C9780E" w:rsidRDefault="00C9780E" w:rsidP="00C9780E">
      <w:r>
        <w:t xml:space="preserve">An </w:t>
      </w:r>
      <w:r w:rsidRPr="006064F5">
        <w:t xml:space="preserve">EGI Cloud Site based on </w:t>
      </w:r>
      <w:r>
        <w:t>Synnefo</w:t>
      </w:r>
      <w:r>
        <w:rPr>
          <w:rStyle w:val="FootnoteReference"/>
        </w:rPr>
        <w:footnoteReference w:id="17"/>
      </w:r>
      <w:r w:rsidRPr="006064F5">
        <w:t xml:space="preserve"> is an ordinary </w:t>
      </w:r>
      <w:r>
        <w:t>Synnefo</w:t>
      </w:r>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3F6DEBD9" w14:textId="77777777" w:rsidR="00C9780E" w:rsidRDefault="00C9780E" w:rsidP="00C9780E">
      <w:pPr>
        <w:pStyle w:val="ListParagraph"/>
        <w:numPr>
          <w:ilvl w:val="0"/>
          <w:numId w:val="19"/>
        </w:numPr>
      </w:pPr>
      <w:r>
        <w:t>SNF-OCCI</w:t>
      </w:r>
      <w:r>
        <w:rPr>
          <w:rStyle w:val="FootnoteReference"/>
        </w:rPr>
        <w:footnoteReference w:id="18"/>
      </w:r>
      <w:r>
        <w:t>: Which is an an implementation of OCCI 1.1 (OCCI 1.2 support will be available shortly) as a bridge to kakaki, synnefo cli.</w:t>
      </w:r>
    </w:p>
    <w:p w14:paraId="76FDCBD4" w14:textId="77777777" w:rsidR="00C9780E" w:rsidRDefault="00C9780E" w:rsidP="00C9780E">
      <w:pPr>
        <w:pStyle w:val="ListParagraph"/>
        <w:numPr>
          <w:ilvl w:val="0"/>
          <w:numId w:val="19"/>
        </w:numPr>
      </w:pPr>
      <w:r>
        <w:t>ASTAVOMS</w:t>
      </w:r>
      <w:r>
        <w:rPr>
          <w:rStyle w:val="FootnoteReference"/>
        </w:rPr>
        <w:footnoteReference w:id="19"/>
      </w:r>
      <w:r>
        <w:t>: is the extension to synnefos astakos authentication services that handles a pool of user accounts to that are bind to a user authenticated via VOMS.</w:t>
      </w:r>
    </w:p>
    <w:p w14:paraId="018188B8" w14:textId="77777777" w:rsidR="00C9780E" w:rsidRDefault="00C9780E" w:rsidP="00C9780E">
      <w:pPr>
        <w:pStyle w:val="ListParagraph"/>
        <w:numPr>
          <w:ilvl w:val="0"/>
          <w:numId w:val="19"/>
        </w:numPr>
      </w:pPr>
      <w:r>
        <w:t>SNF-CDMI</w:t>
      </w:r>
      <w:r>
        <w:rPr>
          <w:rStyle w:val="FootnoteReference"/>
        </w:rPr>
        <w:footnoteReference w:id="20"/>
      </w:r>
      <w:r>
        <w:t>: Which is an implementation of CDMI Spec on top of pithos ~Okeanos storage service.</w:t>
      </w:r>
    </w:p>
    <w:p w14:paraId="6166A254" w14:textId="77777777" w:rsidR="00C9780E" w:rsidRDefault="00C9780E" w:rsidP="00C9780E">
      <w:pPr>
        <w:pStyle w:val="ListParagraph"/>
        <w:numPr>
          <w:ilvl w:val="0"/>
          <w:numId w:val="19"/>
        </w:numPr>
      </w:pPr>
      <w:r>
        <w:lastRenderedPageBreak/>
        <w:t>SNF-SSM</w:t>
      </w:r>
      <w:r>
        <w:rPr>
          <w:rStyle w:val="FootnoteReference"/>
        </w:rPr>
        <w:footnoteReference w:id="21"/>
      </w:r>
      <w:r>
        <w:t>: Which is a script that publishes to apel ssm usage records.</w:t>
      </w:r>
    </w:p>
    <w:p w14:paraId="396E6628" w14:textId="77777777" w:rsidR="00C9780E" w:rsidRDefault="00C9780E" w:rsidP="00C9780E">
      <w:pPr>
        <w:pStyle w:val="ListParagraph"/>
        <w:numPr>
          <w:ilvl w:val="0"/>
          <w:numId w:val="19"/>
        </w:numPr>
      </w:pPr>
      <w:r>
        <w:t>SNF-VMCATCHER</w:t>
      </w:r>
      <w:r>
        <w:rPr>
          <w:rStyle w:val="FootnoteReference"/>
        </w:rPr>
        <w:footnoteReference w:id="22"/>
      </w:r>
      <w:r>
        <w:t>: Which is the implementation of vmcatcher to use kakaki and snf-image to import images on your Synnefo installation.</w:t>
      </w:r>
    </w:p>
    <w:p w14:paraId="5B51D237" w14:textId="77777777" w:rsidR="00C9780E" w:rsidRPr="00466D4B" w:rsidRDefault="00C9780E" w:rsidP="00C9780E">
      <w:r>
        <w:t>Please note that astavoms is required for both SNF-OCCI and SNF-CDMI to work as they redirect to that service to authenticate a user. Note that Synnefo does not support VMs with Logical Volumes.</w:t>
      </w:r>
    </w:p>
    <w:p w14:paraId="6CFA5EF8" w14:textId="77777777" w:rsidR="00C9780E" w:rsidRDefault="00C9780E" w:rsidP="00C9780E"/>
    <w:p w14:paraId="5C1A4BE0" w14:textId="77777777" w:rsidR="00C9780E" w:rsidRDefault="00C9780E" w:rsidP="00C9780E"/>
    <w:p w14:paraId="378A9EAA" w14:textId="0D76543E" w:rsidR="004C79FC" w:rsidRDefault="004C79FC">
      <w:pPr>
        <w:pStyle w:val="Heading1"/>
        <w:numPr>
          <w:ilvl w:val="0"/>
          <w:numId w:val="1"/>
        </w:numPr>
      </w:pPr>
      <w:bookmarkStart w:id="11" w:name="_Toc326585236"/>
      <w:r>
        <w:lastRenderedPageBreak/>
        <w:t>Integration status and plans</w:t>
      </w:r>
      <w:bookmarkEnd w:id="11"/>
    </w:p>
    <w:p w14:paraId="54A2D2C8" w14:textId="70108BB3" w:rsidR="00467C0D" w:rsidRDefault="00EC7DB2" w:rsidP="00467C0D">
      <w:r w:rsidRPr="00EC7DB2">
        <w:t xml:space="preserve">This section provides status information about the sites that participate in the ELIXIR Competence Centre. The section captures the current status </w:t>
      </w:r>
      <w:r>
        <w:t xml:space="preserve">of these sites, </w:t>
      </w:r>
      <w:r w:rsidRPr="00EC7DB2">
        <w:t>and plans for providing cloud services in the ELIXIR Compute Platform.</w:t>
      </w:r>
      <w:r>
        <w:t xml:space="preserve"> The section covers:</w:t>
      </w:r>
    </w:p>
    <w:p w14:paraId="2D31F1A8" w14:textId="282EBC7A" w:rsidR="00EC7DB2" w:rsidRDefault="00EC7DB2" w:rsidP="000B26BC">
      <w:pPr>
        <w:pStyle w:val="ListParagraph"/>
        <w:numPr>
          <w:ilvl w:val="0"/>
          <w:numId w:val="38"/>
        </w:numPr>
        <w:ind w:left="2977"/>
      </w:pPr>
      <w:r>
        <w:t>CSC from Finland</w:t>
      </w:r>
    </w:p>
    <w:p w14:paraId="2CB49E6E" w14:textId="629912D8" w:rsidR="00EC7DB2" w:rsidRDefault="00EC7DB2" w:rsidP="000B26BC">
      <w:pPr>
        <w:pStyle w:val="ListParagraph"/>
        <w:numPr>
          <w:ilvl w:val="0"/>
          <w:numId w:val="38"/>
        </w:numPr>
        <w:ind w:left="2977"/>
      </w:pPr>
      <w:r>
        <w:t>CESNET from Czech Republic</w:t>
      </w:r>
    </w:p>
    <w:p w14:paraId="240157FC" w14:textId="0FD2AE63" w:rsidR="00EC7DB2" w:rsidRDefault="00EC7DB2" w:rsidP="000B26BC">
      <w:pPr>
        <w:pStyle w:val="ListParagraph"/>
        <w:numPr>
          <w:ilvl w:val="0"/>
          <w:numId w:val="38"/>
        </w:numPr>
        <w:ind w:left="2977"/>
      </w:pPr>
      <w:r>
        <w:t>CNRS from France</w:t>
      </w:r>
    </w:p>
    <w:p w14:paraId="7D76F55A" w14:textId="044C7D69" w:rsidR="00EC7DB2" w:rsidRDefault="00EC7DB2" w:rsidP="000B26BC">
      <w:pPr>
        <w:pStyle w:val="ListParagraph"/>
        <w:numPr>
          <w:ilvl w:val="0"/>
          <w:numId w:val="38"/>
        </w:numPr>
        <w:ind w:left="2977"/>
      </w:pPr>
      <w:r>
        <w:t>EMBL-EBI from UK</w:t>
      </w:r>
    </w:p>
    <w:p w14:paraId="2574E06E" w14:textId="2078B7F3" w:rsidR="00EC7DB2" w:rsidRDefault="00EC7DB2" w:rsidP="000B26BC">
      <w:pPr>
        <w:pStyle w:val="ListParagraph"/>
        <w:numPr>
          <w:ilvl w:val="0"/>
          <w:numId w:val="38"/>
        </w:numPr>
        <w:ind w:left="2977"/>
      </w:pPr>
      <w:r>
        <w:t>GRNET from Greece</w:t>
      </w:r>
    </w:p>
    <w:p w14:paraId="5235B0A8" w14:textId="6BEC7EDE" w:rsidR="00EC7DB2" w:rsidRPr="00467C0D" w:rsidRDefault="00EC7DB2" w:rsidP="000B26BC">
      <w:pPr>
        <w:pStyle w:val="ListParagraph"/>
        <w:numPr>
          <w:ilvl w:val="0"/>
          <w:numId w:val="38"/>
        </w:numPr>
        <w:ind w:left="2977"/>
      </w:pPr>
      <w:r>
        <w:t>JetStream from University of Indiana, USA</w:t>
      </w:r>
    </w:p>
    <w:p w14:paraId="5294441A" w14:textId="77777777" w:rsidR="009F16CE" w:rsidRDefault="009F16CE" w:rsidP="009F16CE">
      <w:pPr>
        <w:pStyle w:val="Heading2"/>
      </w:pPr>
      <w:bookmarkStart w:id="12" w:name="_Toc326585237"/>
      <w:r>
        <w:t>CSC</w:t>
      </w:r>
      <w:bookmarkEnd w:id="12"/>
    </w:p>
    <w:p w14:paraId="303CE17A" w14:textId="4BC9BE31" w:rsidR="00FA2573" w:rsidRDefault="00FA2573" w:rsidP="00FA2573">
      <w:r>
        <w:t xml:space="preserve">CSC provides an IaaS cloud service called </w:t>
      </w:r>
      <w:r w:rsidR="009158EA">
        <w:t>c</w:t>
      </w:r>
      <w:r>
        <w:t>Pouta for its customers (https://research.csc.fi/cpouta)</w:t>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center in Kajaani. </w:t>
      </w:r>
    </w:p>
    <w:p w14:paraId="54B269D5" w14:textId="335C2CD7" w:rsidR="00FA2573" w:rsidRDefault="00FA2573" w:rsidP="00FA2573">
      <w:r>
        <w:t>Currently the service contains nearly 3500 computing cores, used by over 200 comput</w:t>
      </w:r>
      <w:r w:rsidR="000E493D">
        <w:t xml:space="preserve">ing projects.  The majority of </w:t>
      </w:r>
      <w:r>
        <w:t>users are academic researchers working in Finland</w:t>
      </w:r>
      <w:r w:rsidR="00176578">
        <w:t>. A</w:t>
      </w:r>
      <w:r>
        <w:t xml:space="preserve">ccess is granted </w:t>
      </w:r>
      <w:r w:rsidR="000E493D">
        <w:t xml:space="preserve">by the CSC resource allocation </w:t>
      </w:r>
      <w:r w:rsidR="004F1DA2">
        <w:t>board, but</w:t>
      </w:r>
      <w:r w:rsidR="002B2D16">
        <w:t xml:space="preserve"> cPouta also</w:t>
      </w:r>
      <w:r w:rsidR="004F1DA2">
        <w:t xml:space="preserve"> </w:t>
      </w:r>
      <w:r w:rsidR="00176578">
        <w:t xml:space="preserve">serves </w:t>
      </w:r>
      <w:r w:rsidR="004F1DA2">
        <w:t xml:space="preserve">international collaboration projects, including </w:t>
      </w:r>
      <w:r w:rsidR="008A7C63">
        <w:t xml:space="preserve">some </w:t>
      </w:r>
      <w:r w:rsidR="002B2D16">
        <w:t>ELIXIR pilots.</w:t>
      </w:r>
      <w:r>
        <w:t xml:space="preserve"> There are also some commercial users, who buy the </w:t>
      </w:r>
      <w:r w:rsidR="005E256F">
        <w:t>c</w:t>
      </w:r>
      <w:r>
        <w:t>Po</w:t>
      </w:r>
      <w:r w:rsidR="000E493D">
        <w:t>uta capacity directly from CSC.</w:t>
      </w:r>
    </w:p>
    <w:p w14:paraId="5DA1DAC3" w14:textId="11D9CABF" w:rsidR="00936DE7" w:rsidRDefault="00FA2573" w:rsidP="00FA2573">
      <w:r>
        <w:t>As a member of EGI, CSC is interested in being part of the EGI Federa</w:t>
      </w:r>
      <w:r w:rsidR="009158EA">
        <w:t>ted Cloud</w:t>
      </w:r>
      <w:r w:rsidR="00176578">
        <w:t xml:space="preserve"> to offer resources for ELIXIR and</w:t>
      </w:r>
      <w:r w:rsidR="00936DE7">
        <w:t xml:space="preserve"> possibly also</w:t>
      </w:r>
      <w:r w:rsidR="00176578">
        <w:t xml:space="preserve"> </w:t>
      </w:r>
      <w:r w:rsidR="00C9780E">
        <w:t>for</w:t>
      </w:r>
      <w:r w:rsidR="00176578">
        <w:t xml:space="preserve"> other communities</w:t>
      </w:r>
      <w:r w:rsidR="009158EA">
        <w:t>. However, a</w:t>
      </w:r>
      <w:r w:rsidR="000E493D">
        <w:t xml:space="preserve">s cPouta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t xml:space="preserve"> </w:t>
      </w:r>
      <w:r w:rsidR="00176578">
        <w:t xml:space="preserve">thus offering this to international communities </w:t>
      </w:r>
      <w:r w:rsidR="00936DE7" w:rsidRPr="00936DE7">
        <w:t xml:space="preserve">through the EGI Federated cloud </w:t>
      </w:r>
      <w:r w:rsidR="00176578">
        <w:t xml:space="preserve">should not </w:t>
      </w:r>
      <w:r>
        <w:t>a</w:t>
      </w:r>
      <w:r w:rsidR="000E493D">
        <w:t xml:space="preserve">ffect CSC's service level. </w:t>
      </w:r>
      <w:r w:rsidR="00936DE7" w:rsidRPr="00936DE7">
        <w:t xml:space="preserve">In particular, </w:t>
      </w:r>
      <w:r w:rsidR="00C9780E">
        <w:t xml:space="preserve">ELIXIR and </w:t>
      </w:r>
      <w:r w:rsidR="00936DE7" w:rsidRPr="00936DE7">
        <w:t xml:space="preserve">EGI usage policies must not have a restricting impact on </w:t>
      </w:r>
      <w:r w:rsidR="00C9780E">
        <w:t xml:space="preserve">providing the CSS’s core </w:t>
      </w:r>
      <w:r w:rsidR="00936DE7" w:rsidRPr="00936DE7">
        <w:t>services</w:t>
      </w:r>
      <w:r w:rsidR="00C9780E">
        <w:t xml:space="preserve"> to national users</w:t>
      </w:r>
      <w:r w:rsidR="00936DE7" w:rsidRPr="00936DE7">
        <w:t>.</w:t>
      </w:r>
    </w:p>
    <w:p w14:paraId="75332344" w14:textId="6B1243E7" w:rsidR="00936DE7" w:rsidRDefault="00936DE7" w:rsidP="00936DE7">
      <w:r>
        <w:t xml:space="preserve">The recent development in the EGI Federated Cloud environment should make it easier for CSC to start acting as a resource provider for EGI federated cloud. For example, features that previous caused Nova/Keystone compatibility issues are no longer used in the EGI Federated Cloud. However, to utilize these improvements CSC will first need to upgrade the local OpenStack several version steps (up to Kilo or Liberty version) which will require several months to be implemented. </w:t>
      </w:r>
    </w:p>
    <w:p w14:paraId="45DCD5FF" w14:textId="73579F1F" w:rsidR="00936DE7" w:rsidRDefault="00936DE7" w:rsidP="00936DE7">
      <w:r>
        <w:t xml:space="preserve">After this upgrade both the technical and policy issues related to quotas, accounting and </w:t>
      </w:r>
      <w:r w:rsidR="000731CD">
        <w:t>billing integration</w:t>
      </w:r>
      <w:r>
        <w:t xml:space="preserve"> will need to be readdressed and solved.</w:t>
      </w:r>
    </w:p>
    <w:p w14:paraId="4AFBD5A0" w14:textId="13F62DB7" w:rsidR="009F16CE" w:rsidRDefault="00936DE7" w:rsidP="00467C0D">
      <w:r>
        <w:t xml:space="preserve">Operating an OpenStack cloud is </w:t>
      </w:r>
      <w:r w:rsidR="00C9780E">
        <w:t xml:space="preserve">already a </w:t>
      </w:r>
      <w:r>
        <w:t>resource intens</w:t>
      </w:r>
      <w:r w:rsidR="00C9780E">
        <w:t>ive task</w:t>
      </w:r>
      <w:r>
        <w:t>. Adding extra integrations to a production OpenStack cloud increase</w:t>
      </w:r>
      <w:r w:rsidR="00C9780E">
        <w:t>s</w:t>
      </w:r>
      <w:r>
        <w:t xml:space="preserve"> the complexity of maintaining the </w:t>
      </w:r>
      <w:r w:rsidR="00C9780E">
        <w:t>site</w:t>
      </w:r>
      <w:r>
        <w:t xml:space="preserve">. To ensure the </w:t>
      </w:r>
      <w:r w:rsidR="000B26BC">
        <w:t>long-</w:t>
      </w:r>
      <w:r w:rsidR="000B26BC">
        <w:lastRenderedPageBreak/>
        <w:t>term</w:t>
      </w:r>
      <w:r>
        <w:t xml:space="preserve"> viability of this platform, CSC would like to be sure that it doesn't add undue burden to the maintenance and update process</w:t>
      </w:r>
      <w:r w:rsidR="00C9780E">
        <w:t>. CSS, ELIXIR and EGI will further discuss this topic and work towards a setup that brings value to ELIXIR and works under the limitations set on local services by CSC.</w:t>
      </w:r>
    </w:p>
    <w:p w14:paraId="55ED11FE" w14:textId="52A65FB2" w:rsidR="009F16CE" w:rsidRDefault="009F16CE" w:rsidP="009F16CE">
      <w:pPr>
        <w:pStyle w:val="Heading2"/>
      </w:pPr>
      <w:bookmarkStart w:id="13" w:name="_Toc326585238"/>
      <w:r>
        <w:t>CESNET</w:t>
      </w:r>
      <w:bookmarkEnd w:id="13"/>
    </w:p>
    <w:p w14:paraId="0C6B1452" w14:textId="77777777" w:rsidR="00530A7D" w:rsidRDefault="00530A7D" w:rsidP="00530A7D">
      <w:r>
        <w:t>CESNET operates a sizable national HPC infrastructure in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 EGI Federated Cloud.</w:t>
      </w:r>
    </w:p>
    <w:p w14:paraId="02F746ED" w14:textId="77777777" w:rsidR="00530A7D" w:rsidRDefault="00530A7D" w:rsidP="00530A7D"/>
    <w:p w14:paraId="6368A59C" w14:textId="77777777" w:rsidR="00530A7D" w:rsidRDefault="00530A7D" w:rsidP="00530A7D">
      <w:r>
        <w:t>As a resource provider, CESNET is fully integrated and offering the following cloud services compliant with 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Virtual machine image management via HEPiX vmcatcher/vmcaster</w:t>
      </w:r>
    </w:p>
    <w:p w14:paraId="3E0DDE47" w14:textId="5CFBA87C" w:rsidR="00530A7D" w:rsidRDefault="00530A7D" w:rsidP="00867128">
      <w:pPr>
        <w:numPr>
          <w:ilvl w:val="0"/>
          <w:numId w:val="20"/>
        </w:numPr>
      </w:pPr>
      <w:r>
        <w:t>AAI</w:t>
      </w:r>
    </w:p>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(rOCCI-{core, api, cli, server})</w:t>
      </w:r>
    </w:p>
    <w:p w14:paraId="66D892F7" w14:textId="77777777" w:rsidR="00530A7D" w:rsidRDefault="00530A7D" w:rsidP="00530A7D">
      <w:pPr>
        <w:numPr>
          <w:ilvl w:val="0"/>
          <w:numId w:val="21"/>
        </w:numPr>
      </w:pPr>
      <w:r>
        <w:t>OpenNebula APEL connector (oneacct-export)</w:t>
      </w:r>
    </w:p>
    <w:p w14:paraId="1D8B0D90" w14:textId="77777777" w:rsidR="00530A7D" w:rsidRDefault="00530A7D" w:rsidP="00530A7D">
      <w:pPr>
        <w:numPr>
          <w:ilvl w:val="0"/>
          <w:numId w:val="21"/>
        </w:numPr>
      </w:pPr>
      <w:r>
        <w:t>OpenNebula Perun connector (fctf-perun)</w:t>
      </w:r>
    </w:p>
    <w:p w14:paraId="7A93FC24" w14:textId="77777777" w:rsidR="00530A7D" w:rsidRDefault="00530A7D" w:rsidP="00530A7D">
      <w:pPr>
        <w:numPr>
          <w:ilvl w:val="0"/>
          <w:numId w:val="21"/>
        </w:numPr>
      </w:pPr>
      <w:r>
        <w:t>OpenNebula vmcatcher handler (itchy, nifty)</w:t>
      </w:r>
    </w:p>
    <w:p w14:paraId="1A3CDF13" w14:textId="77777777" w:rsidR="00530A7D" w:rsidRDefault="00530A7D" w:rsidP="00530A7D">
      <w:pPr>
        <w:numPr>
          <w:ilvl w:val="0"/>
          <w:numId w:val="21"/>
        </w:numPr>
      </w:pPr>
      <w:r>
        <w:t>OCCI monitoring probes for Nagios</w:t>
      </w:r>
    </w:p>
    <w:p w14:paraId="18447228" w14:textId="4441F780" w:rsidR="00037DBD" w:rsidRDefault="00037DBD" w:rsidP="00867128">
      <w:r>
        <w:t>CESNET can support the appliances and virtual organizations required by the ELIXIR Compute platform. (Currently there is one ELIXIR virtual organisation, but more are expected in the future.)</w:t>
      </w:r>
    </w:p>
    <w:p w14:paraId="36D06726" w14:textId="6FF3FDB4" w:rsidR="009F16CE" w:rsidRDefault="009F16CE" w:rsidP="009F16CE">
      <w:pPr>
        <w:pStyle w:val="Heading2"/>
      </w:pPr>
      <w:bookmarkStart w:id="14" w:name="_Toc326585239"/>
      <w:r>
        <w:t>CNRS</w:t>
      </w:r>
      <w:bookmarkEnd w:id="14"/>
    </w:p>
    <w:p w14:paraId="3788132E" w14:textId="3112BBF7" w:rsidR="00037DBD" w:rsidRDefault="00037DBD" w:rsidP="00037DBD">
      <w:r>
        <w:t xml:space="preserve">The French Institute of Bioinformatics (IFB) is a national service infrastructure in bioinformatics and the French node of ELIXIR. The IFB’s principal mission is to provide core bioinformatics resources to the French life science community (academic and private partners) coupled to the required computing and storage capacity in a national bioinformatics cloud. To address the most common needs, a selection of major scientific software tools was made and they were installed in </w:t>
      </w:r>
      <w:r>
        <w:lastRenderedPageBreak/>
        <w:t>pre-configured virtual images (cloud appliances), ready to run on the IFB’s cloud. To date, 36 appliances cover different domains of the life sciences, for example users can deploy a cloud virtual pipeline for microbial genomes analysis. The long-term objective is to create a federation of clouds that rely on the interconnected IT infrastructures of the IFB’s platforms, providing personalized services to analyze life science data.</w:t>
      </w:r>
    </w:p>
    <w:p w14:paraId="7A549E6E" w14:textId="77777777" w:rsidR="00037DBD" w:rsidRDefault="00037DBD" w:rsidP="00037DBD">
      <w:r>
        <w:t>Currently, the IFB cloud is based on the StratusLab cloud middleware and comprises 200 computing cores, two terabytes (TB) of RAM and 50 TB of storage. We plan to increase these resources to 5,000 cores with 500 TB of storage by the end of 2016. The IFB’s IT infrastructure is hosted at IDRIS, one of the major national high-performance computing centers (GENCI). This ensures the stability of the IFB’s infrastructure by providing a reliable power supply, cooling system and large network bandwidth commonly found in such environments.</w:t>
      </w:r>
    </w:p>
    <w:p w14:paraId="1B4ED02F" w14:textId="77777777" w:rsidR="00037DBD" w:rsidRDefault="00037DBD" w:rsidP="00037DBD"/>
    <w:p w14:paraId="0CEAE037" w14:textId="77777777" w:rsidR="00037DBD" w:rsidRDefault="00037DBD" w:rsidP="00037DBD">
      <w:r>
        <w:t xml:space="preserve">CNRS IFB cloud can not be yet easily integrated to EGI FedCloud due the facts that (i) it is in production status for the French life science community, and (ii) it is currently relying on StratusLab middleware which does not currently have connectors to participate the EGI FedCloud. </w:t>
      </w:r>
    </w:p>
    <w:p w14:paraId="25F4B657" w14:textId="77777777" w:rsidR="00037DBD" w:rsidRDefault="00037DBD" w:rsidP="00037DBD">
      <w:r>
        <w:t xml:space="preserve">A way of providing resources to the CC-ELIXIR may be through </w:t>
      </w:r>
    </w:p>
    <w:p w14:paraId="3995560B" w14:textId="3803E9C5" w:rsidR="00037DBD" w:rsidRDefault="00037DBD" w:rsidP="00867128">
      <w:pPr>
        <w:pStyle w:val="ListParagraph"/>
        <w:numPr>
          <w:ilvl w:val="0"/>
          <w:numId w:val="31"/>
        </w:numPr>
      </w:pPr>
      <w:r>
        <w:t>the collaboration of one of the IFB platform that is collaborating with a site of the French NGI already integrated in the EGI FedCloud.</w:t>
      </w:r>
    </w:p>
    <w:p w14:paraId="19F551A9" w14:textId="6DCA1B4C" w:rsidR="00037DBD" w:rsidRDefault="00037DBD" w:rsidP="00867128">
      <w:pPr>
        <w:pStyle w:val="ListParagraph"/>
        <w:numPr>
          <w:ilvl w:val="0"/>
          <w:numId w:val="31"/>
        </w:numPr>
      </w:pPr>
      <w:r>
        <w:t xml:space="preserve">If the development effort is justified, then developing the necessary connectors for StratusLab to participate in the EGI technology-based ELIXIR Compute Platform. </w:t>
      </w:r>
    </w:p>
    <w:p w14:paraId="36B91317" w14:textId="77777777" w:rsidR="00EC7DB2" w:rsidRDefault="00EC7DB2" w:rsidP="00EC7DB2">
      <w:pPr>
        <w:pStyle w:val="Heading2"/>
      </w:pPr>
      <w:bookmarkStart w:id="15" w:name="_Toc452531154"/>
      <w:bookmarkStart w:id="16" w:name="_Toc326585240"/>
      <w:r>
        <w:t>EMBL-EBI</w:t>
      </w:r>
      <w:bookmarkEnd w:id="15"/>
      <w:bookmarkEnd w:id="16"/>
    </w:p>
    <w:p w14:paraId="751E31C5" w14:textId="77777777" w:rsidR="00EC7DB2" w:rsidRDefault="00EC7DB2" w:rsidP="00EC7DB2">
      <w:r>
        <w:t xml:space="preserve">The EMBL-EBI Embassy Cloud (http://www.embassycloud.org/) is a 1200 core OpenStack platform co-located with EMBL-EBI’s services and data resources. Access to the Embassy Cloud is available for researchers outside EMBL if they have a collaboration with staff at EMBL. </w:t>
      </w:r>
    </w:p>
    <w:p w14:paraId="2268394C" w14:textId="31ADD8E7" w:rsidR="00EC7DB2" w:rsidRDefault="00EC7DB2" w:rsidP="00EC7DB2">
      <w:r>
        <w:t>The current OpenStack deployment is not compatible with EGI’s integration mechanism, so a separate 16 core stack has been deployed to enable EMBL-EBI to contribute resources to the EGI Federation Cloud. The technical work is essentially now complete using EGI’s Integration Appliance (Read about this appliance in Section 4.2</w:t>
      </w:r>
      <w:r w:rsidR="005E779F">
        <w:t>), which</w:t>
      </w:r>
      <w:r>
        <w:t xml:space="preserve"> has now been demonstrated to work with Openstack Tripleo Liberty.</w:t>
      </w:r>
    </w:p>
    <w:p w14:paraId="136ACD49" w14:textId="77777777" w:rsidR="00EC7DB2" w:rsidRDefault="00EC7DB2" w:rsidP="00EC7DB2">
      <w:r>
        <w:t>This resource is now being integrated into the ELIXIR ‘NGI’ within EGI’s Grid Operations Centre Database (</w:t>
      </w:r>
      <w:hyperlink r:id="rId16" w:history="1">
        <w:r w:rsidRPr="00736DFC">
          <w:rPr>
            <w:rStyle w:val="Hyperlink"/>
          </w:rPr>
          <w:t>https://goc.egi.eu</w:t>
        </w:r>
      </w:hyperlink>
      <w:r>
        <w:t>). (GOCDB is now also integrated with the ELIXIR AAI through the EGI AAI gateway. More about this in Section 5.2). This work by EGI has allowed the EMBL-EBI site to appear as part of the ELIXIR NGI. Other ELIXIR Compute Platform cloud sites that are being integrated using the EGI model can also be added into this domain specific ‘NGI’ if they do not wish or are not able to join their national NGI.</w:t>
      </w:r>
    </w:p>
    <w:p w14:paraId="03523799" w14:textId="77777777" w:rsidR="00EC7DB2" w:rsidRDefault="00EC7DB2" w:rsidP="00EC7DB2">
      <w:r>
        <w:t xml:space="preserve">ELIXIR cloud sites that are already part of an NGI can be given the ‘elixir’ scope. This allows these NGI sites, and the sites within the ELIXIR NGI to be identified and to be extracted to appear in </w:t>
      </w:r>
      <w:r>
        <w:lastRenderedPageBreak/>
        <w:t>other EGI tools. This integration is now taking place by EGI within the site monitoring tool ARGO – http://argo.egi.eu.</w:t>
      </w:r>
    </w:p>
    <w:p w14:paraId="042BA667" w14:textId="77777777" w:rsidR="00EC7DB2" w:rsidRDefault="00EC7DB2" w:rsidP="00EC7DB2">
      <w:r>
        <w:t>Work on the integration of the EMBL-EBI site completely into the EGI Federated Cloud continues with the integration of accounting, information services, and with AppDB for virtual machine integration continuing.</w:t>
      </w:r>
    </w:p>
    <w:p w14:paraId="199B6B47" w14:textId="77777777" w:rsidR="00EC7DB2" w:rsidRDefault="00EC7DB2" w:rsidP="00EC7DB2">
      <w:r>
        <w:t>However, current security concerns include:</w:t>
      </w:r>
    </w:p>
    <w:p w14:paraId="7A6F538E" w14:textId="77777777" w:rsidR="00EC7DB2" w:rsidRDefault="00EC7DB2" w:rsidP="00EC7DB2">
      <w:pPr>
        <w:pStyle w:val="ListParagraph"/>
        <w:numPr>
          <w:ilvl w:val="0"/>
          <w:numId w:val="30"/>
        </w:numPr>
      </w:pPr>
      <w:r>
        <w:t xml:space="preserve">Nova API v2.1, which is the default in Liberty, no longer allows granular authorization within a project. So in effect users within the same project are not protected from each other. EGI has suggested forking Nova with new code as a work around in the short term, but the Openstack developers are not keen to implement this, so we are currently at an impasse. Note that the new granularity level is exactly what is compatible with CSC national authorisation level. </w:t>
      </w:r>
    </w:p>
    <w:p w14:paraId="1BE55833" w14:textId="77777777" w:rsidR="00EC7DB2" w:rsidRDefault="00EC7DB2" w:rsidP="00EC7DB2">
      <w:pPr>
        <w:pStyle w:val="ListParagraph"/>
        <w:numPr>
          <w:ilvl w:val="0"/>
          <w:numId w:val="30"/>
        </w:numPr>
      </w:pPr>
      <w:r>
        <w:t>The lack of CRL (Certificate Revocation List) checking by VOMS library/Apache in Openstack is a concern as revoked user certificates will still be allowed to access the cloud resource. The integration of Keystone WSGI/SSL/VOMS and Nova OOI is far from trivial, and alongside our security concerns has prevented us from using our current production stack for the EGI integration.</w:t>
      </w:r>
    </w:p>
    <w:p w14:paraId="619E81B4" w14:textId="5A8D6560" w:rsidR="00466D4B" w:rsidRDefault="00EC7DB2" w:rsidP="00466D4B">
      <w:r>
        <w:t>During Summer 2016 the EMBL-EBI OpenStack cloud installation will be expanded and upgraded to the latest OpenStack version (Liberty) and the current demonstration integration of the EGI Federated Cloud at EMBL-EBI will be transferred to the production cloud.</w:t>
      </w:r>
    </w:p>
    <w:p w14:paraId="29CB6933" w14:textId="77777777" w:rsidR="009F16CE" w:rsidRDefault="009F16CE" w:rsidP="009F16CE">
      <w:pPr>
        <w:pStyle w:val="Heading2"/>
      </w:pPr>
      <w:bookmarkStart w:id="17" w:name="_Toc326585241"/>
      <w:r>
        <w:t>GRNET</w:t>
      </w:r>
      <w:bookmarkEnd w:id="17"/>
    </w:p>
    <w:p w14:paraId="4DBC0F19" w14:textId="77777777" w:rsidR="00BC6614" w:rsidRDefault="00BC6614" w:rsidP="00BC6614">
      <w:r>
        <w:t xml:space="preserve">GRNET operates Infrastructure as a Service ~okeanos via large datacenters (84 racks, 1200+ servers, 10000 Virtual Machines active, 5 Petabytes of storage).  GRNET is also developing Synnefo, the cloud software for ~okeanos.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~okeanos has joined the EGI Federated Cloud activities with the aim to enhance its interoperability features and enable the offering of computing resources to the high-productivity federated infrastructure offered by EGI. ~Okeanos is fully integrated with EGI Federated Cloud and is offering the following services: </w:t>
      </w:r>
    </w:p>
    <w:p w14:paraId="429C004F" w14:textId="77777777" w:rsidR="00BC6614" w:rsidRDefault="00BC6614" w:rsidP="00867128">
      <w:pPr>
        <w:pStyle w:val="ListParagraph"/>
        <w:numPr>
          <w:ilvl w:val="0"/>
          <w:numId w:val="32"/>
        </w:numPr>
      </w:pPr>
      <w:r>
        <w:t xml:space="preserve">OCCI via the SNF-OCCI an implementation of the OCCI specification on top of synnefo’s API kamaki </w:t>
      </w:r>
    </w:p>
    <w:p w14:paraId="75C4A273" w14:textId="77777777" w:rsidR="00BC6614" w:rsidRDefault="00BC6614" w:rsidP="00867128">
      <w:pPr>
        <w:pStyle w:val="ListParagraph"/>
        <w:numPr>
          <w:ilvl w:val="0"/>
          <w:numId w:val="32"/>
        </w:numPr>
      </w:pPr>
      <w:r>
        <w:t xml:space="preserve">CDMI via the SNF-CDMI an implementation of the CDMI specification on top of synnefo’s API kamaki </w:t>
      </w:r>
    </w:p>
    <w:p w14:paraId="1399081F" w14:textId="77777777" w:rsidR="00BC6614" w:rsidRDefault="00BC6614" w:rsidP="00867128">
      <w:pPr>
        <w:pStyle w:val="ListParagraph"/>
        <w:numPr>
          <w:ilvl w:val="0"/>
          <w:numId w:val="32"/>
        </w:numPr>
      </w:pPr>
      <w:r>
        <w:t>Accounting via the SNF-SSM implementation of the SSM accounting mechanism.</w:t>
      </w:r>
    </w:p>
    <w:p w14:paraId="70D947EE" w14:textId="77777777" w:rsidR="00BC6614" w:rsidRDefault="00BC6614" w:rsidP="00867128">
      <w:pPr>
        <w:pStyle w:val="ListParagraph"/>
        <w:numPr>
          <w:ilvl w:val="0"/>
          <w:numId w:val="32"/>
        </w:numPr>
      </w:pPr>
      <w:r>
        <w:t>VM Image management via  SNF-VMCATCHER.</w:t>
      </w:r>
    </w:p>
    <w:p w14:paraId="18E2BBFF" w14:textId="2EDC46E1" w:rsidR="00466D4B" w:rsidRDefault="00BC6614" w:rsidP="00BC6614">
      <w:r>
        <w:lastRenderedPageBreak/>
        <w:t xml:space="preserve">GRNET supports the </w:t>
      </w:r>
      <w:r w:rsidR="00037DBD">
        <w:t xml:space="preserve">virtual organisations and virtual machine </w:t>
      </w:r>
      <w:r>
        <w:t xml:space="preserve">images required by </w:t>
      </w:r>
      <w:r w:rsidR="00037DBD">
        <w:t xml:space="preserve">the </w:t>
      </w:r>
      <w:r>
        <w:t xml:space="preserve">ELIXIR </w:t>
      </w:r>
      <w:r w:rsidR="00037DBD">
        <w:t xml:space="preserve">Competence Centre. </w:t>
      </w:r>
      <w:r>
        <w:t xml:space="preserve">The </w:t>
      </w:r>
      <w:r w:rsidR="000B26BC">
        <w:t>plans for the next year are</w:t>
      </w:r>
      <w:r>
        <w:t xml:space="preserve"> to update snf-occi to support OCCI 1.2 specification and to extend it capabilities.</w:t>
      </w:r>
      <w:r w:rsidR="00466D4B">
        <w:t xml:space="preserve"> </w:t>
      </w:r>
    </w:p>
    <w:p w14:paraId="736C1E78" w14:textId="5E31C6EF" w:rsidR="009F16CE" w:rsidRDefault="0082118F" w:rsidP="009F16CE">
      <w:pPr>
        <w:pStyle w:val="Heading2"/>
      </w:pPr>
      <w:bookmarkStart w:id="18" w:name="_Toc326585242"/>
      <w:r>
        <w:t>Jets</w:t>
      </w:r>
      <w:r w:rsidR="009F16CE">
        <w:t>tream</w:t>
      </w:r>
      <w:bookmarkEnd w:id="18"/>
    </w:p>
    <w:p w14:paraId="282099E7" w14:textId="4CBAFD35" w:rsidR="003F187F" w:rsidRPr="00467C0D" w:rsidRDefault="003F187F" w:rsidP="00467C0D">
      <w:r w:rsidRPr="003F187F">
        <w:t>The Jetstream system received official acceptance after review by the National Science Foundation at the beginning of May 2016. Since this was announced an ELIXIR start up allocation has been approved by XSEDE. An initial meeting with the Jetstream administrators was conducted on May 18th to discuss the goals of the Jetstream interoperability project and the use of the EGI FedCloud integration appliance. While there were some policy concerns surrounding the XSEDE allocation process, no immediate technical concerns were expressed by the administrators. An initial attempt to run the EGI FedCloud integratio</w:t>
      </w:r>
      <w:r w:rsidR="0082118F">
        <w:t xml:space="preserve">n appliance will happen in early June </w:t>
      </w:r>
      <w:r w:rsidRPr="003F187F">
        <w:t>with result reported to the ELIXIR Competence Centre. Once the integration appliance has successfully been installed ELIXIR application testing can occur.</w:t>
      </w:r>
    </w:p>
    <w:p w14:paraId="26137714" w14:textId="77777777" w:rsidR="009F16CE" w:rsidRPr="009F16CE" w:rsidRDefault="009F16CE" w:rsidP="009F16CE"/>
    <w:p w14:paraId="058C3506" w14:textId="5B17A6D1" w:rsidR="004B1271" w:rsidRDefault="004B1271" w:rsidP="004B1271">
      <w:pPr>
        <w:pStyle w:val="Heading1"/>
        <w:numPr>
          <w:ilvl w:val="0"/>
          <w:numId w:val="1"/>
        </w:numPr>
      </w:pPr>
      <w:bookmarkStart w:id="19" w:name="_Toc326585243"/>
      <w:r>
        <w:lastRenderedPageBreak/>
        <w:t>Report on AAI integration</w:t>
      </w:r>
      <w:bookmarkEnd w:id="19"/>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23"/>
      </w:r>
      <w:r w:rsidR="00EE6A59">
        <w:t xml:space="preserve">. The GOCDB service registry, and the AppDB Virtual Machine Image catalogue were selected as priority services to conduct the integration. Besides these OpenStack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r>
        <w:t>AppDB</w:t>
      </w:r>
      <w:r w:rsidR="00EE6A59">
        <w:t xml:space="preserve"> and OpenStack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r w:rsidR="007212E9">
        <w:t xml:space="preserve">AppDB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38A2B091" w:rsidR="00EE6A59" w:rsidRDefault="00EE6A59" w:rsidP="00EE6A59">
      <w:pPr>
        <w:pStyle w:val="ListParagraph"/>
        <w:numPr>
          <w:ilvl w:val="0"/>
          <w:numId w:val="28"/>
        </w:numPr>
      </w:pPr>
      <w:r>
        <w:t xml:space="preserve">In OpenStack ELIXIR members can instantiate applications from the pre-deployed Virtual Machine Images and Virtual Appliances. </w:t>
      </w:r>
    </w:p>
    <w:p w14:paraId="545C77ED" w14:textId="686B178B" w:rsidR="00EE6A59" w:rsidRDefault="00EE6A59" w:rsidP="00EE6A59">
      <w:r>
        <w:t>The next subsections provide details on how the integration was achieved and what are the next steps.</w:t>
      </w:r>
    </w:p>
    <w:p w14:paraId="75FC1D4E" w14:textId="3226677C" w:rsidR="007212E9" w:rsidRDefault="007212E9" w:rsidP="007212E9">
      <w:pPr>
        <w:pStyle w:val="Heading2"/>
      </w:pPr>
      <w:bookmarkStart w:id="20" w:name="_Ref451849891"/>
      <w:bookmarkStart w:id="21" w:name="_Toc326585244"/>
      <w:r>
        <w:t>Integration of ELIXIR AAI with EGI AAI proxy</w:t>
      </w:r>
      <w:bookmarkEnd w:id="20"/>
      <w:bookmarkEnd w:id="21"/>
    </w:p>
    <w:p w14:paraId="55B2D9FA" w14:textId="353FC1D7" w:rsidR="002F092C" w:rsidRDefault="004C06CC" w:rsidP="004C06CC">
      <w:r>
        <w:t xml:space="preserve">The </w:t>
      </w:r>
      <w:r w:rsidR="002F092C">
        <w:t>‘</w:t>
      </w:r>
      <w:r>
        <w:t>EGI AAI proxy</w:t>
      </w:r>
      <w:r w:rsidR="002F092C">
        <w:t>’</w:t>
      </w:r>
      <w:r>
        <w:t xml:space="preserve"> </w:t>
      </w:r>
      <w:r w:rsidR="002F092C">
        <w:t xml:space="preserve">is a new service in the EGI service </w:t>
      </w:r>
      <w:r w:rsidR="005E779F">
        <w:t>portfolio and it</w:t>
      </w:r>
      <w:r w:rsidR="002F092C">
        <w:t xml:space="preserve">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 xml:space="preserve">(IdPs) residing ‘outside’ of the EGI network of services, </w:t>
      </w:r>
      <w:r>
        <w:t>and Service Providers</w:t>
      </w:r>
      <w:r w:rsidR="002F092C">
        <w:t xml:space="preserve"> (SPs) that are part of EGI</w:t>
      </w:r>
      <w:r>
        <w:t>. The main advantage of this design principle is that all entities need to establish and maintain technical</w:t>
      </w:r>
      <w:r w:rsidR="002F092C">
        <w:t xml:space="preserve"> and </w:t>
      </w:r>
      <w:r>
        <w:t xml:space="preserve">trust relation </w:t>
      </w:r>
      <w:r w:rsidR="002F092C">
        <w:t xml:space="preserve">only 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t>Using the EGI AAI proxy, u</w:t>
      </w:r>
      <w:r w:rsidR="004C06CC">
        <w:t>sers are able to authenticate with the credentials provided by the IdP of their Home Organisation through eduGAIN, as well as using social identity providers, eGOV IDs, or other selected external identity providers. To achieve this, the EGI AAI has built</w:t>
      </w:r>
      <w:r>
        <w:t>-</w:t>
      </w:r>
      <w:r w:rsidR="004C06CC">
        <w:t xml:space="preserve">in support for SAML, OpenID Connect and OAuth2 providers and already enables user logins through Facebook, Google, LinkedIn, and ORCID. In addition to serving as an authentication proxy, the EGI AAI </w:t>
      </w:r>
      <w:r w:rsidR="004C06CC">
        <w:lastRenderedPageBreak/>
        <w:t>provides a central Discovery Service (W</w:t>
      </w:r>
      <w:r>
        <w:t>here Are You From – W</w:t>
      </w:r>
      <w:r w:rsidR="004C06CC">
        <w:t xml:space="preserve">AYF) for users to select their preferred IdP. </w:t>
      </w:r>
    </w:p>
    <w:p w14:paraId="0F50534B" w14:textId="3B86A39D" w:rsidR="004C06CC" w:rsidRDefault="002F092C" w:rsidP="004C06CC">
      <w:r>
        <w:t xml:space="preserve">The EGI AAI </w:t>
      </w:r>
      <w:r w:rsidR="004C06CC">
        <w:t xml:space="preserve">proxy is also responsible for aggregating user attributes originating from various authoritative sources </w:t>
      </w:r>
      <w:r>
        <w:t xml:space="preserve">(IdPs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24"/>
      </w:r>
      <w:r w:rsidR="00376C43">
        <w:t xml:space="preserve">. </w:t>
      </w:r>
    </w:p>
    <w:p w14:paraId="06B7F659" w14:textId="5D5CCF63" w:rsidR="00501FF1" w:rsidRDefault="002F092C" w:rsidP="004C06CC">
      <w:r>
        <w:t>Within ELIXIR the ELIXIR AAI service operates as both an IdP and attribute provider service. It’s assumed that this service will manage user accounts and personal attributes for every ELIXIR user. During the last months the EE</w:t>
      </w:r>
      <w:r w:rsidR="004C06CC">
        <w:t xml:space="preserve">GI AAI </w:t>
      </w:r>
      <w:r>
        <w:t xml:space="preserve">proxy </w:t>
      </w:r>
      <w:r w:rsidR="004C06CC">
        <w:t xml:space="preserve">has been integrated with the ELXIR AAI </w:t>
      </w:r>
      <w:r>
        <w:t xml:space="preserve">with the goal </w:t>
      </w:r>
      <w:r w:rsidR="004C06CC">
        <w:t>to enable members of the ELIXIR Community access EGI services</w:t>
      </w:r>
      <w:r>
        <w:t xml:space="preserve">. Two EGI service – </w:t>
      </w:r>
      <w:r w:rsidR="004C06CC">
        <w:t xml:space="preserve">the GOCDB </w:t>
      </w:r>
      <w:r>
        <w:t>service registry and the AppDB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the IdP proxy of the ELIXIR AAI with</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AppDB) </w:t>
      </w:r>
      <w:r>
        <w:t xml:space="preserve">through </w:t>
      </w:r>
      <w:r w:rsidR="00501FF1">
        <w:t>a</w:t>
      </w:r>
      <w:r>
        <w:t xml:space="preserve"> web browser (SP-initiated SSO). Since the user is not logged in at the SP</w:t>
      </w:r>
      <w:r w:rsidR="00501FF1">
        <w:t xml:space="preserve"> yet</w:t>
      </w:r>
      <w:r>
        <w:t xml:space="preserve">, the SP sends the user to the EGI IdP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r>
        <w:t>IdP proxy</w:t>
      </w:r>
      <w:r w:rsidR="00501FF1">
        <w:t xml:space="preserve"> component)</w:t>
      </w:r>
      <w:r>
        <w:t xml:space="preserve">. Compliance of the EGI SP proxy with the GÉANT Data Protection Code of Conduct (CoCo) and the REFEDS Research and Scholarship (R&amp;S) allows the ELIXIR </w:t>
      </w:r>
      <w:r w:rsidR="00501FF1">
        <w:t xml:space="preserve">AAI </w:t>
      </w:r>
      <w:r>
        <w:t xml:space="preserve">IdP proxy to release the minimum set of attributes required for a user to make use of the EGI </w:t>
      </w:r>
      <w:r w:rsidR="00376C43">
        <w:t>service</w:t>
      </w:r>
      <w:r>
        <w:t xml:space="preserve">. </w:t>
      </w:r>
    </w:p>
    <w:p w14:paraId="057475E3" w14:textId="528BC6BD" w:rsidR="00DD4B00" w:rsidRDefault="004C06CC" w:rsidP="004C06CC">
      <w:r>
        <w:t xml:space="preserve">The released attribute set includes an opaque (eduPersonalUniqueId), as well as a username-based (eduPersonPrincipalName) user identifier scoped at </w:t>
      </w:r>
      <w:r w:rsidRPr="00376C43">
        <w:t>elixir-europe.org</w:t>
      </w:r>
      <w:r w:rsidR="00376C43">
        <w:t>.</w:t>
      </w:r>
      <w:r>
        <w:t xml:space="preserve"> The first name (givenName), surname (sn) and email (mail) </w:t>
      </w:r>
      <w:r w:rsidR="00376C43">
        <w:t>of the user are</w:t>
      </w:r>
      <w:r>
        <w:t xml:space="preserve"> also provided. To indicate the set of rights to specific EGI resources, the ELIXIR IdP proxy releases an eduPersonEntitlement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eduPersonEntitlement content is still under discussion, finalisation is expected by </w:t>
      </w:r>
      <w:r w:rsidR="005E779F">
        <w:t>mid-June</w:t>
      </w:r>
      <w:r w:rsidR="00DD4B00">
        <w:t>.</w:t>
      </w:r>
    </w:p>
    <w:p w14:paraId="63FD3677" w14:textId="35A7F23C" w:rsidR="007212E9" w:rsidRPr="00466D4B" w:rsidRDefault="004C06CC" w:rsidP="007212E9">
      <w:r>
        <w:t xml:space="preserve">The ELIXIR IdP builds an assertion containing the attributes </w:t>
      </w:r>
      <w:r w:rsidR="00DD4B00">
        <w:t xml:space="preserve">above, which is sent to the </w:t>
      </w:r>
      <w:r>
        <w:t>SP proxy</w:t>
      </w:r>
      <w:r w:rsidR="00DD4B00">
        <w:t xml:space="preserve"> component of the EGI AAI proxy</w:t>
      </w:r>
      <w:r>
        <w:t xml:space="preserve">. Based on the authentication method selected by the user, the </w:t>
      </w:r>
      <w:r>
        <w:lastRenderedPageBreak/>
        <w:t>EGI proxy assigns a Level of Assurance (LoA)</w:t>
      </w:r>
      <w:r w:rsidR="00DD4B00">
        <w:rPr>
          <w:rStyle w:val="FootnoteReference"/>
        </w:rPr>
        <w:footnoteReference w:id="25"/>
      </w:r>
      <w:r>
        <w:t>, which is conveyed to the SP through the eduPersonAssurance attribute and the Authentication Context Class of the SAML authentication response. EGI AAI currently distinguishes between three LoA levels, namely, Low, Substantial and High. Some EGI SPs have been configured to provide limited access (or not to accept at all) credentials with the</w:t>
      </w:r>
      <w:r w:rsidR="00DD4B00">
        <w:t xml:space="preserve"> Low LoA. Details regarding LoA levels in case of GOCDB and AppDB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22" w:name="_Toc326585245"/>
      <w:r>
        <w:t>Integration of GOCDB with the EGI AAI proxy</w:t>
      </w:r>
      <w:bookmarkEnd w:id="22"/>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(LoA)</w:t>
      </w:r>
      <w:r>
        <w:t>. As</w:t>
      </w:r>
      <w:r w:rsidRPr="00C64755">
        <w:t xml:space="preserve"> a central configuration management database, GOCDB requires the highest level of assurance</w:t>
      </w:r>
      <w:r w:rsidR="00DD4B00">
        <w:t>.</w:t>
      </w:r>
      <w:r w:rsidRPr="00C64755">
        <w:t xml:space="preserve"> For example, if the user authenticates to the ProxyIdP using a scheme that provides a </w:t>
      </w:r>
      <w:r w:rsidR="00DD4B00">
        <w:t>low or medium</w:t>
      </w:r>
      <w:r w:rsidRPr="00C64755">
        <w:t xml:space="preserve"> level of assurance such as social-media/Facebook, then access to GOCDB is denied. Conversely, if a project integrates a trusted identity provider with the ProxyIdP where the user authenticates using a scheme that provides a high LoA (e.g. institutional credentials), access is granted. During the login process, the LoA category that is assigned 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r>
        <w:t xml:space="preserve">IdP provides the highest level of assurance to GOCDB. </w:t>
      </w:r>
    </w:p>
    <w:p w14:paraId="1650B2C8" w14:textId="13C420B6"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 list of available roles, with their permissions is provided in Appendix 1. There is no automatic mapping between ELIXIR roles and GOCDB roles. </w:t>
      </w:r>
    </w:p>
    <w:p w14:paraId="08261A6B" w14:textId="04AAC3A9" w:rsidR="00A639CC" w:rsidRDefault="00A639CC" w:rsidP="00A639CC">
      <w:pPr>
        <w:pStyle w:val="ListParagraph"/>
        <w:numPr>
          <w:ilvl w:val="1"/>
          <w:numId w:val="22"/>
        </w:numPr>
      </w:pPr>
      <w:r>
        <w:t>User logs in to GOCDB service registry with ELIXIR account (</w:t>
      </w:r>
      <w:hyperlink r:id="rId17" w:history="1">
        <w:r w:rsidRPr="001C2F60">
          <w:rPr>
            <w:rStyle w:val="Hyperlink"/>
          </w:rPr>
          <w:t>http://goc.egi.eu</w:t>
        </w:r>
      </w:hyperlink>
      <w:r>
        <w:t xml:space="preserve">) </w:t>
      </w:r>
    </w:p>
    <w:p w14:paraId="6FE09D3B" w14:textId="1616A9AE"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w:t>
      </w:r>
      <w:r w:rsidR="009A2897">
        <w:t>EMBL-</w:t>
      </w:r>
      <w:r>
        <w:t xml:space="preserve">EBI and Miroslav Ruda from CESNET who have roles over the ELIXR group. (Once this initial community admin group is established within GOCDB by the GOCDB admin, the group can subsequently self-manage their user memberships.) </w:t>
      </w:r>
    </w:p>
    <w:p w14:paraId="7D33D9BB" w14:textId="1C8A0C5D" w:rsidR="00A639CC" w:rsidRPr="007212E9" w:rsidRDefault="00A639CC" w:rsidP="00A639CC">
      <w:pPr>
        <w:pStyle w:val="ListParagraph"/>
        <w:numPr>
          <w:ilvl w:val="1"/>
          <w:numId w:val="22"/>
        </w:numPr>
      </w:pPr>
      <w:r>
        <w:t xml:space="preserve">User is granted with the approved role at next login, and can perform authorised operations. </w:t>
      </w:r>
    </w:p>
    <w:p w14:paraId="30E75323" w14:textId="3E615BCA" w:rsidR="007212E9" w:rsidRDefault="007212E9" w:rsidP="007212E9">
      <w:pPr>
        <w:pStyle w:val="Heading2"/>
      </w:pPr>
      <w:bookmarkStart w:id="23" w:name="_Toc326585246"/>
      <w:r>
        <w:t>Integration of AppDB with the EGI AAI proxy</w:t>
      </w:r>
      <w:bookmarkEnd w:id="23"/>
    </w:p>
    <w:p w14:paraId="326056FA" w14:textId="19EFEB02" w:rsidR="00E620D8" w:rsidRDefault="00E620D8" w:rsidP="00E620D8">
      <w:r>
        <w:t xml:space="preserve">EGI AppDB is planned to be used as a marketplace of Virtual Machine Images (VMIs) </w:t>
      </w:r>
      <w:r w:rsidR="00DD4B00">
        <w:t>within</w:t>
      </w:r>
      <w:r>
        <w:t xml:space="preserve"> the ELIXIR Compute platform. A user can have three roles </w:t>
      </w:r>
      <w:r w:rsidR="004C06CC">
        <w:t>when</w:t>
      </w:r>
      <w:r>
        <w:t xml:space="preserve"> accessing </w:t>
      </w:r>
      <w:r w:rsidR="00051947">
        <w:t>the EGI AppDB</w:t>
      </w:r>
      <w:r>
        <w:t xml:space="preserve"> marketplace:</w:t>
      </w:r>
    </w:p>
    <w:p w14:paraId="23DD45DA" w14:textId="32C29C00" w:rsidR="00E620D8" w:rsidRDefault="004C06CC" w:rsidP="00E620D8">
      <w:pPr>
        <w:pStyle w:val="ListParagraph"/>
        <w:numPr>
          <w:ilvl w:val="0"/>
          <w:numId w:val="23"/>
        </w:numPr>
      </w:pPr>
      <w:r>
        <w:lastRenderedPageBreak/>
        <w:t>V</w:t>
      </w:r>
      <w:r w:rsidR="00E620D8">
        <w:t>isitor: Can browse publicly visible VMIs, can download them for local use.</w:t>
      </w:r>
      <w:r>
        <w:t xml:space="preserve"> Visitors do not </w:t>
      </w:r>
      <w:r w:rsidR="00051947">
        <w:t>have</w:t>
      </w:r>
      <w:r>
        <w:t xml:space="preserve"> to login.</w:t>
      </w:r>
    </w:p>
    <w:p w14:paraId="3F8EDE95" w14:textId="0EB88C95" w:rsidR="00DD3BFE" w:rsidRDefault="00DD3BFE" w:rsidP="00E620D8">
      <w:pPr>
        <w:pStyle w:val="ListParagraph"/>
        <w:numPr>
          <w:ilvl w:val="0"/>
          <w:numId w:val="23"/>
        </w:numPr>
      </w:pPr>
      <w:r>
        <w:t>Member of a scientific community: Can register new VMIs and VMI versions in the marketplace</w:t>
      </w:r>
      <w:r w:rsidR="004C06CC">
        <w:t xml:space="preserve"> and (optionally) c</w:t>
      </w:r>
      <w:r>
        <w:t xml:space="preserve">an submit </w:t>
      </w:r>
      <w:r w:rsidR="004C06CC">
        <w:t xml:space="preserve">these </w:t>
      </w:r>
      <w:r>
        <w:t>to community coordinator for inclusion in the community image list.</w:t>
      </w:r>
      <w:r w:rsidR="00051947">
        <w:t xml:space="preserve"> Community members have to login to AppDB and must have user attribute that express affiliation to the community. </w:t>
      </w:r>
    </w:p>
    <w:p w14:paraId="099169B4" w14:textId="6BADE88A" w:rsidR="00E620D8" w:rsidRDefault="00DD3BFE" w:rsidP="00E620D8">
      <w:pPr>
        <w:pStyle w:val="ListParagraph"/>
        <w:numPr>
          <w:ilvl w:val="0"/>
          <w:numId w:val="23"/>
        </w:numPr>
      </w:pPr>
      <w:r>
        <w:t xml:space="preserve">Coordinator of a scientific community: Can </w:t>
      </w:r>
      <w:r w:rsidR="004C06CC">
        <w:t>add VMIs</w:t>
      </w:r>
      <w:r>
        <w:t xml:space="preserve"> to the community image list</w:t>
      </w:r>
      <w:r w:rsidR="004C06CC">
        <w:t xml:space="preserve"> to</w:t>
      </w:r>
      <w:r>
        <w:t xml:space="preserve"> trigger the replication of the</w:t>
      </w:r>
      <w:r w:rsidR="004C06CC">
        <w:t>se</w:t>
      </w:r>
      <w:r>
        <w:t xml:space="preserve"> VMI</w:t>
      </w:r>
      <w:r w:rsidR="004C06CC">
        <w:t>s</w:t>
      </w:r>
      <w:r>
        <w:t xml:space="preserve"> to the cloud si</w:t>
      </w:r>
      <w:r w:rsidR="004C06CC">
        <w:t>tes that support the community. Community image list includes VMs that are of high relevance to the scientific community.</w:t>
      </w:r>
      <w:r w:rsidR="00051947" w:rsidRPr="00051947">
        <w:t xml:space="preserve"> </w:t>
      </w:r>
      <w:r w:rsidR="00051947">
        <w:t>Community coordinators have to login to AppDB and must have attributes that express affiliation to a community and coordinator role within that community.</w:t>
      </w:r>
    </w:p>
    <w:p w14:paraId="7B038686" w14:textId="54B60B65" w:rsidR="0008538C" w:rsidRDefault="004C06CC" w:rsidP="00E620D8">
      <w:r>
        <w:t>The goal of the AppDB</w:t>
      </w:r>
      <w:r w:rsidR="00DD3BFE">
        <w:t>–ELIXIR AAI integration was to enable authorized access to the marketplace for members of the ELIXIR community</w:t>
      </w:r>
      <w:r>
        <w:t xml:space="preserve"> - </w:t>
      </w:r>
      <w:r w:rsidR="00DD3BFE">
        <w:t xml:space="preserve">i.e. for those </w:t>
      </w:r>
      <w:r>
        <w:t>possessing</w:t>
      </w:r>
      <w:r w:rsidR="00DD3BFE">
        <w:t xml:space="preserve"> ELIXIR accounts. </w:t>
      </w:r>
    </w:p>
    <w:p w14:paraId="2999B4DF" w14:textId="4C20F027" w:rsidR="00051947" w:rsidRDefault="00DD3BFE" w:rsidP="00E620D8">
      <w:r>
        <w:t>The i</w:t>
      </w:r>
      <w:r w:rsidR="00E620D8" w:rsidRPr="00E620D8">
        <w:t xml:space="preserve">ntegration of AppDB </w:t>
      </w:r>
      <w:r>
        <w:t>with the</w:t>
      </w:r>
      <w:r w:rsidR="00E620D8" w:rsidRPr="00E620D8">
        <w:t xml:space="preserve"> EGI ProxyIdP </w:t>
      </w:r>
      <w:r>
        <w:t>has been completed</w:t>
      </w:r>
      <w:r w:rsidR="00051947">
        <w:t xml:space="preserve">, so AppDB can login and authorise users coming through the EGI AAI proxy. </w:t>
      </w:r>
      <w:r w:rsidR="00E620D8" w:rsidRPr="00E620D8">
        <w:t>Authorization of user actions</w:t>
      </w:r>
      <w:r w:rsidR="00051947">
        <w:t xml:space="preserve"> is based on</w:t>
      </w:r>
      <w:r w:rsidR="00E620D8" w:rsidRPr="00E620D8">
        <w:t xml:space="preserve"> relevant entitlements returned by the </w:t>
      </w:r>
      <w:r w:rsidR="00051947">
        <w:t>EGI AAI proxy (including LoA entitlement)</w:t>
      </w:r>
      <w:r w:rsidR="00E620D8" w:rsidRPr="00E620D8">
        <w:t xml:space="preserve">. </w:t>
      </w:r>
    </w:p>
    <w:p w14:paraId="0F2A7751" w14:textId="61671CDA" w:rsidR="00E620D8" w:rsidRPr="00E620D8" w:rsidRDefault="00051947" w:rsidP="00E620D8">
      <w:r>
        <w:t xml:space="preserve">The integration is currently stalled on </w:t>
      </w:r>
      <w:r w:rsidR="00E620D8" w:rsidRPr="00E620D8">
        <w:t xml:space="preserve">waiting for </w:t>
      </w:r>
      <w:r>
        <w:t xml:space="preserve">the agreement on the </w:t>
      </w:r>
      <w:r w:rsidR="00E620D8" w:rsidRPr="00E620D8">
        <w:t xml:space="preserve">normalized </w:t>
      </w:r>
      <w:r>
        <w:t>entitlement schema</w:t>
      </w:r>
      <w:r w:rsidR="00E620D8" w:rsidRPr="00E620D8">
        <w:t xml:space="preserve"> </w:t>
      </w:r>
      <w:r>
        <w:t xml:space="preserve">between the ELIXIR AAI and EGI AAI proxy. </w:t>
      </w:r>
      <w:r w:rsidR="00E620D8" w:rsidRPr="00E620D8">
        <w:t>Once entitlement normalization is complete, the EGI AAI subsystem of AppDB will be able to move to pr</w:t>
      </w:r>
      <w:r w:rsidR="001041EF">
        <w:t>oduction and eventually expand</w:t>
      </w:r>
      <w:r w:rsidR="00E620D8" w:rsidRPr="00E620D8">
        <w:t xml:space="preserve"> the existing authentication and authorization methods (EGI SSO, x</w:t>
      </w:r>
      <w:r w:rsidR="001041EF">
        <w:t>.</w:t>
      </w:r>
      <w:r w:rsidR="00E620D8" w:rsidRPr="00E620D8">
        <w:t>509)</w:t>
      </w:r>
      <w:r w:rsidR="001041EF">
        <w:t xml:space="preserve"> with new options</w:t>
      </w:r>
      <w:r w:rsidR="00E620D8" w:rsidRPr="00E620D8">
        <w:t>.</w:t>
      </w:r>
    </w:p>
    <w:p w14:paraId="22DB4BF8" w14:textId="20FECC26" w:rsidR="00536BBD" w:rsidRDefault="00536BBD" w:rsidP="00536BBD">
      <w:pPr>
        <w:pStyle w:val="Heading2"/>
      </w:pPr>
      <w:bookmarkStart w:id="24" w:name="_Toc326585247"/>
      <w:r>
        <w:t>Integration of OpenStack with the EGI AAI proxy</w:t>
      </w:r>
      <w:bookmarkEnd w:id="24"/>
    </w:p>
    <w:p w14:paraId="3B8B2D0F" w14:textId="29DDC59C" w:rsidR="00A1016C" w:rsidRDefault="00EE6A59" w:rsidP="00B07157">
      <w:r>
        <w:t xml:space="preserve">Until recently </w:t>
      </w:r>
      <w:r w:rsidR="00E96459">
        <w:t>OpenStack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r w:rsidR="00B07157">
        <w:t xml:space="preserve">OpenStack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OpenID Connect claims. The OpenStack web dashboard (</w:t>
      </w:r>
      <w:r w:rsidR="00B07157" w:rsidRPr="00B07157">
        <w:t>Horizon</w:t>
      </w:r>
      <w:r w:rsidR="00B07157">
        <w:t>)</w:t>
      </w:r>
      <w:r w:rsidR="00B07157" w:rsidRPr="00B07157">
        <w:t xml:space="preserve"> </w:t>
      </w:r>
      <w:r w:rsidR="00B07157">
        <w:t>has introduced also support for this kind of authentication</w:t>
      </w:r>
      <w:r>
        <w:t xml:space="preserve"> and authorisation</w:t>
      </w:r>
      <w:r w:rsidR="00B07157">
        <w:t xml:space="preserve">. </w:t>
      </w:r>
      <w:r>
        <w:t xml:space="preserve">Based on this new OpenStack feature EGI has connected OpenStack with the EGI AAI proxy. </w:t>
      </w:r>
      <w:r w:rsidR="00B07157">
        <w:t xml:space="preserve">The integration </w:t>
      </w:r>
      <w:r w:rsidR="00231479">
        <w:t>is</w:t>
      </w:r>
      <w:r w:rsidR="000C767B">
        <w:t xml:space="preserve"> achieved with a new</w:t>
      </w:r>
      <w:r w:rsidR="00B07157">
        <w:t xml:space="preserve"> configuration of the Keystone federation t</w:t>
      </w:r>
      <w:r w:rsidR="000C767B">
        <w:t>hat</w:t>
      </w:r>
      <w:r w:rsidR="00B07157">
        <w:t xml:space="preserve"> use</w:t>
      </w:r>
      <w:r w:rsidR="000C767B">
        <w:t>s</w:t>
      </w:r>
      <w:r w:rsidR="00B07157">
        <w:t xml:space="preserve"> EGI AAI as a SAML IdP. </w:t>
      </w:r>
      <w:r w:rsidR="00914076">
        <w:t>Detailed instructions are available in the OpenStack guides</w:t>
      </w:r>
      <w:r w:rsidR="00914076">
        <w:rPr>
          <w:rStyle w:val="FootnoteReference"/>
        </w:rPr>
        <w:footnoteReference w:id="26"/>
      </w:r>
      <w:r w:rsidR="00A1016C">
        <w:t>.</w:t>
      </w:r>
    </w:p>
    <w:p w14:paraId="3FA7AB7A" w14:textId="6A0B89BD" w:rsidR="00A1016C" w:rsidRDefault="00231479" w:rsidP="00A1016C">
      <w:r>
        <w:t xml:space="preserve">The below screenshot shows the </w:t>
      </w:r>
      <w:r w:rsidR="00A1016C">
        <w:t xml:space="preserve">SAML-enabled OpenStack dashboard </w:t>
      </w:r>
      <w:r w:rsidR="005E779F">
        <w:t>displaying a</w:t>
      </w:r>
      <w:r w:rsidR="00A1016C">
        <w:t xml:space="preserve"> drop down menu</w:t>
      </w:r>
      <w:r>
        <w:t xml:space="preserve"> of available authentication providers. </w:t>
      </w:r>
      <w:r w:rsidR="00A1016C">
        <w:t xml:space="preserve">When selecting the egi.eu IdP proxy option, user will be redirected to the EGI AAI proxy and </w:t>
      </w:r>
      <w:r>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A1016C">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val="en-US"/>
        </w:rPr>
        <w:lastRenderedPageBreak/>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18">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a14="http://schemas.microsoft.com/office/drawing/2010/main"/>
                      </a:ext>
                    </a:extLst>
                  </pic:spPr>
                </pic:pic>
              </a:graphicData>
            </a:graphic>
          </wp:inline>
        </w:drawing>
      </w:r>
    </w:p>
    <w:p w14:paraId="3F689200" w14:textId="78BAF23A" w:rsidR="00A1016C" w:rsidRDefault="00231479" w:rsidP="00231479">
      <w:pPr>
        <w:pStyle w:val="Caption"/>
        <w:jc w:val="center"/>
      </w:pPr>
      <w:r>
        <w:t xml:space="preserve">Figure </w:t>
      </w:r>
      <w:r>
        <w:fldChar w:fldCharType="begin"/>
      </w:r>
      <w:r>
        <w:instrText xml:space="preserve"> SEQ Figure \* ARABIC </w:instrText>
      </w:r>
      <w:r>
        <w:fldChar w:fldCharType="separate"/>
      </w:r>
      <w:r w:rsidR="00296FA9">
        <w:rPr>
          <w:noProof/>
        </w:rPr>
        <w:t>3</w:t>
      </w:r>
      <w:r>
        <w:fldChar w:fldCharType="end"/>
      </w:r>
      <w:r>
        <w:t>. EGI AAI IdP proxy configured in OpenStack</w:t>
      </w:r>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r w:rsidR="003A44A3">
        <w:t>OpenStack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r>
        <w:t>eduPersonalUniqueId, is ma</w:t>
      </w:r>
      <w:r w:rsidR="00A1016C">
        <w:t>pped to the user id in Keystone.</w:t>
      </w:r>
    </w:p>
    <w:p w14:paraId="02670065" w14:textId="58239A12" w:rsidR="00914076" w:rsidRDefault="00914076" w:rsidP="00914076">
      <w:pPr>
        <w:pStyle w:val="ListParagraph"/>
        <w:numPr>
          <w:ilvl w:val="0"/>
          <w:numId w:val="26"/>
        </w:numPr>
      </w:pPr>
      <w:r>
        <w:t>eduPersonEntitlement</w:t>
      </w:r>
      <w:r w:rsidR="00A1016C">
        <w:t xml:space="preserve"> </w:t>
      </w:r>
      <w:r>
        <w:t>define</w:t>
      </w:r>
      <w:r w:rsidR="00231479">
        <w:t>s</w:t>
      </w:r>
      <w:r>
        <w:t xml:space="preserve"> the </w:t>
      </w:r>
      <w:r w:rsidR="00A1016C">
        <w:t xml:space="preserve">OpenStack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LoA </w:t>
      </w:r>
    </w:p>
    <w:p w14:paraId="311A21BA" w14:textId="33A33F94" w:rsidR="00A1016C" w:rsidRDefault="00A1016C" w:rsidP="00A1016C">
      <w:r>
        <w:t>Once the eduPersonEntitlement contents are agreed, recommended mappings will be provided for administrators to easily integrate their resources. Users authenticated through this mechanism can be managed by the OpenStack administrator as any other user.</w:t>
      </w:r>
    </w:p>
    <w:p w14:paraId="386BBBF2" w14:textId="77777777" w:rsidR="007212E9" w:rsidRDefault="007212E9" w:rsidP="007212E9">
      <w:pPr>
        <w:rPr>
          <w:b/>
        </w:rPr>
      </w:pPr>
    </w:p>
    <w:p w14:paraId="6FE35503" w14:textId="5C74581F" w:rsidR="00296FA9" w:rsidRDefault="00296FA9" w:rsidP="00296FA9">
      <w:pPr>
        <w:pStyle w:val="Heading1"/>
        <w:numPr>
          <w:ilvl w:val="0"/>
          <w:numId w:val="1"/>
        </w:numPr>
      </w:pPr>
      <w:bookmarkStart w:id="25" w:name="_Toc326585248"/>
      <w:r>
        <w:lastRenderedPageBreak/>
        <w:t>Summary and next steps</w:t>
      </w:r>
      <w:bookmarkEnd w:id="25"/>
    </w:p>
    <w:p w14:paraId="7665925F" w14:textId="37A879BB" w:rsidR="00296FA9" w:rsidRDefault="00296FA9" w:rsidP="00867128">
      <w:r>
        <w:t xml:space="preserve">Based on the joint work of ELIXIR and EGI </w:t>
      </w:r>
      <w:r w:rsidR="00B65F5F">
        <w:t>communities</w:t>
      </w:r>
      <w:r>
        <w:t xml:space="preserve">, the basic building blocks of the ELIXIR compute platform </w:t>
      </w:r>
      <w:r w:rsidR="00325ABD">
        <w:t>have</w:t>
      </w:r>
      <w:r>
        <w:t xml:space="preserve"> been established:</w:t>
      </w:r>
    </w:p>
    <w:p w14:paraId="40396309" w14:textId="622D2A77" w:rsidR="00296FA9" w:rsidRDefault="00296FA9" w:rsidP="00867128">
      <w:pPr>
        <w:pStyle w:val="ListParagraph"/>
        <w:numPr>
          <w:ilvl w:val="0"/>
          <w:numId w:val="35"/>
        </w:numPr>
      </w:pPr>
      <w:r>
        <w:t xml:space="preserve">The ELIXIR AAI and EGI AAI systems have been </w:t>
      </w:r>
      <w:r w:rsidR="003C5F71">
        <w:t xml:space="preserve">connected, </w:t>
      </w:r>
      <w:r w:rsidR="00B65F5F">
        <w:t>and</w:t>
      </w:r>
      <w:r w:rsidR="00325ABD">
        <w:t xml:space="preserve"> ELIXIR </w:t>
      </w:r>
      <w:r w:rsidR="003C5F71">
        <w:t xml:space="preserve">users can login with ELIXIR accounts to the EGI GOCDB and AppDB services. </w:t>
      </w:r>
    </w:p>
    <w:p w14:paraId="2AD51A02" w14:textId="11EB0B87" w:rsidR="003C5F71" w:rsidRDefault="003C5F71" w:rsidP="00867128">
      <w:pPr>
        <w:pStyle w:val="ListParagraph"/>
        <w:numPr>
          <w:ilvl w:val="0"/>
          <w:numId w:val="35"/>
        </w:numPr>
      </w:pPr>
      <w:r>
        <w:t xml:space="preserve">Guidelines and tools have been improved for </w:t>
      </w:r>
      <w:r w:rsidR="00296FA9">
        <w:t>OpenStack, OpenNebula and Synnefo cloud</w:t>
      </w:r>
      <w:r>
        <w:t xml:space="preserve"> providers </w:t>
      </w:r>
      <w:r w:rsidR="00B65F5F">
        <w:t>to participate in</w:t>
      </w:r>
      <w:r>
        <w:t xml:space="preserve"> the EGI Federated Cloud</w:t>
      </w:r>
      <w:r w:rsidR="00B65F5F">
        <w:t>, and particularly in its ELIXIR Virtual Organisation</w:t>
      </w:r>
      <w:r>
        <w:t xml:space="preserve">. </w:t>
      </w:r>
      <w:r w:rsidR="00296FA9">
        <w:t xml:space="preserve"> </w:t>
      </w:r>
    </w:p>
    <w:p w14:paraId="6AEC2A94" w14:textId="7BB758F5" w:rsidR="00296FA9" w:rsidRDefault="003C5F71" w:rsidP="00867128">
      <w:pPr>
        <w:pStyle w:val="ListParagraph"/>
        <w:numPr>
          <w:ilvl w:val="0"/>
          <w:numId w:val="35"/>
        </w:numPr>
      </w:pPr>
      <w:r>
        <w:t xml:space="preserve">3 cloud providers (CESNET, EMBL-EBI and GRNET) are </w:t>
      </w:r>
      <w:r w:rsidR="00B65F5F">
        <w:t>deployed and are ready</w:t>
      </w:r>
      <w:r>
        <w:t xml:space="preserve"> to join the ELIXIR Compute Platform </w:t>
      </w:r>
      <w:r w:rsidR="005E779F">
        <w:t xml:space="preserve">that is represented by the vo.elixir-europe.eu </w:t>
      </w:r>
      <w:r>
        <w:t>virtual organisation.</w:t>
      </w:r>
      <w:r w:rsidR="005E779F">
        <w:t xml:space="preserve"> </w:t>
      </w:r>
    </w:p>
    <w:p w14:paraId="715954AF" w14:textId="7153B79E" w:rsidR="003C5F71" w:rsidRDefault="00B65F5F" w:rsidP="00867128">
      <w:r>
        <w:t xml:space="preserve">The next step </w:t>
      </w:r>
      <w:r w:rsidR="009F4790">
        <w:t xml:space="preserve">for the CC </w:t>
      </w:r>
      <w:r>
        <w:t xml:space="preserve">is to </w:t>
      </w:r>
      <w:r w:rsidR="009F4790">
        <w:t xml:space="preserve">bring the reported </w:t>
      </w:r>
      <w:r>
        <w:t xml:space="preserve">building blocks together, and </w:t>
      </w:r>
      <w:r w:rsidR="009F4790">
        <w:t xml:space="preserve">implement </w:t>
      </w:r>
      <w:r>
        <w:t xml:space="preserve">the scientific </w:t>
      </w:r>
      <w:r w:rsidR="009F4790">
        <w:t>from</w:t>
      </w:r>
      <w:r>
        <w:t xml:space="preserve"> M6.3</w:t>
      </w:r>
      <w:r w:rsidR="009F4790">
        <w:t xml:space="preserve"> on top of it</w:t>
      </w:r>
      <w:r>
        <w:t xml:space="preserve">. </w:t>
      </w:r>
      <w:r w:rsidR="00623DCD">
        <w:t>Particularly</w:t>
      </w:r>
      <w:r>
        <w:t xml:space="preserve"> the CC members </w:t>
      </w:r>
      <w:r w:rsidR="009F4790">
        <w:t xml:space="preserve">- </w:t>
      </w:r>
      <w:r>
        <w:t xml:space="preserve">with </w:t>
      </w:r>
      <w:r w:rsidR="009F4790">
        <w:t xml:space="preserve">the </w:t>
      </w:r>
      <w:r>
        <w:t xml:space="preserve">support </w:t>
      </w:r>
      <w:r w:rsidR="009F4790">
        <w:t>of</w:t>
      </w:r>
      <w:r>
        <w:t xml:space="preserve"> the broader ELIXIR and EGI communities </w:t>
      </w:r>
      <w:r w:rsidR="009F4790">
        <w:t>-</w:t>
      </w:r>
      <w:r>
        <w:t>must</w:t>
      </w:r>
      <w:r w:rsidR="006F4E4B">
        <w:t>:</w:t>
      </w:r>
    </w:p>
    <w:p w14:paraId="17159D62" w14:textId="54312077" w:rsidR="00296FA9" w:rsidRDefault="003C5F71" w:rsidP="00867128">
      <w:pPr>
        <w:pStyle w:val="ListParagraph"/>
        <w:numPr>
          <w:ilvl w:val="0"/>
          <w:numId w:val="36"/>
        </w:numPr>
      </w:pPr>
      <w:r>
        <w:t xml:space="preserve">Finalise the AAI integration of </w:t>
      </w:r>
      <w:r w:rsidR="003C6D80">
        <w:t>ELIXIR and EGI, so ELIXIR users roles can be mapped onto meaning ful roles in the compute platform services, primarily in GOCDB, AppDB and the cloud sites.</w:t>
      </w:r>
      <w:r>
        <w:t xml:space="preserve"> </w:t>
      </w:r>
    </w:p>
    <w:p w14:paraId="0B12B9CF" w14:textId="3B9B9773" w:rsidR="003C5F71" w:rsidRDefault="003C5F71" w:rsidP="00867128">
      <w:pPr>
        <w:pStyle w:val="ListParagraph"/>
        <w:numPr>
          <w:ilvl w:val="0"/>
          <w:numId w:val="36"/>
        </w:numPr>
      </w:pPr>
      <w:r>
        <w:t xml:space="preserve">Join the ELIXIR Virtual Organisation with the three </w:t>
      </w:r>
      <w:r w:rsidR="00073176">
        <w:t xml:space="preserve">existing </w:t>
      </w:r>
      <w:r>
        <w:t xml:space="preserve">sites (CESNET, EMBL-EBI, GRNET). </w:t>
      </w:r>
    </w:p>
    <w:p w14:paraId="6FE303F5" w14:textId="1FED09E8" w:rsidR="00B65F5F" w:rsidRDefault="00B65F5F" w:rsidP="00867128">
      <w:pPr>
        <w:pStyle w:val="ListParagraph"/>
        <w:numPr>
          <w:ilvl w:val="0"/>
          <w:numId w:val="36"/>
        </w:numPr>
      </w:pPr>
      <w:r>
        <w:t xml:space="preserve">Work with </w:t>
      </w:r>
      <w:r w:rsidR="00073176">
        <w:t>other</w:t>
      </w:r>
      <w:r>
        <w:t xml:space="preserve"> cloud providers in the CC </w:t>
      </w:r>
      <w:r w:rsidR="00073176">
        <w:t>to</w:t>
      </w:r>
      <w:r>
        <w:t xml:space="preserve"> elimin</w:t>
      </w:r>
      <w:r w:rsidR="00073176">
        <w:t>a</w:t>
      </w:r>
      <w:r>
        <w:t>t</w:t>
      </w:r>
      <w:r w:rsidR="00073176">
        <w:t>e</w:t>
      </w:r>
      <w:r>
        <w:t xml:space="preserve"> the issues that are blocking them to join the ELIXIR Compute Platform (CSC, CNRS, SURFsara).  </w:t>
      </w:r>
    </w:p>
    <w:p w14:paraId="756B9EEE" w14:textId="5891675E" w:rsidR="003C5F71" w:rsidRDefault="003C5F71" w:rsidP="00867128">
      <w:pPr>
        <w:pStyle w:val="ListParagraph"/>
        <w:numPr>
          <w:ilvl w:val="0"/>
          <w:numId w:val="36"/>
        </w:numPr>
      </w:pPr>
      <w:r>
        <w:t xml:space="preserve">Create the VMs that are required for the </w:t>
      </w:r>
      <w:r w:rsidR="00073176">
        <w:t xml:space="preserve">M6.3 </w:t>
      </w:r>
      <w:r>
        <w:t>scientific use cases, then roll these out to the ELIXIR VO.</w:t>
      </w:r>
      <w:r w:rsidR="00073176">
        <w:t xml:space="preserve"> Document the experiences in D615 (due in January 2017). </w:t>
      </w:r>
    </w:p>
    <w:p w14:paraId="63D4013F" w14:textId="7BA53C1E" w:rsidR="006F4E4B" w:rsidRDefault="00073176" w:rsidP="00867128">
      <w:r>
        <w:t>Besides the above tasks the following actions can help even further in expanding the uptake of the</w:t>
      </w:r>
      <w:r w:rsidR="006F4E4B">
        <w:t xml:space="preserve"> ELIXIR Compute Platform</w:t>
      </w:r>
      <w:r>
        <w:t>. These can mostly run based on the experiences gained from the CC use cases, but some can already start and run in parallel with those</w:t>
      </w:r>
      <w:r w:rsidR="006F4E4B">
        <w:t>:</w:t>
      </w:r>
    </w:p>
    <w:p w14:paraId="12A3363A" w14:textId="2FB097BB" w:rsidR="006F4E4B" w:rsidRDefault="006F4E4B" w:rsidP="00867128">
      <w:pPr>
        <w:pStyle w:val="ListParagraph"/>
        <w:numPr>
          <w:ilvl w:val="0"/>
          <w:numId w:val="37"/>
        </w:numPr>
      </w:pPr>
      <w:r>
        <w:t xml:space="preserve">Decide </w:t>
      </w:r>
      <w:r w:rsidR="00073176">
        <w:t xml:space="preserve">on </w:t>
      </w:r>
      <w:r>
        <w:t>how to st</w:t>
      </w:r>
      <w:r w:rsidR="00073176">
        <w:t>ructure the ELIXIR Compute Plat</w:t>
      </w:r>
      <w:r>
        <w:t>f</w:t>
      </w:r>
      <w:r w:rsidR="00073176">
        <w:t>o</w:t>
      </w:r>
      <w:r>
        <w:t>rm</w:t>
      </w:r>
      <w:r w:rsidR="00073176">
        <w:t xml:space="preserve">. How many, and what kind of Virtual Organisations to create? What user roles </w:t>
      </w:r>
      <w:r w:rsidR="003C6D80">
        <w:t xml:space="preserve">to use? How much </w:t>
      </w:r>
      <w:r w:rsidR="00073176">
        <w:t>cap</w:t>
      </w:r>
      <w:r w:rsidR="003C6D80">
        <w:t>acity/service limitations to associate to those roles</w:t>
      </w:r>
      <w:r w:rsidR="00073176">
        <w:t>?</w:t>
      </w:r>
      <w:r>
        <w:t xml:space="preserve">  </w:t>
      </w:r>
    </w:p>
    <w:p w14:paraId="61D853A9" w14:textId="42C12707" w:rsidR="00325ABD" w:rsidRDefault="00073176" w:rsidP="00867128">
      <w:pPr>
        <w:pStyle w:val="ListParagraph"/>
        <w:numPr>
          <w:ilvl w:val="0"/>
          <w:numId w:val="37"/>
        </w:numPr>
      </w:pPr>
      <w:r>
        <w:t>Finali</w:t>
      </w:r>
      <w:r w:rsidR="00325ABD">
        <w:t>s</w:t>
      </w:r>
      <w:r>
        <w:t>e</w:t>
      </w:r>
      <w:r w:rsidR="00325ABD">
        <w:t xml:space="preserve"> the ELIXIR access to OpenStack clouds through the ELIXIR-EGI AAI integration.</w:t>
      </w:r>
      <w:r>
        <w:t xml:space="preserve"> This </w:t>
      </w:r>
      <w:r w:rsidR="003C6D80">
        <w:t>will</w:t>
      </w:r>
      <w:r>
        <w:t xml:space="preserve"> lower the barrier even further for ELIXIR users to access resources in the ELIXIR Compute Platform. Depending on the experiences introduce similar ‘direct’ connection to other </w:t>
      </w:r>
      <w:r w:rsidR="003C6D80">
        <w:t xml:space="preserve">types of </w:t>
      </w:r>
      <w:r>
        <w:t>cloud</w:t>
      </w:r>
      <w:r w:rsidR="003C6D80">
        <w:t xml:space="preserve">s that form the ELIXIR Compute Platform. </w:t>
      </w:r>
    </w:p>
    <w:p w14:paraId="0F319170" w14:textId="6EC9470B" w:rsidR="00073176" w:rsidRDefault="00073176" w:rsidP="00867128">
      <w:pPr>
        <w:pStyle w:val="ListParagraph"/>
        <w:numPr>
          <w:ilvl w:val="0"/>
          <w:numId w:val="37"/>
        </w:numPr>
      </w:pPr>
      <w:r>
        <w:t>Based on the operationa</w:t>
      </w:r>
      <w:r w:rsidR="003C6D80">
        <w:t>l experiences gained from the</w:t>
      </w:r>
      <w:r>
        <w:t xml:space="preserve"> use cases</w:t>
      </w:r>
      <w:r w:rsidR="003C6D80">
        <w:t xml:space="preserve"> in the CC</w:t>
      </w:r>
      <w:r>
        <w:t xml:space="preserve">, create documentations for the broader ELIXIR community on how to join and operate resources in the ELIXIR Compute Platform. </w:t>
      </w:r>
    </w:p>
    <w:p w14:paraId="37889E66" w14:textId="77777777" w:rsidR="00073176" w:rsidRDefault="00073176" w:rsidP="00867128"/>
    <w:p w14:paraId="178D2147" w14:textId="77777777" w:rsidR="003C5F71" w:rsidRPr="00296FA9" w:rsidRDefault="003C5F71" w:rsidP="00867128"/>
    <w:p w14:paraId="30102D41" w14:textId="3B7D6EBB" w:rsidR="0061075F" w:rsidRDefault="00A639CC">
      <w:pPr>
        <w:pStyle w:val="Appendix"/>
        <w:numPr>
          <w:ilvl w:val="0"/>
          <w:numId w:val="2"/>
        </w:numPr>
      </w:pPr>
      <w:bookmarkStart w:id="26" w:name="_Toc428966034"/>
      <w:bookmarkStart w:id="27" w:name="_Toc326585249"/>
      <w:bookmarkEnd w:id="26"/>
      <w:r>
        <w:lastRenderedPageBreak/>
        <w:t>User roles and permissions in GOCDB</w:t>
      </w:r>
      <w:bookmarkEnd w:id="27"/>
    </w:p>
    <w:p w14:paraId="0212F4EA" w14:textId="4518B4B5" w:rsidR="0027355A" w:rsidRPr="0027355A" w:rsidRDefault="0027355A" w:rsidP="0027355A">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In GOCDB, users request Roles over domain objects such as Projects, NGIs, Sites and ServiceGroups.</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A Role enables Actions on target objects (often, the target is the same as the domain object).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Some Roles allow actions over different targets.</w:t>
      </w:r>
    </w:p>
    <w:p w14:paraId="794E13E0" w14:textId="4D820555" w:rsid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The Role-Action mapping matrix is shown below.</w:t>
      </w:r>
      <w:r>
        <w:rPr>
          <w:rFonts w:asciiTheme="minorHAnsi" w:eastAsia="Times New Roman" w:hAnsiTheme="minorHAnsi" w:cs="Times New Roman"/>
          <w:bCs/>
          <w:color w:val="auto"/>
          <w:kern w:val="0"/>
          <w:sz w:val="27"/>
          <w:szCs w:val="27"/>
          <w:lang w:val="en-US" w:eastAsia="en-GB"/>
        </w:rPr>
        <w:t xml:space="preserve"> </w:t>
      </w:r>
      <w:r w:rsidR="00512F50">
        <w:rPr>
          <w:rFonts w:asciiTheme="minorHAnsi" w:eastAsia="Times New Roman" w:hAnsiTheme="minorHAnsi" w:cs="Times New Roman"/>
          <w:bCs/>
          <w:color w:val="auto"/>
          <w:kern w:val="0"/>
          <w:sz w:val="27"/>
          <w:szCs w:val="27"/>
          <w:lang w:val="en-US" w:eastAsia="en-GB"/>
        </w:rPr>
        <w:t xml:space="preserve">The </w:t>
      </w:r>
      <w:r>
        <w:rPr>
          <w:rFonts w:asciiTheme="minorHAnsi" w:eastAsia="Times New Roman" w:hAnsiTheme="minorHAnsi" w:cs="Times New Roman"/>
          <w:bCs/>
          <w:color w:val="auto"/>
          <w:kern w:val="0"/>
          <w:sz w:val="27"/>
          <w:szCs w:val="27"/>
          <w:lang w:val="en-US" w:eastAsia="en-GB"/>
        </w:rPr>
        <w:t>matrix</w:t>
      </w:r>
      <w:r w:rsidR="00512F50">
        <w:rPr>
          <w:rFonts w:asciiTheme="minorHAnsi" w:eastAsia="Times New Roman" w:hAnsiTheme="minorHAnsi" w:cs="Times New Roman"/>
          <w:bCs/>
          <w:color w:val="auto"/>
          <w:kern w:val="0"/>
          <w:sz w:val="27"/>
          <w:szCs w:val="27"/>
          <w:lang w:val="en-US" w:eastAsia="en-GB"/>
        </w:rPr>
        <w:t xml:space="preserve"> was copied from GOCDB page </w:t>
      </w:r>
      <w:hyperlink r:id="rId19" w:history="1">
        <w:r w:rsidR="00512F50" w:rsidRPr="001C2F60">
          <w:rPr>
            <w:rStyle w:val="Hyperlink"/>
            <w:rFonts w:asciiTheme="minorHAnsi" w:eastAsia="Times New Roman" w:hAnsiTheme="minorHAnsi" w:cs="Times New Roman"/>
            <w:bCs/>
            <w:kern w:val="0"/>
            <w:sz w:val="27"/>
            <w:szCs w:val="27"/>
            <w:lang w:val="en-US" w:eastAsia="en-GB"/>
          </w:rPr>
          <w:t>https://goc.egi.eu/portal/index.php?Page_Type=View_Role_Action_Mappings</w:t>
        </w:r>
      </w:hyperlink>
      <w:r w:rsidR="00512F50">
        <w:rPr>
          <w:rFonts w:asciiTheme="minorHAnsi" w:eastAsia="Times New Roman" w:hAnsiTheme="minorHAnsi" w:cs="Times New Roman"/>
          <w:bCs/>
          <w:color w:val="auto"/>
          <w:kern w:val="0"/>
          <w:sz w:val="27"/>
          <w:szCs w:val="27"/>
          <w:lang w:val="en-US" w:eastAsia="en-GB"/>
        </w:rPr>
        <w:t xml:space="preserve">. </w:t>
      </w:r>
    </w:p>
    <w:p w14:paraId="081F95D7" w14:textId="77777777" w:rsidR="0027355A" w:rsidRP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p>
    <w:p w14:paraId="52FA5C3E" w14:textId="4887A21F"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ServiceGroup Roles</w:t>
      </w:r>
    </w:p>
    <w:tbl>
      <w:tblPr>
        <w:tblW w:w="0" w:type="auto"/>
        <w:tblCellSpacing w:w="15" w:type="dxa"/>
        <w:tblCellMar>
          <w:left w:w="0" w:type="dxa"/>
          <w:right w:w="0" w:type="dxa"/>
        </w:tblCellMar>
        <w:tblLook w:val="04A0" w:firstRow="1" w:lastRow="0" w:firstColumn="1" w:lastColumn="0" w:noHBand="0" w:noVBand="1"/>
      </w:tblPr>
      <w:tblGrid>
        <w:gridCol w:w="2852"/>
        <w:gridCol w:w="2349"/>
        <w:gridCol w:w="2170"/>
      </w:tblGrid>
      <w:tr w:rsidR="00A639CC" w:rsidRPr="00A639CC" w14:paraId="0018FE4E" w14:textId="77777777" w:rsidTr="00A639CC">
        <w:trPr>
          <w:tblHeader/>
          <w:tblCellSpacing w:w="15" w:type="dxa"/>
        </w:trPr>
        <w:tc>
          <w:tcPr>
            <w:tcW w:w="0" w:type="auto"/>
            <w:tcMar>
              <w:top w:w="15" w:type="dxa"/>
              <w:left w:w="15" w:type="dxa"/>
              <w:bottom w:w="15" w:type="dxa"/>
              <w:right w:w="15" w:type="dxa"/>
            </w:tcMar>
            <w:vAlign w:val="center"/>
            <w:hideMark/>
          </w:tcPr>
          <w:p w14:paraId="69B187D2"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5AB4603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4DB675B"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799DDF43" w14:textId="77777777" w:rsidTr="00A639CC">
        <w:trPr>
          <w:tblCellSpacing w:w="15" w:type="dxa"/>
        </w:trPr>
        <w:tc>
          <w:tcPr>
            <w:tcW w:w="0" w:type="auto"/>
            <w:tcMar>
              <w:top w:w="15" w:type="dxa"/>
              <w:left w:w="15" w:type="dxa"/>
              <w:bottom w:w="15" w:type="dxa"/>
              <w:right w:w="15" w:type="dxa"/>
            </w:tcMar>
            <w:vAlign w:val="center"/>
            <w:hideMark/>
          </w:tcPr>
          <w:p w14:paraId="59E0AD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1B6F1BC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0892D5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55CF0C7C" w14:textId="77777777" w:rsidTr="00A639CC">
        <w:trPr>
          <w:tblCellSpacing w:w="15" w:type="dxa"/>
        </w:trPr>
        <w:tc>
          <w:tcPr>
            <w:tcW w:w="0" w:type="auto"/>
            <w:tcMar>
              <w:top w:w="15" w:type="dxa"/>
              <w:left w:w="15" w:type="dxa"/>
              <w:bottom w:w="15" w:type="dxa"/>
              <w:right w:w="15" w:type="dxa"/>
            </w:tcMar>
            <w:vAlign w:val="center"/>
            <w:hideMark/>
          </w:tcPr>
          <w:p w14:paraId="388AFA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46A800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6362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2E2F65F6" w14:textId="77777777" w:rsidTr="00A639CC">
        <w:trPr>
          <w:tblCellSpacing w:w="15" w:type="dxa"/>
        </w:trPr>
        <w:tc>
          <w:tcPr>
            <w:tcW w:w="0" w:type="auto"/>
            <w:tcMar>
              <w:top w:w="15" w:type="dxa"/>
              <w:left w:w="15" w:type="dxa"/>
              <w:bottom w:w="15" w:type="dxa"/>
              <w:right w:w="15" w:type="dxa"/>
            </w:tcMar>
            <w:vAlign w:val="center"/>
            <w:hideMark/>
          </w:tcPr>
          <w:p w14:paraId="031EDE7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5248766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40F2659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6276320E" w14:textId="77777777" w:rsidTr="00A639CC">
        <w:trPr>
          <w:tblCellSpacing w:w="15" w:type="dxa"/>
        </w:trPr>
        <w:tc>
          <w:tcPr>
            <w:tcW w:w="0" w:type="auto"/>
            <w:tcMar>
              <w:top w:w="15" w:type="dxa"/>
              <w:left w:w="15" w:type="dxa"/>
              <w:bottom w:w="15" w:type="dxa"/>
              <w:right w:w="15" w:type="dxa"/>
            </w:tcMar>
            <w:vAlign w:val="center"/>
            <w:hideMark/>
          </w:tcPr>
          <w:p w14:paraId="6B6752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75D9B0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B485F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bl>
    <w:p w14:paraId="6B6B1E5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Project Roles</w:t>
      </w:r>
    </w:p>
    <w:tbl>
      <w:tblPr>
        <w:tblW w:w="0" w:type="auto"/>
        <w:tblCellSpacing w:w="15" w:type="dxa"/>
        <w:tblCellMar>
          <w:left w:w="0" w:type="dxa"/>
          <w:right w:w="0" w:type="dxa"/>
        </w:tblCellMar>
        <w:tblLook w:val="04A0" w:firstRow="1" w:lastRow="0" w:firstColumn="1" w:lastColumn="0" w:noHBand="0" w:noVBand="1"/>
      </w:tblPr>
      <w:tblGrid>
        <w:gridCol w:w="2436"/>
        <w:gridCol w:w="3384"/>
        <w:gridCol w:w="2170"/>
      </w:tblGrid>
      <w:tr w:rsidR="00A639CC" w:rsidRPr="00A639CC" w14:paraId="23C0AD17" w14:textId="77777777" w:rsidTr="00A639CC">
        <w:trPr>
          <w:tblHeader/>
          <w:tblCellSpacing w:w="15" w:type="dxa"/>
        </w:trPr>
        <w:tc>
          <w:tcPr>
            <w:tcW w:w="0" w:type="auto"/>
            <w:tcMar>
              <w:top w:w="15" w:type="dxa"/>
              <w:left w:w="15" w:type="dxa"/>
              <w:bottom w:w="15" w:type="dxa"/>
              <w:right w:w="15" w:type="dxa"/>
            </w:tcMar>
            <w:vAlign w:val="center"/>
            <w:hideMark/>
          </w:tcPr>
          <w:p w14:paraId="07781F51" w14:textId="7C6DB4F2"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265617F5"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4FE1C7F4"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682EBBC9" w14:textId="77777777" w:rsidTr="00A639CC">
        <w:trPr>
          <w:tblCellSpacing w:w="15" w:type="dxa"/>
        </w:trPr>
        <w:tc>
          <w:tcPr>
            <w:tcW w:w="0" w:type="auto"/>
            <w:tcMar>
              <w:top w:w="15" w:type="dxa"/>
              <w:left w:w="15" w:type="dxa"/>
              <w:bottom w:w="15" w:type="dxa"/>
              <w:right w:w="15" w:type="dxa"/>
            </w:tcMar>
            <w:vAlign w:val="center"/>
            <w:hideMark/>
          </w:tcPr>
          <w:p w14:paraId="31BD0F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D1585B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DB6C84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AC775A0" w14:textId="77777777" w:rsidTr="00A639CC">
        <w:trPr>
          <w:tblCellSpacing w:w="15" w:type="dxa"/>
        </w:trPr>
        <w:tc>
          <w:tcPr>
            <w:tcW w:w="0" w:type="auto"/>
            <w:tcMar>
              <w:top w:w="15" w:type="dxa"/>
              <w:left w:w="15" w:type="dxa"/>
              <w:bottom w:w="15" w:type="dxa"/>
              <w:right w:w="15" w:type="dxa"/>
            </w:tcMar>
            <w:vAlign w:val="center"/>
            <w:hideMark/>
          </w:tcPr>
          <w:p w14:paraId="63E706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0EE7F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8AAC8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869AF15" w14:textId="77777777" w:rsidTr="00A639CC">
        <w:trPr>
          <w:tblCellSpacing w:w="15" w:type="dxa"/>
        </w:trPr>
        <w:tc>
          <w:tcPr>
            <w:tcW w:w="0" w:type="auto"/>
            <w:tcMar>
              <w:top w:w="15" w:type="dxa"/>
              <w:left w:w="15" w:type="dxa"/>
              <w:bottom w:w="15" w:type="dxa"/>
              <w:right w:w="15" w:type="dxa"/>
            </w:tcMar>
            <w:vAlign w:val="center"/>
            <w:hideMark/>
          </w:tcPr>
          <w:p w14:paraId="30F85B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2E8CD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820A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4A98399" w14:textId="77777777" w:rsidTr="00A639CC">
        <w:trPr>
          <w:tblCellSpacing w:w="15" w:type="dxa"/>
        </w:trPr>
        <w:tc>
          <w:tcPr>
            <w:tcW w:w="0" w:type="auto"/>
            <w:tcMar>
              <w:top w:w="15" w:type="dxa"/>
              <w:left w:w="15" w:type="dxa"/>
              <w:bottom w:w="15" w:type="dxa"/>
              <w:right w:w="15" w:type="dxa"/>
            </w:tcMar>
            <w:vAlign w:val="center"/>
            <w:hideMark/>
          </w:tcPr>
          <w:p w14:paraId="296E734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D4A0D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6CE412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9C1F8FB" w14:textId="77777777" w:rsidTr="00A639CC">
        <w:trPr>
          <w:tblCellSpacing w:w="15" w:type="dxa"/>
        </w:trPr>
        <w:tc>
          <w:tcPr>
            <w:tcW w:w="0" w:type="auto"/>
            <w:tcMar>
              <w:top w:w="15" w:type="dxa"/>
              <w:left w:w="15" w:type="dxa"/>
              <w:bottom w:w="15" w:type="dxa"/>
              <w:right w:w="15" w:type="dxa"/>
            </w:tcMar>
            <w:vAlign w:val="center"/>
            <w:hideMark/>
          </w:tcPr>
          <w:p w14:paraId="762A312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BACF50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54095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85DD407" w14:textId="77777777" w:rsidTr="00A639CC">
        <w:trPr>
          <w:tblCellSpacing w:w="15" w:type="dxa"/>
        </w:trPr>
        <w:tc>
          <w:tcPr>
            <w:tcW w:w="0" w:type="auto"/>
            <w:tcMar>
              <w:top w:w="15" w:type="dxa"/>
              <w:left w:w="15" w:type="dxa"/>
              <w:bottom w:w="15" w:type="dxa"/>
              <w:right w:w="15" w:type="dxa"/>
            </w:tcMar>
            <w:vAlign w:val="center"/>
            <w:hideMark/>
          </w:tcPr>
          <w:p w14:paraId="017989C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EA773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91652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68D7552" w14:textId="77777777" w:rsidTr="00A639CC">
        <w:trPr>
          <w:tblCellSpacing w:w="15" w:type="dxa"/>
        </w:trPr>
        <w:tc>
          <w:tcPr>
            <w:tcW w:w="0" w:type="auto"/>
            <w:tcMar>
              <w:top w:w="15" w:type="dxa"/>
              <w:left w:w="15" w:type="dxa"/>
              <w:bottom w:w="15" w:type="dxa"/>
              <w:right w:w="15" w:type="dxa"/>
            </w:tcMar>
            <w:vAlign w:val="center"/>
            <w:hideMark/>
          </w:tcPr>
          <w:p w14:paraId="629BD4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F4288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067737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A7BC884" w14:textId="77777777" w:rsidTr="00A639CC">
        <w:trPr>
          <w:tblCellSpacing w:w="15" w:type="dxa"/>
        </w:trPr>
        <w:tc>
          <w:tcPr>
            <w:tcW w:w="0" w:type="auto"/>
            <w:tcMar>
              <w:top w:w="15" w:type="dxa"/>
              <w:left w:w="15" w:type="dxa"/>
              <w:bottom w:w="15" w:type="dxa"/>
              <w:right w:w="15" w:type="dxa"/>
            </w:tcMar>
            <w:vAlign w:val="center"/>
            <w:hideMark/>
          </w:tcPr>
          <w:p w14:paraId="1BDAA3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DCAE7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5C231F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B80EF75" w14:textId="77777777" w:rsidTr="00A639CC">
        <w:trPr>
          <w:tblCellSpacing w:w="15" w:type="dxa"/>
        </w:trPr>
        <w:tc>
          <w:tcPr>
            <w:tcW w:w="0" w:type="auto"/>
            <w:tcMar>
              <w:top w:w="15" w:type="dxa"/>
              <w:left w:w="15" w:type="dxa"/>
              <w:bottom w:w="15" w:type="dxa"/>
              <w:right w:w="15" w:type="dxa"/>
            </w:tcMar>
            <w:vAlign w:val="center"/>
            <w:hideMark/>
          </w:tcPr>
          <w:p w14:paraId="09C83C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61B5BA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3B0AA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66F4348" w14:textId="77777777" w:rsidTr="00A639CC">
        <w:trPr>
          <w:tblCellSpacing w:w="15" w:type="dxa"/>
        </w:trPr>
        <w:tc>
          <w:tcPr>
            <w:tcW w:w="0" w:type="auto"/>
            <w:tcMar>
              <w:top w:w="15" w:type="dxa"/>
              <w:left w:w="15" w:type="dxa"/>
              <w:bottom w:w="15" w:type="dxa"/>
              <w:right w:w="15" w:type="dxa"/>
            </w:tcMar>
            <w:vAlign w:val="center"/>
            <w:hideMark/>
          </w:tcPr>
          <w:p w14:paraId="1C6F45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3D986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AF8D0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219BFC93" w14:textId="77777777" w:rsidTr="00A639CC">
        <w:trPr>
          <w:tblCellSpacing w:w="15" w:type="dxa"/>
        </w:trPr>
        <w:tc>
          <w:tcPr>
            <w:tcW w:w="0" w:type="auto"/>
            <w:tcMar>
              <w:top w:w="15" w:type="dxa"/>
              <w:left w:w="15" w:type="dxa"/>
              <w:bottom w:w="15" w:type="dxa"/>
              <w:right w:w="15" w:type="dxa"/>
            </w:tcMar>
            <w:vAlign w:val="center"/>
            <w:hideMark/>
          </w:tcPr>
          <w:p w14:paraId="6574EFE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52246D7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A87AA4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7733C72" w14:textId="77777777" w:rsidTr="00A639CC">
        <w:trPr>
          <w:tblCellSpacing w:w="15" w:type="dxa"/>
        </w:trPr>
        <w:tc>
          <w:tcPr>
            <w:tcW w:w="0" w:type="auto"/>
            <w:tcMar>
              <w:top w:w="15" w:type="dxa"/>
              <w:left w:w="15" w:type="dxa"/>
              <w:bottom w:w="15" w:type="dxa"/>
              <w:right w:w="15" w:type="dxa"/>
            </w:tcMar>
            <w:vAlign w:val="center"/>
            <w:hideMark/>
          </w:tcPr>
          <w:p w14:paraId="78354F4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302EE8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2AAA4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8569A11" w14:textId="77777777" w:rsidTr="00A639CC">
        <w:trPr>
          <w:tblCellSpacing w:w="15" w:type="dxa"/>
        </w:trPr>
        <w:tc>
          <w:tcPr>
            <w:tcW w:w="0" w:type="auto"/>
            <w:tcMar>
              <w:top w:w="15" w:type="dxa"/>
              <w:left w:w="15" w:type="dxa"/>
              <w:bottom w:w="15" w:type="dxa"/>
              <w:right w:w="15" w:type="dxa"/>
            </w:tcMar>
            <w:vAlign w:val="center"/>
            <w:hideMark/>
          </w:tcPr>
          <w:p w14:paraId="5AE2C07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47FFB5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7D8844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561BE15B" w14:textId="77777777" w:rsidTr="00A639CC">
        <w:trPr>
          <w:tblCellSpacing w:w="15" w:type="dxa"/>
        </w:trPr>
        <w:tc>
          <w:tcPr>
            <w:tcW w:w="0" w:type="auto"/>
            <w:tcMar>
              <w:top w:w="15" w:type="dxa"/>
              <w:left w:w="15" w:type="dxa"/>
              <w:bottom w:w="15" w:type="dxa"/>
              <w:right w:w="15" w:type="dxa"/>
            </w:tcMar>
            <w:vAlign w:val="center"/>
            <w:hideMark/>
          </w:tcPr>
          <w:p w14:paraId="7D61399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COD Administrator</w:t>
            </w:r>
          </w:p>
        </w:tc>
        <w:tc>
          <w:tcPr>
            <w:tcW w:w="0" w:type="auto"/>
            <w:tcMar>
              <w:top w:w="15" w:type="dxa"/>
              <w:left w:w="15" w:type="dxa"/>
              <w:bottom w:w="15" w:type="dxa"/>
              <w:right w:w="15" w:type="dxa"/>
            </w:tcMar>
            <w:vAlign w:val="center"/>
            <w:hideMark/>
          </w:tcPr>
          <w:p w14:paraId="15EB57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08DAC6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04EAC3A" w14:textId="77777777" w:rsidTr="00A639CC">
        <w:trPr>
          <w:tblCellSpacing w:w="15" w:type="dxa"/>
        </w:trPr>
        <w:tc>
          <w:tcPr>
            <w:tcW w:w="0" w:type="auto"/>
            <w:tcMar>
              <w:top w:w="15" w:type="dxa"/>
              <w:left w:w="15" w:type="dxa"/>
              <w:bottom w:w="15" w:type="dxa"/>
              <w:right w:w="15" w:type="dxa"/>
            </w:tcMar>
            <w:vAlign w:val="center"/>
            <w:hideMark/>
          </w:tcPr>
          <w:p w14:paraId="06A136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1A7502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ABAEE2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555EF8C0" w14:textId="77777777" w:rsidTr="00A639CC">
        <w:trPr>
          <w:tblCellSpacing w:w="15" w:type="dxa"/>
        </w:trPr>
        <w:tc>
          <w:tcPr>
            <w:tcW w:w="0" w:type="auto"/>
            <w:tcMar>
              <w:top w:w="15" w:type="dxa"/>
              <w:left w:w="15" w:type="dxa"/>
              <w:bottom w:w="15" w:type="dxa"/>
              <w:right w:w="15" w:type="dxa"/>
            </w:tcMar>
            <w:vAlign w:val="center"/>
            <w:hideMark/>
          </w:tcPr>
          <w:p w14:paraId="5531F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99F1D1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682B04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8CBB3AC" w14:textId="77777777" w:rsidTr="00A639CC">
        <w:trPr>
          <w:tblCellSpacing w:w="15" w:type="dxa"/>
        </w:trPr>
        <w:tc>
          <w:tcPr>
            <w:tcW w:w="0" w:type="auto"/>
            <w:tcMar>
              <w:top w:w="15" w:type="dxa"/>
              <w:left w:w="15" w:type="dxa"/>
              <w:bottom w:w="15" w:type="dxa"/>
              <w:right w:w="15" w:type="dxa"/>
            </w:tcMar>
            <w:vAlign w:val="center"/>
            <w:hideMark/>
          </w:tcPr>
          <w:p w14:paraId="3779B5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33191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F9F2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04D3F05" w14:textId="77777777" w:rsidTr="00A639CC">
        <w:trPr>
          <w:tblCellSpacing w:w="15" w:type="dxa"/>
        </w:trPr>
        <w:tc>
          <w:tcPr>
            <w:tcW w:w="0" w:type="auto"/>
            <w:tcMar>
              <w:top w:w="15" w:type="dxa"/>
              <w:left w:w="15" w:type="dxa"/>
              <w:bottom w:w="15" w:type="dxa"/>
              <w:right w:w="15" w:type="dxa"/>
            </w:tcMar>
            <w:vAlign w:val="center"/>
            <w:hideMark/>
          </w:tcPr>
          <w:p w14:paraId="09B88C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7EA3B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FF9E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9AA7EC2" w14:textId="77777777" w:rsidTr="00A639CC">
        <w:trPr>
          <w:tblCellSpacing w:w="15" w:type="dxa"/>
        </w:trPr>
        <w:tc>
          <w:tcPr>
            <w:tcW w:w="0" w:type="auto"/>
            <w:tcMar>
              <w:top w:w="15" w:type="dxa"/>
              <w:left w:w="15" w:type="dxa"/>
              <w:bottom w:w="15" w:type="dxa"/>
              <w:right w:w="15" w:type="dxa"/>
            </w:tcMar>
            <w:vAlign w:val="center"/>
            <w:hideMark/>
          </w:tcPr>
          <w:p w14:paraId="5E779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2D6577C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28B0975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8E901E" w14:textId="77777777" w:rsidTr="00A639CC">
        <w:trPr>
          <w:tblCellSpacing w:w="15" w:type="dxa"/>
        </w:trPr>
        <w:tc>
          <w:tcPr>
            <w:tcW w:w="0" w:type="auto"/>
            <w:tcMar>
              <w:top w:w="15" w:type="dxa"/>
              <w:left w:w="15" w:type="dxa"/>
              <w:bottom w:w="15" w:type="dxa"/>
              <w:right w:w="15" w:type="dxa"/>
            </w:tcMar>
            <w:vAlign w:val="center"/>
            <w:hideMark/>
          </w:tcPr>
          <w:p w14:paraId="3CCD9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36C0A7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7DFB77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424BB9F7" w14:textId="77777777" w:rsidTr="00A639CC">
        <w:trPr>
          <w:tblCellSpacing w:w="15" w:type="dxa"/>
        </w:trPr>
        <w:tc>
          <w:tcPr>
            <w:tcW w:w="0" w:type="auto"/>
            <w:tcMar>
              <w:top w:w="15" w:type="dxa"/>
              <w:left w:w="15" w:type="dxa"/>
              <w:bottom w:w="15" w:type="dxa"/>
              <w:right w:w="15" w:type="dxa"/>
            </w:tcMar>
            <w:vAlign w:val="center"/>
            <w:hideMark/>
          </w:tcPr>
          <w:p w14:paraId="043BD61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6903E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66AAD21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375E243" w14:textId="77777777" w:rsidTr="00A639CC">
        <w:trPr>
          <w:tblCellSpacing w:w="15" w:type="dxa"/>
        </w:trPr>
        <w:tc>
          <w:tcPr>
            <w:tcW w:w="0" w:type="auto"/>
            <w:tcMar>
              <w:top w:w="15" w:type="dxa"/>
              <w:left w:w="15" w:type="dxa"/>
              <w:bottom w:w="15" w:type="dxa"/>
              <w:right w:w="15" w:type="dxa"/>
            </w:tcMar>
            <w:vAlign w:val="center"/>
            <w:hideMark/>
          </w:tcPr>
          <w:p w14:paraId="6E2A16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FA416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4FB30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0851D86" w14:textId="77777777" w:rsidTr="00A639CC">
        <w:trPr>
          <w:tblCellSpacing w:w="15" w:type="dxa"/>
        </w:trPr>
        <w:tc>
          <w:tcPr>
            <w:tcW w:w="0" w:type="auto"/>
            <w:tcMar>
              <w:top w:w="15" w:type="dxa"/>
              <w:left w:w="15" w:type="dxa"/>
              <w:bottom w:w="15" w:type="dxa"/>
              <w:right w:w="15" w:type="dxa"/>
            </w:tcMar>
            <w:vAlign w:val="center"/>
            <w:hideMark/>
          </w:tcPr>
          <w:p w14:paraId="7C75D8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00D7C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7917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98FD579" w14:textId="77777777" w:rsidTr="00A639CC">
        <w:trPr>
          <w:tblCellSpacing w:w="15" w:type="dxa"/>
        </w:trPr>
        <w:tc>
          <w:tcPr>
            <w:tcW w:w="0" w:type="auto"/>
            <w:tcMar>
              <w:top w:w="15" w:type="dxa"/>
              <w:left w:w="15" w:type="dxa"/>
              <w:bottom w:w="15" w:type="dxa"/>
              <w:right w:w="15" w:type="dxa"/>
            </w:tcMar>
            <w:vAlign w:val="center"/>
            <w:hideMark/>
          </w:tcPr>
          <w:p w14:paraId="7DCA5E7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797E6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79666D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E130A68" w14:textId="77777777" w:rsidTr="00A639CC">
        <w:trPr>
          <w:tblCellSpacing w:w="15" w:type="dxa"/>
        </w:trPr>
        <w:tc>
          <w:tcPr>
            <w:tcW w:w="0" w:type="auto"/>
            <w:tcMar>
              <w:top w:w="15" w:type="dxa"/>
              <w:left w:w="15" w:type="dxa"/>
              <w:bottom w:w="15" w:type="dxa"/>
              <w:right w:w="15" w:type="dxa"/>
            </w:tcMar>
            <w:vAlign w:val="center"/>
            <w:hideMark/>
          </w:tcPr>
          <w:p w14:paraId="4DFD68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0D92BC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147E4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2AA6A88" w14:textId="77777777" w:rsidTr="00A639CC">
        <w:trPr>
          <w:tblCellSpacing w:w="15" w:type="dxa"/>
        </w:trPr>
        <w:tc>
          <w:tcPr>
            <w:tcW w:w="0" w:type="auto"/>
            <w:tcMar>
              <w:top w:w="15" w:type="dxa"/>
              <w:left w:w="15" w:type="dxa"/>
              <w:bottom w:w="15" w:type="dxa"/>
              <w:right w:w="15" w:type="dxa"/>
            </w:tcMar>
            <w:vAlign w:val="center"/>
            <w:hideMark/>
          </w:tcPr>
          <w:p w14:paraId="4B8305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C7067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F44EF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88310B5" w14:textId="77777777" w:rsidTr="00A639CC">
        <w:trPr>
          <w:tblCellSpacing w:w="15" w:type="dxa"/>
        </w:trPr>
        <w:tc>
          <w:tcPr>
            <w:tcW w:w="0" w:type="auto"/>
            <w:tcMar>
              <w:top w:w="15" w:type="dxa"/>
              <w:left w:w="15" w:type="dxa"/>
              <w:bottom w:w="15" w:type="dxa"/>
              <w:right w:w="15" w:type="dxa"/>
            </w:tcMar>
            <w:vAlign w:val="center"/>
            <w:hideMark/>
          </w:tcPr>
          <w:p w14:paraId="2EC591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6C7C76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DD3918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97DEAA" w14:textId="77777777" w:rsidTr="00A639CC">
        <w:trPr>
          <w:tblCellSpacing w:w="15" w:type="dxa"/>
        </w:trPr>
        <w:tc>
          <w:tcPr>
            <w:tcW w:w="0" w:type="auto"/>
            <w:tcMar>
              <w:top w:w="15" w:type="dxa"/>
              <w:left w:w="15" w:type="dxa"/>
              <w:bottom w:w="15" w:type="dxa"/>
              <w:right w:w="15" w:type="dxa"/>
            </w:tcMar>
            <w:vAlign w:val="center"/>
            <w:hideMark/>
          </w:tcPr>
          <w:p w14:paraId="1724C4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89EA6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95994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272F541" w14:textId="77777777" w:rsidTr="00A639CC">
        <w:trPr>
          <w:tblCellSpacing w:w="15" w:type="dxa"/>
        </w:trPr>
        <w:tc>
          <w:tcPr>
            <w:tcW w:w="0" w:type="auto"/>
            <w:tcMar>
              <w:top w:w="15" w:type="dxa"/>
              <w:left w:w="15" w:type="dxa"/>
              <w:bottom w:w="15" w:type="dxa"/>
              <w:right w:w="15" w:type="dxa"/>
            </w:tcMar>
            <w:vAlign w:val="center"/>
            <w:hideMark/>
          </w:tcPr>
          <w:p w14:paraId="694614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407EC6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A93C8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58290AD" w14:textId="77777777" w:rsidTr="00A639CC">
        <w:trPr>
          <w:tblCellSpacing w:w="15" w:type="dxa"/>
        </w:trPr>
        <w:tc>
          <w:tcPr>
            <w:tcW w:w="0" w:type="auto"/>
            <w:tcMar>
              <w:top w:w="15" w:type="dxa"/>
              <w:left w:w="15" w:type="dxa"/>
              <w:bottom w:w="15" w:type="dxa"/>
              <w:right w:w="15" w:type="dxa"/>
            </w:tcMar>
            <w:vAlign w:val="center"/>
            <w:hideMark/>
          </w:tcPr>
          <w:p w14:paraId="3F37C47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977C0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20F7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2A95CF7" w14:textId="77777777" w:rsidTr="00A639CC">
        <w:trPr>
          <w:tblCellSpacing w:w="15" w:type="dxa"/>
        </w:trPr>
        <w:tc>
          <w:tcPr>
            <w:tcW w:w="0" w:type="auto"/>
            <w:tcMar>
              <w:top w:w="15" w:type="dxa"/>
              <w:left w:w="15" w:type="dxa"/>
              <w:bottom w:w="15" w:type="dxa"/>
              <w:right w:w="15" w:type="dxa"/>
            </w:tcMar>
            <w:vAlign w:val="center"/>
            <w:hideMark/>
          </w:tcPr>
          <w:p w14:paraId="7CF4E7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A5E61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1C44C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F6702AE" w14:textId="77777777" w:rsidTr="00A639CC">
        <w:trPr>
          <w:tblCellSpacing w:w="15" w:type="dxa"/>
        </w:trPr>
        <w:tc>
          <w:tcPr>
            <w:tcW w:w="0" w:type="auto"/>
            <w:tcMar>
              <w:top w:w="15" w:type="dxa"/>
              <w:left w:w="15" w:type="dxa"/>
              <w:bottom w:w="15" w:type="dxa"/>
              <w:right w:w="15" w:type="dxa"/>
            </w:tcMar>
            <w:vAlign w:val="center"/>
            <w:hideMark/>
          </w:tcPr>
          <w:p w14:paraId="066034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33CE5BE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A949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7DDE8D92" w14:textId="2EB10753"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NGI Roles</w:t>
      </w:r>
    </w:p>
    <w:tbl>
      <w:tblPr>
        <w:tblW w:w="0" w:type="auto"/>
        <w:tblCellSpacing w:w="15" w:type="dxa"/>
        <w:tblCellMar>
          <w:left w:w="0" w:type="dxa"/>
          <w:right w:w="0" w:type="dxa"/>
        </w:tblCellMar>
        <w:tblLook w:val="04A0" w:firstRow="1" w:lastRow="0" w:firstColumn="1" w:lastColumn="0" w:noHBand="0" w:noVBand="1"/>
      </w:tblPr>
      <w:tblGrid>
        <w:gridCol w:w="3276"/>
        <w:gridCol w:w="3384"/>
        <w:gridCol w:w="2170"/>
      </w:tblGrid>
      <w:tr w:rsidR="00A639CC" w:rsidRPr="00A639CC" w14:paraId="275FB5C9" w14:textId="77777777" w:rsidTr="00A639CC">
        <w:trPr>
          <w:tblHeader/>
          <w:tblCellSpacing w:w="15" w:type="dxa"/>
        </w:trPr>
        <w:tc>
          <w:tcPr>
            <w:tcW w:w="0" w:type="auto"/>
            <w:tcMar>
              <w:top w:w="15" w:type="dxa"/>
              <w:left w:w="15" w:type="dxa"/>
              <w:bottom w:w="15" w:type="dxa"/>
              <w:right w:w="15" w:type="dxa"/>
            </w:tcMar>
            <w:vAlign w:val="center"/>
            <w:hideMark/>
          </w:tcPr>
          <w:p w14:paraId="5DEA1B5D"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7928AC67"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286AE1A8"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4293C763" w14:textId="77777777" w:rsidTr="00A639CC">
        <w:trPr>
          <w:tblCellSpacing w:w="15" w:type="dxa"/>
        </w:trPr>
        <w:tc>
          <w:tcPr>
            <w:tcW w:w="0" w:type="auto"/>
            <w:tcMar>
              <w:top w:w="15" w:type="dxa"/>
              <w:left w:w="15" w:type="dxa"/>
              <w:bottom w:w="15" w:type="dxa"/>
              <w:right w:w="15" w:type="dxa"/>
            </w:tcMar>
            <w:vAlign w:val="center"/>
            <w:hideMark/>
          </w:tcPr>
          <w:p w14:paraId="1DCDAC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64C36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64D460D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3D759AE" w14:textId="77777777" w:rsidTr="00A639CC">
        <w:trPr>
          <w:tblCellSpacing w:w="15" w:type="dxa"/>
        </w:trPr>
        <w:tc>
          <w:tcPr>
            <w:tcW w:w="0" w:type="auto"/>
            <w:tcMar>
              <w:top w:w="15" w:type="dxa"/>
              <w:left w:w="15" w:type="dxa"/>
              <w:bottom w:w="15" w:type="dxa"/>
              <w:right w:w="15" w:type="dxa"/>
            </w:tcMar>
            <w:vAlign w:val="center"/>
            <w:hideMark/>
          </w:tcPr>
          <w:p w14:paraId="3A54E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66F03B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293A12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7E3E4073" w14:textId="77777777" w:rsidTr="00A639CC">
        <w:trPr>
          <w:tblCellSpacing w:w="15" w:type="dxa"/>
        </w:trPr>
        <w:tc>
          <w:tcPr>
            <w:tcW w:w="0" w:type="auto"/>
            <w:tcMar>
              <w:top w:w="15" w:type="dxa"/>
              <w:left w:w="15" w:type="dxa"/>
              <w:bottom w:w="15" w:type="dxa"/>
              <w:right w:w="15" w:type="dxa"/>
            </w:tcMar>
            <w:vAlign w:val="center"/>
            <w:hideMark/>
          </w:tcPr>
          <w:p w14:paraId="679837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589F12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27F507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9FB7D67" w14:textId="77777777" w:rsidTr="00A639CC">
        <w:trPr>
          <w:tblCellSpacing w:w="15" w:type="dxa"/>
        </w:trPr>
        <w:tc>
          <w:tcPr>
            <w:tcW w:w="0" w:type="auto"/>
            <w:tcMar>
              <w:top w:w="15" w:type="dxa"/>
              <w:left w:w="15" w:type="dxa"/>
              <w:bottom w:w="15" w:type="dxa"/>
              <w:right w:w="15" w:type="dxa"/>
            </w:tcMar>
            <w:vAlign w:val="center"/>
            <w:hideMark/>
          </w:tcPr>
          <w:p w14:paraId="353B79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45BCC1C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561F4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C4307BD" w14:textId="77777777" w:rsidTr="00A639CC">
        <w:trPr>
          <w:tblCellSpacing w:w="15" w:type="dxa"/>
        </w:trPr>
        <w:tc>
          <w:tcPr>
            <w:tcW w:w="0" w:type="auto"/>
            <w:tcMar>
              <w:top w:w="15" w:type="dxa"/>
              <w:left w:w="15" w:type="dxa"/>
              <w:bottom w:w="15" w:type="dxa"/>
              <w:right w:w="15" w:type="dxa"/>
            </w:tcMar>
            <w:vAlign w:val="center"/>
            <w:hideMark/>
          </w:tcPr>
          <w:p w14:paraId="5006BE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DC30A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2E7E3E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E6A985D" w14:textId="77777777" w:rsidTr="00A639CC">
        <w:trPr>
          <w:tblCellSpacing w:w="15" w:type="dxa"/>
        </w:trPr>
        <w:tc>
          <w:tcPr>
            <w:tcW w:w="0" w:type="auto"/>
            <w:tcMar>
              <w:top w:w="15" w:type="dxa"/>
              <w:left w:w="15" w:type="dxa"/>
              <w:bottom w:w="15" w:type="dxa"/>
              <w:right w:w="15" w:type="dxa"/>
            </w:tcMar>
            <w:vAlign w:val="center"/>
            <w:hideMark/>
          </w:tcPr>
          <w:p w14:paraId="728CAE5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1A09CA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BBA9B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6A3525D" w14:textId="77777777" w:rsidTr="00A639CC">
        <w:trPr>
          <w:tblCellSpacing w:w="15" w:type="dxa"/>
        </w:trPr>
        <w:tc>
          <w:tcPr>
            <w:tcW w:w="0" w:type="auto"/>
            <w:tcMar>
              <w:top w:w="15" w:type="dxa"/>
              <w:left w:w="15" w:type="dxa"/>
              <w:bottom w:w="15" w:type="dxa"/>
              <w:right w:w="15" w:type="dxa"/>
            </w:tcMar>
            <w:vAlign w:val="center"/>
            <w:hideMark/>
          </w:tcPr>
          <w:p w14:paraId="4A63F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8A7F3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E4560E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0016F84" w14:textId="77777777" w:rsidTr="00A639CC">
        <w:trPr>
          <w:tblCellSpacing w:w="15" w:type="dxa"/>
        </w:trPr>
        <w:tc>
          <w:tcPr>
            <w:tcW w:w="0" w:type="auto"/>
            <w:tcMar>
              <w:top w:w="15" w:type="dxa"/>
              <w:left w:w="15" w:type="dxa"/>
              <w:bottom w:w="15" w:type="dxa"/>
              <w:right w:w="15" w:type="dxa"/>
            </w:tcMar>
            <w:vAlign w:val="center"/>
            <w:hideMark/>
          </w:tcPr>
          <w:p w14:paraId="629B88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3CEE6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335CF3C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32203FD" w14:textId="77777777" w:rsidTr="00A639CC">
        <w:trPr>
          <w:tblCellSpacing w:w="15" w:type="dxa"/>
        </w:trPr>
        <w:tc>
          <w:tcPr>
            <w:tcW w:w="0" w:type="auto"/>
            <w:tcMar>
              <w:top w:w="15" w:type="dxa"/>
              <w:left w:w="15" w:type="dxa"/>
              <w:bottom w:w="15" w:type="dxa"/>
              <w:right w:w="15" w:type="dxa"/>
            </w:tcMar>
            <w:vAlign w:val="center"/>
            <w:hideMark/>
          </w:tcPr>
          <w:p w14:paraId="221FDA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3B082F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4029B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FC7533" w14:textId="77777777" w:rsidTr="00A639CC">
        <w:trPr>
          <w:tblCellSpacing w:w="15" w:type="dxa"/>
        </w:trPr>
        <w:tc>
          <w:tcPr>
            <w:tcW w:w="0" w:type="auto"/>
            <w:tcMar>
              <w:top w:w="15" w:type="dxa"/>
              <w:left w:w="15" w:type="dxa"/>
              <w:bottom w:w="15" w:type="dxa"/>
              <w:right w:w="15" w:type="dxa"/>
            </w:tcMar>
            <w:vAlign w:val="center"/>
            <w:hideMark/>
          </w:tcPr>
          <w:p w14:paraId="3AFFDC2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4AE66F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1B0E9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427E859" w14:textId="77777777" w:rsidTr="00A639CC">
        <w:trPr>
          <w:tblCellSpacing w:w="15" w:type="dxa"/>
        </w:trPr>
        <w:tc>
          <w:tcPr>
            <w:tcW w:w="0" w:type="auto"/>
            <w:tcMar>
              <w:top w:w="15" w:type="dxa"/>
              <w:left w:w="15" w:type="dxa"/>
              <w:bottom w:w="15" w:type="dxa"/>
              <w:right w:w="15" w:type="dxa"/>
            </w:tcMar>
            <w:vAlign w:val="center"/>
            <w:hideMark/>
          </w:tcPr>
          <w:p w14:paraId="722921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EF57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DB67C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2873D58" w14:textId="77777777" w:rsidTr="00A639CC">
        <w:trPr>
          <w:tblCellSpacing w:w="15" w:type="dxa"/>
        </w:trPr>
        <w:tc>
          <w:tcPr>
            <w:tcW w:w="0" w:type="auto"/>
            <w:tcMar>
              <w:top w:w="15" w:type="dxa"/>
              <w:left w:w="15" w:type="dxa"/>
              <w:bottom w:w="15" w:type="dxa"/>
              <w:right w:w="15" w:type="dxa"/>
            </w:tcMar>
            <w:vAlign w:val="center"/>
            <w:hideMark/>
          </w:tcPr>
          <w:p w14:paraId="7A096F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70C506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753BE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D19BC7" w14:textId="77777777" w:rsidTr="00A639CC">
        <w:trPr>
          <w:tblCellSpacing w:w="15" w:type="dxa"/>
        </w:trPr>
        <w:tc>
          <w:tcPr>
            <w:tcW w:w="0" w:type="auto"/>
            <w:tcMar>
              <w:top w:w="15" w:type="dxa"/>
              <w:left w:w="15" w:type="dxa"/>
              <w:bottom w:w="15" w:type="dxa"/>
              <w:right w:w="15" w:type="dxa"/>
            </w:tcMar>
            <w:vAlign w:val="center"/>
            <w:hideMark/>
          </w:tcPr>
          <w:p w14:paraId="594936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NGI Operations Deputy Manager</w:t>
            </w:r>
          </w:p>
        </w:tc>
        <w:tc>
          <w:tcPr>
            <w:tcW w:w="0" w:type="auto"/>
            <w:tcMar>
              <w:top w:w="15" w:type="dxa"/>
              <w:left w:w="15" w:type="dxa"/>
              <w:bottom w:w="15" w:type="dxa"/>
              <w:right w:w="15" w:type="dxa"/>
            </w:tcMar>
            <w:vAlign w:val="center"/>
            <w:hideMark/>
          </w:tcPr>
          <w:p w14:paraId="68BEBA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801F2E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7010E9B5" w14:textId="77777777" w:rsidTr="00A639CC">
        <w:trPr>
          <w:tblCellSpacing w:w="15" w:type="dxa"/>
        </w:trPr>
        <w:tc>
          <w:tcPr>
            <w:tcW w:w="0" w:type="auto"/>
            <w:tcMar>
              <w:top w:w="15" w:type="dxa"/>
              <w:left w:w="15" w:type="dxa"/>
              <w:bottom w:w="15" w:type="dxa"/>
              <w:right w:w="15" w:type="dxa"/>
            </w:tcMar>
            <w:vAlign w:val="center"/>
            <w:hideMark/>
          </w:tcPr>
          <w:p w14:paraId="6D52234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320D3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1D6969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1FA854B" w14:textId="77777777" w:rsidTr="00A639CC">
        <w:trPr>
          <w:tblCellSpacing w:w="15" w:type="dxa"/>
        </w:trPr>
        <w:tc>
          <w:tcPr>
            <w:tcW w:w="0" w:type="auto"/>
            <w:tcMar>
              <w:top w:w="15" w:type="dxa"/>
              <w:left w:w="15" w:type="dxa"/>
              <w:bottom w:w="15" w:type="dxa"/>
              <w:right w:w="15" w:type="dxa"/>
            </w:tcMar>
            <w:vAlign w:val="center"/>
            <w:hideMark/>
          </w:tcPr>
          <w:p w14:paraId="53E2C2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D4621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67498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E1F967D" w14:textId="77777777" w:rsidTr="00A639CC">
        <w:trPr>
          <w:tblCellSpacing w:w="15" w:type="dxa"/>
        </w:trPr>
        <w:tc>
          <w:tcPr>
            <w:tcW w:w="0" w:type="auto"/>
            <w:tcMar>
              <w:top w:w="15" w:type="dxa"/>
              <w:left w:w="15" w:type="dxa"/>
              <w:bottom w:w="15" w:type="dxa"/>
              <w:right w:w="15" w:type="dxa"/>
            </w:tcMar>
            <w:vAlign w:val="center"/>
            <w:hideMark/>
          </w:tcPr>
          <w:p w14:paraId="02D83B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C7B12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87225C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27CFB60" w14:textId="77777777" w:rsidTr="00A639CC">
        <w:trPr>
          <w:tblCellSpacing w:w="15" w:type="dxa"/>
        </w:trPr>
        <w:tc>
          <w:tcPr>
            <w:tcW w:w="0" w:type="auto"/>
            <w:tcMar>
              <w:top w:w="15" w:type="dxa"/>
              <w:left w:w="15" w:type="dxa"/>
              <w:bottom w:w="15" w:type="dxa"/>
              <w:right w:w="15" w:type="dxa"/>
            </w:tcMar>
            <w:vAlign w:val="center"/>
            <w:hideMark/>
          </w:tcPr>
          <w:p w14:paraId="0CDCFB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14A6390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47E760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38AB41C" w14:textId="77777777" w:rsidTr="00A639CC">
        <w:trPr>
          <w:tblCellSpacing w:w="15" w:type="dxa"/>
        </w:trPr>
        <w:tc>
          <w:tcPr>
            <w:tcW w:w="0" w:type="auto"/>
            <w:tcMar>
              <w:top w:w="15" w:type="dxa"/>
              <w:left w:w="15" w:type="dxa"/>
              <w:bottom w:w="15" w:type="dxa"/>
              <w:right w:w="15" w:type="dxa"/>
            </w:tcMar>
            <w:vAlign w:val="center"/>
            <w:hideMark/>
          </w:tcPr>
          <w:p w14:paraId="5FC43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6A2A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987386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9EDD8B5" w14:textId="77777777" w:rsidTr="00A639CC">
        <w:trPr>
          <w:tblCellSpacing w:w="15" w:type="dxa"/>
        </w:trPr>
        <w:tc>
          <w:tcPr>
            <w:tcW w:w="0" w:type="auto"/>
            <w:tcMar>
              <w:top w:w="15" w:type="dxa"/>
              <w:left w:w="15" w:type="dxa"/>
              <w:bottom w:w="15" w:type="dxa"/>
              <w:right w:w="15" w:type="dxa"/>
            </w:tcMar>
            <w:vAlign w:val="center"/>
            <w:hideMark/>
          </w:tcPr>
          <w:p w14:paraId="3B2C6B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36B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8CD6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736DB1B" w14:textId="77777777" w:rsidTr="00A639CC">
        <w:trPr>
          <w:tblCellSpacing w:w="15" w:type="dxa"/>
        </w:trPr>
        <w:tc>
          <w:tcPr>
            <w:tcW w:w="0" w:type="auto"/>
            <w:tcMar>
              <w:top w:w="15" w:type="dxa"/>
              <w:left w:w="15" w:type="dxa"/>
              <w:bottom w:w="15" w:type="dxa"/>
              <w:right w:w="15" w:type="dxa"/>
            </w:tcMar>
            <w:vAlign w:val="center"/>
            <w:hideMark/>
          </w:tcPr>
          <w:p w14:paraId="349F88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73F7E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09EA93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C47FCE" w14:textId="77777777" w:rsidTr="00A639CC">
        <w:trPr>
          <w:tblCellSpacing w:w="15" w:type="dxa"/>
        </w:trPr>
        <w:tc>
          <w:tcPr>
            <w:tcW w:w="0" w:type="auto"/>
            <w:tcMar>
              <w:top w:w="15" w:type="dxa"/>
              <w:left w:w="15" w:type="dxa"/>
              <w:bottom w:w="15" w:type="dxa"/>
              <w:right w:w="15" w:type="dxa"/>
            </w:tcMar>
            <w:vAlign w:val="center"/>
            <w:hideMark/>
          </w:tcPr>
          <w:p w14:paraId="5E8044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79C409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0B311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368EEB9" w14:textId="77777777" w:rsidTr="00A639CC">
        <w:trPr>
          <w:tblCellSpacing w:w="15" w:type="dxa"/>
        </w:trPr>
        <w:tc>
          <w:tcPr>
            <w:tcW w:w="0" w:type="auto"/>
            <w:tcMar>
              <w:top w:w="15" w:type="dxa"/>
              <w:left w:w="15" w:type="dxa"/>
              <w:bottom w:w="15" w:type="dxa"/>
              <w:right w:w="15" w:type="dxa"/>
            </w:tcMar>
            <w:vAlign w:val="center"/>
            <w:hideMark/>
          </w:tcPr>
          <w:p w14:paraId="2D67C4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0E275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AD0B2D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E85CA6" w14:textId="77777777" w:rsidTr="00A639CC">
        <w:trPr>
          <w:tblCellSpacing w:w="15" w:type="dxa"/>
        </w:trPr>
        <w:tc>
          <w:tcPr>
            <w:tcW w:w="0" w:type="auto"/>
            <w:tcMar>
              <w:top w:w="15" w:type="dxa"/>
              <w:left w:w="15" w:type="dxa"/>
              <w:bottom w:w="15" w:type="dxa"/>
              <w:right w:w="15" w:type="dxa"/>
            </w:tcMar>
            <w:vAlign w:val="center"/>
            <w:hideMark/>
          </w:tcPr>
          <w:p w14:paraId="6B9AD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2D8311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435A3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9B41A48" w14:textId="77777777" w:rsidTr="00A639CC">
        <w:trPr>
          <w:tblCellSpacing w:w="15" w:type="dxa"/>
        </w:trPr>
        <w:tc>
          <w:tcPr>
            <w:tcW w:w="0" w:type="auto"/>
            <w:tcMar>
              <w:top w:w="15" w:type="dxa"/>
              <w:left w:w="15" w:type="dxa"/>
              <w:bottom w:w="15" w:type="dxa"/>
              <w:right w:w="15" w:type="dxa"/>
            </w:tcMar>
            <w:vAlign w:val="center"/>
            <w:hideMark/>
          </w:tcPr>
          <w:p w14:paraId="6F372B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88622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3529A53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7800532" w14:textId="77777777" w:rsidTr="00A639CC">
        <w:trPr>
          <w:tblCellSpacing w:w="15" w:type="dxa"/>
        </w:trPr>
        <w:tc>
          <w:tcPr>
            <w:tcW w:w="0" w:type="auto"/>
            <w:tcMar>
              <w:top w:w="15" w:type="dxa"/>
              <w:left w:w="15" w:type="dxa"/>
              <w:bottom w:w="15" w:type="dxa"/>
              <w:right w:w="15" w:type="dxa"/>
            </w:tcMar>
            <w:vAlign w:val="center"/>
            <w:hideMark/>
          </w:tcPr>
          <w:p w14:paraId="2D60F3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B76E4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B2076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1E57EC2" w14:textId="77777777" w:rsidTr="00A639CC">
        <w:trPr>
          <w:tblCellSpacing w:w="15" w:type="dxa"/>
        </w:trPr>
        <w:tc>
          <w:tcPr>
            <w:tcW w:w="0" w:type="auto"/>
            <w:tcMar>
              <w:top w:w="15" w:type="dxa"/>
              <w:left w:w="15" w:type="dxa"/>
              <w:bottom w:w="15" w:type="dxa"/>
              <w:right w:w="15" w:type="dxa"/>
            </w:tcMar>
            <w:vAlign w:val="center"/>
            <w:hideMark/>
          </w:tcPr>
          <w:p w14:paraId="15541C7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6D5D2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63FE67E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4C50B54" w14:textId="77777777" w:rsidTr="00A639CC">
        <w:trPr>
          <w:tblCellSpacing w:w="15" w:type="dxa"/>
        </w:trPr>
        <w:tc>
          <w:tcPr>
            <w:tcW w:w="0" w:type="auto"/>
            <w:tcMar>
              <w:top w:w="15" w:type="dxa"/>
              <w:left w:w="15" w:type="dxa"/>
              <w:bottom w:w="15" w:type="dxa"/>
              <w:right w:w="15" w:type="dxa"/>
            </w:tcMar>
            <w:vAlign w:val="center"/>
            <w:hideMark/>
          </w:tcPr>
          <w:p w14:paraId="4C3CB0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F5B01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1577F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89447B6" w14:textId="77777777" w:rsidTr="00A639CC">
        <w:trPr>
          <w:tblCellSpacing w:w="15" w:type="dxa"/>
        </w:trPr>
        <w:tc>
          <w:tcPr>
            <w:tcW w:w="0" w:type="auto"/>
            <w:tcMar>
              <w:top w:w="15" w:type="dxa"/>
              <w:left w:w="15" w:type="dxa"/>
              <w:bottom w:w="15" w:type="dxa"/>
              <w:right w:w="15" w:type="dxa"/>
            </w:tcMar>
            <w:vAlign w:val="center"/>
            <w:hideMark/>
          </w:tcPr>
          <w:p w14:paraId="56507D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FA6E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A7369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3477007" w14:textId="77777777" w:rsidTr="00A639CC">
        <w:trPr>
          <w:tblCellSpacing w:w="15" w:type="dxa"/>
        </w:trPr>
        <w:tc>
          <w:tcPr>
            <w:tcW w:w="0" w:type="auto"/>
            <w:tcMar>
              <w:top w:w="15" w:type="dxa"/>
              <w:left w:w="15" w:type="dxa"/>
              <w:bottom w:w="15" w:type="dxa"/>
              <w:right w:w="15" w:type="dxa"/>
            </w:tcMar>
            <w:vAlign w:val="center"/>
            <w:hideMark/>
          </w:tcPr>
          <w:p w14:paraId="1B900A9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FF294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2876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037F36D" w14:textId="77777777" w:rsidTr="00A639CC">
        <w:trPr>
          <w:tblCellSpacing w:w="15" w:type="dxa"/>
        </w:trPr>
        <w:tc>
          <w:tcPr>
            <w:tcW w:w="0" w:type="auto"/>
            <w:tcMar>
              <w:top w:w="15" w:type="dxa"/>
              <w:left w:w="15" w:type="dxa"/>
              <w:bottom w:w="15" w:type="dxa"/>
              <w:right w:w="15" w:type="dxa"/>
            </w:tcMar>
            <w:vAlign w:val="center"/>
            <w:hideMark/>
          </w:tcPr>
          <w:p w14:paraId="46A199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0831A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0921B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131CA62" w14:textId="77777777" w:rsidTr="00A639CC">
        <w:trPr>
          <w:tblCellSpacing w:w="15" w:type="dxa"/>
        </w:trPr>
        <w:tc>
          <w:tcPr>
            <w:tcW w:w="0" w:type="auto"/>
            <w:tcMar>
              <w:top w:w="15" w:type="dxa"/>
              <w:left w:w="15" w:type="dxa"/>
              <w:bottom w:w="15" w:type="dxa"/>
              <w:right w:w="15" w:type="dxa"/>
            </w:tcMar>
            <w:vAlign w:val="center"/>
            <w:hideMark/>
          </w:tcPr>
          <w:p w14:paraId="7D8252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B9462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696C5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7744E1C" w14:textId="77777777" w:rsidTr="00A639CC">
        <w:trPr>
          <w:tblCellSpacing w:w="15" w:type="dxa"/>
        </w:trPr>
        <w:tc>
          <w:tcPr>
            <w:tcW w:w="0" w:type="auto"/>
            <w:tcMar>
              <w:top w:w="15" w:type="dxa"/>
              <w:left w:w="15" w:type="dxa"/>
              <w:bottom w:w="15" w:type="dxa"/>
              <w:right w:w="15" w:type="dxa"/>
            </w:tcMar>
            <w:vAlign w:val="center"/>
            <w:hideMark/>
          </w:tcPr>
          <w:p w14:paraId="1E2E11A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681D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7D4DA9B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877EBD1" w14:textId="77777777" w:rsidTr="00A639CC">
        <w:trPr>
          <w:tblCellSpacing w:w="15" w:type="dxa"/>
        </w:trPr>
        <w:tc>
          <w:tcPr>
            <w:tcW w:w="0" w:type="auto"/>
            <w:tcMar>
              <w:top w:w="15" w:type="dxa"/>
              <w:left w:w="15" w:type="dxa"/>
              <w:bottom w:w="15" w:type="dxa"/>
              <w:right w:w="15" w:type="dxa"/>
            </w:tcMar>
            <w:vAlign w:val="center"/>
            <w:hideMark/>
          </w:tcPr>
          <w:p w14:paraId="33E55B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0F0EA2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55351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81FF7E" w14:textId="77777777" w:rsidTr="00A639CC">
        <w:trPr>
          <w:tblCellSpacing w:w="15" w:type="dxa"/>
        </w:trPr>
        <w:tc>
          <w:tcPr>
            <w:tcW w:w="0" w:type="auto"/>
            <w:tcMar>
              <w:top w:w="15" w:type="dxa"/>
              <w:left w:w="15" w:type="dxa"/>
              <w:bottom w:w="15" w:type="dxa"/>
              <w:right w:w="15" w:type="dxa"/>
            </w:tcMar>
            <w:vAlign w:val="center"/>
            <w:hideMark/>
          </w:tcPr>
          <w:p w14:paraId="0B9E8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C4E223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C82EB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B24A2A4" w14:textId="77777777" w:rsidTr="00A639CC">
        <w:trPr>
          <w:tblCellSpacing w:w="15" w:type="dxa"/>
        </w:trPr>
        <w:tc>
          <w:tcPr>
            <w:tcW w:w="0" w:type="auto"/>
            <w:tcMar>
              <w:top w:w="15" w:type="dxa"/>
              <w:left w:w="15" w:type="dxa"/>
              <w:bottom w:w="15" w:type="dxa"/>
              <w:right w:w="15" w:type="dxa"/>
            </w:tcMar>
            <w:vAlign w:val="center"/>
            <w:hideMark/>
          </w:tcPr>
          <w:p w14:paraId="67333D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3C538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0717B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FA9796D" w14:textId="77777777" w:rsidTr="00A639CC">
        <w:trPr>
          <w:tblCellSpacing w:w="15" w:type="dxa"/>
        </w:trPr>
        <w:tc>
          <w:tcPr>
            <w:tcW w:w="0" w:type="auto"/>
            <w:tcMar>
              <w:top w:w="15" w:type="dxa"/>
              <w:left w:w="15" w:type="dxa"/>
              <w:bottom w:w="15" w:type="dxa"/>
              <w:right w:w="15" w:type="dxa"/>
            </w:tcMar>
            <w:vAlign w:val="center"/>
            <w:hideMark/>
          </w:tcPr>
          <w:p w14:paraId="6780300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BBFCD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484A91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92BB811" w14:textId="77777777" w:rsidTr="00A639CC">
        <w:trPr>
          <w:tblCellSpacing w:w="15" w:type="dxa"/>
        </w:trPr>
        <w:tc>
          <w:tcPr>
            <w:tcW w:w="0" w:type="auto"/>
            <w:tcMar>
              <w:top w:w="15" w:type="dxa"/>
              <w:left w:w="15" w:type="dxa"/>
              <w:bottom w:w="15" w:type="dxa"/>
              <w:right w:w="15" w:type="dxa"/>
            </w:tcMar>
            <w:vAlign w:val="center"/>
            <w:hideMark/>
          </w:tcPr>
          <w:p w14:paraId="53A42E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CA91C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EB0A16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D4D0BFC" w14:textId="77777777" w:rsidTr="00A639CC">
        <w:trPr>
          <w:tblCellSpacing w:w="15" w:type="dxa"/>
        </w:trPr>
        <w:tc>
          <w:tcPr>
            <w:tcW w:w="0" w:type="auto"/>
            <w:tcMar>
              <w:top w:w="15" w:type="dxa"/>
              <w:left w:w="15" w:type="dxa"/>
              <w:bottom w:w="15" w:type="dxa"/>
              <w:right w:w="15" w:type="dxa"/>
            </w:tcMar>
            <w:vAlign w:val="center"/>
            <w:hideMark/>
          </w:tcPr>
          <w:p w14:paraId="5D4135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29C15E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A64EFB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C2C892A" w14:textId="77777777" w:rsidTr="00A639CC">
        <w:trPr>
          <w:tblCellSpacing w:w="15" w:type="dxa"/>
        </w:trPr>
        <w:tc>
          <w:tcPr>
            <w:tcW w:w="0" w:type="auto"/>
            <w:tcMar>
              <w:top w:w="15" w:type="dxa"/>
              <w:left w:w="15" w:type="dxa"/>
              <w:bottom w:w="15" w:type="dxa"/>
              <w:right w:w="15" w:type="dxa"/>
            </w:tcMar>
            <w:vAlign w:val="center"/>
            <w:hideMark/>
          </w:tcPr>
          <w:p w14:paraId="5FD187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044A37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4370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D252FCB" w14:textId="77777777" w:rsidTr="00A639CC">
        <w:trPr>
          <w:tblCellSpacing w:w="15" w:type="dxa"/>
        </w:trPr>
        <w:tc>
          <w:tcPr>
            <w:tcW w:w="0" w:type="auto"/>
            <w:tcMar>
              <w:top w:w="15" w:type="dxa"/>
              <w:left w:w="15" w:type="dxa"/>
              <w:bottom w:w="15" w:type="dxa"/>
              <w:right w:w="15" w:type="dxa"/>
            </w:tcMar>
            <w:vAlign w:val="center"/>
            <w:hideMark/>
          </w:tcPr>
          <w:p w14:paraId="0396EFF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07FC8B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144F2D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EED687C" w14:textId="77777777" w:rsidTr="00A639CC">
        <w:trPr>
          <w:tblCellSpacing w:w="15" w:type="dxa"/>
        </w:trPr>
        <w:tc>
          <w:tcPr>
            <w:tcW w:w="0" w:type="auto"/>
            <w:tcMar>
              <w:top w:w="15" w:type="dxa"/>
              <w:left w:w="15" w:type="dxa"/>
              <w:bottom w:w="15" w:type="dxa"/>
              <w:right w:w="15" w:type="dxa"/>
            </w:tcMar>
            <w:vAlign w:val="center"/>
            <w:hideMark/>
          </w:tcPr>
          <w:p w14:paraId="76A76B1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FC4443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77A03B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F86D6A0" w14:textId="77777777" w:rsidTr="00A639CC">
        <w:trPr>
          <w:tblCellSpacing w:w="15" w:type="dxa"/>
        </w:trPr>
        <w:tc>
          <w:tcPr>
            <w:tcW w:w="0" w:type="auto"/>
            <w:tcMar>
              <w:top w:w="15" w:type="dxa"/>
              <w:left w:w="15" w:type="dxa"/>
              <w:bottom w:w="15" w:type="dxa"/>
              <w:right w:w="15" w:type="dxa"/>
            </w:tcMar>
            <w:vAlign w:val="center"/>
            <w:hideMark/>
          </w:tcPr>
          <w:p w14:paraId="14CE3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4541FD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FB8CC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5A364DF" w14:textId="77777777" w:rsidTr="00A639CC">
        <w:trPr>
          <w:tblCellSpacing w:w="15" w:type="dxa"/>
        </w:trPr>
        <w:tc>
          <w:tcPr>
            <w:tcW w:w="0" w:type="auto"/>
            <w:tcMar>
              <w:top w:w="15" w:type="dxa"/>
              <w:left w:w="15" w:type="dxa"/>
              <w:bottom w:w="15" w:type="dxa"/>
              <w:right w:w="15" w:type="dxa"/>
            </w:tcMar>
            <w:vAlign w:val="center"/>
            <w:hideMark/>
          </w:tcPr>
          <w:p w14:paraId="32E482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3819C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E54C8A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5FC470B" w14:textId="77777777" w:rsidTr="00A639CC">
        <w:trPr>
          <w:tblCellSpacing w:w="15" w:type="dxa"/>
        </w:trPr>
        <w:tc>
          <w:tcPr>
            <w:tcW w:w="0" w:type="auto"/>
            <w:tcMar>
              <w:top w:w="15" w:type="dxa"/>
              <w:left w:w="15" w:type="dxa"/>
              <w:bottom w:w="15" w:type="dxa"/>
              <w:right w:w="15" w:type="dxa"/>
            </w:tcMar>
            <w:vAlign w:val="center"/>
            <w:hideMark/>
          </w:tcPr>
          <w:p w14:paraId="5861988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332635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BDADA7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6A3E7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Site Roles</w:t>
      </w:r>
    </w:p>
    <w:tbl>
      <w:tblPr>
        <w:tblW w:w="0" w:type="auto"/>
        <w:tblCellSpacing w:w="15" w:type="dxa"/>
        <w:tblCellMar>
          <w:left w:w="0" w:type="dxa"/>
          <w:right w:w="0" w:type="dxa"/>
        </w:tblCellMar>
        <w:tblLook w:val="04A0" w:firstRow="1" w:lastRow="0" w:firstColumn="1" w:lastColumn="0" w:noHBand="0" w:noVBand="1"/>
      </w:tblPr>
      <w:tblGrid>
        <w:gridCol w:w="3274"/>
        <w:gridCol w:w="3099"/>
        <w:gridCol w:w="2170"/>
      </w:tblGrid>
      <w:tr w:rsidR="00A639CC" w:rsidRPr="00A639CC" w14:paraId="080C4E48" w14:textId="77777777" w:rsidTr="00A639CC">
        <w:trPr>
          <w:tblHeader/>
          <w:tblCellSpacing w:w="15" w:type="dxa"/>
        </w:trPr>
        <w:tc>
          <w:tcPr>
            <w:tcW w:w="0" w:type="auto"/>
            <w:tcMar>
              <w:top w:w="15" w:type="dxa"/>
              <w:left w:w="15" w:type="dxa"/>
              <w:bottom w:w="15" w:type="dxa"/>
              <w:right w:w="15" w:type="dxa"/>
            </w:tcMar>
            <w:vAlign w:val="center"/>
            <w:hideMark/>
          </w:tcPr>
          <w:p w14:paraId="78898345"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lastRenderedPageBreak/>
              <w:t>RoleType</w:t>
            </w:r>
          </w:p>
        </w:tc>
        <w:tc>
          <w:tcPr>
            <w:tcW w:w="0" w:type="auto"/>
            <w:tcMar>
              <w:top w:w="15" w:type="dxa"/>
              <w:left w:w="15" w:type="dxa"/>
              <w:bottom w:w="15" w:type="dxa"/>
              <w:right w:w="15" w:type="dxa"/>
            </w:tcMar>
            <w:vAlign w:val="center"/>
            <w:hideMark/>
          </w:tcPr>
          <w:p w14:paraId="4E7DF4C9"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124B3A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526A303C" w14:textId="77777777" w:rsidTr="00A639CC">
        <w:trPr>
          <w:tblCellSpacing w:w="15" w:type="dxa"/>
        </w:trPr>
        <w:tc>
          <w:tcPr>
            <w:tcW w:w="0" w:type="auto"/>
            <w:tcMar>
              <w:top w:w="15" w:type="dxa"/>
              <w:left w:w="15" w:type="dxa"/>
              <w:bottom w:w="15" w:type="dxa"/>
              <w:right w:w="15" w:type="dxa"/>
            </w:tcMar>
            <w:vAlign w:val="center"/>
            <w:hideMark/>
          </w:tcPr>
          <w:p w14:paraId="5B23E05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0A63698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2D4A2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985C9E" w14:textId="77777777" w:rsidTr="00A639CC">
        <w:trPr>
          <w:tblCellSpacing w:w="15" w:type="dxa"/>
        </w:trPr>
        <w:tc>
          <w:tcPr>
            <w:tcW w:w="0" w:type="auto"/>
            <w:tcMar>
              <w:top w:w="15" w:type="dxa"/>
              <w:left w:w="15" w:type="dxa"/>
              <w:bottom w:w="15" w:type="dxa"/>
              <w:right w:w="15" w:type="dxa"/>
            </w:tcMar>
            <w:vAlign w:val="center"/>
            <w:hideMark/>
          </w:tcPr>
          <w:p w14:paraId="4EC948A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1AF6481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537ED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9C8D9FF" w14:textId="77777777" w:rsidTr="00A639CC">
        <w:trPr>
          <w:tblCellSpacing w:w="15" w:type="dxa"/>
        </w:trPr>
        <w:tc>
          <w:tcPr>
            <w:tcW w:w="0" w:type="auto"/>
            <w:tcMar>
              <w:top w:w="15" w:type="dxa"/>
              <w:left w:w="15" w:type="dxa"/>
              <w:bottom w:w="15" w:type="dxa"/>
              <w:right w:w="15" w:type="dxa"/>
            </w:tcMar>
            <w:vAlign w:val="center"/>
            <w:hideMark/>
          </w:tcPr>
          <w:p w14:paraId="5926271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27B6636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1B10AC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511235B" w14:textId="77777777" w:rsidTr="00A639CC">
        <w:trPr>
          <w:tblCellSpacing w:w="15" w:type="dxa"/>
        </w:trPr>
        <w:tc>
          <w:tcPr>
            <w:tcW w:w="0" w:type="auto"/>
            <w:tcMar>
              <w:top w:w="15" w:type="dxa"/>
              <w:left w:w="15" w:type="dxa"/>
              <w:bottom w:w="15" w:type="dxa"/>
              <w:right w:w="15" w:type="dxa"/>
            </w:tcMar>
            <w:vAlign w:val="center"/>
            <w:hideMark/>
          </w:tcPr>
          <w:p w14:paraId="595FEA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4FA2A3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D5806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05ADAB8" w14:textId="77777777" w:rsidTr="00A639CC">
        <w:trPr>
          <w:tblCellSpacing w:w="15" w:type="dxa"/>
        </w:trPr>
        <w:tc>
          <w:tcPr>
            <w:tcW w:w="0" w:type="auto"/>
            <w:tcMar>
              <w:top w:w="15" w:type="dxa"/>
              <w:left w:w="15" w:type="dxa"/>
              <w:bottom w:w="15" w:type="dxa"/>
              <w:right w:w="15" w:type="dxa"/>
            </w:tcMar>
            <w:vAlign w:val="center"/>
            <w:hideMark/>
          </w:tcPr>
          <w:p w14:paraId="1D860E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AF2F0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4F75A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5A70C7C" w14:textId="77777777" w:rsidTr="00A639CC">
        <w:trPr>
          <w:tblCellSpacing w:w="15" w:type="dxa"/>
        </w:trPr>
        <w:tc>
          <w:tcPr>
            <w:tcW w:w="0" w:type="auto"/>
            <w:tcMar>
              <w:top w:w="15" w:type="dxa"/>
              <w:left w:w="15" w:type="dxa"/>
              <w:bottom w:w="15" w:type="dxa"/>
              <w:right w:w="15" w:type="dxa"/>
            </w:tcMar>
            <w:vAlign w:val="center"/>
            <w:hideMark/>
          </w:tcPr>
          <w:p w14:paraId="6885C7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F4F8A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9776D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D3DB849" w14:textId="77777777" w:rsidTr="00A639CC">
        <w:trPr>
          <w:tblCellSpacing w:w="15" w:type="dxa"/>
        </w:trPr>
        <w:tc>
          <w:tcPr>
            <w:tcW w:w="0" w:type="auto"/>
            <w:tcMar>
              <w:top w:w="15" w:type="dxa"/>
              <w:left w:w="15" w:type="dxa"/>
              <w:bottom w:w="15" w:type="dxa"/>
              <w:right w:w="15" w:type="dxa"/>
            </w:tcMar>
            <w:vAlign w:val="center"/>
            <w:hideMark/>
          </w:tcPr>
          <w:p w14:paraId="0496E1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2B64B0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0D16C8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3373E6C" w14:textId="77777777" w:rsidTr="00A639CC">
        <w:trPr>
          <w:tblCellSpacing w:w="15" w:type="dxa"/>
        </w:trPr>
        <w:tc>
          <w:tcPr>
            <w:tcW w:w="0" w:type="auto"/>
            <w:tcMar>
              <w:top w:w="15" w:type="dxa"/>
              <w:left w:w="15" w:type="dxa"/>
              <w:bottom w:w="15" w:type="dxa"/>
              <w:right w:w="15" w:type="dxa"/>
            </w:tcMar>
            <w:vAlign w:val="center"/>
            <w:hideMark/>
          </w:tcPr>
          <w:p w14:paraId="13D38D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5E0B9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936B7D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F32138F" w14:textId="77777777" w:rsidTr="00A639CC">
        <w:trPr>
          <w:tblCellSpacing w:w="15" w:type="dxa"/>
        </w:trPr>
        <w:tc>
          <w:tcPr>
            <w:tcW w:w="0" w:type="auto"/>
            <w:tcMar>
              <w:top w:w="15" w:type="dxa"/>
              <w:left w:w="15" w:type="dxa"/>
              <w:bottom w:w="15" w:type="dxa"/>
              <w:right w:w="15" w:type="dxa"/>
            </w:tcMar>
            <w:vAlign w:val="center"/>
            <w:hideMark/>
          </w:tcPr>
          <w:p w14:paraId="496279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1CD637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F6DB7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4BBDC7E" w14:textId="77777777" w:rsidTr="00A639CC">
        <w:trPr>
          <w:tblCellSpacing w:w="15" w:type="dxa"/>
        </w:trPr>
        <w:tc>
          <w:tcPr>
            <w:tcW w:w="0" w:type="auto"/>
            <w:tcMar>
              <w:top w:w="15" w:type="dxa"/>
              <w:left w:w="15" w:type="dxa"/>
              <w:bottom w:w="15" w:type="dxa"/>
              <w:right w:w="15" w:type="dxa"/>
            </w:tcMar>
            <w:vAlign w:val="center"/>
            <w:hideMark/>
          </w:tcPr>
          <w:p w14:paraId="4F2543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638BCA0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D183D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2923BEB" w14:textId="77777777" w:rsidTr="00A639CC">
        <w:trPr>
          <w:tblCellSpacing w:w="15" w:type="dxa"/>
        </w:trPr>
        <w:tc>
          <w:tcPr>
            <w:tcW w:w="0" w:type="auto"/>
            <w:tcMar>
              <w:top w:w="15" w:type="dxa"/>
              <w:left w:w="15" w:type="dxa"/>
              <w:bottom w:w="15" w:type="dxa"/>
              <w:right w:w="15" w:type="dxa"/>
            </w:tcMar>
            <w:vAlign w:val="center"/>
            <w:hideMark/>
          </w:tcPr>
          <w:p w14:paraId="6606C49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2CB171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67E3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9149FC" w14:textId="77777777" w:rsidTr="00A639CC">
        <w:trPr>
          <w:tblCellSpacing w:w="15" w:type="dxa"/>
        </w:trPr>
        <w:tc>
          <w:tcPr>
            <w:tcW w:w="0" w:type="auto"/>
            <w:tcMar>
              <w:top w:w="15" w:type="dxa"/>
              <w:left w:w="15" w:type="dxa"/>
              <w:bottom w:w="15" w:type="dxa"/>
              <w:right w:w="15" w:type="dxa"/>
            </w:tcMar>
            <w:vAlign w:val="center"/>
            <w:hideMark/>
          </w:tcPr>
          <w:p w14:paraId="1F1185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E2B40E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C64F8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A2CF294" w14:textId="77777777" w:rsidTr="00A639CC">
        <w:trPr>
          <w:tblCellSpacing w:w="15" w:type="dxa"/>
        </w:trPr>
        <w:tc>
          <w:tcPr>
            <w:tcW w:w="0" w:type="auto"/>
            <w:tcMar>
              <w:top w:w="15" w:type="dxa"/>
              <w:left w:w="15" w:type="dxa"/>
              <w:bottom w:w="15" w:type="dxa"/>
              <w:right w:w="15" w:type="dxa"/>
            </w:tcMar>
            <w:vAlign w:val="center"/>
            <w:hideMark/>
          </w:tcPr>
          <w:p w14:paraId="68D023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13EF1F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79FD7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0AAE60" w14:textId="77777777" w:rsidTr="00A639CC">
        <w:trPr>
          <w:tblCellSpacing w:w="15" w:type="dxa"/>
        </w:trPr>
        <w:tc>
          <w:tcPr>
            <w:tcW w:w="0" w:type="auto"/>
            <w:tcMar>
              <w:top w:w="15" w:type="dxa"/>
              <w:left w:w="15" w:type="dxa"/>
              <w:bottom w:w="15" w:type="dxa"/>
              <w:right w:w="15" w:type="dxa"/>
            </w:tcMar>
            <w:vAlign w:val="center"/>
            <w:hideMark/>
          </w:tcPr>
          <w:p w14:paraId="1962D5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F946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BBD16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514C89E" w14:textId="77777777" w:rsidTr="00A639CC">
        <w:trPr>
          <w:tblCellSpacing w:w="15" w:type="dxa"/>
        </w:trPr>
        <w:tc>
          <w:tcPr>
            <w:tcW w:w="0" w:type="auto"/>
            <w:tcMar>
              <w:top w:w="15" w:type="dxa"/>
              <w:left w:w="15" w:type="dxa"/>
              <w:bottom w:w="15" w:type="dxa"/>
              <w:right w:w="15" w:type="dxa"/>
            </w:tcMar>
            <w:vAlign w:val="center"/>
            <w:hideMark/>
          </w:tcPr>
          <w:p w14:paraId="54D063B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598EC20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4B5FF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B0F6CC" w14:textId="77777777" w:rsidTr="00A639CC">
        <w:trPr>
          <w:tblCellSpacing w:w="15" w:type="dxa"/>
        </w:trPr>
        <w:tc>
          <w:tcPr>
            <w:tcW w:w="0" w:type="auto"/>
            <w:tcMar>
              <w:top w:w="15" w:type="dxa"/>
              <w:left w:w="15" w:type="dxa"/>
              <w:bottom w:w="15" w:type="dxa"/>
              <w:right w:w="15" w:type="dxa"/>
            </w:tcMar>
            <w:vAlign w:val="center"/>
            <w:hideMark/>
          </w:tcPr>
          <w:p w14:paraId="696155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5612472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63FCD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3180558" w14:textId="77777777" w:rsidTr="00A639CC">
        <w:trPr>
          <w:tblCellSpacing w:w="15" w:type="dxa"/>
        </w:trPr>
        <w:tc>
          <w:tcPr>
            <w:tcW w:w="0" w:type="auto"/>
            <w:tcMar>
              <w:top w:w="15" w:type="dxa"/>
              <w:left w:w="15" w:type="dxa"/>
              <w:bottom w:w="15" w:type="dxa"/>
              <w:right w:w="15" w:type="dxa"/>
            </w:tcMar>
            <w:vAlign w:val="center"/>
            <w:hideMark/>
          </w:tcPr>
          <w:p w14:paraId="27F8C9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E6840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09083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C2ABB57" w14:textId="77777777" w:rsidTr="00A639CC">
        <w:trPr>
          <w:tblCellSpacing w:w="15" w:type="dxa"/>
        </w:trPr>
        <w:tc>
          <w:tcPr>
            <w:tcW w:w="0" w:type="auto"/>
            <w:tcMar>
              <w:top w:w="15" w:type="dxa"/>
              <w:left w:w="15" w:type="dxa"/>
              <w:bottom w:w="15" w:type="dxa"/>
              <w:right w:w="15" w:type="dxa"/>
            </w:tcMar>
            <w:vAlign w:val="center"/>
            <w:hideMark/>
          </w:tcPr>
          <w:p w14:paraId="5B91F3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9275EF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467330F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DC3DC78" w14:textId="77777777" w:rsidTr="00A639CC">
        <w:trPr>
          <w:tblCellSpacing w:w="15" w:type="dxa"/>
        </w:trPr>
        <w:tc>
          <w:tcPr>
            <w:tcW w:w="0" w:type="auto"/>
            <w:tcMar>
              <w:top w:w="15" w:type="dxa"/>
              <w:left w:w="15" w:type="dxa"/>
              <w:bottom w:w="15" w:type="dxa"/>
              <w:right w:w="15" w:type="dxa"/>
            </w:tcMar>
            <w:vAlign w:val="center"/>
            <w:hideMark/>
          </w:tcPr>
          <w:p w14:paraId="1E61CE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293238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06A7C8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C0351C" w14:textId="77777777" w:rsidTr="00A639CC">
        <w:trPr>
          <w:tblCellSpacing w:w="15" w:type="dxa"/>
        </w:trPr>
        <w:tc>
          <w:tcPr>
            <w:tcW w:w="0" w:type="auto"/>
            <w:tcMar>
              <w:top w:w="15" w:type="dxa"/>
              <w:left w:w="15" w:type="dxa"/>
              <w:bottom w:w="15" w:type="dxa"/>
              <w:right w:w="15" w:type="dxa"/>
            </w:tcMar>
            <w:vAlign w:val="center"/>
            <w:hideMark/>
          </w:tcPr>
          <w:p w14:paraId="0DEDDF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7994DD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F100C9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03838F5" w14:textId="77777777" w:rsidTr="00A639CC">
        <w:trPr>
          <w:tblCellSpacing w:w="15" w:type="dxa"/>
        </w:trPr>
        <w:tc>
          <w:tcPr>
            <w:tcW w:w="0" w:type="auto"/>
            <w:tcMar>
              <w:top w:w="15" w:type="dxa"/>
              <w:left w:w="15" w:type="dxa"/>
              <w:bottom w:w="15" w:type="dxa"/>
              <w:right w:w="15" w:type="dxa"/>
            </w:tcMar>
            <w:vAlign w:val="center"/>
            <w:hideMark/>
          </w:tcPr>
          <w:p w14:paraId="39C219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6654B6D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AF83C9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0BB86167" w14:textId="77777777" w:rsidR="00A639CC" w:rsidRPr="00A639CC" w:rsidRDefault="00A639CC" w:rsidP="00A639CC">
      <w:pPr>
        <w:rPr>
          <w:rFonts w:asciiTheme="minorHAnsi" w:hAnsiTheme="minorHAnsi"/>
        </w:rPr>
      </w:pPr>
    </w:p>
    <w:p w14:paraId="77A4DE04" w14:textId="77777777" w:rsidR="0061075F" w:rsidRDefault="0061075F"/>
    <w:p w14:paraId="0AE643A1" w14:textId="77777777" w:rsidR="0061075F" w:rsidRDefault="0061075F"/>
    <w:p w14:paraId="3EBD3AD9" w14:textId="77777777" w:rsidR="00054EFF" w:rsidRDefault="00054EFF">
      <w:bookmarkStart w:id="28" w:name="__UnoMark__6693_10336534681111"/>
      <w:bookmarkStart w:id="29" w:name="__UnoMark__6694_10336534681111"/>
      <w:bookmarkStart w:id="30" w:name="__UnoMark__473_66132523411"/>
      <w:bookmarkStart w:id="31" w:name="__UnoMark__476_66132523411"/>
      <w:bookmarkStart w:id="32" w:name="__UnoMark__6695_10336534681111"/>
      <w:bookmarkStart w:id="33" w:name="__UnoMark__6696_10336534681111"/>
      <w:bookmarkStart w:id="34" w:name="__UnoMark__477_66132523411"/>
      <w:bookmarkStart w:id="35" w:name="__UnoMark__480_66132523411"/>
      <w:bookmarkStart w:id="36" w:name="__UnoMark__6697_10336534681111"/>
      <w:bookmarkStart w:id="37" w:name="__UnoMark__6698_10336534681111"/>
      <w:bookmarkStart w:id="38" w:name="__UnoMark__481_66132523411"/>
      <w:bookmarkStart w:id="39" w:name="__UnoMark__484_66132523411"/>
      <w:bookmarkEnd w:id="28"/>
      <w:bookmarkEnd w:id="29"/>
      <w:bookmarkEnd w:id="30"/>
      <w:bookmarkEnd w:id="31"/>
      <w:bookmarkEnd w:id="32"/>
      <w:bookmarkEnd w:id="33"/>
      <w:bookmarkEnd w:id="34"/>
      <w:bookmarkEnd w:id="35"/>
      <w:bookmarkEnd w:id="36"/>
      <w:bookmarkEnd w:id="37"/>
      <w:bookmarkEnd w:id="38"/>
      <w:bookmarkEnd w:id="39"/>
    </w:p>
    <w:sectPr w:rsidR="00054EFF">
      <w:headerReference w:type="even" r:id="rId20"/>
      <w:headerReference w:type="default" r:id="rId21"/>
      <w:footerReference w:type="even" r:id="rId22"/>
      <w:footerReference w:type="default" r:id="rId23"/>
      <w:headerReference w:type="first" r:id="rId24"/>
      <w:footerReference w:type="first" r:id="rId25"/>
      <w:pgSz w:w="11906" w:h="16838"/>
      <w:pgMar w:top="1985" w:right="1440" w:bottom="1440" w:left="1440" w:header="993" w:footer="844" w:gutter="0"/>
      <w:cols w:space="708"/>
      <w:titlePg/>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89814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1142E" w14:textId="77777777" w:rsidR="005E779F" w:rsidRDefault="005E779F">
      <w:pPr>
        <w:spacing w:after="0" w:line="240" w:lineRule="auto"/>
      </w:pPr>
      <w:r>
        <w:separator/>
      </w:r>
    </w:p>
  </w:endnote>
  <w:endnote w:type="continuationSeparator" w:id="0">
    <w:p w14:paraId="4D98BD64" w14:textId="77777777" w:rsidR="005E779F" w:rsidRDefault="005E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OpenSymbol">
    <w:altName w:val="Arial Unicode MS"/>
    <w:charset w:val="02"/>
    <w:family w:val="auto"/>
    <w:pitch w:val="default"/>
  </w:font>
  <w:font w:name="ZYSong18030">
    <w:charset w:val="01"/>
    <w:family w:val="auto"/>
    <w:pitch w:val="variable"/>
  </w:font>
  <w:font w:name="font302">
    <w:altName w:val="Times New Roman"/>
    <w:charset w:val="01"/>
    <w:family w:val="auto"/>
    <w:pitch w:val="variable"/>
  </w:font>
  <w:font w:name="Cambria">
    <w:panose1 w:val="020405030504060302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Lohit Devanagari">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65CC9" w14:textId="77777777" w:rsidR="005E779F" w:rsidRDefault="005E779F">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5E779F" w14:paraId="4F9B783F" w14:textId="77777777">
      <w:trPr>
        <w:trHeight w:val="857"/>
      </w:trPr>
      <w:tc>
        <w:tcPr>
          <w:tcW w:w="3060" w:type="dxa"/>
          <w:tcBorders>
            <w:top w:val="single" w:sz="4" w:space="0" w:color="000000"/>
          </w:tcBorders>
          <w:shd w:val="clear" w:color="auto" w:fill="FFFFFF"/>
          <w:vAlign w:val="bottom"/>
        </w:tcPr>
        <w:p w14:paraId="4C0242FE" w14:textId="77777777" w:rsidR="005E779F" w:rsidRDefault="005E779F">
          <w:pPr>
            <w:pStyle w:val="Header"/>
            <w:jc w:val="left"/>
          </w:pPr>
          <w:r>
            <w:rPr>
              <w:noProof/>
              <w:lang w:val="en-US"/>
            </w:rPr>
            <w:drawing>
              <wp:inline distT="0" distB="0" distL="0" distR="0" wp14:anchorId="631FB643" wp14:editId="52A009AC">
                <wp:extent cx="762000" cy="428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5E779F" w:rsidRDefault="005E779F">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5E779F" w:rsidRDefault="005E779F">
          <w:pPr>
            <w:pStyle w:val="Header"/>
            <w:jc w:val="right"/>
          </w:pPr>
          <w:r>
            <w:rPr>
              <w:noProof/>
              <w:lang w:val="en-US"/>
            </w:rPr>
            <w:drawing>
              <wp:inline distT="0" distB="0" distL="0" distR="0" wp14:anchorId="609FE373" wp14:editId="70E5960E">
                <wp:extent cx="542925" cy="3619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5E779F" w:rsidRDefault="005E779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239"/>
      <w:gridCol w:w="7999"/>
    </w:tblGrid>
    <w:tr w:rsidR="005E779F" w14:paraId="5D8B2D49" w14:textId="77777777">
      <w:tc>
        <w:tcPr>
          <w:tcW w:w="1239" w:type="dxa"/>
          <w:shd w:val="clear" w:color="auto" w:fill="FFFFFF"/>
          <w:vAlign w:val="center"/>
        </w:tcPr>
        <w:p w14:paraId="6FAA5BEA" w14:textId="77777777" w:rsidR="005E779F" w:rsidRDefault="005E779F">
          <w:pPr>
            <w:pStyle w:val="Footer"/>
            <w:jc w:val="center"/>
            <w:rPr>
              <w:sz w:val="20"/>
            </w:rPr>
          </w:pPr>
          <w:r>
            <w:rPr>
              <w:noProof/>
              <w:lang w:val="en-US"/>
            </w:rPr>
            <w:drawing>
              <wp:inline distT="0" distB="0" distL="0" distR="0" wp14:anchorId="32BA8AC7" wp14:editId="396AB927">
                <wp:extent cx="647700" cy="428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5E779F" w:rsidRDefault="005E779F">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5E779F" w:rsidRDefault="005E779F">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5E779F" w:rsidRDefault="005E779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6327" w14:textId="77777777" w:rsidR="005E779F" w:rsidRDefault="005E779F"/>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D657" w14:textId="77777777" w:rsidR="005E779F" w:rsidRDefault="005E779F">
    <w:pPr>
      <w:pStyle w:val="NoSpacing"/>
    </w:pPr>
  </w:p>
  <w:tbl>
    <w:tblPr>
      <w:tblW w:w="0" w:type="auto"/>
      <w:tblInd w:w="216" w:type="dxa"/>
      <w:tblLayout w:type="fixed"/>
      <w:tblLook w:val="0000" w:firstRow="0" w:lastRow="0" w:firstColumn="0" w:lastColumn="0" w:noHBand="0" w:noVBand="0"/>
    </w:tblPr>
    <w:tblGrid>
      <w:gridCol w:w="3060"/>
    </w:tblGrid>
    <w:tr w:rsidR="005E779F"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5E779F" w14:paraId="7443C1B4" w14:textId="77777777">
            <w:trPr>
              <w:trHeight w:val="857"/>
            </w:trPr>
            <w:tc>
              <w:tcPr>
                <w:tcW w:w="3060" w:type="dxa"/>
                <w:tcBorders>
                  <w:top w:val="single" w:sz="4" w:space="0" w:color="000000"/>
                </w:tcBorders>
                <w:shd w:val="clear" w:color="auto" w:fill="FFFFFF"/>
                <w:vAlign w:val="bottom"/>
              </w:tcPr>
              <w:p w14:paraId="7A008066" w14:textId="77777777" w:rsidR="005E779F" w:rsidRDefault="005E779F">
                <w:pPr>
                  <w:pStyle w:val="Header"/>
                  <w:jc w:val="left"/>
                </w:pPr>
                <w:r>
                  <w:rPr>
                    <w:noProof/>
                    <w:lang w:val="en-US"/>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5E779F" w:rsidRDefault="005E779F">
                <w:pPr>
                  <w:pStyle w:val="Header"/>
                  <w:jc w:val="center"/>
                </w:pPr>
                <w:r>
                  <w:fldChar w:fldCharType="begin"/>
                </w:r>
                <w:r>
                  <w:instrText xml:space="preserve"> PAGE </w:instrText>
                </w:r>
                <w:r>
                  <w:fldChar w:fldCharType="separate"/>
                </w:r>
                <w:r w:rsidR="00462704">
                  <w:rPr>
                    <w:noProof/>
                  </w:rPr>
                  <w:t>4</w:t>
                </w:r>
                <w:r>
                  <w:fldChar w:fldCharType="end"/>
                </w:r>
              </w:p>
            </w:tc>
            <w:tc>
              <w:tcPr>
                <w:tcW w:w="3061" w:type="dxa"/>
                <w:tcBorders>
                  <w:top w:val="single" w:sz="4" w:space="0" w:color="000000"/>
                </w:tcBorders>
                <w:shd w:val="clear" w:color="auto" w:fill="FFFFFF"/>
                <w:vAlign w:val="bottom"/>
              </w:tcPr>
              <w:p w14:paraId="4E46269A" w14:textId="77777777" w:rsidR="005E779F" w:rsidRDefault="005E779F">
                <w:pPr>
                  <w:pStyle w:val="Header"/>
                  <w:jc w:val="right"/>
                </w:pPr>
                <w:r>
                  <w:rPr>
                    <w:noProof/>
                    <w:lang w:val="en-US"/>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5E779F" w:rsidRDefault="005E779F">
          <w:pPr>
            <w:pStyle w:val="NoSpacing"/>
          </w:pPr>
        </w:p>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gridCol w:w="3060"/>
      <w:gridCol w:w="3061"/>
    </w:tblGrid>
    <w:tr w:rsidR="005E779F" w14:paraId="3673BB42" w14:textId="77777777">
      <w:trPr>
        <w:trHeight w:val="857"/>
      </w:trPr>
      <w:tc>
        <w:tcPr>
          <w:tcW w:w="3060" w:type="dxa"/>
          <w:tcBorders>
            <w:top w:val="single" w:sz="4" w:space="0" w:color="000000"/>
          </w:tcBorders>
          <w:shd w:val="clear" w:color="auto" w:fill="FFFFFF"/>
          <w:vAlign w:val="bottom"/>
        </w:tcPr>
        <w:p w14:paraId="1007A325" w14:textId="77777777" w:rsidR="005E779F" w:rsidRDefault="005E779F">
          <w:pPr>
            <w:pStyle w:val="NoSpacing"/>
          </w:pPr>
        </w:p>
        <w:p w14:paraId="100A8B5A" w14:textId="77777777" w:rsidR="005E779F" w:rsidRDefault="005E779F">
          <w:pPr>
            <w:pStyle w:val="Header"/>
            <w:jc w:val="left"/>
          </w:pPr>
          <w:r>
            <w:rPr>
              <w:noProof/>
              <w:lang w:val="en-US"/>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5E779F" w:rsidRDefault="005E779F">
          <w:pPr>
            <w:pStyle w:val="Header"/>
            <w:jc w:val="center"/>
          </w:pPr>
          <w:r>
            <w:fldChar w:fldCharType="begin"/>
          </w:r>
          <w:r>
            <w:instrText xml:space="preserve"> PAGE </w:instrText>
          </w:r>
          <w:r>
            <w:fldChar w:fldCharType="separate"/>
          </w:r>
          <w:r w:rsidR="00462704">
            <w:rPr>
              <w:noProof/>
            </w:rPr>
            <w:t>2</w:t>
          </w:r>
          <w:r>
            <w:fldChar w:fldCharType="end"/>
          </w:r>
        </w:p>
      </w:tc>
      <w:tc>
        <w:tcPr>
          <w:tcW w:w="3061" w:type="dxa"/>
          <w:tcBorders>
            <w:top w:val="single" w:sz="4" w:space="0" w:color="000000"/>
          </w:tcBorders>
          <w:shd w:val="clear" w:color="auto" w:fill="FFFFFF"/>
          <w:vAlign w:val="bottom"/>
        </w:tcPr>
        <w:p w14:paraId="6B18EE1D" w14:textId="77777777" w:rsidR="005E779F" w:rsidRDefault="005E779F">
          <w:pPr>
            <w:pStyle w:val="Header"/>
            <w:jc w:val="right"/>
          </w:pPr>
          <w:r>
            <w:rPr>
              <w:noProof/>
              <w:lang w:val="en-US"/>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5E779F" w:rsidRDefault="005E779F">
    <w:pPr>
      <w:pStyle w:val="No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05B87" w14:textId="77777777" w:rsidR="005E779F" w:rsidRDefault="005E779F">
      <w:pPr>
        <w:spacing w:after="0" w:line="240" w:lineRule="auto"/>
      </w:pPr>
      <w:r>
        <w:separator/>
      </w:r>
    </w:p>
  </w:footnote>
  <w:footnote w:type="continuationSeparator" w:id="0">
    <w:p w14:paraId="7DAC5952" w14:textId="77777777" w:rsidR="005E779F" w:rsidRDefault="005E779F">
      <w:pPr>
        <w:spacing w:after="0" w:line="240" w:lineRule="auto"/>
      </w:pPr>
      <w:r>
        <w:continuationSeparator/>
      </w:r>
    </w:p>
  </w:footnote>
  <w:footnote w:id="1">
    <w:p w14:paraId="24C17DC8" w14:textId="77777777" w:rsidR="005E779F" w:rsidRDefault="005E779F"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5E779F" w:rsidRDefault="005E779F"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5E779F" w:rsidRDefault="005E779F"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5E779F" w:rsidRDefault="005E779F"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5E779F" w:rsidRDefault="005E779F"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469B3CAC" w:rsidR="005E779F" w:rsidRDefault="005E779F"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5E779F" w:rsidRDefault="005E779F"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5E779F" w:rsidRDefault="005E779F"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5E779F" w:rsidRDefault="005E779F"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5E779F" w:rsidRPr="0058190B" w:rsidRDefault="005E779F">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15383AB" w14:textId="77777777" w:rsidR="00C9780E" w:rsidRPr="0058190B" w:rsidRDefault="00C9780E" w:rsidP="00C9780E">
      <w:pPr>
        <w:pStyle w:val="FootnoteText"/>
        <w:rPr>
          <w:lang w:val="en-US"/>
        </w:rPr>
      </w:pPr>
      <w:r>
        <w:rPr>
          <w:rStyle w:val="FootnoteReference"/>
        </w:rPr>
        <w:footnoteRef/>
      </w:r>
      <w:r>
        <w:t xml:space="preserve"> OpenStack, </w:t>
      </w:r>
      <w:r>
        <w:rPr>
          <w:lang w:val="en-US"/>
        </w:rPr>
        <w:t>OpenNebula and Synnefo are those cloud management frameworks for which integration components already exists. Integrator components can be developed for additional cloud system if needed.</w:t>
      </w:r>
    </w:p>
  </w:footnote>
  <w:footnote w:id="12">
    <w:p w14:paraId="7BEEF6F5" w14:textId="77777777" w:rsidR="00C9780E" w:rsidRPr="00090A63" w:rsidRDefault="00C9780E" w:rsidP="00C9780E">
      <w:pPr>
        <w:pStyle w:val="FootnoteText"/>
        <w:rPr>
          <w:lang w:val="es-ES"/>
        </w:rPr>
      </w:pPr>
      <w:r>
        <w:rPr>
          <w:rStyle w:val="FootnoteReference"/>
        </w:rPr>
        <w:footnoteRef/>
      </w:r>
      <w:r>
        <w:t xml:space="preserve"> </w:t>
      </w:r>
      <w:r w:rsidRPr="00090A63">
        <w:t>https://wiki.egi.eu/wiki/MAN10</w:t>
      </w:r>
    </w:p>
  </w:footnote>
  <w:footnote w:id="13">
    <w:p w14:paraId="19850BEB" w14:textId="77777777" w:rsidR="00C9780E" w:rsidRPr="003754A8" w:rsidRDefault="00C9780E" w:rsidP="00C9780E">
      <w:pPr>
        <w:pStyle w:val="FootnoteText"/>
        <w:rPr>
          <w:lang w:val="es-ES"/>
        </w:rPr>
      </w:pPr>
      <w:r>
        <w:rPr>
          <w:rStyle w:val="FootnoteReference"/>
        </w:rPr>
        <w:footnoteRef/>
      </w:r>
      <w:r w:rsidRPr="00FA2573">
        <w:rPr>
          <w:lang w:val="es-ES"/>
        </w:rPr>
        <w:t xml:space="preserve"> https://wiki.egi.eu/wiki/PROC09_Resource_Centre_Registration_and_Certification</w:t>
      </w:r>
    </w:p>
  </w:footnote>
  <w:footnote w:id="14">
    <w:p w14:paraId="2026FF94" w14:textId="77777777" w:rsidR="00C9780E" w:rsidRPr="00BE73EF" w:rsidRDefault="00C9780E" w:rsidP="00C9780E">
      <w:pPr>
        <w:pStyle w:val="FootnoteText"/>
        <w:rPr>
          <w:lang w:val="es-ES"/>
        </w:rPr>
      </w:pPr>
      <w:r>
        <w:rPr>
          <w:rStyle w:val="FootnoteReference"/>
        </w:rPr>
        <w:footnoteRef/>
      </w:r>
      <w:r w:rsidRPr="00530A7D">
        <w:rPr>
          <w:lang w:val="es-ES"/>
        </w:rPr>
        <w:t xml:space="preserve"> https://wiki.egi.eu/wiki/MAN10#Integrating_OpenStack</w:t>
      </w:r>
    </w:p>
  </w:footnote>
  <w:footnote w:id="15">
    <w:p w14:paraId="13279601" w14:textId="77777777" w:rsidR="00C9780E" w:rsidRPr="00BE73EF" w:rsidRDefault="00C9780E" w:rsidP="00C9780E">
      <w:pPr>
        <w:pStyle w:val="FootnoteText"/>
        <w:rPr>
          <w:lang w:val="es-ES"/>
        </w:rPr>
      </w:pPr>
      <w:r>
        <w:rPr>
          <w:rStyle w:val="FootnoteReference"/>
        </w:rPr>
        <w:footnoteRef/>
      </w:r>
      <w:r w:rsidRPr="00530A7D">
        <w:rPr>
          <w:lang w:val="es-ES"/>
        </w:rPr>
        <w:t xml:space="preserve"> https://wiki.egi.eu/wiki/MAN10#Integrating_OpenNebula</w:t>
      </w:r>
    </w:p>
  </w:footnote>
  <w:footnote w:id="16">
    <w:p w14:paraId="70B2518B" w14:textId="77777777" w:rsidR="00C9780E" w:rsidRPr="004B5A11" w:rsidRDefault="00C9780E" w:rsidP="00C9780E">
      <w:pPr>
        <w:pStyle w:val="FootnoteText"/>
        <w:rPr>
          <w:lang w:val="es-ES"/>
        </w:rPr>
      </w:pPr>
      <w:r>
        <w:rPr>
          <w:rStyle w:val="FootnoteReference"/>
        </w:rPr>
        <w:footnoteRef/>
      </w:r>
      <w:r w:rsidRPr="00530A7D">
        <w:rPr>
          <w:lang w:val="es-ES"/>
        </w:rPr>
        <w:t xml:space="preserve"> https://perun.metacentrum.cz/</w:t>
      </w:r>
    </w:p>
  </w:footnote>
  <w:footnote w:id="17">
    <w:p w14:paraId="03EF2FA5" w14:textId="77777777" w:rsidR="00C9780E" w:rsidRPr="00530A7D" w:rsidRDefault="00C9780E" w:rsidP="00C9780E">
      <w:pPr>
        <w:pStyle w:val="FootnoteText"/>
        <w:rPr>
          <w:lang w:val="es-ES"/>
        </w:rPr>
      </w:pPr>
      <w:r>
        <w:rPr>
          <w:rStyle w:val="FootnoteReference"/>
        </w:rPr>
        <w:footnoteRef/>
      </w:r>
      <w:r w:rsidRPr="00530A7D">
        <w:rPr>
          <w:lang w:val="es-ES"/>
        </w:rPr>
        <w:t xml:space="preserve"> https://www.synnefo.org</w:t>
      </w:r>
    </w:p>
  </w:footnote>
  <w:footnote w:id="18">
    <w:p w14:paraId="0A038105" w14:textId="77777777" w:rsidR="00C9780E" w:rsidRPr="00530A7D" w:rsidRDefault="00C9780E" w:rsidP="00C9780E">
      <w:pPr>
        <w:pStyle w:val="FootnoteText"/>
        <w:rPr>
          <w:lang w:val="es-ES"/>
        </w:rPr>
      </w:pPr>
      <w:r>
        <w:rPr>
          <w:rStyle w:val="FootnoteReference"/>
        </w:rPr>
        <w:footnoteRef/>
      </w:r>
      <w:r w:rsidRPr="00530A7D">
        <w:rPr>
          <w:lang w:val="es-ES"/>
        </w:rPr>
        <w:t xml:space="preserve"> </w:t>
      </w:r>
      <w:hyperlink r:id="rId10" w:history="1">
        <w:r w:rsidRPr="00530A7D">
          <w:rPr>
            <w:rStyle w:val="Hyperlink"/>
            <w:lang w:val="es-ES"/>
          </w:rPr>
          <w:t>https://github.com/grnet/snf-occi</w:t>
        </w:r>
      </w:hyperlink>
      <w:r w:rsidRPr="00530A7D">
        <w:rPr>
          <w:lang w:val="es-ES"/>
        </w:rPr>
        <w:t xml:space="preserve"> </w:t>
      </w:r>
    </w:p>
  </w:footnote>
  <w:footnote w:id="19">
    <w:p w14:paraId="43795982" w14:textId="77777777" w:rsidR="00C9780E" w:rsidRPr="00530A7D" w:rsidRDefault="00C9780E" w:rsidP="00C9780E">
      <w:pPr>
        <w:pStyle w:val="FootnoteText"/>
        <w:rPr>
          <w:lang w:val="es-ES"/>
        </w:rPr>
      </w:pPr>
      <w:r>
        <w:rPr>
          <w:rStyle w:val="FootnoteReference"/>
        </w:rPr>
        <w:footnoteRef/>
      </w:r>
      <w:r w:rsidRPr="00530A7D">
        <w:rPr>
          <w:lang w:val="es-ES"/>
        </w:rPr>
        <w:t xml:space="preserve"> </w:t>
      </w:r>
    </w:p>
  </w:footnote>
  <w:footnote w:id="20">
    <w:p w14:paraId="216BAF03" w14:textId="77777777" w:rsidR="00C9780E" w:rsidRPr="00530A7D" w:rsidRDefault="00C9780E" w:rsidP="00C9780E">
      <w:pPr>
        <w:pStyle w:val="FootnoteText"/>
        <w:rPr>
          <w:lang w:val="es-ES"/>
        </w:rPr>
      </w:pPr>
      <w:r>
        <w:rPr>
          <w:rStyle w:val="FootnoteReference"/>
        </w:rPr>
        <w:footnoteRef/>
      </w:r>
      <w:r w:rsidRPr="00530A7D">
        <w:rPr>
          <w:lang w:val="es-ES"/>
        </w:rPr>
        <w:t xml:space="preserve"> </w:t>
      </w:r>
      <w:hyperlink r:id="rId11" w:history="1">
        <w:r w:rsidRPr="00530A7D">
          <w:rPr>
            <w:rStyle w:val="Hyperlink"/>
            <w:lang w:val="es-ES"/>
          </w:rPr>
          <w:t>https://github.com/grnet/snf-cdmi</w:t>
        </w:r>
      </w:hyperlink>
      <w:r w:rsidRPr="00530A7D">
        <w:rPr>
          <w:lang w:val="es-ES"/>
        </w:rPr>
        <w:t xml:space="preserve"> </w:t>
      </w:r>
    </w:p>
  </w:footnote>
  <w:footnote w:id="21">
    <w:p w14:paraId="3B25D750" w14:textId="77777777" w:rsidR="00C9780E" w:rsidRPr="00530A7D" w:rsidRDefault="00C9780E" w:rsidP="00C9780E">
      <w:pPr>
        <w:pStyle w:val="FootnoteText"/>
        <w:rPr>
          <w:lang w:val="es-ES"/>
        </w:rPr>
      </w:pPr>
      <w:r>
        <w:rPr>
          <w:rStyle w:val="FootnoteReference"/>
        </w:rPr>
        <w:footnoteRef/>
      </w:r>
      <w:r w:rsidRPr="00530A7D">
        <w:rPr>
          <w:lang w:val="es-ES"/>
        </w:rPr>
        <w:t xml:space="preserve"> </w:t>
      </w:r>
      <w:hyperlink r:id="rId12" w:history="1">
        <w:r w:rsidRPr="00530A7D">
          <w:rPr>
            <w:rStyle w:val="Hyperlink"/>
            <w:lang w:val="es-ES"/>
          </w:rPr>
          <w:t>https://github.com/grnet/snf-ssm</w:t>
        </w:r>
      </w:hyperlink>
      <w:r w:rsidRPr="00530A7D">
        <w:rPr>
          <w:lang w:val="es-ES"/>
        </w:rPr>
        <w:t xml:space="preserve"> </w:t>
      </w:r>
    </w:p>
  </w:footnote>
  <w:footnote w:id="22">
    <w:p w14:paraId="35C1EE02" w14:textId="77777777" w:rsidR="00C9780E" w:rsidRPr="00530A7D" w:rsidRDefault="00C9780E" w:rsidP="00C9780E">
      <w:pPr>
        <w:pStyle w:val="FootnoteText"/>
        <w:rPr>
          <w:lang w:val="es-ES"/>
        </w:rPr>
      </w:pPr>
      <w:r>
        <w:rPr>
          <w:rStyle w:val="FootnoteReference"/>
        </w:rPr>
        <w:footnoteRef/>
      </w:r>
      <w:r w:rsidRPr="00530A7D">
        <w:rPr>
          <w:lang w:val="es-ES"/>
        </w:rPr>
        <w:t xml:space="preserve"> https://github.com/grnet/snf-vmcatcher</w:t>
      </w:r>
    </w:p>
  </w:footnote>
  <w:footnote w:id="23">
    <w:p w14:paraId="5771FBB1" w14:textId="77777777" w:rsidR="005E779F" w:rsidRPr="007212E9" w:rsidRDefault="005E779F"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3"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24">
    <w:p w14:paraId="373F9314" w14:textId="5241291B" w:rsidR="005E779F" w:rsidRPr="00376C43" w:rsidRDefault="005E779F">
      <w:pPr>
        <w:pStyle w:val="FootnoteText"/>
        <w:rPr>
          <w:lang w:val="en-US"/>
        </w:rPr>
      </w:pPr>
      <w:r>
        <w:rPr>
          <w:rStyle w:val="FootnoteReference"/>
        </w:rPr>
        <w:footnoteRef/>
      </w:r>
      <w:r>
        <w:t xml:space="preserve"> The required attributes are eduPersonalUniqueId and the username-based eduPersonPrincipalName user identifier (scoped at </w:t>
      </w:r>
      <w:hyperlink r:id="rId14" w:history="1">
        <w:r>
          <w:rPr>
            <w:rStyle w:val="Hyperlink"/>
          </w:rPr>
          <w:t>elixir-europe.org</w:t>
        </w:r>
      </w:hyperlink>
      <w:r>
        <w:t xml:space="preserve"> in case of ELIXIR).</w:t>
      </w:r>
    </w:p>
  </w:footnote>
  <w:footnote w:id="25">
    <w:p w14:paraId="48E49F1D" w14:textId="48A32686" w:rsidR="005E779F" w:rsidRPr="00DD4B00" w:rsidRDefault="005E779F">
      <w:pPr>
        <w:pStyle w:val="FootnoteText"/>
        <w:rPr>
          <w:lang w:val="en-US"/>
        </w:rPr>
      </w:pPr>
      <w:r>
        <w:rPr>
          <w:rStyle w:val="FootnoteReference"/>
        </w:rPr>
        <w:footnoteRef/>
      </w:r>
      <w:r>
        <w:t xml:space="preserve"> </w:t>
      </w:r>
      <w:r>
        <w:rPr>
          <w:lang w:val="en-US"/>
        </w:rPr>
        <w:t xml:space="preserve">LoA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26">
    <w:p w14:paraId="6B219F30" w14:textId="77777777" w:rsidR="005E779F" w:rsidRPr="00914076" w:rsidRDefault="005E779F" w:rsidP="00914076">
      <w:pPr>
        <w:pStyle w:val="FootnoteText"/>
        <w:rPr>
          <w:lang w:val="es-ES"/>
        </w:rPr>
      </w:pPr>
      <w:r>
        <w:rPr>
          <w:rStyle w:val="FootnoteReference"/>
        </w:rPr>
        <w:footnoteRef/>
      </w:r>
      <w:r>
        <w:t xml:space="preserve"> </w:t>
      </w:r>
      <w:hyperlink r:id="rId15" w:history="1">
        <w:r w:rsidRPr="00C876DD">
          <w:rPr>
            <w:rStyle w:val="Hyperlink"/>
          </w:rPr>
          <w:t>http://docs.openstack.org/developer/keystone/federation/federated_identity.html</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788F" w14:textId="77777777" w:rsidR="005E779F" w:rsidRDefault="005E779F"/>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31CB" w14:textId="77777777" w:rsidR="005E779F" w:rsidRDefault="005E779F"/>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tblGrid>
    <w:tr w:rsidR="005E779F" w14:paraId="3D12E6D2" w14:textId="77777777">
      <w:trPr>
        <w:trHeight w:val="857"/>
      </w:trPr>
      <w:tc>
        <w:tcPr>
          <w:tcW w:w="3060" w:type="dxa"/>
          <w:tcBorders>
            <w:top w:val="single" w:sz="4" w:space="0" w:color="000000"/>
          </w:tcBorders>
          <w:shd w:val="clear" w:color="auto" w:fill="FFFFFF"/>
          <w:vAlign w:val="bottom"/>
        </w:tcPr>
        <w:p w14:paraId="74F383C4" w14:textId="77777777" w:rsidR="005E779F" w:rsidRDefault="005E779F"/>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6E53C7"/>
    <w:multiLevelType w:val="hybridMultilevel"/>
    <w:tmpl w:val="416A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2B752D"/>
    <w:multiLevelType w:val="hybridMultilevel"/>
    <w:tmpl w:val="0C4A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02D5B56"/>
    <w:multiLevelType w:val="hybridMultilevel"/>
    <w:tmpl w:val="7472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AF1659"/>
    <w:multiLevelType w:val="hybridMultilevel"/>
    <w:tmpl w:val="25302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CB4A69"/>
    <w:multiLevelType w:val="hybridMultilevel"/>
    <w:tmpl w:val="CEAE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B12729"/>
    <w:multiLevelType w:val="hybridMultilevel"/>
    <w:tmpl w:val="EF3A0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96214A"/>
    <w:multiLevelType w:val="hybridMultilevel"/>
    <w:tmpl w:val="7E1EBB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6AE05C3F"/>
    <w:multiLevelType w:val="hybridMultilevel"/>
    <w:tmpl w:val="637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B53C48"/>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71355850"/>
    <w:multiLevelType w:val="hybridMultilevel"/>
    <w:tmpl w:val="971C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965DDB"/>
    <w:multiLevelType w:val="hybridMultilevel"/>
    <w:tmpl w:val="D37E2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C3C5F09"/>
    <w:multiLevelType w:val="hybridMultilevel"/>
    <w:tmpl w:val="DB165D7A"/>
    <w:lvl w:ilvl="0" w:tplc="9F9C8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851B98"/>
    <w:multiLevelType w:val="hybridMultilevel"/>
    <w:tmpl w:val="751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2"/>
  </w:num>
  <w:num w:numId="5">
    <w:abstractNumId w:val="10"/>
  </w:num>
  <w:num w:numId="6">
    <w:abstractNumId w:val="4"/>
  </w:num>
  <w:num w:numId="7">
    <w:abstractNumId w:val="39"/>
  </w:num>
  <w:num w:numId="8">
    <w:abstractNumId w:val="11"/>
  </w:num>
  <w:num w:numId="9">
    <w:abstractNumId w:val="21"/>
  </w:num>
  <w:num w:numId="10">
    <w:abstractNumId w:val="13"/>
  </w:num>
  <w:num w:numId="11">
    <w:abstractNumId w:val="24"/>
  </w:num>
  <w:num w:numId="12">
    <w:abstractNumId w:val="36"/>
  </w:num>
  <w:num w:numId="13">
    <w:abstractNumId w:val="22"/>
  </w:num>
  <w:num w:numId="14">
    <w:abstractNumId w:val="20"/>
  </w:num>
  <w:num w:numId="15">
    <w:abstractNumId w:val="29"/>
  </w:num>
  <w:num w:numId="16">
    <w:abstractNumId w:val="23"/>
  </w:num>
  <w:num w:numId="17">
    <w:abstractNumId w:val="35"/>
  </w:num>
  <w:num w:numId="18">
    <w:abstractNumId w:val="6"/>
  </w:num>
  <w:num w:numId="19">
    <w:abstractNumId w:val="16"/>
  </w:num>
  <w:num w:numId="20">
    <w:abstractNumId w:val="5"/>
  </w:num>
  <w:num w:numId="21">
    <w:abstractNumId w:val="15"/>
  </w:num>
  <w:num w:numId="22">
    <w:abstractNumId w:val="31"/>
  </w:num>
  <w:num w:numId="23">
    <w:abstractNumId w:val="28"/>
  </w:num>
  <w:num w:numId="24">
    <w:abstractNumId w:val="8"/>
  </w:num>
  <w:num w:numId="25">
    <w:abstractNumId w:val="25"/>
  </w:num>
  <w:num w:numId="26">
    <w:abstractNumId w:val="9"/>
  </w:num>
  <w:num w:numId="27">
    <w:abstractNumId w:val="18"/>
  </w:num>
  <w:num w:numId="28">
    <w:abstractNumId w:val="26"/>
  </w:num>
  <w:num w:numId="29">
    <w:abstractNumId w:val="12"/>
  </w:num>
  <w:num w:numId="30">
    <w:abstractNumId w:val="33"/>
  </w:num>
  <w:num w:numId="31">
    <w:abstractNumId w:val="7"/>
  </w:num>
  <w:num w:numId="32">
    <w:abstractNumId w:val="38"/>
  </w:num>
  <w:num w:numId="33">
    <w:abstractNumId w:val="30"/>
  </w:num>
  <w:num w:numId="34">
    <w:abstractNumId w:val="3"/>
  </w:num>
  <w:num w:numId="35">
    <w:abstractNumId w:val="34"/>
  </w:num>
  <w:num w:numId="36">
    <w:abstractNumId w:val="27"/>
  </w:num>
  <w:num w:numId="37">
    <w:abstractNumId w:val="19"/>
  </w:num>
  <w:num w:numId="38">
    <w:abstractNumId w:val="17"/>
  </w:num>
  <w:num w:numId="39">
    <w:abstractNumId w:val="14"/>
  </w:num>
  <w:num w:numId="40">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mo Mattila">
    <w15:presenceInfo w15:providerId="AD" w15:userId="S-1-5-21-484763869-1957994488-1801674531-1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FF"/>
    <w:rsid w:val="000034E9"/>
    <w:rsid w:val="00037DBD"/>
    <w:rsid w:val="00051947"/>
    <w:rsid w:val="00054EFF"/>
    <w:rsid w:val="00057A5D"/>
    <w:rsid w:val="00073176"/>
    <w:rsid w:val="000731CD"/>
    <w:rsid w:val="00075B24"/>
    <w:rsid w:val="0008538C"/>
    <w:rsid w:val="00090A63"/>
    <w:rsid w:val="000B26BC"/>
    <w:rsid w:val="000C767B"/>
    <w:rsid w:val="000E493D"/>
    <w:rsid w:val="001041EF"/>
    <w:rsid w:val="0016261A"/>
    <w:rsid w:val="00176578"/>
    <w:rsid w:val="00187DC1"/>
    <w:rsid w:val="001A37C4"/>
    <w:rsid w:val="001C23D3"/>
    <w:rsid w:val="001E3048"/>
    <w:rsid w:val="00230F58"/>
    <w:rsid w:val="00231479"/>
    <w:rsid w:val="00234E7E"/>
    <w:rsid w:val="0027355A"/>
    <w:rsid w:val="002743EA"/>
    <w:rsid w:val="00283AD3"/>
    <w:rsid w:val="00296FA9"/>
    <w:rsid w:val="002A2D02"/>
    <w:rsid w:val="002B2D16"/>
    <w:rsid w:val="002B6A70"/>
    <w:rsid w:val="002E7F2E"/>
    <w:rsid w:val="002F092C"/>
    <w:rsid w:val="00325111"/>
    <w:rsid w:val="00325ABD"/>
    <w:rsid w:val="00331899"/>
    <w:rsid w:val="00334626"/>
    <w:rsid w:val="00344BCD"/>
    <w:rsid w:val="003754A8"/>
    <w:rsid w:val="00376C43"/>
    <w:rsid w:val="003A44A3"/>
    <w:rsid w:val="003B3B4D"/>
    <w:rsid w:val="003C5F71"/>
    <w:rsid w:val="003C6D80"/>
    <w:rsid w:val="003E2A10"/>
    <w:rsid w:val="003F187F"/>
    <w:rsid w:val="0040474B"/>
    <w:rsid w:val="0042359E"/>
    <w:rsid w:val="004256FD"/>
    <w:rsid w:val="00431873"/>
    <w:rsid w:val="00457EAF"/>
    <w:rsid w:val="00462704"/>
    <w:rsid w:val="00466D4B"/>
    <w:rsid w:val="00467C0D"/>
    <w:rsid w:val="0048110F"/>
    <w:rsid w:val="00485257"/>
    <w:rsid w:val="00495F5B"/>
    <w:rsid w:val="00496AF0"/>
    <w:rsid w:val="004B1271"/>
    <w:rsid w:val="004C06CC"/>
    <w:rsid w:val="004C424A"/>
    <w:rsid w:val="004C79FC"/>
    <w:rsid w:val="004E6BBF"/>
    <w:rsid w:val="004F1DA2"/>
    <w:rsid w:val="00501FF1"/>
    <w:rsid w:val="00506A20"/>
    <w:rsid w:val="00512F50"/>
    <w:rsid w:val="00521828"/>
    <w:rsid w:val="0052529C"/>
    <w:rsid w:val="0053001C"/>
    <w:rsid w:val="00530A7D"/>
    <w:rsid w:val="0053100B"/>
    <w:rsid w:val="00536BBD"/>
    <w:rsid w:val="0058190B"/>
    <w:rsid w:val="00595D98"/>
    <w:rsid w:val="005A3B56"/>
    <w:rsid w:val="005E256F"/>
    <w:rsid w:val="005E779F"/>
    <w:rsid w:val="00600E17"/>
    <w:rsid w:val="0061075F"/>
    <w:rsid w:val="00623DCD"/>
    <w:rsid w:val="00634A46"/>
    <w:rsid w:val="006613E2"/>
    <w:rsid w:val="006663D4"/>
    <w:rsid w:val="006C789E"/>
    <w:rsid w:val="006F4E4B"/>
    <w:rsid w:val="007212E9"/>
    <w:rsid w:val="0077464C"/>
    <w:rsid w:val="00774676"/>
    <w:rsid w:val="00795243"/>
    <w:rsid w:val="007A5A27"/>
    <w:rsid w:val="007D76F7"/>
    <w:rsid w:val="008057F2"/>
    <w:rsid w:val="0082118F"/>
    <w:rsid w:val="0086452B"/>
    <w:rsid w:val="00867128"/>
    <w:rsid w:val="008A7C63"/>
    <w:rsid w:val="008F3D33"/>
    <w:rsid w:val="009014DB"/>
    <w:rsid w:val="00914076"/>
    <w:rsid w:val="009158EA"/>
    <w:rsid w:val="00922849"/>
    <w:rsid w:val="00936DE7"/>
    <w:rsid w:val="009463E1"/>
    <w:rsid w:val="0095147C"/>
    <w:rsid w:val="00957209"/>
    <w:rsid w:val="0096273D"/>
    <w:rsid w:val="00977D7F"/>
    <w:rsid w:val="009A2897"/>
    <w:rsid w:val="009B7E39"/>
    <w:rsid w:val="009F16CE"/>
    <w:rsid w:val="009F4790"/>
    <w:rsid w:val="00A1016C"/>
    <w:rsid w:val="00A35869"/>
    <w:rsid w:val="00A502F3"/>
    <w:rsid w:val="00A639CC"/>
    <w:rsid w:val="00A75645"/>
    <w:rsid w:val="00AD2722"/>
    <w:rsid w:val="00AF5E1A"/>
    <w:rsid w:val="00AF7142"/>
    <w:rsid w:val="00B01CA4"/>
    <w:rsid w:val="00B07157"/>
    <w:rsid w:val="00B1157A"/>
    <w:rsid w:val="00B22E55"/>
    <w:rsid w:val="00B2650F"/>
    <w:rsid w:val="00B55566"/>
    <w:rsid w:val="00B62F83"/>
    <w:rsid w:val="00B65F5F"/>
    <w:rsid w:val="00BC6614"/>
    <w:rsid w:val="00BF6CE8"/>
    <w:rsid w:val="00BF790E"/>
    <w:rsid w:val="00C16D0B"/>
    <w:rsid w:val="00C3237F"/>
    <w:rsid w:val="00C438F5"/>
    <w:rsid w:val="00C53AD6"/>
    <w:rsid w:val="00C744E7"/>
    <w:rsid w:val="00C9780E"/>
    <w:rsid w:val="00C97FAC"/>
    <w:rsid w:val="00CD26DF"/>
    <w:rsid w:val="00CE43D5"/>
    <w:rsid w:val="00CE5FB0"/>
    <w:rsid w:val="00CF1CB2"/>
    <w:rsid w:val="00D05AE8"/>
    <w:rsid w:val="00D606DC"/>
    <w:rsid w:val="00DC6217"/>
    <w:rsid w:val="00DD3BFE"/>
    <w:rsid w:val="00DD4B00"/>
    <w:rsid w:val="00DF5FFE"/>
    <w:rsid w:val="00E126F8"/>
    <w:rsid w:val="00E27073"/>
    <w:rsid w:val="00E620D8"/>
    <w:rsid w:val="00E76EF0"/>
    <w:rsid w:val="00E810DA"/>
    <w:rsid w:val="00E96459"/>
    <w:rsid w:val="00EC7DB2"/>
    <w:rsid w:val="00EE6A59"/>
    <w:rsid w:val="00F84E54"/>
    <w:rsid w:val="00FA2573"/>
    <w:rsid w:val="00FC6862"/>
    <w:rsid w:val="00FC7FB6"/>
    <w:rsid w:val="00FD42CE"/>
    <w:rsid w:val="00FD5D20"/>
    <w:rsid w:val="00FE77BA"/>
    <w:rsid w:val="00FF3BF3"/>
    <w:rsid w:val="00FF516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B99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header" Target="header3.xml"/><Relationship Id="rId25" Type="http://schemas.openxmlformats.org/officeDocument/2006/relationships/footer" Target="footer5.xml"/><Relationship Id="rId26" Type="http://schemas.openxmlformats.org/officeDocument/2006/relationships/fontTable" Target="fontTable.xml"/><Relationship Id="rId27" Type="http://schemas.openxmlformats.org/officeDocument/2006/relationships/theme" Target="theme/theme1.xml"/><Relationship Id="rId28" Type="http://schemas.microsoft.com/office/2011/relationships/people" Target="people.xml"/><Relationship Id="rId29" Type="http://schemas.microsoft.com/office/2011/relationships/commentsExtended" Target="commentsExtended.xml"/><Relationship Id="rId10" Type="http://schemas.openxmlformats.org/officeDocument/2006/relationships/footer" Target="footer2.xml"/><Relationship Id="rId11" Type="http://schemas.openxmlformats.org/officeDocument/2006/relationships/image" Target="media/image4.png"/><Relationship Id="rId12" Type="http://schemas.openxmlformats.org/officeDocument/2006/relationships/hyperlink" Target="http://www.egi.eu/about/glossary/" TargetMode="External"/><Relationship Id="rId13" Type="http://schemas.openxmlformats.org/officeDocument/2006/relationships/image" Target="media/image5.emf"/><Relationship Id="rId14" Type="http://schemas.openxmlformats.org/officeDocument/2006/relationships/image" Target="media/image6.png"/><Relationship Id="rId15" Type="http://schemas.openxmlformats.org/officeDocument/2006/relationships/hyperlink" Target="https://wiki.egi.eu/wiki/HOWTO16" TargetMode="External"/><Relationship Id="rId16" Type="http://schemas.openxmlformats.org/officeDocument/2006/relationships/hyperlink" Target="https://goc.egi.eu" TargetMode="External"/><Relationship Id="rId17" Type="http://schemas.openxmlformats.org/officeDocument/2006/relationships/hyperlink" Target="http://goc.egi.eu" TargetMode="External"/><Relationship Id="rId18" Type="http://schemas.openxmlformats.org/officeDocument/2006/relationships/image" Target="media/image7.png"/><Relationship Id="rId19" Type="http://schemas.openxmlformats.org/officeDocument/2006/relationships/hyperlink" Target="https://goc.egi.eu/portal/index.php?Page_Type=View_Role_Action_Mapping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notes.xml.rels><?xml version="1.0" encoding="UTF-8" standalone="yes"?>
<Relationships xmlns="http://schemas.openxmlformats.org/package/2006/relationships"><Relationship Id="rId11" Type="http://schemas.openxmlformats.org/officeDocument/2006/relationships/hyperlink" Target="https://github.com/grnet/snf-cdmi" TargetMode="External"/><Relationship Id="rId12" Type="http://schemas.openxmlformats.org/officeDocument/2006/relationships/hyperlink" Target="https://github.com/grnet/snf-ssm" TargetMode="External"/><Relationship Id="rId13" Type="http://schemas.openxmlformats.org/officeDocument/2006/relationships/hyperlink" Target="https://wiki.egi.eu/wiki/EGI-Engage:WP3" TargetMode="External"/><Relationship Id="rId14" Type="http://schemas.openxmlformats.org/officeDocument/2006/relationships/hyperlink" Target="http://elixir-europe.org" TargetMode="External"/><Relationship Id="rId15" Type="http://schemas.openxmlformats.org/officeDocument/2006/relationships/hyperlink" Target="http://docs.openstack.org/developer/keystone/federation/federated_identity.html" TargetMode="External"/><Relationship Id="rId1" Type="http://schemas.openxmlformats.org/officeDocument/2006/relationships/hyperlink" Target="http://www.elixir-europe.org/" TargetMode="External"/><Relationship Id="rId2" Type="http://schemas.openxmlformats.org/officeDocument/2006/relationships/hyperlink" Target="http://www.egi.eu/" TargetMode="External"/><Relationship Id="rId3" Type="http://schemas.openxmlformats.org/officeDocument/2006/relationships/hyperlink" Target="http://www.elixir-europe.org/" TargetMode="External"/><Relationship Id="rId4" Type="http://schemas.openxmlformats.org/officeDocument/2006/relationships/hyperlink" Target="http://www.egi.eu/" TargetMode="External"/><Relationship Id="rId5" Type="http://schemas.openxmlformats.org/officeDocument/2006/relationships/hyperlink" Target="http://www.eudat.eu/" TargetMode="External"/><Relationship Id="rId6" Type="http://schemas.openxmlformats.org/officeDocument/2006/relationships/hyperlink" Target="https://docs.google.com/document/d/1CMY1np3GyvPD8LcKvXljXcRO04V2zu3n_Jcg19jgNOw/edit" TargetMode="External"/><Relationship Id="rId7" Type="http://schemas.openxmlformats.org/officeDocument/2006/relationships/hyperlink" Target="https://www.egi.eu/solutions/fed-cloud/index.html" TargetMode="External"/><Relationship Id="rId8" Type="http://schemas.openxmlformats.org/officeDocument/2006/relationships/hyperlink" Target="https://www.egi.eu/solutions/fed-ops/index.html" TargetMode="External"/><Relationship Id="rId9" Type="http://schemas.openxmlformats.org/officeDocument/2006/relationships/hyperlink" Target="https://appdb.egi.eu/browse/cloud" TargetMode="External"/><Relationship Id="rId10" Type="http://schemas.openxmlformats.org/officeDocument/2006/relationships/hyperlink" Target="https://github.com/grnet/snf-oc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28</Pages>
  <Words>8177</Words>
  <Characters>46610</Characters>
  <Application>Microsoft Macintosh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Gergely Sipos</cp:lastModifiedBy>
  <cp:revision>14</cp:revision>
  <cp:lastPrinted>1900-12-31T23:00:00Z</cp:lastPrinted>
  <dcterms:created xsi:type="dcterms:W3CDTF">2016-06-03T12:19:00Z</dcterms:created>
  <dcterms:modified xsi:type="dcterms:W3CDTF">2016-06-03T12:58:00Z</dcterms:modified>
</cp:coreProperties>
</file>