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A420F" w14:textId="77777777" w:rsidR="0061075F" w:rsidRDefault="00054EFF">
      <w:pPr>
        <w:jc w:val="center"/>
        <w:rPr>
          <w:b/>
          <w:color w:val="0067B1"/>
          <w:sz w:val="56"/>
        </w:rPr>
      </w:pPr>
      <w:r>
        <w:rPr>
          <w:noProof/>
          <w:lang w:val="en-US"/>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sidRPr="001A37C4">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77777777" w:rsidR="0061075F" w:rsidRDefault="00CE5FB0">
            <w:pPr>
              <w:pStyle w:val="NoSpacing"/>
            </w:pPr>
            <w:r>
              <w:t>SA2</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3104B794" w:rsidR="0061075F" w:rsidRDefault="007E5949">
            <w:pPr>
              <w:pStyle w:val="NoSpacing"/>
            </w:pPr>
            <w:r>
              <w:t>FINAL</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6C1BCCDE" w:rsidR="0061075F" w:rsidRDefault="00054EFF">
            <w:pPr>
              <w:pStyle w:val="NoSpacing"/>
            </w:pPr>
            <w:r>
              <w:t>https://documents.egi.eu/document/</w:t>
            </w:r>
            <w:r w:rsidR="00CD26DF">
              <w:t>2802</w:t>
            </w:r>
          </w:p>
        </w:tc>
      </w:tr>
    </w:tbl>
    <w:p w14:paraId="2A35270A" w14:textId="77777777" w:rsidR="0061075F" w:rsidRDefault="0061075F"/>
    <w:p w14:paraId="54277FD3" w14:textId="77777777" w:rsidR="0061075F" w:rsidRDefault="00054EFF">
      <w:pPr>
        <w:pStyle w:val="Subtitle"/>
      </w:pPr>
      <w:r>
        <w:t>Abstract</w:t>
      </w:r>
    </w:p>
    <w:p w14:paraId="05B440D4" w14:textId="6BF22B5C" w:rsidR="0061075F" w:rsidRDefault="00600E17" w:rsidP="008F3D33">
      <w:pPr>
        <w:ind w:left="360"/>
      </w:pPr>
      <w:r>
        <w:t xml:space="preserve">The </w:t>
      </w:r>
      <w:r w:rsidR="00054EFF">
        <w:t xml:space="preserve">ELIXIR Competence </w:t>
      </w:r>
      <w:r w:rsidR="00CE5FB0">
        <w:t>Centre</w:t>
      </w:r>
      <w:r w:rsidR="00054EFF">
        <w:t xml:space="preserve"> </w:t>
      </w:r>
      <w:r w:rsidR="00CE5FB0">
        <w:t xml:space="preserve">(CC) </w:t>
      </w:r>
      <w:r w:rsidR="00054EFF">
        <w:t>aims to bring EGI resources, especially the EGI Federated C</w:t>
      </w:r>
      <w:r w:rsidR="00D67468">
        <w:t>loud,</w:t>
      </w:r>
      <w:r w:rsidR="00054EFF">
        <w:t xml:space="preserve"> </w:t>
      </w:r>
      <w:r w:rsidR="00D67468">
        <w:t xml:space="preserve">to be </w:t>
      </w:r>
      <w:r w:rsidR="00054EFF">
        <w:t xml:space="preserve">available to the ELIXIR user community. </w:t>
      </w:r>
      <w:r w:rsidR="00AD2722">
        <w:t xml:space="preserve">The document </w:t>
      </w:r>
      <w:r w:rsidR="008F3D33">
        <w:t>briefly describes ELIXIR’s</w:t>
      </w:r>
      <w:r w:rsidR="00AD2722">
        <w:t xml:space="preserve"> plans </w:t>
      </w:r>
      <w:r w:rsidR="008F3D33">
        <w:t xml:space="preserve">for using services and technologies from the EGI Federated Cloud in the ELIXIR Compute Platform. The document provides </w:t>
      </w:r>
      <w:r w:rsidR="00AD2722">
        <w:t xml:space="preserve">guidelines </w:t>
      </w:r>
      <w:r w:rsidR="008F3D33">
        <w:t xml:space="preserve">and usage practices </w:t>
      </w:r>
      <w:r w:rsidR="00AD2722">
        <w:t xml:space="preserve">for </w:t>
      </w:r>
      <w:r w:rsidR="008F3D33">
        <w:t xml:space="preserve">cloud </w:t>
      </w:r>
      <w:r w:rsidR="00AD2722">
        <w:t xml:space="preserve">providers </w:t>
      </w:r>
      <w:r w:rsidR="008F3D33">
        <w:t>on how to</w:t>
      </w:r>
      <w:r w:rsidR="00AD2722">
        <w:t xml:space="preserve"> join the </w:t>
      </w:r>
      <w:r w:rsidR="00D67468">
        <w:t xml:space="preserve">EGI Federated Cloud </w:t>
      </w:r>
      <w:r w:rsidR="008F3D33">
        <w:t>as a service provider</w:t>
      </w:r>
      <w:r w:rsidR="00AD2722">
        <w:t xml:space="preserve">. </w:t>
      </w:r>
      <w:r w:rsidR="00FC6862">
        <w:t xml:space="preserve">The document also sums up the experiences and plans of the ELIXIR CC members </w:t>
      </w:r>
      <w:r w:rsidR="00D67468">
        <w:t>regarding</w:t>
      </w:r>
      <w:r w:rsidR="008F3D33">
        <w:t xml:space="preserve"> their participation in the</w:t>
      </w:r>
      <w:r w:rsidR="00FC6862">
        <w:t xml:space="preserve"> ELIXIR Compute Platform.</w:t>
      </w:r>
    </w:p>
    <w:p w14:paraId="439D8B7F" w14:textId="77777777" w:rsidR="00D67468" w:rsidRDefault="00D67468" w:rsidP="008F3D33">
      <w:pPr>
        <w:ind w:left="360"/>
        <w:sectPr w:rsidR="00D67468">
          <w:footerReference w:type="default" r:id="rId10"/>
          <w:footerReference w:type="first" r:id="rId11"/>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val="en-US"/>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1814"/>
        <w:gridCol w:w="1843"/>
        <w:gridCol w:w="4106"/>
        <w:gridCol w:w="1479"/>
      </w:tblGrid>
      <w:tr w:rsidR="00450430" w14:paraId="55D40DB9" w14:textId="77777777" w:rsidTr="00450430">
        <w:tc>
          <w:tcPr>
            <w:tcW w:w="1814"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4106"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450430" w14:paraId="1596E300" w14:textId="77777777" w:rsidTr="00450430">
        <w:tc>
          <w:tcPr>
            <w:tcW w:w="1814"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15F4EDF1" w:rsidR="0061075F" w:rsidRDefault="00467C0D">
            <w:pPr>
              <w:pStyle w:val="NoSpacing"/>
            </w:pPr>
            <w:r>
              <w:t>Kimmo Mattila</w:t>
            </w:r>
          </w:p>
        </w:tc>
        <w:tc>
          <w:tcPr>
            <w:tcW w:w="4106"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058E8D3" w:rsidR="0061075F" w:rsidRDefault="00467C0D">
            <w:pPr>
              <w:pStyle w:val="NoSpacing"/>
            </w:pPr>
            <w:r>
              <w:t>CSC / SA2</w:t>
            </w: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1DE8E249" w:rsidR="0061075F" w:rsidRDefault="00467C0D">
            <w:pPr>
              <w:pStyle w:val="NoSpacing"/>
            </w:pPr>
            <w:r>
              <w:t>3/Jun/2016</w:t>
            </w:r>
          </w:p>
        </w:tc>
      </w:tr>
      <w:tr w:rsidR="00450430" w14:paraId="6BB70E22" w14:textId="77777777" w:rsidTr="00450430">
        <w:tc>
          <w:tcPr>
            <w:tcW w:w="1814"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DDA3178" w14:textId="77777777" w:rsidR="0061075F" w:rsidRDefault="00450430">
            <w:pPr>
              <w:pStyle w:val="NoSpacing"/>
            </w:pPr>
            <w:r>
              <w:t xml:space="preserve">Lars </w:t>
            </w:r>
            <w:proofErr w:type="spellStart"/>
            <w:r>
              <w:t>Ailo</w:t>
            </w:r>
            <w:proofErr w:type="spellEnd"/>
            <w:r>
              <w:t xml:space="preserve"> Bongo</w:t>
            </w:r>
          </w:p>
          <w:p w14:paraId="66A8B9A9" w14:textId="77777777" w:rsidR="00450430" w:rsidRDefault="00450430">
            <w:pPr>
              <w:pStyle w:val="NoSpacing"/>
            </w:pPr>
          </w:p>
          <w:p w14:paraId="7CE31DC2" w14:textId="704E7434" w:rsidR="00450430" w:rsidRDefault="00450430" w:rsidP="00737359">
            <w:pPr>
              <w:pStyle w:val="NoSpacing"/>
              <w:jc w:val="left"/>
            </w:pPr>
            <w:r>
              <w:t xml:space="preserve">Vera </w:t>
            </w:r>
            <w:r w:rsidR="00737359">
              <w:t xml:space="preserve">Yvonne </w:t>
            </w:r>
            <w:proofErr w:type="spellStart"/>
            <w:r>
              <w:t>Hansper</w:t>
            </w:r>
            <w:proofErr w:type="spellEnd"/>
          </w:p>
        </w:tc>
        <w:tc>
          <w:tcPr>
            <w:tcW w:w="4106" w:type="dxa"/>
            <w:tcBorders>
              <w:top w:val="single" w:sz="4" w:space="0" w:color="000000"/>
              <w:left w:val="single" w:sz="4" w:space="0" w:color="000000"/>
              <w:bottom w:val="single" w:sz="4" w:space="0" w:color="000000"/>
              <w:right w:val="single" w:sz="4" w:space="0" w:color="000000"/>
            </w:tcBorders>
            <w:shd w:val="clear" w:color="auto" w:fill="FFFFFF"/>
          </w:tcPr>
          <w:p w14:paraId="2E75E7D4" w14:textId="70EEDBD1" w:rsidR="0061075F" w:rsidRDefault="00450430" w:rsidP="00450430">
            <w:pPr>
              <w:pStyle w:val="NoSpacing"/>
            </w:pPr>
            <w:r>
              <w:t xml:space="preserve">University of </w:t>
            </w:r>
            <w:proofErr w:type="spellStart"/>
            <w:r>
              <w:t>Tromso</w:t>
            </w:r>
            <w:proofErr w:type="spellEnd"/>
            <w:r>
              <w:t xml:space="preserve"> / ELIXIR Compute group</w:t>
            </w:r>
          </w:p>
          <w:p w14:paraId="2FF988A6" w14:textId="278A3925" w:rsidR="00450430" w:rsidRDefault="00450430" w:rsidP="00450430">
            <w:pPr>
              <w:pStyle w:val="NoSpacing"/>
            </w:pPr>
            <w:r>
              <w:t xml:space="preserve">CSC / </w:t>
            </w:r>
            <w:r w:rsidR="00737359">
              <w:t>ELIXIR Compute group</w:t>
            </w: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CBF1661" w14:textId="77777777" w:rsidR="0061075F" w:rsidRDefault="00450430">
            <w:pPr>
              <w:pStyle w:val="NoSpacing"/>
            </w:pPr>
            <w:r>
              <w:t>10/Jun/2016</w:t>
            </w:r>
          </w:p>
          <w:p w14:paraId="49CA948E" w14:textId="77777777" w:rsidR="00737359" w:rsidRDefault="00737359">
            <w:pPr>
              <w:pStyle w:val="NoSpacing"/>
            </w:pPr>
          </w:p>
          <w:p w14:paraId="12FC14CF" w14:textId="7BB1D53D" w:rsidR="00737359" w:rsidRDefault="00737359">
            <w:pPr>
              <w:pStyle w:val="NoSpacing"/>
            </w:pPr>
            <w:r>
              <w:t>11/Jun/2016</w:t>
            </w:r>
          </w:p>
        </w:tc>
      </w:tr>
      <w:tr w:rsidR="00450430" w14:paraId="0A482292" w14:textId="77777777" w:rsidTr="00450430">
        <w:tc>
          <w:tcPr>
            <w:tcW w:w="1814"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77777777" w:rsidR="0061075F" w:rsidRDefault="0061075F">
            <w:pPr>
              <w:pStyle w:val="NoSpacing"/>
            </w:pPr>
          </w:p>
        </w:tc>
        <w:tc>
          <w:tcPr>
            <w:tcW w:w="4106"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9238" w:type="dxa"/>
        <w:tblInd w:w="-15" w:type="dxa"/>
        <w:tblLayout w:type="fixed"/>
        <w:tblCellMar>
          <w:left w:w="98" w:type="dxa"/>
        </w:tblCellMar>
        <w:tblLook w:val="0000" w:firstRow="0" w:lastRow="0" w:firstColumn="0" w:lastColumn="0" w:noHBand="0" w:noVBand="0"/>
      </w:tblPr>
      <w:tblGrid>
        <w:gridCol w:w="808"/>
        <w:gridCol w:w="1470"/>
        <w:gridCol w:w="4781"/>
        <w:gridCol w:w="2179"/>
      </w:tblGrid>
      <w:tr w:rsidR="0061075F" w14:paraId="414FB8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78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r>
              <w:rPr>
                <w:b/>
              </w:rPr>
              <w:t>v.1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r>
              <w:rPr>
                <w:b/>
              </w:rPr>
              <w:t>v.2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proofErr w:type="spellStart"/>
            <w:r>
              <w:t>ToC</w:t>
            </w:r>
            <w:proofErr w:type="spellEnd"/>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K. Mattila / CSC</w:t>
            </w:r>
          </w:p>
        </w:tc>
      </w:tr>
      <w:tr w:rsidR="0061075F" w14:paraId="74743889"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r>
              <w:rPr>
                <w:b/>
              </w:rPr>
              <w:t>v.3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K. Mattila / CSC</w:t>
            </w:r>
          </w:p>
        </w:tc>
      </w:tr>
      <w:tr w:rsidR="0042359E" w14:paraId="409DF461"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7E39">
            <w:pPr>
              <w:pStyle w:val="NoSpacing"/>
            </w:pPr>
            <w:r>
              <w:rPr>
                <w:b/>
              </w:rPr>
              <w:t>v.4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7E39">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7E39">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7E39">
            <w:pPr>
              <w:pStyle w:val="NoSpacing"/>
            </w:pPr>
            <w:r>
              <w:t>G. Sipos / EGI.eu</w:t>
            </w:r>
          </w:p>
        </w:tc>
      </w:tr>
      <w:tr w:rsidR="0042359E" w14:paraId="744E9A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r>
              <w:rPr>
                <w:b/>
              </w:rPr>
              <w:t>v.5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CF1CB2" w14:paraId="7D5386D1" w14:textId="77777777" w:rsidTr="00CF1CB2">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8855A05" w14:textId="6A0C6E4D" w:rsidR="00CF1CB2" w:rsidRPr="007D76F7" w:rsidRDefault="00CF1CB2" w:rsidP="000B26BC">
            <w:pPr>
              <w:pStyle w:val="NoSpacing"/>
              <w:rPr>
                <w:b/>
              </w:rPr>
            </w:pPr>
            <w:r w:rsidRPr="007D76F7">
              <w:rPr>
                <w:b/>
              </w:rPr>
              <w:t>v.6</w:t>
            </w:r>
            <w:r w:rsidR="00467C0D">
              <w:rPr>
                <w:b/>
              </w:rPr>
              <w:t>-1</w:t>
            </w:r>
            <w:r w:rsidR="000B26BC">
              <w:rPr>
                <w:b/>
              </w:rPr>
              <w:t>9</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EDB345B" w14:textId="77777777" w:rsidR="00CF1CB2" w:rsidRDefault="00CF1CB2" w:rsidP="00CF1CB2">
            <w:pPr>
              <w:pStyle w:val="NoSpacing"/>
            </w:pPr>
            <w:r>
              <w:t>13/May/2016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5A7445EC" w14:textId="0939CBC2" w:rsidR="00CF1CB2" w:rsidRDefault="000B26BC" w:rsidP="006C789E">
            <w:pPr>
              <w:pStyle w:val="NoSpacing"/>
            </w:pPr>
            <w:r>
              <w:t xml:space="preserve">Adding </w:t>
            </w:r>
            <w:r w:rsidR="000034E9">
              <w:t xml:space="preserve">content to </w:t>
            </w:r>
            <w:r>
              <w:t xml:space="preserve">various </w:t>
            </w:r>
            <w:r w:rsidR="006C789E">
              <w:t>sections</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39AB57C9" w14:textId="77777777" w:rsidR="00CF1CB2" w:rsidRDefault="00CF1CB2" w:rsidP="00CF1CB2">
            <w:pPr>
              <w:pStyle w:val="NoSpacing"/>
            </w:pPr>
            <w:r>
              <w:t>K. Mattila / CSC</w:t>
            </w:r>
          </w:p>
        </w:tc>
      </w:tr>
      <w:tr w:rsidR="00467C0D" w14:paraId="100C893A" w14:textId="77777777" w:rsidTr="0082118F">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35E666BC" w14:textId="33F61383" w:rsidR="00467C0D" w:rsidRPr="007D76F7" w:rsidRDefault="00467C0D" w:rsidP="0082118F">
            <w:pPr>
              <w:pStyle w:val="NoSpacing"/>
              <w:rPr>
                <w:b/>
              </w:rPr>
            </w:pPr>
            <w:r w:rsidRPr="007D76F7">
              <w:rPr>
                <w:b/>
              </w:rPr>
              <w:t>v.</w:t>
            </w:r>
            <w:r w:rsidR="000B26BC">
              <w:rPr>
                <w:b/>
              </w:rPr>
              <w:t>20</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62FFFCD5" w14:textId="77777777" w:rsidR="00467C0D" w:rsidRDefault="00467C0D" w:rsidP="0082118F">
            <w:pPr>
              <w:pStyle w:val="NoSpacing"/>
            </w:pPr>
            <w:r>
              <w:t>30/May/2016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1935C9C" w14:textId="77777777" w:rsidR="00467C0D" w:rsidRDefault="00467C0D" w:rsidP="0082118F">
            <w:pPr>
              <w:pStyle w:val="NoSpacing"/>
            </w:pPr>
            <w:r>
              <w:t>Merged CNRS contribution, cleaned CSC section, wrote Summary and Next steps</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5D548F5B" w14:textId="77777777" w:rsidR="00467C0D" w:rsidRDefault="00467C0D" w:rsidP="0082118F">
            <w:pPr>
              <w:pStyle w:val="NoSpacing"/>
            </w:pPr>
            <w:r>
              <w:t>G. Sipos / EGI.eu</w:t>
            </w:r>
          </w:p>
        </w:tc>
      </w:tr>
      <w:tr w:rsidR="00467C0D" w14:paraId="2FE35C52"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58D8DD7" w14:textId="530C076A" w:rsidR="00467C0D" w:rsidRPr="007D76F7" w:rsidRDefault="00467C0D" w:rsidP="00CF1CB2">
            <w:pPr>
              <w:pStyle w:val="NoSpacing"/>
              <w:rPr>
                <w:b/>
              </w:rPr>
            </w:pPr>
            <w:r>
              <w:rPr>
                <w:b/>
              </w:rPr>
              <w:t>v.</w:t>
            </w:r>
            <w:r w:rsidR="000B26BC">
              <w:rPr>
                <w:b/>
              </w:rPr>
              <w:t>21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628748B2" w14:textId="4BADE267" w:rsidR="00467C0D" w:rsidRDefault="00467C0D">
            <w:pPr>
              <w:pStyle w:val="NoSpacing"/>
            </w:pPr>
            <w:r>
              <w:t>3/June/2016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7AFCBB76" w14:textId="68D36A99" w:rsidR="00467C0D" w:rsidRDefault="00467C0D" w:rsidP="00CF1CB2">
            <w:pPr>
              <w:pStyle w:val="NoSpacing"/>
            </w:pPr>
            <w:r>
              <w:t xml:space="preserve">Added </w:t>
            </w:r>
            <w:proofErr w:type="spellStart"/>
            <w:r>
              <w:t>JetStream</w:t>
            </w:r>
            <w:proofErr w:type="spellEnd"/>
            <w:r>
              <w:t xml:space="preserve"> section; Updated CSC section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4CB0A629" w14:textId="11AD5FFA" w:rsidR="00467C0D" w:rsidRDefault="00467C0D" w:rsidP="00CF1CB2">
            <w:pPr>
              <w:pStyle w:val="NoSpacing"/>
            </w:pPr>
            <w:r>
              <w:t>K. Mattila / CSC</w:t>
            </w:r>
          </w:p>
        </w:tc>
      </w:tr>
      <w:tr w:rsidR="00737359" w14:paraId="412F8B36" w14:textId="77777777" w:rsidTr="004D6D1E">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598544A6" w14:textId="77777777" w:rsidR="00737359" w:rsidRPr="007D76F7" w:rsidRDefault="00737359" w:rsidP="004D6D1E">
            <w:pPr>
              <w:pStyle w:val="NoSpacing"/>
              <w:rPr>
                <w:b/>
              </w:rPr>
            </w:pPr>
            <w:proofErr w:type="gramStart"/>
            <w:r w:rsidRPr="007D76F7">
              <w:rPr>
                <w:b/>
              </w:rPr>
              <w:t>v</w:t>
            </w:r>
            <w:proofErr w:type="gramEnd"/>
            <w:r w:rsidRPr="007D76F7">
              <w:rPr>
                <w:b/>
              </w:rPr>
              <w:t>.</w:t>
            </w:r>
            <w:r>
              <w:rPr>
                <w:b/>
              </w:rPr>
              <w:t>22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68A76E71" w14:textId="77777777" w:rsidR="00737359" w:rsidRDefault="00737359" w:rsidP="004D6D1E">
            <w:pPr>
              <w:pStyle w:val="NoSpacing"/>
            </w:pPr>
            <w:r>
              <w:t>3/Jun/2016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7A44D298" w14:textId="77777777" w:rsidR="00737359" w:rsidRDefault="00737359" w:rsidP="004D6D1E">
            <w:pPr>
              <w:pStyle w:val="NoSpacing"/>
            </w:pPr>
            <w:r>
              <w:t>Finalised for external review</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3D50007D" w14:textId="77777777" w:rsidR="00737359" w:rsidRDefault="00737359" w:rsidP="004D6D1E">
            <w:pPr>
              <w:pStyle w:val="NoSpacing"/>
            </w:pPr>
            <w:r>
              <w:t>G. Sipos / EGI.eu</w:t>
            </w:r>
          </w:p>
        </w:tc>
      </w:tr>
      <w:tr w:rsidR="00737359" w14:paraId="20C6490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0F47DD79" w14:textId="57FC5B40" w:rsidR="00737359" w:rsidRPr="007D76F7" w:rsidRDefault="00737359" w:rsidP="000B26BC">
            <w:pPr>
              <w:pStyle w:val="NoSpacing"/>
              <w:rPr>
                <w:b/>
              </w:rPr>
            </w:pPr>
            <w:proofErr w:type="gramStart"/>
            <w:r>
              <w:rPr>
                <w:b/>
              </w:rPr>
              <w:t>v</w:t>
            </w:r>
            <w:proofErr w:type="gramEnd"/>
            <w:r>
              <w:rPr>
                <w:b/>
              </w:rPr>
              <w:t>.23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3081824" w14:textId="07458EC7" w:rsidR="00737359" w:rsidRDefault="00737359" w:rsidP="00467C0D">
            <w:pPr>
              <w:pStyle w:val="NoSpacing"/>
            </w:pPr>
            <w:r>
              <w:t>15/Jun/2016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7892F05C" w14:textId="502006CC" w:rsidR="00737359" w:rsidRDefault="00737359" w:rsidP="00CF1CB2">
            <w:pPr>
              <w:pStyle w:val="NoSpacing"/>
            </w:pPr>
            <w:r>
              <w:t>Updated based on external reviewers’ feedback</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B1A808" w14:textId="77777777" w:rsidR="00737359" w:rsidRDefault="00737359" w:rsidP="00CF1CB2">
            <w:pPr>
              <w:pStyle w:val="NoSpacing"/>
            </w:pPr>
            <w:r>
              <w:t xml:space="preserve">K. </w:t>
            </w:r>
            <w:proofErr w:type="spellStart"/>
            <w:r>
              <w:t>Mattila</w:t>
            </w:r>
            <w:proofErr w:type="spellEnd"/>
            <w:r>
              <w:t xml:space="preserve"> / CSC</w:t>
            </w:r>
          </w:p>
          <w:p w14:paraId="381BE253" w14:textId="05F19744" w:rsidR="00737359" w:rsidRDefault="00737359" w:rsidP="00CF1CB2">
            <w:pPr>
              <w:pStyle w:val="NoSpacing"/>
            </w:pPr>
            <w:r>
              <w:t>G. Sipos / EGI.eu</w:t>
            </w:r>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3"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lastRenderedPageBreak/>
        <w:t>Contents</w:t>
      </w:r>
    </w:p>
    <w:p w14:paraId="581EE7DC" w14:textId="77777777" w:rsidR="00B45797" w:rsidRDefault="00054EFF">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fldChar w:fldCharType="begin"/>
      </w:r>
      <w:r>
        <w:instrText xml:space="preserve"> TOC </w:instrText>
      </w:r>
      <w:r>
        <w:fldChar w:fldCharType="separate"/>
      </w:r>
      <w:r w:rsidR="00B45797">
        <w:rPr>
          <w:noProof/>
        </w:rPr>
        <w:t>1</w:t>
      </w:r>
      <w:r w:rsidR="00B45797">
        <w:rPr>
          <w:rFonts w:asciiTheme="minorHAnsi" w:eastAsiaTheme="minorEastAsia" w:hAnsiTheme="minorHAnsi" w:cstheme="minorBidi"/>
          <w:noProof/>
          <w:color w:val="auto"/>
          <w:spacing w:val="0"/>
          <w:kern w:val="0"/>
          <w:sz w:val="24"/>
          <w:szCs w:val="24"/>
          <w:lang w:val="en-US" w:eastAsia="ja-JP"/>
        </w:rPr>
        <w:tab/>
      </w:r>
      <w:r w:rsidR="00B45797">
        <w:rPr>
          <w:noProof/>
        </w:rPr>
        <w:t>Introduction</w:t>
      </w:r>
      <w:r w:rsidR="00B45797">
        <w:rPr>
          <w:noProof/>
        </w:rPr>
        <w:tab/>
      </w:r>
      <w:r w:rsidR="00B45797">
        <w:rPr>
          <w:noProof/>
        </w:rPr>
        <w:fldChar w:fldCharType="begin"/>
      </w:r>
      <w:r w:rsidR="00B45797">
        <w:rPr>
          <w:noProof/>
        </w:rPr>
        <w:instrText xml:space="preserve"> PAGEREF _Toc327624033 \h </w:instrText>
      </w:r>
      <w:r w:rsidR="00B45797">
        <w:rPr>
          <w:noProof/>
        </w:rPr>
      </w:r>
      <w:r w:rsidR="00B45797">
        <w:rPr>
          <w:noProof/>
        </w:rPr>
        <w:fldChar w:fldCharType="separate"/>
      </w:r>
      <w:r w:rsidR="00B45797">
        <w:rPr>
          <w:noProof/>
        </w:rPr>
        <w:t>5</w:t>
      </w:r>
      <w:r w:rsidR="00B45797">
        <w:rPr>
          <w:noProof/>
        </w:rPr>
        <w:fldChar w:fldCharType="end"/>
      </w:r>
    </w:p>
    <w:p w14:paraId="34B1B545" w14:textId="77777777" w:rsidR="00B45797" w:rsidRDefault="00B45797">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w:t>
      </w:r>
      <w:r>
        <w:rPr>
          <w:rFonts w:asciiTheme="minorHAnsi" w:eastAsiaTheme="minorEastAsia" w:hAnsiTheme="minorHAnsi" w:cstheme="minorBidi"/>
          <w:noProof/>
          <w:color w:val="auto"/>
          <w:spacing w:val="0"/>
          <w:kern w:val="0"/>
          <w:sz w:val="24"/>
          <w:szCs w:val="24"/>
          <w:lang w:val="en-US" w:eastAsia="ja-JP"/>
        </w:rPr>
        <w:tab/>
      </w:r>
      <w:r>
        <w:rPr>
          <w:noProof/>
        </w:rPr>
        <w:t>The ELIXIR Compute Platform; Role of service providers</w:t>
      </w:r>
      <w:r>
        <w:rPr>
          <w:noProof/>
        </w:rPr>
        <w:tab/>
      </w:r>
      <w:r>
        <w:rPr>
          <w:noProof/>
        </w:rPr>
        <w:fldChar w:fldCharType="begin"/>
      </w:r>
      <w:r>
        <w:rPr>
          <w:noProof/>
        </w:rPr>
        <w:instrText xml:space="preserve"> PAGEREF _Toc327624034 \h </w:instrText>
      </w:r>
      <w:r>
        <w:rPr>
          <w:noProof/>
        </w:rPr>
      </w:r>
      <w:r>
        <w:rPr>
          <w:noProof/>
        </w:rPr>
        <w:fldChar w:fldCharType="separate"/>
      </w:r>
      <w:r>
        <w:rPr>
          <w:noProof/>
        </w:rPr>
        <w:t>6</w:t>
      </w:r>
      <w:r>
        <w:rPr>
          <w:noProof/>
        </w:rPr>
        <w:fldChar w:fldCharType="end"/>
      </w:r>
    </w:p>
    <w:p w14:paraId="2083E372" w14:textId="77777777" w:rsidR="00B45797" w:rsidRDefault="00B45797">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w:t>
      </w:r>
      <w:r>
        <w:rPr>
          <w:rFonts w:asciiTheme="minorHAnsi" w:eastAsiaTheme="minorEastAsia" w:hAnsiTheme="minorHAnsi" w:cstheme="minorBidi"/>
          <w:noProof/>
          <w:color w:val="auto"/>
          <w:spacing w:val="0"/>
          <w:kern w:val="0"/>
          <w:sz w:val="24"/>
          <w:szCs w:val="24"/>
          <w:lang w:val="en-US" w:eastAsia="ja-JP"/>
        </w:rPr>
        <w:tab/>
      </w:r>
      <w:r>
        <w:rPr>
          <w:noProof/>
        </w:rPr>
        <w:t>Integration guidelines for service providers</w:t>
      </w:r>
      <w:r>
        <w:rPr>
          <w:noProof/>
        </w:rPr>
        <w:tab/>
      </w:r>
      <w:r>
        <w:rPr>
          <w:noProof/>
        </w:rPr>
        <w:fldChar w:fldCharType="begin"/>
      </w:r>
      <w:r>
        <w:rPr>
          <w:noProof/>
        </w:rPr>
        <w:instrText xml:space="preserve"> PAGEREF _Toc327624035 \h </w:instrText>
      </w:r>
      <w:r>
        <w:rPr>
          <w:noProof/>
        </w:rPr>
      </w:r>
      <w:r>
        <w:rPr>
          <w:noProof/>
        </w:rPr>
        <w:fldChar w:fldCharType="separate"/>
      </w:r>
      <w:r>
        <w:rPr>
          <w:noProof/>
        </w:rPr>
        <w:t>8</w:t>
      </w:r>
      <w:r>
        <w:rPr>
          <w:noProof/>
        </w:rPr>
        <w:fldChar w:fldCharType="end"/>
      </w:r>
    </w:p>
    <w:p w14:paraId="7EB95BE9" w14:textId="77777777" w:rsidR="00B45797" w:rsidRDefault="00B45797">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3.1</w:t>
      </w:r>
      <w:r>
        <w:rPr>
          <w:rFonts w:asciiTheme="minorHAnsi" w:eastAsiaTheme="minorEastAsia" w:hAnsiTheme="minorHAnsi" w:cstheme="minorBidi"/>
          <w:noProof/>
          <w:color w:val="auto"/>
          <w:spacing w:val="0"/>
          <w:kern w:val="0"/>
          <w:sz w:val="24"/>
          <w:szCs w:val="24"/>
          <w:lang w:val="en-US" w:eastAsia="ja-JP"/>
        </w:rPr>
        <w:tab/>
      </w:r>
      <w:r>
        <w:rPr>
          <w:noProof/>
        </w:rPr>
        <w:t>Generic concepts</w:t>
      </w:r>
      <w:r>
        <w:rPr>
          <w:noProof/>
        </w:rPr>
        <w:tab/>
      </w:r>
      <w:r>
        <w:rPr>
          <w:noProof/>
        </w:rPr>
        <w:fldChar w:fldCharType="begin"/>
      </w:r>
      <w:r>
        <w:rPr>
          <w:noProof/>
        </w:rPr>
        <w:instrText xml:space="preserve"> PAGEREF _Toc327624036 \h </w:instrText>
      </w:r>
      <w:r>
        <w:rPr>
          <w:noProof/>
        </w:rPr>
      </w:r>
      <w:r>
        <w:rPr>
          <w:noProof/>
        </w:rPr>
        <w:fldChar w:fldCharType="separate"/>
      </w:r>
      <w:r>
        <w:rPr>
          <w:noProof/>
        </w:rPr>
        <w:t>8</w:t>
      </w:r>
      <w:r>
        <w:rPr>
          <w:noProof/>
        </w:rPr>
        <w:fldChar w:fldCharType="end"/>
      </w:r>
    </w:p>
    <w:p w14:paraId="2807EF22" w14:textId="77777777" w:rsidR="00B45797" w:rsidRDefault="00B45797">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3.2</w:t>
      </w:r>
      <w:r>
        <w:rPr>
          <w:rFonts w:asciiTheme="minorHAnsi" w:eastAsiaTheme="minorEastAsia" w:hAnsiTheme="minorHAnsi" w:cstheme="minorBidi"/>
          <w:noProof/>
          <w:color w:val="auto"/>
          <w:spacing w:val="0"/>
          <w:kern w:val="0"/>
          <w:sz w:val="24"/>
          <w:szCs w:val="24"/>
          <w:lang w:val="en-US" w:eastAsia="ja-JP"/>
        </w:rPr>
        <w:tab/>
      </w:r>
      <w:r>
        <w:rPr>
          <w:noProof/>
        </w:rPr>
        <w:t>Installation guideline for OpenStack providers</w:t>
      </w:r>
      <w:r>
        <w:rPr>
          <w:noProof/>
        </w:rPr>
        <w:tab/>
      </w:r>
      <w:r>
        <w:rPr>
          <w:noProof/>
        </w:rPr>
        <w:fldChar w:fldCharType="begin"/>
      </w:r>
      <w:r>
        <w:rPr>
          <w:noProof/>
        </w:rPr>
        <w:instrText xml:space="preserve"> PAGEREF _Toc327624037 \h </w:instrText>
      </w:r>
      <w:r>
        <w:rPr>
          <w:noProof/>
        </w:rPr>
      </w:r>
      <w:r>
        <w:rPr>
          <w:noProof/>
        </w:rPr>
        <w:fldChar w:fldCharType="separate"/>
      </w:r>
      <w:r>
        <w:rPr>
          <w:noProof/>
        </w:rPr>
        <w:t>9</w:t>
      </w:r>
      <w:r>
        <w:rPr>
          <w:noProof/>
        </w:rPr>
        <w:fldChar w:fldCharType="end"/>
      </w:r>
    </w:p>
    <w:p w14:paraId="536DBDFF" w14:textId="77777777" w:rsidR="00B45797" w:rsidRDefault="00B45797">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3.3</w:t>
      </w:r>
      <w:r>
        <w:rPr>
          <w:rFonts w:asciiTheme="minorHAnsi" w:eastAsiaTheme="minorEastAsia" w:hAnsiTheme="minorHAnsi" w:cstheme="minorBidi"/>
          <w:noProof/>
          <w:color w:val="auto"/>
          <w:spacing w:val="0"/>
          <w:kern w:val="0"/>
          <w:sz w:val="24"/>
          <w:szCs w:val="24"/>
          <w:lang w:val="en-US" w:eastAsia="ja-JP"/>
        </w:rPr>
        <w:tab/>
      </w:r>
      <w:r>
        <w:rPr>
          <w:noProof/>
        </w:rPr>
        <w:t>Installation guideline for OpenNebula providers</w:t>
      </w:r>
      <w:r>
        <w:rPr>
          <w:noProof/>
        </w:rPr>
        <w:tab/>
      </w:r>
      <w:r>
        <w:rPr>
          <w:noProof/>
        </w:rPr>
        <w:fldChar w:fldCharType="begin"/>
      </w:r>
      <w:r>
        <w:rPr>
          <w:noProof/>
        </w:rPr>
        <w:instrText xml:space="preserve"> PAGEREF _Toc327624038 \h </w:instrText>
      </w:r>
      <w:r>
        <w:rPr>
          <w:noProof/>
        </w:rPr>
      </w:r>
      <w:r>
        <w:rPr>
          <w:noProof/>
        </w:rPr>
        <w:fldChar w:fldCharType="separate"/>
      </w:r>
      <w:r>
        <w:rPr>
          <w:noProof/>
        </w:rPr>
        <w:t>11</w:t>
      </w:r>
      <w:r>
        <w:rPr>
          <w:noProof/>
        </w:rPr>
        <w:fldChar w:fldCharType="end"/>
      </w:r>
    </w:p>
    <w:p w14:paraId="341EC6E4" w14:textId="77777777" w:rsidR="00B45797" w:rsidRDefault="00B45797">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3.4</w:t>
      </w:r>
      <w:r>
        <w:rPr>
          <w:rFonts w:asciiTheme="minorHAnsi" w:eastAsiaTheme="minorEastAsia" w:hAnsiTheme="minorHAnsi" w:cstheme="minorBidi"/>
          <w:noProof/>
          <w:color w:val="auto"/>
          <w:spacing w:val="0"/>
          <w:kern w:val="0"/>
          <w:sz w:val="24"/>
          <w:szCs w:val="24"/>
          <w:lang w:val="en-US" w:eastAsia="ja-JP"/>
        </w:rPr>
        <w:tab/>
      </w:r>
      <w:r>
        <w:rPr>
          <w:noProof/>
        </w:rPr>
        <w:t>Installation guideline for Synnefo providers</w:t>
      </w:r>
      <w:r>
        <w:rPr>
          <w:noProof/>
        </w:rPr>
        <w:tab/>
      </w:r>
      <w:r>
        <w:rPr>
          <w:noProof/>
        </w:rPr>
        <w:fldChar w:fldCharType="begin"/>
      </w:r>
      <w:r>
        <w:rPr>
          <w:noProof/>
        </w:rPr>
        <w:instrText xml:space="preserve"> PAGEREF _Toc327624039 \h </w:instrText>
      </w:r>
      <w:r>
        <w:rPr>
          <w:noProof/>
        </w:rPr>
      </w:r>
      <w:r>
        <w:rPr>
          <w:noProof/>
        </w:rPr>
        <w:fldChar w:fldCharType="separate"/>
      </w:r>
      <w:r>
        <w:rPr>
          <w:noProof/>
        </w:rPr>
        <w:t>13</w:t>
      </w:r>
      <w:r>
        <w:rPr>
          <w:noProof/>
        </w:rPr>
        <w:fldChar w:fldCharType="end"/>
      </w:r>
    </w:p>
    <w:p w14:paraId="1BC0D7D8" w14:textId="77777777" w:rsidR="00B45797" w:rsidRDefault="00B45797">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w:t>
      </w:r>
      <w:r>
        <w:rPr>
          <w:rFonts w:asciiTheme="minorHAnsi" w:eastAsiaTheme="minorEastAsia" w:hAnsiTheme="minorHAnsi" w:cstheme="minorBidi"/>
          <w:noProof/>
          <w:color w:val="auto"/>
          <w:spacing w:val="0"/>
          <w:kern w:val="0"/>
          <w:sz w:val="24"/>
          <w:szCs w:val="24"/>
          <w:lang w:val="en-US" w:eastAsia="ja-JP"/>
        </w:rPr>
        <w:tab/>
      </w:r>
      <w:r>
        <w:rPr>
          <w:noProof/>
        </w:rPr>
        <w:t>Integration status and plans</w:t>
      </w:r>
      <w:r>
        <w:rPr>
          <w:noProof/>
        </w:rPr>
        <w:tab/>
      </w:r>
      <w:r>
        <w:rPr>
          <w:noProof/>
        </w:rPr>
        <w:fldChar w:fldCharType="begin"/>
      </w:r>
      <w:r>
        <w:rPr>
          <w:noProof/>
        </w:rPr>
        <w:instrText xml:space="preserve"> PAGEREF _Toc327624040 \h </w:instrText>
      </w:r>
      <w:r>
        <w:rPr>
          <w:noProof/>
        </w:rPr>
      </w:r>
      <w:r>
        <w:rPr>
          <w:noProof/>
        </w:rPr>
        <w:fldChar w:fldCharType="separate"/>
      </w:r>
      <w:r>
        <w:rPr>
          <w:noProof/>
        </w:rPr>
        <w:t>15</w:t>
      </w:r>
      <w:r>
        <w:rPr>
          <w:noProof/>
        </w:rPr>
        <w:fldChar w:fldCharType="end"/>
      </w:r>
      <w:bookmarkStart w:id="0" w:name="_GoBack"/>
      <w:bookmarkEnd w:id="0"/>
    </w:p>
    <w:p w14:paraId="50254A17" w14:textId="77777777" w:rsidR="00B45797" w:rsidRDefault="00B45797">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4.1</w:t>
      </w:r>
      <w:r>
        <w:rPr>
          <w:rFonts w:asciiTheme="minorHAnsi" w:eastAsiaTheme="minorEastAsia" w:hAnsiTheme="minorHAnsi" w:cstheme="minorBidi"/>
          <w:noProof/>
          <w:color w:val="auto"/>
          <w:spacing w:val="0"/>
          <w:kern w:val="0"/>
          <w:sz w:val="24"/>
          <w:szCs w:val="24"/>
          <w:lang w:val="en-US" w:eastAsia="ja-JP"/>
        </w:rPr>
        <w:tab/>
      </w:r>
      <w:r>
        <w:rPr>
          <w:noProof/>
        </w:rPr>
        <w:t>CSC</w:t>
      </w:r>
      <w:r>
        <w:rPr>
          <w:noProof/>
        </w:rPr>
        <w:tab/>
      </w:r>
      <w:r>
        <w:rPr>
          <w:noProof/>
        </w:rPr>
        <w:fldChar w:fldCharType="begin"/>
      </w:r>
      <w:r>
        <w:rPr>
          <w:noProof/>
        </w:rPr>
        <w:instrText xml:space="preserve"> PAGEREF _Toc327624041 \h </w:instrText>
      </w:r>
      <w:r>
        <w:rPr>
          <w:noProof/>
        </w:rPr>
      </w:r>
      <w:r>
        <w:rPr>
          <w:noProof/>
        </w:rPr>
        <w:fldChar w:fldCharType="separate"/>
      </w:r>
      <w:r>
        <w:rPr>
          <w:noProof/>
        </w:rPr>
        <w:t>15</w:t>
      </w:r>
      <w:r>
        <w:rPr>
          <w:noProof/>
        </w:rPr>
        <w:fldChar w:fldCharType="end"/>
      </w:r>
    </w:p>
    <w:p w14:paraId="41983F47" w14:textId="77777777" w:rsidR="00B45797" w:rsidRDefault="00B45797">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4.2</w:t>
      </w:r>
      <w:r>
        <w:rPr>
          <w:rFonts w:asciiTheme="minorHAnsi" w:eastAsiaTheme="minorEastAsia" w:hAnsiTheme="minorHAnsi" w:cstheme="minorBidi"/>
          <w:noProof/>
          <w:color w:val="auto"/>
          <w:spacing w:val="0"/>
          <w:kern w:val="0"/>
          <w:sz w:val="24"/>
          <w:szCs w:val="24"/>
          <w:lang w:val="en-US" w:eastAsia="ja-JP"/>
        </w:rPr>
        <w:tab/>
      </w:r>
      <w:r>
        <w:rPr>
          <w:noProof/>
        </w:rPr>
        <w:t>CESNET</w:t>
      </w:r>
      <w:r>
        <w:rPr>
          <w:noProof/>
        </w:rPr>
        <w:tab/>
      </w:r>
      <w:r>
        <w:rPr>
          <w:noProof/>
        </w:rPr>
        <w:fldChar w:fldCharType="begin"/>
      </w:r>
      <w:r>
        <w:rPr>
          <w:noProof/>
        </w:rPr>
        <w:instrText xml:space="preserve"> PAGEREF _Toc327624042 \h </w:instrText>
      </w:r>
      <w:r>
        <w:rPr>
          <w:noProof/>
        </w:rPr>
      </w:r>
      <w:r>
        <w:rPr>
          <w:noProof/>
        </w:rPr>
        <w:fldChar w:fldCharType="separate"/>
      </w:r>
      <w:r>
        <w:rPr>
          <w:noProof/>
        </w:rPr>
        <w:t>16</w:t>
      </w:r>
      <w:r>
        <w:rPr>
          <w:noProof/>
        </w:rPr>
        <w:fldChar w:fldCharType="end"/>
      </w:r>
    </w:p>
    <w:p w14:paraId="08C0685A" w14:textId="77777777" w:rsidR="00B45797" w:rsidRDefault="00B45797">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4.3</w:t>
      </w:r>
      <w:r>
        <w:rPr>
          <w:rFonts w:asciiTheme="minorHAnsi" w:eastAsiaTheme="minorEastAsia" w:hAnsiTheme="minorHAnsi" w:cstheme="minorBidi"/>
          <w:noProof/>
          <w:color w:val="auto"/>
          <w:spacing w:val="0"/>
          <w:kern w:val="0"/>
          <w:sz w:val="24"/>
          <w:szCs w:val="24"/>
          <w:lang w:val="en-US" w:eastAsia="ja-JP"/>
        </w:rPr>
        <w:tab/>
      </w:r>
      <w:r>
        <w:rPr>
          <w:noProof/>
        </w:rPr>
        <w:t>CNRS</w:t>
      </w:r>
      <w:r>
        <w:rPr>
          <w:noProof/>
        </w:rPr>
        <w:tab/>
      </w:r>
      <w:r>
        <w:rPr>
          <w:noProof/>
        </w:rPr>
        <w:fldChar w:fldCharType="begin"/>
      </w:r>
      <w:r>
        <w:rPr>
          <w:noProof/>
        </w:rPr>
        <w:instrText xml:space="preserve"> PAGEREF _Toc327624043 \h </w:instrText>
      </w:r>
      <w:r>
        <w:rPr>
          <w:noProof/>
        </w:rPr>
      </w:r>
      <w:r>
        <w:rPr>
          <w:noProof/>
        </w:rPr>
        <w:fldChar w:fldCharType="separate"/>
      </w:r>
      <w:r>
        <w:rPr>
          <w:noProof/>
        </w:rPr>
        <w:t>17</w:t>
      </w:r>
      <w:r>
        <w:rPr>
          <w:noProof/>
        </w:rPr>
        <w:fldChar w:fldCharType="end"/>
      </w:r>
    </w:p>
    <w:p w14:paraId="58700B34" w14:textId="77777777" w:rsidR="00B45797" w:rsidRDefault="00B45797">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4.4</w:t>
      </w:r>
      <w:r>
        <w:rPr>
          <w:rFonts w:asciiTheme="minorHAnsi" w:eastAsiaTheme="minorEastAsia" w:hAnsiTheme="minorHAnsi" w:cstheme="minorBidi"/>
          <w:noProof/>
          <w:color w:val="auto"/>
          <w:spacing w:val="0"/>
          <w:kern w:val="0"/>
          <w:sz w:val="24"/>
          <w:szCs w:val="24"/>
          <w:lang w:val="en-US" w:eastAsia="ja-JP"/>
        </w:rPr>
        <w:tab/>
      </w:r>
      <w:r>
        <w:rPr>
          <w:noProof/>
        </w:rPr>
        <w:t>EMBL-EBI</w:t>
      </w:r>
      <w:r>
        <w:rPr>
          <w:noProof/>
        </w:rPr>
        <w:tab/>
      </w:r>
      <w:r>
        <w:rPr>
          <w:noProof/>
        </w:rPr>
        <w:fldChar w:fldCharType="begin"/>
      </w:r>
      <w:r>
        <w:rPr>
          <w:noProof/>
        </w:rPr>
        <w:instrText xml:space="preserve"> PAGEREF _Toc327624044 \h </w:instrText>
      </w:r>
      <w:r>
        <w:rPr>
          <w:noProof/>
        </w:rPr>
      </w:r>
      <w:r>
        <w:rPr>
          <w:noProof/>
        </w:rPr>
        <w:fldChar w:fldCharType="separate"/>
      </w:r>
      <w:r>
        <w:rPr>
          <w:noProof/>
        </w:rPr>
        <w:t>17</w:t>
      </w:r>
      <w:r>
        <w:rPr>
          <w:noProof/>
        </w:rPr>
        <w:fldChar w:fldCharType="end"/>
      </w:r>
    </w:p>
    <w:p w14:paraId="5D6AA0CE" w14:textId="77777777" w:rsidR="00B45797" w:rsidRDefault="00B45797">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4.5</w:t>
      </w:r>
      <w:r>
        <w:rPr>
          <w:rFonts w:asciiTheme="minorHAnsi" w:eastAsiaTheme="minorEastAsia" w:hAnsiTheme="minorHAnsi" w:cstheme="minorBidi"/>
          <w:noProof/>
          <w:color w:val="auto"/>
          <w:spacing w:val="0"/>
          <w:kern w:val="0"/>
          <w:sz w:val="24"/>
          <w:szCs w:val="24"/>
          <w:lang w:val="en-US" w:eastAsia="ja-JP"/>
        </w:rPr>
        <w:tab/>
      </w:r>
      <w:r>
        <w:rPr>
          <w:noProof/>
        </w:rPr>
        <w:t>GRNET</w:t>
      </w:r>
      <w:r>
        <w:rPr>
          <w:noProof/>
        </w:rPr>
        <w:tab/>
      </w:r>
      <w:r>
        <w:rPr>
          <w:noProof/>
        </w:rPr>
        <w:fldChar w:fldCharType="begin"/>
      </w:r>
      <w:r>
        <w:rPr>
          <w:noProof/>
        </w:rPr>
        <w:instrText xml:space="preserve"> PAGEREF _Toc327624045 \h </w:instrText>
      </w:r>
      <w:r>
        <w:rPr>
          <w:noProof/>
        </w:rPr>
      </w:r>
      <w:r>
        <w:rPr>
          <w:noProof/>
        </w:rPr>
        <w:fldChar w:fldCharType="separate"/>
      </w:r>
      <w:r>
        <w:rPr>
          <w:noProof/>
        </w:rPr>
        <w:t>18</w:t>
      </w:r>
      <w:r>
        <w:rPr>
          <w:noProof/>
        </w:rPr>
        <w:fldChar w:fldCharType="end"/>
      </w:r>
    </w:p>
    <w:p w14:paraId="5EA7F3A6" w14:textId="77777777" w:rsidR="00B45797" w:rsidRDefault="00B45797">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4.6</w:t>
      </w:r>
      <w:r>
        <w:rPr>
          <w:rFonts w:asciiTheme="minorHAnsi" w:eastAsiaTheme="minorEastAsia" w:hAnsiTheme="minorHAnsi" w:cstheme="minorBidi"/>
          <w:noProof/>
          <w:color w:val="auto"/>
          <w:spacing w:val="0"/>
          <w:kern w:val="0"/>
          <w:sz w:val="24"/>
          <w:szCs w:val="24"/>
          <w:lang w:val="en-US" w:eastAsia="ja-JP"/>
        </w:rPr>
        <w:tab/>
      </w:r>
      <w:r>
        <w:rPr>
          <w:noProof/>
        </w:rPr>
        <w:t>Jetstream</w:t>
      </w:r>
      <w:r>
        <w:rPr>
          <w:noProof/>
        </w:rPr>
        <w:tab/>
      </w:r>
      <w:r>
        <w:rPr>
          <w:noProof/>
        </w:rPr>
        <w:fldChar w:fldCharType="begin"/>
      </w:r>
      <w:r>
        <w:rPr>
          <w:noProof/>
        </w:rPr>
        <w:instrText xml:space="preserve"> PAGEREF _Toc327624046 \h </w:instrText>
      </w:r>
      <w:r>
        <w:rPr>
          <w:noProof/>
        </w:rPr>
      </w:r>
      <w:r>
        <w:rPr>
          <w:noProof/>
        </w:rPr>
        <w:fldChar w:fldCharType="separate"/>
      </w:r>
      <w:r>
        <w:rPr>
          <w:noProof/>
        </w:rPr>
        <w:t>19</w:t>
      </w:r>
      <w:r>
        <w:rPr>
          <w:noProof/>
        </w:rPr>
        <w:fldChar w:fldCharType="end"/>
      </w:r>
    </w:p>
    <w:p w14:paraId="6C3B07F6" w14:textId="77777777" w:rsidR="00B45797" w:rsidRDefault="00B45797">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w:t>
      </w:r>
      <w:r>
        <w:rPr>
          <w:rFonts w:asciiTheme="minorHAnsi" w:eastAsiaTheme="minorEastAsia" w:hAnsiTheme="minorHAnsi" w:cstheme="minorBidi"/>
          <w:noProof/>
          <w:color w:val="auto"/>
          <w:spacing w:val="0"/>
          <w:kern w:val="0"/>
          <w:sz w:val="24"/>
          <w:szCs w:val="24"/>
          <w:lang w:val="en-US" w:eastAsia="ja-JP"/>
        </w:rPr>
        <w:tab/>
      </w:r>
      <w:r>
        <w:rPr>
          <w:noProof/>
        </w:rPr>
        <w:t>Report on AAI integration</w:t>
      </w:r>
      <w:r>
        <w:rPr>
          <w:noProof/>
        </w:rPr>
        <w:tab/>
      </w:r>
      <w:r>
        <w:rPr>
          <w:noProof/>
        </w:rPr>
        <w:fldChar w:fldCharType="begin"/>
      </w:r>
      <w:r>
        <w:rPr>
          <w:noProof/>
        </w:rPr>
        <w:instrText xml:space="preserve"> PAGEREF _Toc327624047 \h </w:instrText>
      </w:r>
      <w:r>
        <w:rPr>
          <w:noProof/>
        </w:rPr>
      </w:r>
      <w:r>
        <w:rPr>
          <w:noProof/>
        </w:rPr>
        <w:fldChar w:fldCharType="separate"/>
      </w:r>
      <w:r>
        <w:rPr>
          <w:noProof/>
        </w:rPr>
        <w:t>20</w:t>
      </w:r>
      <w:r>
        <w:rPr>
          <w:noProof/>
        </w:rPr>
        <w:fldChar w:fldCharType="end"/>
      </w:r>
    </w:p>
    <w:p w14:paraId="2FAD4E59" w14:textId="77777777" w:rsidR="00B45797" w:rsidRDefault="00B45797">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5.1</w:t>
      </w:r>
      <w:r>
        <w:rPr>
          <w:rFonts w:asciiTheme="minorHAnsi" w:eastAsiaTheme="minorEastAsia" w:hAnsiTheme="minorHAnsi" w:cstheme="minorBidi"/>
          <w:noProof/>
          <w:color w:val="auto"/>
          <w:spacing w:val="0"/>
          <w:kern w:val="0"/>
          <w:sz w:val="24"/>
          <w:szCs w:val="24"/>
          <w:lang w:val="en-US" w:eastAsia="ja-JP"/>
        </w:rPr>
        <w:tab/>
      </w:r>
      <w:r>
        <w:rPr>
          <w:noProof/>
        </w:rPr>
        <w:t>Integration of the ELIXIR AAI with the EGI AAI proxy</w:t>
      </w:r>
      <w:r>
        <w:rPr>
          <w:noProof/>
        </w:rPr>
        <w:tab/>
      </w:r>
      <w:r>
        <w:rPr>
          <w:noProof/>
        </w:rPr>
        <w:fldChar w:fldCharType="begin"/>
      </w:r>
      <w:r>
        <w:rPr>
          <w:noProof/>
        </w:rPr>
        <w:instrText xml:space="preserve"> PAGEREF _Toc327624048 \h </w:instrText>
      </w:r>
      <w:r>
        <w:rPr>
          <w:noProof/>
        </w:rPr>
      </w:r>
      <w:r>
        <w:rPr>
          <w:noProof/>
        </w:rPr>
        <w:fldChar w:fldCharType="separate"/>
      </w:r>
      <w:r>
        <w:rPr>
          <w:noProof/>
        </w:rPr>
        <w:t>20</w:t>
      </w:r>
      <w:r>
        <w:rPr>
          <w:noProof/>
        </w:rPr>
        <w:fldChar w:fldCharType="end"/>
      </w:r>
    </w:p>
    <w:p w14:paraId="26A3680D" w14:textId="77777777" w:rsidR="00B45797" w:rsidRDefault="00B45797">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5.2</w:t>
      </w:r>
      <w:r>
        <w:rPr>
          <w:rFonts w:asciiTheme="minorHAnsi" w:eastAsiaTheme="minorEastAsia" w:hAnsiTheme="minorHAnsi" w:cstheme="minorBidi"/>
          <w:noProof/>
          <w:color w:val="auto"/>
          <w:spacing w:val="0"/>
          <w:kern w:val="0"/>
          <w:sz w:val="24"/>
          <w:szCs w:val="24"/>
          <w:lang w:val="en-US" w:eastAsia="ja-JP"/>
        </w:rPr>
        <w:tab/>
      </w:r>
      <w:r>
        <w:rPr>
          <w:noProof/>
        </w:rPr>
        <w:t>Integration of GOCDB with the EGI AAI proxy</w:t>
      </w:r>
      <w:r>
        <w:rPr>
          <w:noProof/>
        </w:rPr>
        <w:tab/>
      </w:r>
      <w:r>
        <w:rPr>
          <w:noProof/>
        </w:rPr>
        <w:fldChar w:fldCharType="begin"/>
      </w:r>
      <w:r>
        <w:rPr>
          <w:noProof/>
        </w:rPr>
        <w:instrText xml:space="preserve"> PAGEREF _Toc327624049 \h </w:instrText>
      </w:r>
      <w:r>
        <w:rPr>
          <w:noProof/>
        </w:rPr>
      </w:r>
      <w:r>
        <w:rPr>
          <w:noProof/>
        </w:rPr>
        <w:fldChar w:fldCharType="separate"/>
      </w:r>
      <w:r>
        <w:rPr>
          <w:noProof/>
        </w:rPr>
        <w:t>22</w:t>
      </w:r>
      <w:r>
        <w:rPr>
          <w:noProof/>
        </w:rPr>
        <w:fldChar w:fldCharType="end"/>
      </w:r>
    </w:p>
    <w:p w14:paraId="65DB8BA5" w14:textId="77777777" w:rsidR="00B45797" w:rsidRDefault="00B45797">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5.3</w:t>
      </w:r>
      <w:r>
        <w:rPr>
          <w:rFonts w:asciiTheme="minorHAnsi" w:eastAsiaTheme="minorEastAsia" w:hAnsiTheme="minorHAnsi" w:cstheme="minorBidi"/>
          <w:noProof/>
          <w:color w:val="auto"/>
          <w:spacing w:val="0"/>
          <w:kern w:val="0"/>
          <w:sz w:val="24"/>
          <w:szCs w:val="24"/>
          <w:lang w:val="en-US" w:eastAsia="ja-JP"/>
        </w:rPr>
        <w:tab/>
      </w:r>
      <w:r>
        <w:rPr>
          <w:noProof/>
        </w:rPr>
        <w:t>Integration of AppDB with the EGI AAI proxy</w:t>
      </w:r>
      <w:r>
        <w:rPr>
          <w:noProof/>
        </w:rPr>
        <w:tab/>
      </w:r>
      <w:r>
        <w:rPr>
          <w:noProof/>
        </w:rPr>
        <w:fldChar w:fldCharType="begin"/>
      </w:r>
      <w:r>
        <w:rPr>
          <w:noProof/>
        </w:rPr>
        <w:instrText xml:space="preserve"> PAGEREF _Toc327624050 \h </w:instrText>
      </w:r>
      <w:r>
        <w:rPr>
          <w:noProof/>
        </w:rPr>
      </w:r>
      <w:r>
        <w:rPr>
          <w:noProof/>
        </w:rPr>
        <w:fldChar w:fldCharType="separate"/>
      </w:r>
      <w:r>
        <w:rPr>
          <w:noProof/>
        </w:rPr>
        <w:t>22</w:t>
      </w:r>
      <w:r>
        <w:rPr>
          <w:noProof/>
        </w:rPr>
        <w:fldChar w:fldCharType="end"/>
      </w:r>
    </w:p>
    <w:p w14:paraId="32891960" w14:textId="77777777" w:rsidR="00B45797" w:rsidRDefault="00B45797">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5.4</w:t>
      </w:r>
      <w:r>
        <w:rPr>
          <w:rFonts w:asciiTheme="minorHAnsi" w:eastAsiaTheme="minorEastAsia" w:hAnsiTheme="minorHAnsi" w:cstheme="minorBidi"/>
          <w:noProof/>
          <w:color w:val="auto"/>
          <w:spacing w:val="0"/>
          <w:kern w:val="0"/>
          <w:sz w:val="24"/>
          <w:szCs w:val="24"/>
          <w:lang w:val="en-US" w:eastAsia="ja-JP"/>
        </w:rPr>
        <w:tab/>
      </w:r>
      <w:r>
        <w:rPr>
          <w:noProof/>
        </w:rPr>
        <w:t>Integration of OpenStack with the EGI AAI proxy</w:t>
      </w:r>
      <w:r>
        <w:rPr>
          <w:noProof/>
        </w:rPr>
        <w:tab/>
      </w:r>
      <w:r>
        <w:rPr>
          <w:noProof/>
        </w:rPr>
        <w:fldChar w:fldCharType="begin"/>
      </w:r>
      <w:r>
        <w:rPr>
          <w:noProof/>
        </w:rPr>
        <w:instrText xml:space="preserve"> PAGEREF _Toc327624051 \h </w:instrText>
      </w:r>
      <w:r>
        <w:rPr>
          <w:noProof/>
        </w:rPr>
      </w:r>
      <w:r>
        <w:rPr>
          <w:noProof/>
        </w:rPr>
        <w:fldChar w:fldCharType="separate"/>
      </w:r>
      <w:r>
        <w:rPr>
          <w:noProof/>
        </w:rPr>
        <w:t>23</w:t>
      </w:r>
      <w:r>
        <w:rPr>
          <w:noProof/>
        </w:rPr>
        <w:fldChar w:fldCharType="end"/>
      </w:r>
    </w:p>
    <w:p w14:paraId="509F48F2" w14:textId="77777777" w:rsidR="00B45797" w:rsidRDefault="00B45797">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6</w:t>
      </w:r>
      <w:r>
        <w:rPr>
          <w:rFonts w:asciiTheme="minorHAnsi" w:eastAsiaTheme="minorEastAsia" w:hAnsiTheme="minorHAnsi" w:cstheme="minorBidi"/>
          <w:noProof/>
          <w:color w:val="auto"/>
          <w:spacing w:val="0"/>
          <w:kern w:val="0"/>
          <w:sz w:val="24"/>
          <w:szCs w:val="24"/>
          <w:lang w:val="en-US" w:eastAsia="ja-JP"/>
        </w:rPr>
        <w:tab/>
      </w:r>
      <w:r>
        <w:rPr>
          <w:noProof/>
        </w:rPr>
        <w:t>Summary and next steps</w:t>
      </w:r>
      <w:r>
        <w:rPr>
          <w:noProof/>
        </w:rPr>
        <w:tab/>
      </w:r>
      <w:r>
        <w:rPr>
          <w:noProof/>
        </w:rPr>
        <w:fldChar w:fldCharType="begin"/>
      </w:r>
      <w:r>
        <w:rPr>
          <w:noProof/>
        </w:rPr>
        <w:instrText xml:space="preserve"> PAGEREF _Toc327624052 \h </w:instrText>
      </w:r>
      <w:r>
        <w:rPr>
          <w:noProof/>
        </w:rPr>
      </w:r>
      <w:r>
        <w:rPr>
          <w:noProof/>
        </w:rPr>
        <w:fldChar w:fldCharType="separate"/>
      </w:r>
      <w:r>
        <w:rPr>
          <w:noProof/>
        </w:rPr>
        <w:t>25</w:t>
      </w:r>
      <w:r>
        <w:rPr>
          <w:noProof/>
        </w:rPr>
        <w:fldChar w:fldCharType="end"/>
      </w:r>
    </w:p>
    <w:p w14:paraId="09BE5A49" w14:textId="77777777" w:rsidR="00B45797" w:rsidRDefault="00B45797">
      <w:pPr>
        <w:pStyle w:val="TOC1"/>
        <w:tabs>
          <w:tab w:val="left" w:pos="1266"/>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Appendix I.</w:t>
      </w:r>
      <w:r>
        <w:rPr>
          <w:rFonts w:asciiTheme="minorHAnsi" w:eastAsiaTheme="minorEastAsia" w:hAnsiTheme="minorHAnsi" w:cstheme="minorBidi"/>
          <w:noProof/>
          <w:color w:val="auto"/>
          <w:spacing w:val="0"/>
          <w:kern w:val="0"/>
          <w:sz w:val="24"/>
          <w:szCs w:val="24"/>
          <w:lang w:val="en-US" w:eastAsia="ja-JP"/>
        </w:rPr>
        <w:tab/>
      </w:r>
      <w:r>
        <w:rPr>
          <w:noProof/>
        </w:rPr>
        <w:t>User roles and permissions in GOCDB</w:t>
      </w:r>
      <w:r>
        <w:rPr>
          <w:noProof/>
        </w:rPr>
        <w:tab/>
      </w:r>
      <w:r>
        <w:rPr>
          <w:noProof/>
        </w:rPr>
        <w:fldChar w:fldCharType="begin"/>
      </w:r>
      <w:r>
        <w:rPr>
          <w:noProof/>
        </w:rPr>
        <w:instrText xml:space="preserve"> PAGEREF _Toc327624053 \h </w:instrText>
      </w:r>
      <w:r>
        <w:rPr>
          <w:noProof/>
        </w:rPr>
      </w:r>
      <w:r>
        <w:rPr>
          <w:noProof/>
        </w:rPr>
        <w:fldChar w:fldCharType="separate"/>
      </w:r>
      <w:r>
        <w:rPr>
          <w:noProof/>
        </w:rPr>
        <w:t>26</w:t>
      </w:r>
      <w:r>
        <w:rPr>
          <w:noProof/>
        </w:rPr>
        <w:fldChar w:fldCharType="end"/>
      </w:r>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lastRenderedPageBreak/>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325C785C" w14:textId="77777777" w:rsidR="00462704"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w:t>
      </w:r>
    </w:p>
    <w:p w14:paraId="7CFC40D2" w14:textId="18E4D8A6" w:rsidR="00462704" w:rsidRDefault="00462704" w:rsidP="00462704">
      <w:pPr>
        <w:pStyle w:val="ListParagraph"/>
        <w:numPr>
          <w:ilvl w:val="0"/>
          <w:numId w:val="40"/>
        </w:numPr>
      </w:pPr>
      <w:r>
        <w:t>describes</w:t>
      </w:r>
      <w:r w:rsidR="00431873">
        <w:t xml:space="preserve"> the concept of the ELIXIR Compute Platform and </w:t>
      </w:r>
      <w:r>
        <w:t xml:space="preserve">the </w:t>
      </w:r>
      <w:r w:rsidR="00431873">
        <w:t xml:space="preserve">responsibilities of </w:t>
      </w:r>
      <w:r>
        <w:t xml:space="preserve">participating </w:t>
      </w:r>
      <w:r w:rsidR="00431873">
        <w:t>service</w:t>
      </w:r>
      <w:r>
        <w:t xml:space="preserve"> providers</w:t>
      </w:r>
    </w:p>
    <w:p w14:paraId="202B61C8" w14:textId="5D634113" w:rsidR="00462704" w:rsidRDefault="00462704" w:rsidP="00462704">
      <w:pPr>
        <w:pStyle w:val="ListParagraph"/>
        <w:numPr>
          <w:ilvl w:val="0"/>
          <w:numId w:val="40"/>
        </w:numPr>
      </w:pPr>
      <w:r>
        <w:t>presents integration guidelines for cloud providers who are wishing to participate in this infrastructure and</w:t>
      </w:r>
    </w:p>
    <w:p w14:paraId="24074B1F" w14:textId="7BC6D7A0" w:rsidR="00431873" w:rsidRDefault="007A5850" w:rsidP="00462704">
      <w:pPr>
        <w:pStyle w:val="ListParagraph"/>
        <w:numPr>
          <w:ilvl w:val="0"/>
          <w:numId w:val="40"/>
        </w:numPr>
      </w:pPr>
      <w:proofErr w:type="gramStart"/>
      <w:r>
        <w:t>provides</w:t>
      </w:r>
      <w:proofErr w:type="gramEnd"/>
      <w:r>
        <w:t xml:space="preserve"> </w:t>
      </w:r>
      <w:r w:rsidR="00462704">
        <w:t xml:space="preserve">status update about the completed, ongoing and planned integration of cloud resources </w:t>
      </w:r>
      <w:r>
        <w:t>into the platform by</w:t>
      </w:r>
      <w:r w:rsidR="00462704">
        <w:t xml:space="preserve"> CC members. </w:t>
      </w:r>
    </w:p>
    <w:p w14:paraId="2390E1DE" w14:textId="260BCB77" w:rsidR="00AF7142"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79A7C402" w14:textId="1E62F12A" w:rsidR="00C3237F" w:rsidRDefault="007A5850" w:rsidP="00C3237F">
      <w:r>
        <w:t xml:space="preserve">The core elements of the platform are now available. </w:t>
      </w:r>
      <w:r w:rsidR="008A7C63">
        <w:t xml:space="preserve">Two </w:t>
      </w:r>
      <w:r>
        <w:t xml:space="preserve">cloud </w:t>
      </w:r>
      <w:r w:rsidR="008A7C63">
        <w:t>sites (CESNET and GRNET</w:t>
      </w:r>
      <w:r w:rsidR="00C3237F">
        <w:t xml:space="preserve">) are already fully </w:t>
      </w:r>
      <w:r w:rsidR="0082118F">
        <w:t>integrated</w:t>
      </w:r>
      <w:r>
        <w:t xml:space="preserve"> into it</w:t>
      </w:r>
      <w:r w:rsidR="0082118F">
        <w:t>;</w:t>
      </w:r>
      <w:r w:rsidR="00C3237F">
        <w:t xml:space="preserve"> one site is in</w:t>
      </w:r>
      <w:r w:rsidR="00D67468">
        <w:t xml:space="preserve"> the piloting phase</w:t>
      </w:r>
      <w:r w:rsidR="00C3237F">
        <w:t xml:space="preserve"> (</w:t>
      </w:r>
      <w:r w:rsidR="008A7C63">
        <w:t>EMBL-</w:t>
      </w:r>
      <w:r w:rsidR="00D67468">
        <w:t>EBI);</w:t>
      </w:r>
      <w:r w:rsidR="0082118F">
        <w:t xml:space="preserve"> one</w:t>
      </w:r>
      <w:r w:rsidR="00C3237F">
        <w:t xml:space="preserve"> </w:t>
      </w:r>
      <w:r w:rsidR="00D67468">
        <w:t>is in preparation</w:t>
      </w:r>
      <w:r w:rsidR="00C3237F">
        <w:t xml:space="preserve"> (</w:t>
      </w:r>
      <w:proofErr w:type="spellStart"/>
      <w:r w:rsidR="009014DB">
        <w:t>JetStream</w:t>
      </w:r>
      <w:proofErr w:type="spellEnd"/>
      <w:r w:rsidR="009014DB">
        <w:t>)</w:t>
      </w:r>
      <w:r w:rsidR="00C97FAC">
        <w:t xml:space="preserve"> and</w:t>
      </w:r>
      <w:r w:rsidR="009014DB">
        <w:t xml:space="preserve"> one </w:t>
      </w:r>
      <w:r w:rsidR="00D67468">
        <w:t xml:space="preserve">is </w:t>
      </w:r>
      <w:r w:rsidR="009014DB">
        <w:t>considering</w:t>
      </w:r>
      <w:r>
        <w:t xml:space="preserve"> joining  (CSC)</w:t>
      </w:r>
      <w:r w:rsidR="00C3237F">
        <w:t xml:space="preserve">. Instructions for integrating new resources </w:t>
      </w:r>
      <w:r w:rsidR="00462704">
        <w:t xml:space="preserve">(OpenStack, </w:t>
      </w:r>
      <w:proofErr w:type="spellStart"/>
      <w:r w:rsidR="00462704">
        <w:t>OpenNebula</w:t>
      </w:r>
      <w:proofErr w:type="spellEnd"/>
      <w:r w:rsidR="00462704">
        <w:t xml:space="preserve">, </w:t>
      </w:r>
      <w:proofErr w:type="spellStart"/>
      <w:r w:rsidR="00462704">
        <w:t>Synnefo</w:t>
      </w:r>
      <w:proofErr w:type="spellEnd"/>
      <w:r w:rsidR="00462704">
        <w:t xml:space="preserve">) </w:t>
      </w:r>
      <w:r w:rsidR="00C3237F">
        <w:t xml:space="preserve">to EGI Federated Cloud are summed up and the experiences from the integration </w:t>
      </w:r>
      <w:r w:rsidR="0082118F">
        <w:t>process are</w:t>
      </w:r>
      <w:r w:rsidR="00C3237F">
        <w:t xml:space="preserve"> discussed.</w:t>
      </w:r>
    </w:p>
    <w:p w14:paraId="4A0CA856" w14:textId="306D3978" w:rsidR="00C3237F" w:rsidRDefault="00462704" w:rsidP="00C3237F">
      <w:r>
        <w:t>Extra attention</w:t>
      </w:r>
      <w:r w:rsidR="00C3237F">
        <w:t xml:space="preserve"> is given </w:t>
      </w:r>
      <w:r w:rsidR="007A5850">
        <w:t xml:space="preserve">in the document </w:t>
      </w:r>
      <w:r w:rsidR="00C3237F">
        <w:t xml:space="preserve">to the recent work related to the integration of the </w:t>
      </w:r>
      <w:r w:rsidR="007A5850">
        <w:t xml:space="preserve">EGI and ELIXIR </w:t>
      </w:r>
      <w:r w:rsidR="00C3237F">
        <w:t>Authentication and Authorization Infrastructures (AAI)</w:t>
      </w:r>
      <w:r w:rsidR="00AD2722">
        <w:t>. Th</w:t>
      </w:r>
      <w:r w:rsidR="007A5850">
        <w:t>e</w:t>
      </w:r>
      <w:r w:rsidR="00AD2722">
        <w:t xml:space="preserve"> integrated AAI</w:t>
      </w:r>
      <w:r w:rsidR="0082118F">
        <w:t xml:space="preserve"> </w:t>
      </w:r>
      <w:r w:rsidR="00C3237F">
        <w:t xml:space="preserve">will play a key role in the </w:t>
      </w:r>
      <w:r w:rsidR="00AD2722">
        <w:t xml:space="preserve">seamless </w:t>
      </w:r>
      <w:r w:rsidR="007A5850">
        <w:t>access</w:t>
      </w:r>
      <w:r w:rsidR="00AD2722">
        <w:t xml:space="preserve"> of EGI services </w:t>
      </w:r>
      <w:r w:rsidR="007A5850">
        <w:t>by</w:t>
      </w:r>
      <w:r w:rsidR="00AD2722">
        <w:t xml:space="preserve"> life science communities. </w:t>
      </w:r>
    </w:p>
    <w:p w14:paraId="61B0536D" w14:textId="18866B8F" w:rsidR="00431873" w:rsidRDefault="00431873" w:rsidP="00431873"/>
    <w:p w14:paraId="4DA5A34E" w14:textId="06F3CB52" w:rsidR="0061075F" w:rsidRDefault="00054EFF">
      <w:pPr>
        <w:pStyle w:val="Heading1"/>
        <w:numPr>
          <w:ilvl w:val="0"/>
          <w:numId w:val="1"/>
        </w:numPr>
      </w:pPr>
      <w:bookmarkStart w:id="1" w:name="_Toc428966022"/>
      <w:bookmarkStart w:id="2" w:name="_Toc327624033"/>
      <w:bookmarkEnd w:id="1"/>
      <w:r>
        <w:lastRenderedPageBreak/>
        <w:t>Introduction</w:t>
      </w:r>
      <w:bookmarkEnd w:id="2"/>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3C839E61"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w:t>
      </w:r>
      <w:r w:rsidR="00EB6FC7">
        <w:t xml:space="preserve">experts from EGI within the CC. Exchange information to make these communities better aware of current and emerging services and needs. </w:t>
      </w:r>
    </w:p>
    <w:p w14:paraId="5F65BC57" w14:textId="2D3CA2E0"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w:t>
      </w:r>
      <w:r w:rsidR="00B6081C">
        <w:t xml:space="preserve">the </w:t>
      </w:r>
      <w:r w:rsidRPr="009329A2">
        <w:t>ELIXIR and EGI communities. Analyse the e-infrastructure requirements of the use cases.</w:t>
      </w:r>
      <w:r w:rsidR="007A5850">
        <w:t xml:space="preserve"> (These have been documented in M6.3 document</w:t>
      </w:r>
      <w:r w:rsidR="007A5850">
        <w:rPr>
          <w:rStyle w:val="FootnoteReference"/>
        </w:rPr>
        <w:footnoteReference w:id="5"/>
      </w:r>
      <w:r w:rsidR="007A5850">
        <w:t>)</w:t>
      </w:r>
    </w:p>
    <w:p w14:paraId="5CF74A6B" w14:textId="0072DC15" w:rsidR="00431873" w:rsidRPr="009329A2" w:rsidRDefault="00431873" w:rsidP="00431873">
      <w:pPr>
        <w:pStyle w:val="ListParagraph"/>
        <w:numPr>
          <w:ilvl w:val="0"/>
          <w:numId w:val="7"/>
        </w:numPr>
        <w:suppressAutoHyphens w:val="0"/>
      </w:pPr>
      <w:r w:rsidRPr="009329A2">
        <w:t>Implement the use cases as demonstrators based on EGI</w:t>
      </w:r>
      <w:r w:rsidR="008A7C63">
        <w:t>’s</w:t>
      </w:r>
      <w:r w:rsidRPr="009329A2">
        <w:t xml:space="preserve"> e-infrastructure services. Collaborate during implementation with relevant EGI </w:t>
      </w:r>
      <w:r w:rsidR="00B6081C">
        <w:t xml:space="preserve">and ELIXIR partners, such </w:t>
      </w:r>
      <w:proofErr w:type="gramStart"/>
      <w:r w:rsidR="00B6081C">
        <w:t xml:space="preserve">as </w:t>
      </w:r>
      <w:r w:rsidRPr="009329A2">
        <w:t xml:space="preserve"> EUDAT</w:t>
      </w:r>
      <w:proofErr w:type="gramEnd"/>
      <w:r w:rsidRPr="009329A2">
        <w:rPr>
          <w:rStyle w:val="FootnoteReference"/>
        </w:rPr>
        <w:footnoteReference w:id="6"/>
      </w:r>
      <w:r>
        <w:t xml:space="preserve"> to </w:t>
      </w:r>
      <w:r w:rsidR="007A5850">
        <w:t>establish</w:t>
      </w:r>
      <w:r>
        <w:t xml:space="preserve"> a generic infrastructure, the ‘ELIXIR Compute Platform’</w:t>
      </w:r>
      <w:r w:rsidR="007A5850">
        <w:t>,</w:t>
      </w:r>
      <w:r>
        <w:t xml:space="preserve"> that can underpin demonstra</w:t>
      </w:r>
      <w:r w:rsidR="00EB6FC7">
        <w:t>tors and production services</w:t>
      </w:r>
      <w:r>
        <w:t xml:space="preserve">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F8D1E81" w14:textId="48DAB488" w:rsidR="00431873" w:rsidRDefault="00431873" w:rsidP="007A5850">
      <w:pPr>
        <w:ind w:left="360"/>
      </w:pPr>
      <w:proofErr w:type="gramStart"/>
      <w:r w:rsidRPr="009329A2">
        <w:t>The document was written by life science and e-infrastructure experts</w:t>
      </w:r>
      <w:proofErr w:type="gramEnd"/>
      <w:r w:rsidRPr="009329A2">
        <w:t xml:space="preserve"> from ELIXIR and EGI</w:t>
      </w:r>
      <w:r>
        <w:t xml:space="preserve"> who are </w:t>
      </w:r>
      <w:r w:rsidR="007A5850">
        <w:t>brought together within the CC.</w:t>
      </w:r>
    </w:p>
    <w:p w14:paraId="4F5BB827" w14:textId="5F2B7330" w:rsidR="00A75645" w:rsidRDefault="00A75645">
      <w:pPr>
        <w:pStyle w:val="Heading1"/>
        <w:numPr>
          <w:ilvl w:val="0"/>
          <w:numId w:val="1"/>
        </w:numPr>
      </w:pPr>
      <w:bookmarkStart w:id="3" w:name="_Toc327624034"/>
      <w:r>
        <w:lastRenderedPageBreak/>
        <w:t>The ELIXIR Compute Platform</w:t>
      </w:r>
      <w:r w:rsidR="0096273D">
        <w:t>; R</w:t>
      </w:r>
      <w:r>
        <w:t>ole of service providers</w:t>
      </w:r>
      <w:bookmarkEnd w:id="3"/>
    </w:p>
    <w:p w14:paraId="4CE8E97A" w14:textId="094C919D"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 xml:space="preserve">demonstrator use cases of the </w:t>
      </w:r>
      <w:proofErr w:type="gramStart"/>
      <w:r>
        <w:t>CC  will</w:t>
      </w:r>
      <w:proofErr w:type="gramEnd"/>
      <w:r>
        <w:t xml:space="preserve"> also use this platform.</w:t>
      </w:r>
    </w:p>
    <w:p w14:paraId="42D67B9E" w14:textId="1C1CB7CA" w:rsidR="00A75645" w:rsidRPr="009329A2" w:rsidRDefault="00A75645" w:rsidP="00A75645">
      <w:r w:rsidRPr="009329A2">
        <w:t xml:space="preserve">The need for an ELIXIR reference technical architecture was first discussed during a </w:t>
      </w:r>
      <w:proofErr w:type="spellStart"/>
      <w:r w:rsidRPr="009329A2">
        <w:t>BioMedBridges</w:t>
      </w:r>
      <w:proofErr w:type="spellEnd"/>
      <w:r w:rsidRPr="009329A2">
        <w:t xml:space="preserve"> e-Infrastructure workshop in May 2014, where reference was made to the MONARC report</w:t>
      </w:r>
      <w:r w:rsidRPr="009329A2">
        <w:rPr>
          <w:rStyle w:val="FootnoteReference"/>
        </w:rPr>
        <w:footnoteReference w:id="7"/>
      </w:r>
      <w:r w:rsidRPr="009329A2">
        <w:t xml:space="preserve"> that formed the basis of the Tiered model that was initially adopted by </w:t>
      </w:r>
      <w:r w:rsidR="00B6081C">
        <w:t xml:space="preserve">the </w:t>
      </w:r>
      <w:r w:rsidRPr="009329A2">
        <w:t>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w:t>
      </w:r>
      <w:r w:rsidR="00102545">
        <w:t>mpute Platform. The platform will</w:t>
      </w:r>
      <w:r w:rsidRPr="009329A2">
        <w:t xml:space="preserve"> not only support the ELIXIR-EXCELERATE Scientific Use Cases, but a vast range of other data 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2C376E74" w:rsidR="00A75645" w:rsidRPr="009329A2" w:rsidRDefault="00102545" w:rsidP="00A75645">
      <w:pPr>
        <w:pStyle w:val="ListParagraph"/>
        <w:numPr>
          <w:ilvl w:val="0"/>
          <w:numId w:val="9"/>
        </w:numPr>
        <w:suppressAutoHyphens w:val="0"/>
      </w:pPr>
      <w:r>
        <w:t>Hosting web based analysis services</w:t>
      </w:r>
      <w:r w:rsidR="00A75645" w:rsidRPr="009329A2">
        <w:t xml:space="preserve"> that deploy a network of virtual machine images onto distributed cloud resources operated for ELIXIR users for large scientific analysis.</w:t>
      </w:r>
    </w:p>
    <w:p w14:paraId="1EF8D20E" w14:textId="7CAF8501" w:rsidR="00A75645" w:rsidRPr="009329A2" w:rsidRDefault="00A75645" w:rsidP="00A75645">
      <w:pPr>
        <w:pStyle w:val="ListParagraph"/>
        <w:numPr>
          <w:ilvl w:val="0"/>
          <w:numId w:val="9"/>
        </w:numPr>
        <w:suppressAutoHyphens w:val="0"/>
      </w:pPr>
      <w:r w:rsidRPr="009329A2">
        <w:t>Provisi</w:t>
      </w:r>
      <w:r>
        <w:t>oni</w:t>
      </w:r>
      <w:r w:rsidRPr="009329A2">
        <w:t xml:space="preserve">ng ‘Desktop as a Service’ where researchers are able to obtain a desktop image (e.g. </w:t>
      </w:r>
      <w:proofErr w:type="spellStart"/>
      <w:r w:rsidRPr="009329A2">
        <w:t>BioLinux</w:t>
      </w:r>
      <w:proofErr w:type="spellEnd"/>
      <w:r w:rsidRPr="009329A2">
        <w:t>) in a cloud that they can use for their data analysis activities that is alway</w:t>
      </w:r>
      <w:r w:rsidR="00A10FC5">
        <w:t>s available</w:t>
      </w:r>
      <w:r w:rsidRPr="009329A2">
        <w:t xml:space="preserve"> for their use.</w:t>
      </w:r>
    </w:p>
    <w:p w14:paraId="4A9F1BA8" w14:textId="16E182BA" w:rsidR="00A75645" w:rsidRPr="009329A2" w:rsidRDefault="00A75645" w:rsidP="00A75645">
      <w:r w:rsidRPr="009329A2">
        <w:t>The role of ELIXIR and the ELIXIR-EXCELERATE proposal is not to undertake middleware development. Instead the focus is on leveraging the investment that has already been made in services that can be integrated for our needs and steer future developme</w:t>
      </w:r>
      <w:r w:rsidR="00102545">
        <w:t xml:space="preserve">nt priorities. Essentially, the </w:t>
      </w:r>
      <w:r w:rsidRPr="009329A2">
        <w:t xml:space="preserve">role </w:t>
      </w:r>
      <w:r w:rsidR="00102545">
        <w:t xml:space="preserve">of ECP </w:t>
      </w:r>
      <w:r w:rsidRPr="009329A2">
        <w:t xml:space="preserve">is to define a minimal ‘neck’ of an hourglass that ELIXIR Researchers and </w:t>
      </w:r>
      <w:r w:rsidRPr="009329A2">
        <w:lastRenderedPageBreak/>
        <w:t>Application Developers can build upon and that ELIXIR Nodes and other infrastructure service providers can deploy and support. The ECP is envisaged to consist of the following service groups:</w:t>
      </w:r>
    </w:p>
    <w:p w14:paraId="54F4DB30" w14:textId="6FBE4181"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8"/>
      </w:r>
      <w:r w:rsidRPr="009329A2">
        <w:t xml:space="preserve"> for ‘ELIXIR infrastructure services’ (all other services). </w:t>
      </w:r>
      <w:r w:rsidR="00A10FC5">
        <w:t>ELIXIR has been</w:t>
      </w:r>
      <w:r w:rsidR="00AD2722">
        <w:t xml:space="preserve"> working with EGI to connect the ELIXIR AAI and EGI AAI services to offer seamless access to EGI services for life science users.</w:t>
      </w:r>
      <w:r w:rsidR="00A10FC5" w:rsidRPr="00A10FC5">
        <w:t xml:space="preserve"> </w:t>
      </w:r>
      <w:r w:rsidR="00A10FC5" w:rsidRPr="009329A2">
        <w:t xml:space="preserve">The </w:t>
      </w:r>
      <w:r w:rsidR="00A10FC5">
        <w:t xml:space="preserve">basic </w:t>
      </w:r>
      <w:r w:rsidR="00102545">
        <w:t>ELIXIR AAI environment has been</w:t>
      </w:r>
      <w:r w:rsidR="00A10FC5" w:rsidRPr="009329A2">
        <w:t xml:space="preserve"> available since the end of 2015</w:t>
      </w:r>
      <w:r w:rsidR="00A10FC5">
        <w:t xml:space="preserve"> and further developments and refinements are coming during 2016</w:t>
      </w:r>
      <w:r w:rsidR="00A10FC5" w:rsidRPr="009329A2">
        <w:t>.</w:t>
      </w:r>
      <w:r w:rsidR="00A10FC5">
        <w:t xml:space="preserve"> </w:t>
      </w:r>
      <w:r w:rsidR="00176578">
        <w:t xml:space="preserve"> Section 5.1 provides a summary of this work. </w:t>
      </w:r>
    </w:p>
    <w:p w14:paraId="5089B480" w14:textId="1EFD76BE"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63619F95" w:rsidR="00A75645" w:rsidRPr="009329A2" w:rsidRDefault="00A75645" w:rsidP="00A75645">
      <w:pPr>
        <w:pStyle w:val="ListParagraph"/>
        <w:numPr>
          <w:ilvl w:val="0"/>
          <w:numId w:val="10"/>
        </w:numPr>
        <w:suppressAutoHyphens w:val="0"/>
      </w:pPr>
      <w:r w:rsidRPr="009329A2">
        <w:t>Basic Infrastructure Services: Cloud IaaS, Cloud Storage or HTC/HPC Cluster resource</w:t>
      </w:r>
      <w:r w:rsidR="00A0274E">
        <w:t>s</w:t>
      </w:r>
      <w:r w:rsidRPr="009329A2">
        <w:t xml:space="preserve"> may be operated from within the ELIXIR community.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9"/>
      </w:r>
      <w:r w:rsidRPr="009329A2">
        <w:t xml:space="preserve">. </w:t>
      </w:r>
      <w:r w:rsidR="0096273D">
        <w:t xml:space="preserve">Priority focus is on cloud provisioning, and this is exactly in the </w:t>
      </w:r>
      <w:r w:rsidR="0058190B">
        <w:t xml:space="preserve">main </w:t>
      </w:r>
      <w:r w:rsidR="0096273D">
        <w:t xml:space="preserve">scope of this document: Providing </w:t>
      </w:r>
      <w:r w:rsidR="009B7E39">
        <w:t>guidelines</w:t>
      </w:r>
      <w:r w:rsidR="0096273D">
        <w:t xml:space="preserve"> for cloud resource providers about how to federate their services into the ELIXIR Compute Platform.</w:t>
      </w:r>
      <w:r w:rsidR="0058190B">
        <w:t xml:space="preserve"> Section </w:t>
      </w:r>
      <w:r w:rsidR="000B4507">
        <w:t>3</w:t>
      </w:r>
      <w:r w:rsidR="004F1DA2">
        <w:t xml:space="preserve"> </w:t>
      </w:r>
      <w:r w:rsidR="0058190B">
        <w:t xml:space="preserve">provides the related guidelines for service providers who are wishing to participate in the provisioning of the basic infrastructure services. </w:t>
      </w:r>
    </w:p>
    <w:p w14:paraId="6B02DF5A" w14:textId="43C0C431"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10"/>
      </w:r>
      <w:r w:rsidRPr="009329A2">
        <w:t>.</w:t>
      </w:r>
      <w:r w:rsidR="0096273D">
        <w:t xml:space="preserve"> </w:t>
      </w:r>
      <w:r w:rsidR="0058190B">
        <w:t xml:space="preserve">The use of the </w:t>
      </w:r>
      <w:r w:rsidR="0096273D">
        <w:t xml:space="preserve">GOCDB service registry </w:t>
      </w:r>
      <w:r w:rsidR="0058190B">
        <w:t xml:space="preserve">together </w:t>
      </w:r>
      <w:r w:rsidR="00176578">
        <w:t xml:space="preserve">(through </w:t>
      </w:r>
      <w:r w:rsidR="0058190B">
        <w:t xml:space="preserve">the ELIXIR </w:t>
      </w:r>
      <w:r w:rsidR="00176578">
        <w:t>AAI)</w:t>
      </w:r>
      <w:r w:rsidR="0058190B">
        <w:t xml:space="preserve"> is the high priority integration activity. This would enable simple and reliable discovery of the integrated infrastructure services</w:t>
      </w:r>
      <w:r w:rsidR="0096273D">
        <w:t xml:space="preserve"> discoverable by life science users</w:t>
      </w:r>
      <w:r w:rsidR="0058190B">
        <w:t xml:space="preserve"> and applications</w:t>
      </w:r>
      <w:r w:rsidR="0096273D">
        <w:t>.</w:t>
      </w:r>
      <w:r w:rsidR="0058190B">
        <w:t xml:space="preserve"> Section </w:t>
      </w:r>
      <w:r w:rsidR="004F1DA2">
        <w:t>5.2</w:t>
      </w:r>
      <w:r w:rsidR="0058190B">
        <w:t xml:space="preserve"> of this report summarises the outcome of this work. </w:t>
      </w:r>
    </w:p>
    <w:p w14:paraId="683F5DF4" w14:textId="39C9E76D" w:rsidR="00A75645" w:rsidRPr="009329A2" w:rsidRDefault="00A75645" w:rsidP="00A75645">
      <w:pPr>
        <w:pStyle w:val="ListParagraph"/>
        <w:numPr>
          <w:ilvl w:val="0"/>
          <w:numId w:val="10"/>
        </w:numPr>
        <w:suppressAutoHyphens w:val="0"/>
      </w:pPr>
      <w:r w:rsidRPr="009329A2">
        <w:t>Higher-Level Services: solutions that expand the platform to better serve specific use cases or use case categories. Competition among similar solution</w:t>
      </w:r>
      <w:r w:rsidR="0028559F">
        <w:t>s is expected in these high level services</w:t>
      </w:r>
      <w:r w:rsidRPr="009329A2">
        <w:t xml:space="preserve">. ELIXIR is working </w:t>
      </w:r>
      <w:r w:rsidR="0058190B">
        <w:t xml:space="preserve">with EGI to bring in solutions into this area. High priority activity in the CC is integrating and using the EGI </w:t>
      </w:r>
      <w:r w:rsidRPr="009329A2">
        <w:t>Virtual Machine</w:t>
      </w:r>
      <w:r w:rsidR="0096273D">
        <w:t>/</w:t>
      </w:r>
      <w:r w:rsidR="0058190B">
        <w:t xml:space="preserve">Virtual </w:t>
      </w:r>
      <w:r w:rsidR="0096273D">
        <w:t>Appliances</w:t>
      </w:r>
      <w:r w:rsidRPr="009329A2">
        <w:t xml:space="preserve"> Marketplace</w:t>
      </w:r>
      <w:r w:rsidR="0058190B">
        <w:rPr>
          <w:rStyle w:val="FootnoteReference"/>
        </w:rPr>
        <w:footnoteReference w:id="11"/>
      </w:r>
      <w:r w:rsidR="0096273D">
        <w:t xml:space="preserve"> </w:t>
      </w:r>
      <w:r w:rsidR="00176578">
        <w:t xml:space="preserve">of </w:t>
      </w:r>
      <w:proofErr w:type="spellStart"/>
      <w:r w:rsidR="00176578">
        <w:t>AppDB</w:t>
      </w:r>
      <w:proofErr w:type="spellEnd"/>
      <w:r w:rsidR="00176578">
        <w:t xml:space="preserve"> </w:t>
      </w:r>
      <w:r w:rsidR="0058190B">
        <w:t>in the ELIXIR Compute Platform</w:t>
      </w:r>
      <w:r w:rsidR="0096273D">
        <w:t>.</w:t>
      </w:r>
      <w:r w:rsidR="004F1DA2">
        <w:t xml:space="preserve"> Section</w:t>
      </w:r>
      <w:r w:rsidR="0058190B">
        <w:t xml:space="preserve"> </w:t>
      </w:r>
      <w:r w:rsidR="004F1DA2">
        <w:t xml:space="preserve">5.3 </w:t>
      </w:r>
      <w:r w:rsidR="0058190B">
        <w:t xml:space="preserve">of this report summarises the outcome of this work. </w:t>
      </w:r>
    </w:p>
    <w:p w14:paraId="51CBCE9F" w14:textId="77777777" w:rsidR="00A75645" w:rsidRPr="00A75645" w:rsidRDefault="00A75645" w:rsidP="00A75645"/>
    <w:p w14:paraId="5311519A" w14:textId="77777777" w:rsidR="00C9780E" w:rsidRDefault="00C9780E" w:rsidP="00C9780E">
      <w:pPr>
        <w:pStyle w:val="Heading1"/>
        <w:numPr>
          <w:ilvl w:val="0"/>
          <w:numId w:val="1"/>
        </w:numPr>
      </w:pPr>
      <w:bookmarkStart w:id="4" w:name="_Toc327624035"/>
      <w:r>
        <w:lastRenderedPageBreak/>
        <w:t>Integration guidelines for service providers</w:t>
      </w:r>
      <w:bookmarkEnd w:id="4"/>
    </w:p>
    <w:p w14:paraId="5A7472C3" w14:textId="708C54B4" w:rsidR="00C9780E" w:rsidRDefault="00C9780E" w:rsidP="00C9780E">
      <w:r>
        <w:t xml:space="preserve">The ELIXIR </w:t>
      </w:r>
      <w:r w:rsidR="005C44AB">
        <w:t xml:space="preserve">intends to use </w:t>
      </w:r>
      <w:r>
        <w:t xml:space="preserve">integration </w:t>
      </w:r>
      <w:r w:rsidR="005C44AB">
        <w:t xml:space="preserve">approach and </w:t>
      </w:r>
      <w:r>
        <w:t xml:space="preserve">technologies from the </w:t>
      </w:r>
      <w:r w:rsidRPr="00C16D0B">
        <w:t>EGI Federated</w:t>
      </w:r>
      <w:r>
        <w:t xml:space="preserve"> Cloud to establish the ‘basic infrastructure services’ layer </w:t>
      </w:r>
      <w:r w:rsidR="005C44AB">
        <w:t xml:space="preserve">of the ELIXIR Compute Platform </w:t>
      </w:r>
      <w:r>
        <w:t xml:space="preserve">(See section 2 for details). This section provides service deployment and configuration guidelines for cloud providers who are wishing to participate in </w:t>
      </w:r>
      <w:r w:rsidR="00087A2A">
        <w:t>this</w:t>
      </w:r>
      <w:r>
        <w:t xml:space="preserve"> ELIXIR Compute Platform ‘basic infrastructure services’ layer. The section begins with a description of the EGI Federated Cloud concept, then provides technology-specific integration information for OpenStack, </w:t>
      </w:r>
      <w:proofErr w:type="spellStart"/>
      <w:r>
        <w:t>OpenNebula</w:t>
      </w:r>
      <w:proofErr w:type="spellEnd"/>
      <w:r>
        <w:t xml:space="preserve"> and </w:t>
      </w:r>
      <w:proofErr w:type="spellStart"/>
      <w:r>
        <w:t>Synnefo</w:t>
      </w:r>
      <w:proofErr w:type="spellEnd"/>
      <w:r>
        <w:t xml:space="preserve"> cloud service providers</w:t>
      </w:r>
      <w:r>
        <w:rPr>
          <w:rStyle w:val="FootnoteReference"/>
        </w:rPr>
        <w:footnoteReference w:id="12"/>
      </w:r>
      <w:r>
        <w:t xml:space="preserve">. </w:t>
      </w:r>
    </w:p>
    <w:p w14:paraId="4063794F" w14:textId="4D983CC8" w:rsidR="00C9780E" w:rsidRDefault="00C9780E" w:rsidP="00C9780E">
      <w:pPr>
        <w:pStyle w:val="Heading2"/>
      </w:pPr>
      <w:bookmarkStart w:id="5" w:name="_Toc327624036"/>
      <w:r>
        <w:t>Generic concept</w:t>
      </w:r>
      <w:r w:rsidR="00304CA6">
        <w:t>s</w:t>
      </w:r>
      <w:bookmarkEnd w:id="5"/>
      <w:r w:rsidR="00304CA6">
        <w:t xml:space="preserve"> </w:t>
      </w:r>
    </w:p>
    <w:p w14:paraId="31E9F3D2" w14:textId="57F88082" w:rsidR="00A00C18" w:rsidRDefault="00C9780E" w:rsidP="00C9780E">
      <w:r>
        <w:t xml:space="preserve">The EGI Federated Cloud integrates public and community </w:t>
      </w:r>
      <w:r w:rsidRPr="00C16D0B">
        <w:t xml:space="preserve">clouds into a scalable computing platform for data and/or compute driven applications and services. </w:t>
      </w:r>
      <w:r w:rsidR="00304CA6">
        <w:t xml:space="preserve">Each cloud can provide ‘Infrastructure as a Service’ features for users, i.e. CPU/GPU computing, storage and network configuration. The </w:t>
      </w:r>
      <w:r w:rsidRPr="00C16D0B">
        <w:t xml:space="preserve">architecture </w:t>
      </w:r>
      <w:r w:rsidR="00304CA6">
        <w:t xml:space="preserve">of the EGI Federated Cloud </w:t>
      </w:r>
      <w:r w:rsidRPr="00C16D0B">
        <w:t xml:space="preserve">is based on the </w:t>
      </w:r>
      <w:r>
        <w:t>extension of the Cloud Management Frameworks deployed at the resource centres to provide a set of agreed uniform interfaces to</w:t>
      </w:r>
      <w:r w:rsidR="00087A2A">
        <w:t>wards</w:t>
      </w:r>
      <w:r>
        <w:t xml:space="preserve"> user</w:t>
      </w:r>
      <w:r w:rsidR="00087A2A">
        <w:t xml:space="preserve">s and towards infrastructure operators. </w:t>
      </w:r>
      <w:r>
        <w:t>The f</w:t>
      </w:r>
      <w:r w:rsidRPr="00C16D0B">
        <w:t xml:space="preserve">ederation </w:t>
      </w:r>
      <w:r w:rsidR="00087A2A">
        <w:t xml:space="preserve">allows resource </w:t>
      </w:r>
      <w:proofErr w:type="spellStart"/>
      <w:r w:rsidR="00087A2A">
        <w:t>centers</w:t>
      </w:r>
      <w:proofErr w:type="spellEnd"/>
      <w:r w:rsidR="00087A2A">
        <w:t xml:space="preserve"> to keep their autonomy in terms </w:t>
      </w:r>
      <w:r w:rsidRPr="00C16D0B">
        <w:t>of owner</w:t>
      </w:r>
      <w:r>
        <w:t xml:space="preserve">ship of the exposed </w:t>
      </w:r>
      <w:r w:rsidR="00087A2A">
        <w:t>cloud resources.</w:t>
      </w:r>
      <w:r>
        <w:t xml:space="preserve"> </w:t>
      </w:r>
      <w:r w:rsidRPr="00C16D0B">
        <w:t>EGI</w:t>
      </w:r>
      <w:r w:rsidR="00087A2A">
        <w:t>/ELIXIR</w:t>
      </w:r>
      <w:r w:rsidRPr="00C16D0B">
        <w:t xml:space="preserve"> does not mandate deploying any particular or speci</w:t>
      </w:r>
      <w:r>
        <w:t xml:space="preserve">fic Cloud Management </w:t>
      </w:r>
      <w:proofErr w:type="gramStart"/>
      <w:r>
        <w:t>Framework</w:t>
      </w:r>
      <w:r w:rsidRPr="00C16D0B">
        <w:t>,</w:t>
      </w:r>
      <w:proofErr w:type="gramEnd"/>
      <w:r w:rsidRPr="00C16D0B">
        <w:t xml:space="preserve"> providers should deploy the solution that fits best their individual needs whilst ensuring that the offered services implement the required interfaces</w:t>
      </w:r>
      <w:r>
        <w:t xml:space="preserve">.  Connectors currently exist to federate </w:t>
      </w:r>
      <w:proofErr w:type="spellStart"/>
      <w:r>
        <w:t>OpenNebula</w:t>
      </w:r>
      <w:proofErr w:type="spellEnd"/>
      <w:r>
        <w:t xml:space="preserve">, OpenStack and </w:t>
      </w:r>
      <w:proofErr w:type="spellStart"/>
      <w:r>
        <w:t>Synnefo</w:t>
      </w:r>
      <w:proofErr w:type="spellEnd"/>
      <w:r>
        <w:t xml:space="preserve"> clouds. Connectors to federate other types of clouds (e.g. </w:t>
      </w:r>
      <w:proofErr w:type="spellStart"/>
      <w:r>
        <w:t>StratusLab</w:t>
      </w:r>
      <w:proofErr w:type="spellEnd"/>
      <w:r>
        <w:t xml:space="preserve">) can be developed as a joint effort of EGI </w:t>
      </w:r>
      <w:r w:rsidR="00087A2A">
        <w:t xml:space="preserve">and ELIXIR (or other communities). </w:t>
      </w:r>
      <w:r w:rsidR="00F21603">
        <w:t xml:space="preserve">These clouds can be accessed in the federation through OCCI, </w:t>
      </w:r>
      <w:proofErr w:type="spellStart"/>
      <w:r w:rsidR="00F21603">
        <w:t>OpenStack</w:t>
      </w:r>
      <w:proofErr w:type="spellEnd"/>
      <w:r w:rsidR="00F21603">
        <w:t xml:space="preserve"> Nova interfaces, and through high level tools and orchestrators that are compatible with these (e.g. </w:t>
      </w:r>
      <w:proofErr w:type="spellStart"/>
      <w:r w:rsidR="00F21603">
        <w:t>Occopus</w:t>
      </w:r>
      <w:proofErr w:type="spellEnd"/>
      <w:r w:rsidR="00F21603">
        <w:t xml:space="preserve">, </w:t>
      </w:r>
      <w:proofErr w:type="spellStart"/>
      <w:r w:rsidR="00F21603">
        <w:t>Terraform</w:t>
      </w:r>
      <w:proofErr w:type="spellEnd"/>
      <w:r w:rsidR="00F21603">
        <w:t>, etc.)</w:t>
      </w:r>
    </w:p>
    <w:p w14:paraId="433196B4" w14:textId="12B4E494" w:rsidR="00C9780E" w:rsidRDefault="000B4507" w:rsidP="00C9780E">
      <w:r>
        <w:t>There are several ‘Virt</w:t>
      </w:r>
      <w:r w:rsidR="00A00C18">
        <w:t xml:space="preserve">ual Organisations’ (VOs) formed </w:t>
      </w:r>
      <w:r>
        <w:t>within the EGI Federated Cloud. Each VO</w:t>
      </w:r>
      <w:r w:rsidR="00A00C18">
        <w:t xml:space="preserve"> of the cloud federation</w:t>
      </w:r>
      <w:r>
        <w:t xml:space="preserve"> </w:t>
      </w:r>
      <w:r w:rsidR="00A00C18">
        <w:t>is</w:t>
      </w:r>
      <w:r>
        <w:t xml:space="preserve"> a resource allocation for a specific community</w:t>
      </w:r>
      <w:r w:rsidR="00A00C18">
        <w:t xml:space="preserve"> (for example ELIXIR)</w:t>
      </w:r>
      <w:r>
        <w:t xml:space="preserve">. The cloud providers who support a given community </w:t>
      </w:r>
      <w:r w:rsidR="00A00C18">
        <w:t>have to join the VO</w:t>
      </w:r>
      <w:r>
        <w:t xml:space="preserve"> dedicated </w:t>
      </w:r>
      <w:r w:rsidR="00A00C18">
        <w:t>to</w:t>
      </w:r>
      <w:r>
        <w:t xml:space="preserve"> that community. Users and their applications can consume cloud resources from the VO </w:t>
      </w:r>
      <w:r w:rsidR="00A00C18">
        <w:t xml:space="preserve">after becoming members of the VO. </w:t>
      </w:r>
      <w:r>
        <w:t>The ELIXIR community recently established its first VO in the EGI Federated cloud</w:t>
      </w:r>
      <w:r w:rsidR="00A00C18">
        <w:t>. The VO is called</w:t>
      </w:r>
      <w:r w:rsidR="000506C8">
        <w:t xml:space="preserve"> vo.elixir-europe.eu</w:t>
      </w:r>
      <w:r w:rsidR="000506C8">
        <w:rPr>
          <w:rStyle w:val="FootnoteReference"/>
        </w:rPr>
        <w:footnoteReference w:id="13"/>
      </w:r>
      <w:r>
        <w:t xml:space="preserve">. </w:t>
      </w:r>
      <w:r w:rsidR="00304CA6">
        <w:t>The exact usage model of this VO for users (life science researchers and use cases) is yet to be defined by ELIXIR. (</w:t>
      </w:r>
      <w:r w:rsidR="00F21603">
        <w:t>Answering questions</w:t>
      </w:r>
      <w:r w:rsidR="00304CA6">
        <w:t xml:space="preserve"> such as </w:t>
      </w:r>
      <w:r w:rsidR="00F21603">
        <w:t>W</w:t>
      </w:r>
      <w:r w:rsidR="00304CA6">
        <w:t>ho can get access</w:t>
      </w:r>
      <w:proofErr w:type="gramStart"/>
      <w:r w:rsidR="00F21603">
        <w:t>?</w:t>
      </w:r>
      <w:r w:rsidR="00304CA6">
        <w:t>,</w:t>
      </w:r>
      <w:proofErr w:type="gramEnd"/>
      <w:r w:rsidR="00304CA6">
        <w:t xml:space="preserve"> </w:t>
      </w:r>
      <w:r w:rsidR="00F21603">
        <w:t>W</w:t>
      </w:r>
      <w:r w:rsidR="00304CA6">
        <w:t>hat will be the capacity limits</w:t>
      </w:r>
      <w:r w:rsidR="00F21603">
        <w:t>?</w:t>
      </w:r>
      <w:r w:rsidR="00304CA6">
        <w:t xml:space="preserve">, </w:t>
      </w:r>
      <w:r w:rsidR="00F21603">
        <w:t>Will the limit be per user or per use case?, W</w:t>
      </w:r>
      <w:r w:rsidR="00304CA6">
        <w:t>ill the access be free of charge</w:t>
      </w:r>
      <w:r w:rsidR="00F21603">
        <w:t xml:space="preserve"> or pay-for-use?</w:t>
      </w:r>
      <w:r w:rsidR="00304CA6">
        <w:t>) The setup of additional VOs for specific sub-domains of ELIXIR is also to be considered for the future.</w:t>
      </w:r>
    </w:p>
    <w:p w14:paraId="606F4A69" w14:textId="7E5D7D02" w:rsidR="00C9780E" w:rsidRDefault="00C9780E" w:rsidP="00C9780E">
      <w:r>
        <w:lastRenderedPageBreak/>
        <w:t>The cloud resource provider installation manual</w:t>
      </w:r>
      <w:r>
        <w:rPr>
          <w:rStyle w:val="FootnoteReference"/>
        </w:rPr>
        <w:footnoteReference w:id="14"/>
      </w:r>
      <w:r>
        <w:t xml:space="preserve"> provides all the steps to deploy and configure the software components to support the federation on the supported Cloud Management Frameworks</w:t>
      </w:r>
      <w:r w:rsidR="0028559F">
        <w:t xml:space="preserve"> (CMF)</w:t>
      </w:r>
      <w:r w:rsidR="000B4507">
        <w:t>, and to join VOs</w:t>
      </w:r>
      <w:r>
        <w:t>. Whenever possible these software components are designed and developed to not interfere</w:t>
      </w:r>
      <w:r w:rsidR="0028559F">
        <w:t xml:space="preserve"> with</w:t>
      </w:r>
      <w:r>
        <w:t xml:space="preserve"> the usual deployment of the cloud services but to use the already existing public interfaces and simply act as a client for those. The following services help to achieve the federation:</w:t>
      </w:r>
    </w:p>
    <w:p w14:paraId="288681E0" w14:textId="2DF80E55" w:rsidR="00C9780E" w:rsidRDefault="00C9780E" w:rsidP="00C9780E">
      <w:pPr>
        <w:pStyle w:val="ListParagraph"/>
        <w:numPr>
          <w:ilvl w:val="0"/>
          <w:numId w:val="11"/>
        </w:numPr>
      </w:pPr>
      <w:r>
        <w:rPr>
          <w:b/>
        </w:rPr>
        <w:t xml:space="preserve">Federated </w:t>
      </w:r>
      <w:r w:rsidRPr="00E76EF0">
        <w:rPr>
          <w:b/>
        </w:rPr>
        <w:t>AAI</w:t>
      </w:r>
      <w:r>
        <w:t>, using X.509 proxy certificates and VOMS extensions with information on the VO of users</w:t>
      </w:r>
      <w:r w:rsidR="00102545">
        <w:t xml:space="preserve"> (e.g. the ELIXIR VO members)</w:t>
      </w:r>
      <w:r>
        <w:t>. Integration with the new EGI AAI is currently under development</w:t>
      </w:r>
      <w:r w:rsidR="00087A2A">
        <w:t xml:space="preserve"> (for </w:t>
      </w:r>
      <w:proofErr w:type="spellStart"/>
      <w:r w:rsidR="00087A2A">
        <w:t>OpenStack</w:t>
      </w:r>
      <w:proofErr w:type="spellEnd"/>
      <w:r w:rsidR="00087A2A">
        <w:t xml:space="preserve">, </w:t>
      </w:r>
      <w:proofErr w:type="spellStart"/>
      <w:r w:rsidR="00087A2A">
        <w:t>OpenNebula</w:t>
      </w:r>
      <w:proofErr w:type="spellEnd"/>
      <w:r w:rsidR="00087A2A">
        <w:t xml:space="preserve">, </w:t>
      </w:r>
      <w:proofErr w:type="spellStart"/>
      <w:r w:rsidR="00087A2A">
        <w:t>Synnefo</w:t>
      </w:r>
      <w:proofErr w:type="spellEnd"/>
      <w:r w:rsidR="00087A2A">
        <w:t xml:space="preserve"> clouds)</w:t>
      </w:r>
      <w:r>
        <w:t>.</w:t>
      </w:r>
    </w:p>
    <w:p w14:paraId="4B313F26" w14:textId="77777777" w:rsidR="00C9780E" w:rsidRDefault="00C9780E" w:rsidP="00C9780E">
      <w:pPr>
        <w:pStyle w:val="ListParagraph"/>
        <w:numPr>
          <w:ilvl w:val="0"/>
          <w:numId w:val="11"/>
        </w:numPr>
      </w:pPr>
      <w:r w:rsidRPr="00E76EF0">
        <w:rPr>
          <w:b/>
        </w:rPr>
        <w:t>Accounting</w:t>
      </w:r>
      <w:r>
        <w:t>, usage information is collected via a secure messaging infrastructure in a centralised repository and displayed in a web portal where both individual users and communities can monitor their own resource/service usage across the whole federation.</w:t>
      </w:r>
    </w:p>
    <w:p w14:paraId="3B50674D" w14:textId="77777777" w:rsidR="00C9780E" w:rsidRDefault="00C9780E" w:rsidP="00C9780E">
      <w:pPr>
        <w:pStyle w:val="ListParagraph"/>
        <w:numPr>
          <w:ilvl w:val="0"/>
          <w:numId w:val="11"/>
        </w:numPr>
      </w:pPr>
      <w:r w:rsidRPr="00E76EF0">
        <w:rPr>
          <w:b/>
        </w:rPr>
        <w:t>Service Registry</w:t>
      </w:r>
      <w:r>
        <w:t>, where providers register the different services offered to the federation.</w:t>
      </w:r>
    </w:p>
    <w:p w14:paraId="1697CE4A" w14:textId="77777777" w:rsidR="00C9780E" w:rsidRDefault="00C9780E" w:rsidP="00C9780E">
      <w:pPr>
        <w:pStyle w:val="ListParagraph"/>
        <w:numPr>
          <w:ilvl w:val="0"/>
          <w:numId w:val="11"/>
        </w:numPr>
      </w:pPr>
      <w:r w:rsidRPr="00E76EF0">
        <w:rPr>
          <w:b/>
        </w:rPr>
        <w:t>Information Discovery</w:t>
      </w:r>
      <w:r>
        <w:t>, so users and tools can retrieve a real-time view of the actual capabilities of the infrastructure.</w:t>
      </w:r>
    </w:p>
    <w:p w14:paraId="58D1B423" w14:textId="44FB8CF9" w:rsidR="00C9780E" w:rsidRDefault="00C9780E" w:rsidP="00C9780E">
      <w:pPr>
        <w:pStyle w:val="ListParagraph"/>
        <w:numPr>
          <w:ilvl w:val="0"/>
          <w:numId w:val="11"/>
        </w:numPr>
      </w:pPr>
      <w:r w:rsidRPr="00E76EF0">
        <w:rPr>
          <w:b/>
        </w:rPr>
        <w:t>VM Image catalogue and replication</w:t>
      </w:r>
      <w:r>
        <w:t>.</w:t>
      </w:r>
      <w:r w:rsidR="00C8258D">
        <w:t xml:space="preserve"> The </w:t>
      </w:r>
      <w:r>
        <w:t xml:space="preserve">EGI </w:t>
      </w:r>
      <w:proofErr w:type="spellStart"/>
      <w:r>
        <w:t>AppDB</w:t>
      </w:r>
      <w:proofErr w:type="spellEnd"/>
      <w:r>
        <w:t xml:space="preserve"> provides a catalogue of Virtual Machine Images that encapsulate software appliances relevant for a given community. These images are automatically replicated to the local catalogues of the CMFs supporting the community.</w:t>
      </w:r>
    </w:p>
    <w:p w14:paraId="7FF898F3" w14:textId="77777777" w:rsidR="00C9780E" w:rsidRDefault="00C9780E" w:rsidP="00C9780E">
      <w:pPr>
        <w:pStyle w:val="ListParagraph"/>
        <w:numPr>
          <w:ilvl w:val="0"/>
          <w:numId w:val="11"/>
        </w:numPr>
      </w:pPr>
      <w:r w:rsidRPr="00E76EF0">
        <w:rPr>
          <w:b/>
        </w:rPr>
        <w:t>Availability Monitoring</w:t>
      </w:r>
      <w:r>
        <w:t>, to collect availability and reliability statistics about the providers that can be used to monitor SLAs and OLAs agreed with user communities and resource providers.</w:t>
      </w:r>
    </w:p>
    <w:p w14:paraId="7F10943D" w14:textId="77777777" w:rsidR="00C9780E" w:rsidRDefault="00C9780E" w:rsidP="00C9780E">
      <w:pPr>
        <w:pStyle w:val="ListParagraph"/>
        <w:numPr>
          <w:ilvl w:val="0"/>
          <w:numId w:val="11"/>
        </w:numPr>
      </w:pPr>
      <w:r>
        <w:rPr>
          <w:b/>
        </w:rPr>
        <w:t>Standard Interfaces for IaaS</w:t>
      </w:r>
      <w:r>
        <w:t xml:space="preserve">. OCCI and CDMI provide an interoperable interface across the different CMF, so </w:t>
      </w:r>
      <w:r w:rsidRPr="00774676">
        <w:t xml:space="preserve">users and applications can interact with the services offered </w:t>
      </w:r>
      <w:r>
        <w:t>with a single API.</w:t>
      </w:r>
    </w:p>
    <w:p w14:paraId="3A13F301" w14:textId="29E8D894" w:rsidR="00C9780E" w:rsidRDefault="00C9780E" w:rsidP="00C9780E">
      <w:r>
        <w:t>Cloud providers joining the Federated Cloud follow EGI procedure</w:t>
      </w:r>
      <w:r w:rsidR="00C8258D">
        <w:t>s</w:t>
      </w:r>
      <w:r>
        <w:t xml:space="preserve"> to register and certify a Resource Centre (RC)</w:t>
      </w:r>
      <w:r>
        <w:rPr>
          <w:rStyle w:val="FootnoteReference"/>
        </w:rPr>
        <w:footnoteReference w:id="15"/>
      </w:r>
      <w:r>
        <w:t>, which makes the EGI</w:t>
      </w:r>
      <w:r w:rsidR="00C8258D">
        <w:t xml:space="preserve"> infrastructure aware of the resources that the new provider </w:t>
      </w:r>
      <w:r>
        <w:t>offer</w:t>
      </w:r>
      <w:r w:rsidR="00C8258D">
        <w:t xml:space="preserve">s. RA also </w:t>
      </w:r>
      <w:r>
        <w:t xml:space="preserve">takes care of validating and testing the behaviour of the services. In the context of the registration, the Resource Centre will become part of a Resource Infrastructure such as a National Grid Initiative (NGI), an EIRO, or a multi-country Resource Infrastructure. </w:t>
      </w:r>
      <w:r w:rsidRPr="009A2897">
        <w:t>ELIXIR is currently reviewing these certification procedures to understand which elemen</w:t>
      </w:r>
      <w:r w:rsidR="00C8258D">
        <w:t xml:space="preserve">ts are needed to the support </w:t>
      </w:r>
      <w:r w:rsidRPr="009A2897">
        <w:t>ELIXIR Compute Platform.</w:t>
      </w:r>
    </w:p>
    <w:p w14:paraId="2A5E372B" w14:textId="77777777" w:rsidR="00C9780E" w:rsidRDefault="00C9780E" w:rsidP="00C9780E">
      <w:pPr>
        <w:pStyle w:val="Heading2"/>
      </w:pPr>
      <w:bookmarkStart w:id="6" w:name="_Toc327624037"/>
      <w:r>
        <w:t>Installation guideline for OpenStack providers</w:t>
      </w:r>
      <w:bookmarkEnd w:id="6"/>
    </w:p>
    <w:p w14:paraId="7B77433C" w14:textId="4CE5A13E" w:rsidR="00C9780E" w:rsidRDefault="00C8258D" w:rsidP="00C9780E">
      <w:r>
        <w:t xml:space="preserve">Integration with </w:t>
      </w:r>
      <w:r w:rsidR="00C9780E">
        <w:t xml:space="preserve">OpenStack providers on EGI’s </w:t>
      </w:r>
      <w:proofErr w:type="spellStart"/>
      <w:r w:rsidR="00C9780E">
        <w:t>FedCloud</w:t>
      </w:r>
      <w:proofErr w:type="spellEnd"/>
      <w:r w:rsidR="00C9780E">
        <w:t xml:space="preserve"> is supported on OpenStack releases from Havana to </w:t>
      </w:r>
      <w:proofErr w:type="spellStart"/>
      <w:r w:rsidR="00C9780E">
        <w:t>Mitaka</w:t>
      </w:r>
      <w:proofErr w:type="spellEnd"/>
      <w:r w:rsidR="00C9780E">
        <w:t xml:space="preserve"> (current release). The installation manual is available at EGI’s wiki</w:t>
      </w:r>
      <w:r w:rsidR="00C9780E">
        <w:rPr>
          <w:rStyle w:val="FootnoteReference"/>
        </w:rPr>
        <w:footnoteReference w:id="16"/>
      </w:r>
      <w:r w:rsidR="00C9780E">
        <w:t xml:space="preserve"> and it </w:t>
      </w:r>
      <w:r w:rsidR="00C9780E">
        <w:lastRenderedPageBreak/>
        <w:t xml:space="preserve">describes all the technical steps to perform this integration from a working OpenStack deployment. The list of components that must be installed depends on the services to be offered: </w:t>
      </w:r>
    </w:p>
    <w:p w14:paraId="295B541A" w14:textId="66EB4E45" w:rsidR="00C9780E" w:rsidRDefault="00C8258D" w:rsidP="00C9780E">
      <w:pPr>
        <w:pStyle w:val="ListParagraph"/>
        <w:numPr>
          <w:ilvl w:val="0"/>
          <w:numId w:val="33"/>
        </w:numPr>
      </w:pPr>
      <w:r>
        <w:t xml:space="preserve">Keystone must </w:t>
      </w:r>
      <w:r w:rsidR="00C9780E">
        <w:t xml:space="preserve">always </w:t>
      </w:r>
      <w:r>
        <w:t xml:space="preserve">be </w:t>
      </w:r>
      <w:r w:rsidR="00C9780E">
        <w:t xml:space="preserve">available. </w:t>
      </w:r>
    </w:p>
    <w:p w14:paraId="2FB6344D" w14:textId="3F541719" w:rsidR="00C9780E" w:rsidRDefault="00C9780E" w:rsidP="00C9780E">
      <w:pPr>
        <w:pStyle w:val="ListParagraph"/>
        <w:numPr>
          <w:ilvl w:val="0"/>
          <w:numId w:val="33"/>
        </w:numPr>
      </w:pPr>
      <w:r>
        <w:t>VM Management features (OCCI access or OpenStack access) requi</w:t>
      </w:r>
      <w:r w:rsidR="0040623A">
        <w:t>r</w:t>
      </w:r>
      <w:r>
        <w:t>es Nova, Cinder and Glance.</w:t>
      </w:r>
    </w:p>
    <w:p w14:paraId="7C01330E" w14:textId="20D25002" w:rsidR="00C9780E" w:rsidRDefault="0040623A" w:rsidP="00C9780E">
      <w:pPr>
        <w:pStyle w:val="ListParagraph"/>
        <w:numPr>
          <w:ilvl w:val="0"/>
          <w:numId w:val="33"/>
        </w:numPr>
      </w:pPr>
      <w:r>
        <w:t>Object storage features require</w:t>
      </w:r>
      <w:r w:rsidR="00C9780E">
        <w:t xml:space="preserve"> Swift.</w:t>
      </w:r>
    </w:p>
    <w:p w14:paraId="55108C0F" w14:textId="77777777" w:rsidR="00C9780E" w:rsidRDefault="00C9780E" w:rsidP="00C9780E">
      <w:r>
        <w:fldChar w:fldCharType="begin"/>
      </w:r>
      <w:r>
        <w:instrText xml:space="preserve"> REF _Ref326250549 \h </w:instrText>
      </w:r>
      <w:r>
        <w:fldChar w:fldCharType="separate"/>
      </w:r>
      <w:r>
        <w:t xml:space="preserve">Figure </w:t>
      </w:r>
      <w:r>
        <w:rPr>
          <w:noProof/>
        </w:rPr>
        <w:t>1</w:t>
      </w:r>
      <w:r>
        <w:fldChar w:fldCharType="end"/>
      </w:r>
      <w:r>
        <w:t xml:space="preserve"> below shows the different components and their relation with the OpenStack and EGI services:</w:t>
      </w:r>
    </w:p>
    <w:p w14:paraId="76D9EB8B" w14:textId="77777777" w:rsidR="00C9780E" w:rsidRDefault="00C9780E" w:rsidP="00C9780E">
      <w:pPr>
        <w:pStyle w:val="ListParagraph"/>
        <w:numPr>
          <w:ilvl w:val="0"/>
          <w:numId w:val="16"/>
        </w:numPr>
      </w:pPr>
      <w:r>
        <w:t>Keystone-VOMS Authorization plugin allows users with a valid VOMS proxy to access the OpenStack deployment. This plugin requires modification of a regular Keystone installation.</w:t>
      </w:r>
    </w:p>
    <w:p w14:paraId="212E3A5F" w14:textId="5AE5B7A4" w:rsidR="00C9780E" w:rsidRDefault="0040623A" w:rsidP="00C9780E">
      <w:pPr>
        <w:pStyle w:val="ListParagraph"/>
        <w:numPr>
          <w:ilvl w:val="0"/>
          <w:numId w:val="16"/>
        </w:numPr>
      </w:pPr>
      <w:r>
        <w:t>OpenStack OCCI Interface (OOI</w:t>
      </w:r>
      <w:r w:rsidR="00C9780E">
        <w:t>) translates between OpenStack API and OCCI. This is a WSGI application similar to other OpenStack services, it can be scaled horizontally to accommodate high loads.</w:t>
      </w:r>
    </w:p>
    <w:p w14:paraId="05820031" w14:textId="77777777" w:rsidR="00C9780E" w:rsidRDefault="00C9780E" w:rsidP="00C9780E">
      <w:pPr>
        <w:pStyle w:val="ListParagraph"/>
        <w:numPr>
          <w:ilvl w:val="0"/>
          <w:numId w:val="16"/>
        </w:numPr>
      </w:pPr>
      <w:proofErr w:type="spellStart"/>
      <w:proofErr w:type="gramStart"/>
      <w:r>
        <w:t>cASO</w:t>
      </w:r>
      <w:proofErr w:type="spellEnd"/>
      <w:proofErr w:type="gramEnd"/>
      <w:r>
        <w:t xml:space="preserve"> collects accounting data from OpenStack using public APIs.</w:t>
      </w:r>
    </w:p>
    <w:p w14:paraId="674E1BAF" w14:textId="77777777" w:rsidR="00C9780E" w:rsidRDefault="00C9780E" w:rsidP="00C9780E">
      <w:pPr>
        <w:pStyle w:val="ListParagraph"/>
        <w:numPr>
          <w:ilvl w:val="0"/>
          <w:numId w:val="16"/>
        </w:numPr>
      </w:pPr>
      <w:r>
        <w:t xml:space="preserve">SSM sends the records extracted by </w:t>
      </w:r>
      <w:proofErr w:type="spellStart"/>
      <w:r>
        <w:t>cASO</w:t>
      </w:r>
      <w:proofErr w:type="spellEnd"/>
      <w:r>
        <w:t xml:space="preserve"> to the central accounting database on the EGI Accounting service (APEL).</w:t>
      </w:r>
    </w:p>
    <w:p w14:paraId="3A88F825" w14:textId="77777777" w:rsidR="00C9780E" w:rsidRDefault="00C9780E" w:rsidP="00C9780E">
      <w:pPr>
        <w:pStyle w:val="ListParagraph"/>
        <w:numPr>
          <w:ilvl w:val="0"/>
          <w:numId w:val="16"/>
        </w:numPr>
      </w:pPr>
      <w:r>
        <w:t>BDII cloud provider registers the site configuration and description through the EGI Information System to facilitate service discovery.</w:t>
      </w:r>
    </w:p>
    <w:p w14:paraId="33A468AD" w14:textId="762D3089" w:rsidR="00C9780E" w:rsidRPr="00EF6B53" w:rsidRDefault="00C9780E" w:rsidP="00C9780E">
      <w:pPr>
        <w:pStyle w:val="ListParagraph"/>
        <w:numPr>
          <w:ilvl w:val="0"/>
          <w:numId w:val="16"/>
        </w:numPr>
      </w:pPr>
      <w:proofErr w:type="spellStart"/>
      <w:r>
        <w:t>vmcatcher</w:t>
      </w:r>
      <w:proofErr w:type="spellEnd"/>
      <w:r>
        <w:t xml:space="preserve"> checks the EGI App DB for new or updated images that can be provided to the user communities (VO) supported and with the </w:t>
      </w:r>
      <w:proofErr w:type="spellStart"/>
      <w:r>
        <w:t>vmcatcher</w:t>
      </w:r>
      <w:proofErr w:type="spellEnd"/>
      <w:r>
        <w:t xml:space="preserve"> hooks (</w:t>
      </w:r>
      <w:proofErr w:type="spellStart"/>
      <w:r>
        <w:t>glancepush</w:t>
      </w:r>
      <w:proofErr w:type="spellEnd"/>
      <w:r>
        <w:t xml:space="preserve"> and OpenStack handler for </w:t>
      </w:r>
      <w:proofErr w:type="spellStart"/>
      <w:r>
        <w:t>vmcatch</w:t>
      </w:r>
      <w:r w:rsidR="0040623A">
        <w:t>er</w:t>
      </w:r>
      <w:proofErr w:type="spellEnd"/>
      <w:r w:rsidR="0040623A">
        <w:t xml:space="preserve">) push updated images from </w:t>
      </w:r>
      <w:r>
        <w:t xml:space="preserve">Glance, using </w:t>
      </w:r>
      <w:r w:rsidR="0040623A">
        <w:t xml:space="preserve">the </w:t>
      </w:r>
      <w:proofErr w:type="spellStart"/>
      <w:r>
        <w:t>Openstack</w:t>
      </w:r>
      <w:proofErr w:type="spellEnd"/>
      <w:r>
        <w:t xml:space="preserve"> Python API</w:t>
      </w:r>
    </w:p>
    <w:p w14:paraId="45508865" w14:textId="77777777" w:rsidR="00C9780E" w:rsidRDefault="00C9780E" w:rsidP="00C9780E"/>
    <w:p w14:paraId="3D8D5279" w14:textId="77777777" w:rsidR="00C9780E" w:rsidRDefault="00C9780E" w:rsidP="00C9780E">
      <w:pPr>
        <w:keepNext/>
      </w:pPr>
      <w:r>
        <w:rPr>
          <w:noProof/>
          <w:lang w:val="en-US"/>
        </w:rPr>
        <w:lastRenderedPageBreak/>
        <w:drawing>
          <wp:inline distT="0" distB="0" distL="0" distR="0" wp14:anchorId="77DDACE9" wp14:editId="0E3F4D00">
            <wp:extent cx="5731510" cy="381571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pdf"/>
                    <pic:cNvPicPr/>
                  </pic:nvPicPr>
                  <pic:blipFill>
                    <a:blip r:embed="rId14">
                      <a:extLst>
                        <a:ext uri="{28A0092B-C50C-407E-A947-70E740481C1C}">
                          <a14:useLocalDpi xmlns:a14="http://schemas.microsoft.com/office/drawing/2010/main" val="0"/>
                        </a:ext>
                      </a:extLst>
                    </a:blip>
                    <a:stretch>
                      <a:fillRect/>
                    </a:stretch>
                  </pic:blipFill>
                  <pic:spPr>
                    <a:xfrm>
                      <a:off x="0" y="0"/>
                      <a:ext cx="5731510" cy="3815715"/>
                    </a:xfrm>
                    <a:prstGeom prst="rect">
                      <a:avLst/>
                    </a:prstGeom>
                  </pic:spPr>
                </pic:pic>
              </a:graphicData>
            </a:graphic>
          </wp:inline>
        </w:drawing>
      </w:r>
    </w:p>
    <w:p w14:paraId="71A1C63E" w14:textId="77777777" w:rsidR="00C9780E" w:rsidRDefault="00C9780E" w:rsidP="00C9780E">
      <w:pPr>
        <w:pStyle w:val="Caption"/>
        <w:jc w:val="center"/>
      </w:pPr>
      <w:bookmarkStart w:id="7" w:name="_Ref326250549"/>
      <w:r>
        <w:t xml:space="preserve">Figure </w:t>
      </w:r>
      <w:r>
        <w:fldChar w:fldCharType="begin"/>
      </w:r>
      <w:r>
        <w:instrText xml:space="preserve"> SEQ Figure \* ARABIC </w:instrText>
      </w:r>
      <w:r>
        <w:fldChar w:fldCharType="separate"/>
      </w:r>
      <w:r>
        <w:rPr>
          <w:noProof/>
        </w:rPr>
        <w:t>1</w:t>
      </w:r>
      <w:r>
        <w:fldChar w:fldCharType="end"/>
      </w:r>
      <w:bookmarkEnd w:id="7"/>
      <w:r>
        <w:t>. Architecture of an OpenStack site within the EGI Federated Cloud</w:t>
      </w:r>
    </w:p>
    <w:p w14:paraId="663F3401" w14:textId="77777777" w:rsidR="00C9780E" w:rsidRDefault="00C9780E" w:rsidP="00C9780E">
      <w:r>
        <w:t xml:space="preserve"> </w:t>
      </w:r>
    </w:p>
    <w:p w14:paraId="21BAF164" w14:textId="77777777" w:rsidR="00C9780E" w:rsidRDefault="00C9780E" w:rsidP="00C9780E">
      <w:r>
        <w:t>There are two options for integration: using individual components or by using a configurable Virtual Appliance that encapsulates the components that just use the public APIs of OpenStack (marked as EGI integration tools in the image). Both options are detailed in the installation manual.</w:t>
      </w:r>
    </w:p>
    <w:p w14:paraId="1BCB59CE" w14:textId="77777777" w:rsidR="00C9780E" w:rsidRDefault="00C9780E" w:rsidP="00C9780E">
      <w:pPr>
        <w:pStyle w:val="Heading2"/>
      </w:pPr>
      <w:bookmarkStart w:id="8" w:name="_Toc327624038"/>
      <w:r>
        <w:t xml:space="preserve">Installation guideline for </w:t>
      </w:r>
      <w:proofErr w:type="spellStart"/>
      <w:r>
        <w:t>OpenNebula</w:t>
      </w:r>
      <w:proofErr w:type="spellEnd"/>
      <w:r>
        <w:t xml:space="preserve"> providers</w:t>
      </w:r>
      <w:bookmarkEnd w:id="8"/>
      <w:r>
        <w:t xml:space="preserve"> </w:t>
      </w:r>
    </w:p>
    <w:p w14:paraId="6340EA75" w14:textId="77777777" w:rsidR="00C9780E" w:rsidRDefault="00C9780E" w:rsidP="00C9780E">
      <w:r>
        <w:t xml:space="preserve">An </w:t>
      </w:r>
      <w:r w:rsidRPr="006064F5">
        <w:t xml:space="preserve">EGI Cloud Site based on </w:t>
      </w:r>
      <w:proofErr w:type="spellStart"/>
      <w:r w:rsidRPr="006064F5">
        <w:t>OpenNebula</w:t>
      </w:r>
      <w:proofErr w:type="spellEnd"/>
      <w:r w:rsidRPr="006064F5">
        <w:t xml:space="preserve"> is an ordinary </w:t>
      </w:r>
      <w:proofErr w:type="spellStart"/>
      <w:r w:rsidRPr="006064F5">
        <w:t>OpenNebula</w:t>
      </w:r>
      <w:proofErr w:type="spellEnd"/>
      <w:r w:rsidRPr="006064F5">
        <w:t xml:space="preserve"> installation with some EGI-specific integration components. There are no additional requirements placed on internal site architecture.</w:t>
      </w:r>
      <w:r>
        <w:t xml:space="preserve"> The installation manual is available in the EGI wiki</w:t>
      </w:r>
      <w:r>
        <w:rPr>
          <w:rStyle w:val="FootnoteReference"/>
        </w:rPr>
        <w:footnoteReference w:id="17"/>
      </w:r>
      <w:r>
        <w:t xml:space="preserve"> and it describes all the technical steps to install the federation components on top of an </w:t>
      </w:r>
      <w:proofErr w:type="spellStart"/>
      <w:r>
        <w:t>OpenNebula</w:t>
      </w:r>
      <w:proofErr w:type="spellEnd"/>
      <w:r>
        <w:t xml:space="preserve"> deployment. CDMI storage endpoints are currently not supported for </w:t>
      </w:r>
      <w:proofErr w:type="spellStart"/>
      <w:r>
        <w:t>OpenNebula</w:t>
      </w:r>
      <w:proofErr w:type="spellEnd"/>
      <w:r>
        <w:t>-based sites.</w:t>
      </w:r>
    </w:p>
    <w:p w14:paraId="4C6F744D" w14:textId="77777777" w:rsidR="00C9780E" w:rsidRDefault="00C9780E" w:rsidP="00C9780E">
      <w:r>
        <w:fldChar w:fldCharType="begin"/>
      </w:r>
      <w:r>
        <w:instrText xml:space="preserve"> REF _Ref326251502 \h </w:instrText>
      </w:r>
      <w:r>
        <w:fldChar w:fldCharType="separate"/>
      </w:r>
      <w:r>
        <w:t xml:space="preserve">Figure </w:t>
      </w:r>
      <w:r>
        <w:rPr>
          <w:noProof/>
        </w:rPr>
        <w:t>2</w:t>
      </w:r>
      <w:r>
        <w:fldChar w:fldCharType="end"/>
      </w:r>
      <w:r>
        <w:t xml:space="preserve"> shows the components and their relation with </w:t>
      </w:r>
      <w:proofErr w:type="spellStart"/>
      <w:r>
        <w:t>OpenNebula</w:t>
      </w:r>
      <w:proofErr w:type="spellEnd"/>
      <w:r>
        <w:t xml:space="preserve"> and EGI services:</w:t>
      </w:r>
      <w:r w:rsidRPr="00296FA9">
        <w:t xml:space="preserve"> </w:t>
      </w:r>
    </w:p>
    <w:p w14:paraId="6ACD9A18" w14:textId="3D6738D4" w:rsidR="00C9780E" w:rsidRDefault="00C9780E" w:rsidP="00C9780E">
      <w:pPr>
        <w:pStyle w:val="ListParagraph"/>
        <w:numPr>
          <w:ilvl w:val="0"/>
          <w:numId w:val="17"/>
        </w:numPr>
      </w:pPr>
      <w:proofErr w:type="spellStart"/>
      <w:proofErr w:type="gramStart"/>
      <w:r>
        <w:t>rOCCI</w:t>
      </w:r>
      <w:proofErr w:type="spellEnd"/>
      <w:proofErr w:type="gramEnd"/>
      <w:r>
        <w:t>-server, which provides a standard OCCI interface. It translates between</w:t>
      </w:r>
      <w:r w:rsidR="000D4248">
        <w:t xml:space="preserve"> the</w:t>
      </w:r>
      <w:r>
        <w:t xml:space="preserve"> </w:t>
      </w:r>
      <w:proofErr w:type="spellStart"/>
      <w:r>
        <w:t>OpenNebula</w:t>
      </w:r>
      <w:proofErr w:type="spellEnd"/>
      <w:r>
        <w:t xml:space="preserve"> API and OCCI. It must be configured to use its </w:t>
      </w:r>
      <w:proofErr w:type="spellStart"/>
      <w:r>
        <w:t>opennebula</w:t>
      </w:r>
      <w:proofErr w:type="spellEnd"/>
      <w:r>
        <w:t xml:space="preserve"> backe</w:t>
      </w:r>
      <w:r w:rsidR="000D4248">
        <w:t>nd, and to use VOMS</w:t>
      </w:r>
      <w:r>
        <w:t xml:space="preserve"> for authentication. </w:t>
      </w:r>
    </w:p>
    <w:p w14:paraId="6C9D68AD" w14:textId="77777777" w:rsidR="00C9780E" w:rsidRDefault="00C9780E" w:rsidP="00C9780E">
      <w:pPr>
        <w:pStyle w:val="ListParagraph"/>
        <w:numPr>
          <w:ilvl w:val="0"/>
          <w:numId w:val="17"/>
        </w:numPr>
      </w:pPr>
      <w:proofErr w:type="gramStart"/>
      <w:r>
        <w:lastRenderedPageBreak/>
        <w:t>local</w:t>
      </w:r>
      <w:proofErr w:type="gramEnd"/>
      <w:r>
        <w:t xml:space="preserve"> </w:t>
      </w:r>
      <w:proofErr w:type="spellStart"/>
      <w:r>
        <w:t>perun</w:t>
      </w:r>
      <w:proofErr w:type="spellEnd"/>
      <w:r>
        <w:t xml:space="preserve"> scripts, which allow Perun</w:t>
      </w:r>
      <w:r>
        <w:rPr>
          <w:rStyle w:val="FootnoteReference"/>
        </w:rPr>
        <w:footnoteReference w:id="18"/>
      </w:r>
      <w:r>
        <w:t xml:space="preserve"> to set up, block and remove user accounts from </w:t>
      </w:r>
      <w:proofErr w:type="spellStart"/>
      <w:r>
        <w:t>OpenNebula</w:t>
      </w:r>
      <w:proofErr w:type="spellEnd"/>
      <w:r>
        <w:t>, thus managing the full life cycle of a user account.</w:t>
      </w:r>
    </w:p>
    <w:p w14:paraId="6DC5ACA8" w14:textId="4CCF7A81" w:rsidR="00C9780E" w:rsidRDefault="00C9780E" w:rsidP="00C9780E">
      <w:pPr>
        <w:pStyle w:val="ListParagraph"/>
        <w:numPr>
          <w:ilvl w:val="0"/>
          <w:numId w:val="17"/>
        </w:numPr>
      </w:pPr>
      <w:proofErr w:type="spellStart"/>
      <w:proofErr w:type="gramStart"/>
      <w:r>
        <w:t>vmcatcher</w:t>
      </w:r>
      <w:proofErr w:type="spellEnd"/>
      <w:proofErr w:type="gramEnd"/>
      <w:r>
        <w:t xml:space="preserve">, which checks the EGI App DB for new or updated images that need to be supported on the site. It downloads images and registers them with </w:t>
      </w:r>
      <w:proofErr w:type="spellStart"/>
      <w:r>
        <w:t>OpenNebula</w:t>
      </w:r>
      <w:proofErr w:type="spellEnd"/>
      <w:r>
        <w:t xml:space="preserve">, so that they can be used in resource instantiation. </w:t>
      </w:r>
      <w:proofErr w:type="spellStart"/>
      <w:r>
        <w:t>Vmcatche</w:t>
      </w:r>
      <w:r w:rsidR="000D4248">
        <w:t>r</w:t>
      </w:r>
      <w:proofErr w:type="spellEnd"/>
      <w:r w:rsidR="000D4248">
        <w:t xml:space="preserve"> configuration is explained be</w:t>
      </w:r>
      <w:r>
        <w:t>low.</w:t>
      </w:r>
    </w:p>
    <w:p w14:paraId="537D93F4" w14:textId="77777777" w:rsidR="00C9780E" w:rsidRDefault="00C9780E" w:rsidP="00C9780E">
      <w:pPr>
        <w:pStyle w:val="ListParagraph"/>
        <w:numPr>
          <w:ilvl w:val="0"/>
          <w:numId w:val="18"/>
        </w:numPr>
      </w:pPr>
      <w:proofErr w:type="spellStart"/>
      <w:proofErr w:type="gramStart"/>
      <w:r>
        <w:t>oneacct</w:t>
      </w:r>
      <w:proofErr w:type="spellEnd"/>
      <w:proofErr w:type="gramEnd"/>
      <w:r>
        <w:t xml:space="preserve"> scripts, which collect accounting data from </w:t>
      </w:r>
      <w:proofErr w:type="spellStart"/>
      <w:r>
        <w:t>OpenNebula</w:t>
      </w:r>
      <w:proofErr w:type="spellEnd"/>
      <w:r>
        <w:t xml:space="preserve"> and publish those into EGI's APEL instance. </w:t>
      </w:r>
      <w:proofErr w:type="spellStart"/>
      <w:r>
        <w:t>Oneacct</w:t>
      </w:r>
      <w:proofErr w:type="spellEnd"/>
      <w:r>
        <w:t xml:space="preserve"> configuration is explained at the </w:t>
      </w:r>
      <w:proofErr w:type="spellStart"/>
      <w:r>
        <w:t>FedCloud</w:t>
      </w:r>
      <w:proofErr w:type="spellEnd"/>
      <w:r>
        <w:t xml:space="preserve"> Accounting page.</w:t>
      </w:r>
    </w:p>
    <w:p w14:paraId="13A1D946" w14:textId="77777777" w:rsidR="00C9780E" w:rsidRDefault="00C9780E" w:rsidP="00C9780E">
      <w:pPr>
        <w:pStyle w:val="ListParagraph"/>
        <w:numPr>
          <w:ilvl w:val="0"/>
          <w:numId w:val="18"/>
        </w:numPr>
      </w:pPr>
      <w:r>
        <w:t>BDII cloud provider, which registers the site's configuration and description through the EGI Information System to facilitate service discovery.</w:t>
      </w:r>
    </w:p>
    <w:p w14:paraId="43191FE8" w14:textId="77777777" w:rsidR="00C9780E" w:rsidRDefault="00C9780E" w:rsidP="00C9780E">
      <w:pPr>
        <w:keepNext/>
        <w:ind w:left="360"/>
      </w:pPr>
      <w:r>
        <w:rPr>
          <w:noProof/>
          <w:lang w:val="en-US"/>
        </w:rPr>
        <w:drawing>
          <wp:inline distT="0" distB="0" distL="0" distR="0" wp14:anchorId="2D79B146" wp14:editId="30928DB7">
            <wp:extent cx="5731510" cy="3167380"/>
            <wp:effectExtent l="0" t="0" r="889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penNebulaSite.png"/>
                    <pic:cNvPicPr/>
                  </pic:nvPicPr>
                  <pic:blipFill>
                    <a:blip r:embed="rId15">
                      <a:extLst>
                        <a:ext uri="{28A0092B-C50C-407E-A947-70E740481C1C}">
                          <a14:useLocalDpi xmlns:a14="http://schemas.microsoft.com/office/drawing/2010/main" val="0"/>
                        </a:ext>
                      </a:extLst>
                    </a:blip>
                    <a:stretch>
                      <a:fillRect/>
                    </a:stretch>
                  </pic:blipFill>
                  <pic:spPr>
                    <a:xfrm>
                      <a:off x="0" y="0"/>
                      <a:ext cx="5731510" cy="3167380"/>
                    </a:xfrm>
                    <a:prstGeom prst="rect">
                      <a:avLst/>
                    </a:prstGeom>
                  </pic:spPr>
                </pic:pic>
              </a:graphicData>
            </a:graphic>
          </wp:inline>
        </w:drawing>
      </w:r>
    </w:p>
    <w:p w14:paraId="35E9DA14" w14:textId="77777777" w:rsidR="00C9780E" w:rsidRDefault="00C9780E" w:rsidP="00C9780E">
      <w:pPr>
        <w:pStyle w:val="Caption"/>
        <w:jc w:val="center"/>
      </w:pPr>
      <w:bookmarkStart w:id="9" w:name="_Ref326251502"/>
      <w:r>
        <w:t xml:space="preserve">Figure </w:t>
      </w:r>
      <w:r>
        <w:fldChar w:fldCharType="begin"/>
      </w:r>
      <w:r>
        <w:instrText xml:space="preserve"> SEQ Figure \* ARABIC </w:instrText>
      </w:r>
      <w:r>
        <w:fldChar w:fldCharType="separate"/>
      </w:r>
      <w:r>
        <w:rPr>
          <w:noProof/>
        </w:rPr>
        <w:t>2</w:t>
      </w:r>
      <w:r>
        <w:fldChar w:fldCharType="end"/>
      </w:r>
      <w:bookmarkEnd w:id="9"/>
      <w:r>
        <w:t>. Architecture of an OpenStack site within the EGI Federated Cloud</w:t>
      </w:r>
    </w:p>
    <w:p w14:paraId="67600017" w14:textId="77777777" w:rsidR="00C9780E" w:rsidRDefault="00C9780E" w:rsidP="00C9780E"/>
    <w:p w14:paraId="68F04F7D" w14:textId="77777777" w:rsidR="00C9780E" w:rsidRDefault="00C9780E" w:rsidP="00C9780E">
      <w:r>
        <w:t xml:space="preserve">Those </w:t>
      </w:r>
      <w:proofErr w:type="spellStart"/>
      <w:r>
        <w:t>OpenNebula</w:t>
      </w:r>
      <w:proofErr w:type="spellEnd"/>
      <w:r>
        <w:t>-based service providers who want to support ELIXIR should follow the generic integration guidelines outlined in previous sections. In order to enable the ELIXIR Compute Platform, the following additional configuration is required:</w:t>
      </w:r>
    </w:p>
    <w:p w14:paraId="66266625" w14:textId="4E9B9023" w:rsidR="00C9780E" w:rsidRDefault="00C9780E" w:rsidP="00C9780E">
      <w:pPr>
        <w:numPr>
          <w:ilvl w:val="0"/>
          <w:numId w:val="22"/>
        </w:numPr>
      </w:pPr>
      <w:r>
        <w:t xml:space="preserve"> Establish </w:t>
      </w:r>
      <w:r w:rsidR="000D4248">
        <w:t xml:space="preserve">the </w:t>
      </w:r>
      <w:r>
        <w:t xml:space="preserve">CA trust for proxy certificates issued by </w:t>
      </w:r>
      <w:proofErr w:type="spellStart"/>
      <w:r>
        <w:t>CILogon</w:t>
      </w:r>
      <w:proofErr w:type="spellEnd"/>
      <w:r>
        <w:t xml:space="preserve"> (https://snf-676811.vm.okeanos.grnet.gr/ca/demoroot.html)</w:t>
      </w:r>
    </w:p>
    <w:p w14:paraId="6A297D52" w14:textId="77777777" w:rsidR="00C9780E" w:rsidRDefault="00C9780E" w:rsidP="00087A2A">
      <w:pPr>
        <w:ind w:left="709"/>
      </w:pPr>
      <w:r>
        <w:t>$ cd /</w:t>
      </w:r>
      <w:proofErr w:type="spellStart"/>
      <w:r>
        <w:t>etc</w:t>
      </w:r>
      <w:proofErr w:type="spellEnd"/>
      <w:r>
        <w:t>/grid-security/certificates</w:t>
      </w:r>
    </w:p>
    <w:p w14:paraId="54B9917F" w14:textId="77777777" w:rsidR="00C9780E" w:rsidRDefault="00C9780E" w:rsidP="00087A2A">
      <w:pPr>
        <w:ind w:left="709"/>
      </w:pPr>
      <w:r>
        <w:t xml:space="preserve">$ </w:t>
      </w:r>
      <w:proofErr w:type="gramStart"/>
      <w:r>
        <w:t>ls</w:t>
      </w:r>
      <w:proofErr w:type="gramEnd"/>
      <w:r>
        <w:t xml:space="preserve"> -la | grep Globus</w:t>
      </w:r>
    </w:p>
    <w:p w14:paraId="6E0FA5C0" w14:textId="77777777" w:rsidR="00C9780E" w:rsidRDefault="00C9780E" w:rsidP="00087A2A">
      <w:pPr>
        <w:ind w:left="709"/>
      </w:pPr>
      <w:proofErr w:type="spellStart"/>
      <w:proofErr w:type="gramStart"/>
      <w:r>
        <w:t>lrwxrwxrwx</w:t>
      </w:r>
      <w:proofErr w:type="spellEnd"/>
      <w:proofErr w:type="gramEnd"/>
      <w:r>
        <w:t xml:space="preserve"> 1 root </w:t>
      </w:r>
      <w:proofErr w:type="spellStart"/>
      <w:r>
        <w:t>root</w:t>
      </w:r>
      <w:proofErr w:type="spellEnd"/>
      <w:r>
        <w:t xml:space="preserve">    22 Feb 25 09:54 93df451c.0 -&gt; </w:t>
      </w:r>
      <w:proofErr w:type="spellStart"/>
      <w:r>
        <w:t>GlobusSimpleCaDemo.pem</w:t>
      </w:r>
      <w:proofErr w:type="spellEnd"/>
    </w:p>
    <w:p w14:paraId="6956B72D" w14:textId="77777777" w:rsidR="00C9780E" w:rsidRDefault="00C9780E" w:rsidP="00087A2A">
      <w:pPr>
        <w:ind w:left="709"/>
      </w:pPr>
      <w:r>
        <w:t>-</w:t>
      </w:r>
      <w:proofErr w:type="spellStart"/>
      <w:proofErr w:type="gramStart"/>
      <w:r>
        <w:t>rw</w:t>
      </w:r>
      <w:proofErr w:type="spellEnd"/>
      <w:proofErr w:type="gramEnd"/>
      <w:r>
        <w:t xml:space="preserve">-r--r-- 1 root </w:t>
      </w:r>
      <w:proofErr w:type="spellStart"/>
      <w:r>
        <w:t>root</w:t>
      </w:r>
      <w:proofErr w:type="spellEnd"/>
      <w:r>
        <w:t xml:space="preserve">  1931 Feb 25 09:53 </w:t>
      </w:r>
      <w:proofErr w:type="spellStart"/>
      <w:r>
        <w:t>GlobusSimpleCaDemo.pem</w:t>
      </w:r>
      <w:proofErr w:type="spellEnd"/>
    </w:p>
    <w:p w14:paraId="3EBE2013" w14:textId="77777777" w:rsidR="00C9780E" w:rsidRDefault="00C9780E" w:rsidP="00C9780E"/>
    <w:p w14:paraId="1EE153DE" w14:textId="42198F56" w:rsidR="00C9780E" w:rsidRDefault="00C9780E" w:rsidP="00C9780E">
      <w:pPr>
        <w:numPr>
          <w:ilvl w:val="0"/>
          <w:numId w:val="22"/>
        </w:numPr>
      </w:pPr>
      <w:r>
        <w:t xml:space="preserve"> Enable </w:t>
      </w:r>
      <w:r w:rsidR="00FE0508">
        <w:t xml:space="preserve">the </w:t>
      </w:r>
      <w:r>
        <w:t>VO 'vo.elixir-europe.org' locally</w:t>
      </w:r>
    </w:p>
    <w:p w14:paraId="455B32C1" w14:textId="77777777" w:rsidR="00C9780E" w:rsidRPr="00087A2A" w:rsidRDefault="00C9780E" w:rsidP="00087A2A">
      <w:pPr>
        <w:ind w:left="709"/>
      </w:pPr>
      <w:r w:rsidRPr="00087A2A">
        <w:t xml:space="preserve">See </w:t>
      </w:r>
      <w:hyperlink r:id="rId16" w:anchor="OpenNebula_2" w:history="1">
        <w:r w:rsidRPr="00087A2A">
          <w:t>https://wiki.egi.eu/wiki/HOWTO16#OpenNebula_2</w:t>
        </w:r>
      </w:hyperlink>
    </w:p>
    <w:p w14:paraId="56B6FE6A" w14:textId="77777777" w:rsidR="00C9780E" w:rsidRDefault="00C9780E" w:rsidP="00C9780E"/>
    <w:p w14:paraId="454AFC5A" w14:textId="77777777" w:rsidR="00C9780E" w:rsidRDefault="00C9780E" w:rsidP="00C9780E">
      <w:pPr>
        <w:numPr>
          <w:ilvl w:val="0"/>
          <w:numId w:val="22"/>
        </w:numPr>
      </w:pPr>
      <w:r>
        <w:t xml:space="preserve"> Enable propagations from Perun</w:t>
      </w:r>
    </w:p>
    <w:p w14:paraId="68BFEC59" w14:textId="28937F36" w:rsidR="00C9780E" w:rsidRDefault="00C9780E" w:rsidP="00087A2A">
      <w:pPr>
        <w:ind w:left="709"/>
      </w:pPr>
      <w:r>
        <w:t>Notif</w:t>
      </w:r>
      <w:r w:rsidR="00FE0508">
        <w:t>y the Perun team via GGUS, stating that you are</w:t>
      </w:r>
      <w:r>
        <w:t xml:space="preserve"> </w:t>
      </w:r>
      <w:proofErr w:type="spellStart"/>
      <w:r>
        <w:t>interest</w:t>
      </w:r>
      <w:r w:rsidR="00FE0508">
        <w:t>et</w:t>
      </w:r>
      <w:proofErr w:type="spellEnd"/>
      <w:r>
        <w:t xml:space="preserve"> in 'vo.elixir-europe.org' being propagated to your EGI Federated Cloud site (provide site ID and endpoint URL).</w:t>
      </w:r>
    </w:p>
    <w:p w14:paraId="25DB0280" w14:textId="77777777" w:rsidR="00C9780E" w:rsidRDefault="00C9780E" w:rsidP="00C9780E"/>
    <w:p w14:paraId="5DFBBF1E" w14:textId="3D8408B1" w:rsidR="00C9780E" w:rsidRDefault="00C9780E" w:rsidP="00C9780E">
      <w:pPr>
        <w:numPr>
          <w:ilvl w:val="0"/>
          <w:numId w:val="22"/>
        </w:numPr>
      </w:pPr>
      <w:r>
        <w:t xml:space="preserve"> Subscribe to </w:t>
      </w:r>
      <w:r w:rsidR="00FE0508">
        <w:t xml:space="preserve">the </w:t>
      </w:r>
      <w:r>
        <w:t>'vo.elixir-europe.org' VO-wide image list</w:t>
      </w:r>
    </w:p>
    <w:p w14:paraId="1DDFBAD7" w14:textId="77777777" w:rsidR="00C9780E" w:rsidRDefault="00C9780E" w:rsidP="00087A2A">
      <w:pPr>
        <w:ind w:left="709"/>
      </w:pPr>
      <w:r>
        <w:t>See https://wiki.appdb.egi.eu/main:guides:vmcatcher_site_setup</w:t>
      </w:r>
    </w:p>
    <w:p w14:paraId="2B0F94E3" w14:textId="77777777" w:rsidR="00C9780E" w:rsidRDefault="00C9780E" w:rsidP="00C9780E"/>
    <w:p w14:paraId="0FCF8695" w14:textId="77777777" w:rsidR="00C9780E" w:rsidRDefault="00C9780E" w:rsidP="00C9780E">
      <w:r>
        <w:t xml:space="preserve">After the first successful propagation from Perun (user accounts) and </w:t>
      </w:r>
      <w:proofErr w:type="spellStart"/>
      <w:r>
        <w:t>AppDB</w:t>
      </w:r>
      <w:proofErr w:type="spellEnd"/>
      <w:r>
        <w:t xml:space="preserve"> (virtual appliances), your site will be a fully functional member of the ELIXIR Compute Platform.</w:t>
      </w:r>
    </w:p>
    <w:p w14:paraId="276ACBDC" w14:textId="77777777" w:rsidR="00C9780E" w:rsidRDefault="00C9780E" w:rsidP="00C9780E"/>
    <w:p w14:paraId="471B8692" w14:textId="77777777" w:rsidR="00C9780E" w:rsidRDefault="00C9780E" w:rsidP="00C9780E">
      <w:pPr>
        <w:pStyle w:val="Heading2"/>
      </w:pPr>
      <w:bookmarkStart w:id="10" w:name="_Toc327624039"/>
      <w:r>
        <w:t xml:space="preserve">Installation guideline for </w:t>
      </w:r>
      <w:proofErr w:type="spellStart"/>
      <w:r>
        <w:t>Synnefo</w:t>
      </w:r>
      <w:proofErr w:type="spellEnd"/>
      <w:r>
        <w:t xml:space="preserve"> providers</w:t>
      </w:r>
      <w:bookmarkEnd w:id="10"/>
    </w:p>
    <w:p w14:paraId="06066C1B" w14:textId="77777777" w:rsidR="00C9780E" w:rsidRDefault="00C9780E" w:rsidP="00C9780E">
      <w:r>
        <w:t xml:space="preserve">An </w:t>
      </w:r>
      <w:r w:rsidRPr="006064F5">
        <w:t xml:space="preserve">EGI Cloud Site based on </w:t>
      </w:r>
      <w:proofErr w:type="spellStart"/>
      <w:r>
        <w:t>Synnefo</w:t>
      </w:r>
      <w:proofErr w:type="spellEnd"/>
      <w:r>
        <w:rPr>
          <w:rStyle w:val="FootnoteReference"/>
        </w:rPr>
        <w:footnoteReference w:id="19"/>
      </w:r>
      <w:r w:rsidRPr="006064F5">
        <w:t xml:space="preserve"> is an ordinary </w:t>
      </w:r>
      <w:proofErr w:type="spellStart"/>
      <w:r>
        <w:t>Synnefo</w:t>
      </w:r>
      <w:proofErr w:type="spellEnd"/>
      <w:r w:rsidRPr="006064F5">
        <w:t xml:space="preserve"> installation with some EGI-specific integration components. There are no additional requirements placed on internal site architecture.</w:t>
      </w:r>
      <w:r>
        <w:t xml:space="preserve">  You will need however to install the following extra services.</w:t>
      </w:r>
    </w:p>
    <w:p w14:paraId="3F6DEBD9" w14:textId="0577C904" w:rsidR="00C9780E" w:rsidRDefault="00C9780E" w:rsidP="00C9780E">
      <w:pPr>
        <w:pStyle w:val="ListParagraph"/>
        <w:numPr>
          <w:ilvl w:val="0"/>
          <w:numId w:val="19"/>
        </w:numPr>
      </w:pPr>
      <w:r>
        <w:t>SNF-OCCI</w:t>
      </w:r>
      <w:r>
        <w:rPr>
          <w:rStyle w:val="FootnoteReference"/>
        </w:rPr>
        <w:footnoteReference w:id="20"/>
      </w:r>
      <w:r w:rsidR="00FE0508">
        <w:t xml:space="preserve">: Which is </w:t>
      </w:r>
      <w:r>
        <w:t>an implementation of OCCI 1.1 (OCCI 1.2 support will be avail</w:t>
      </w:r>
      <w:r w:rsidR="00FE0508">
        <w:t xml:space="preserve">able shortly) as a bridge to </w:t>
      </w:r>
      <w:proofErr w:type="spellStart"/>
      <w:r w:rsidR="00FE0508">
        <w:t>kam</w:t>
      </w:r>
      <w:r>
        <w:t>aki</w:t>
      </w:r>
      <w:proofErr w:type="spellEnd"/>
      <w:r>
        <w:t>,</w:t>
      </w:r>
      <w:r w:rsidR="00FE0508">
        <w:t xml:space="preserve"> the</w:t>
      </w:r>
      <w:r>
        <w:t xml:space="preserve"> </w:t>
      </w:r>
      <w:proofErr w:type="spellStart"/>
      <w:r>
        <w:t>synnefo</w:t>
      </w:r>
      <w:proofErr w:type="spellEnd"/>
      <w:r>
        <w:t xml:space="preserve"> cli.</w:t>
      </w:r>
    </w:p>
    <w:p w14:paraId="76FDCBD4" w14:textId="3644D6F3" w:rsidR="00C9780E" w:rsidRDefault="00C9780E" w:rsidP="00FE0508">
      <w:pPr>
        <w:pStyle w:val="ListParagraph"/>
        <w:numPr>
          <w:ilvl w:val="0"/>
          <w:numId w:val="19"/>
        </w:numPr>
      </w:pPr>
      <w:r>
        <w:t>ASTAVOMS</w:t>
      </w:r>
      <w:r>
        <w:rPr>
          <w:rStyle w:val="FootnoteReference"/>
        </w:rPr>
        <w:footnoteReference w:id="21"/>
      </w:r>
      <w:r>
        <w:t>: is the extension to</w:t>
      </w:r>
      <w:r w:rsidR="00FE0508">
        <w:t xml:space="preserve"> </w:t>
      </w:r>
      <w:proofErr w:type="gramStart"/>
      <w:r w:rsidR="00FE0508">
        <w:t xml:space="preserve">the </w:t>
      </w:r>
      <w:r>
        <w:t xml:space="preserve"> </w:t>
      </w:r>
      <w:proofErr w:type="spellStart"/>
      <w:r>
        <w:t>synnefos</w:t>
      </w:r>
      <w:proofErr w:type="spellEnd"/>
      <w:proofErr w:type="gramEnd"/>
      <w:r>
        <w:t xml:space="preserve"> </w:t>
      </w:r>
      <w:proofErr w:type="spellStart"/>
      <w:r>
        <w:t>astakos</w:t>
      </w:r>
      <w:proofErr w:type="spellEnd"/>
      <w:r>
        <w:t xml:space="preserve"> authentication services that ha</w:t>
      </w:r>
      <w:r w:rsidR="00FE0508">
        <w:t>ndles a pool of user accounts that</w:t>
      </w:r>
      <w:r>
        <w:t xml:space="preserve"> bind to a user authenticated via VOMS.</w:t>
      </w:r>
    </w:p>
    <w:p w14:paraId="018188B8" w14:textId="6588FA04" w:rsidR="00C9780E" w:rsidRDefault="00C9780E" w:rsidP="00C9780E">
      <w:pPr>
        <w:pStyle w:val="ListParagraph"/>
        <w:numPr>
          <w:ilvl w:val="0"/>
          <w:numId w:val="19"/>
        </w:numPr>
      </w:pPr>
      <w:r>
        <w:t>SNF-CDMI</w:t>
      </w:r>
      <w:r>
        <w:rPr>
          <w:rStyle w:val="FootnoteReference"/>
        </w:rPr>
        <w:footnoteReference w:id="22"/>
      </w:r>
      <w:r>
        <w:t xml:space="preserve">: Which is an implementation of </w:t>
      </w:r>
      <w:r w:rsidR="00FE0508">
        <w:t xml:space="preserve">the </w:t>
      </w:r>
      <w:r>
        <w:t xml:space="preserve">CDMI Spec on top of </w:t>
      </w:r>
      <w:r w:rsidR="00FE0508">
        <w:t xml:space="preserve">the </w:t>
      </w:r>
      <w:proofErr w:type="spellStart"/>
      <w:r>
        <w:t>pithos</w:t>
      </w:r>
      <w:proofErr w:type="spellEnd"/>
      <w:r>
        <w:t xml:space="preserve"> ~</w:t>
      </w:r>
      <w:proofErr w:type="spellStart"/>
      <w:r>
        <w:t>Okeanos</w:t>
      </w:r>
      <w:proofErr w:type="spellEnd"/>
      <w:r>
        <w:t xml:space="preserve"> storage service.</w:t>
      </w:r>
    </w:p>
    <w:p w14:paraId="6166A254" w14:textId="77777777" w:rsidR="00C9780E" w:rsidRDefault="00C9780E" w:rsidP="00C9780E">
      <w:pPr>
        <w:pStyle w:val="ListParagraph"/>
        <w:numPr>
          <w:ilvl w:val="0"/>
          <w:numId w:val="19"/>
        </w:numPr>
      </w:pPr>
      <w:r>
        <w:t>SNF-SSM</w:t>
      </w:r>
      <w:r>
        <w:rPr>
          <w:rStyle w:val="FootnoteReference"/>
        </w:rPr>
        <w:footnoteReference w:id="23"/>
      </w:r>
      <w:r>
        <w:t xml:space="preserve">: Which is a script that publishes to </w:t>
      </w:r>
      <w:proofErr w:type="spellStart"/>
      <w:r>
        <w:t>apel</w:t>
      </w:r>
      <w:proofErr w:type="spellEnd"/>
      <w:r>
        <w:t xml:space="preserve"> </w:t>
      </w:r>
      <w:proofErr w:type="spellStart"/>
      <w:r>
        <w:t>ssm</w:t>
      </w:r>
      <w:proofErr w:type="spellEnd"/>
      <w:r>
        <w:t xml:space="preserve"> usage records.</w:t>
      </w:r>
    </w:p>
    <w:p w14:paraId="396E6628" w14:textId="4E89D024" w:rsidR="00C9780E" w:rsidRDefault="00C9780E" w:rsidP="00C9780E">
      <w:pPr>
        <w:pStyle w:val="ListParagraph"/>
        <w:numPr>
          <w:ilvl w:val="0"/>
          <w:numId w:val="19"/>
        </w:numPr>
      </w:pPr>
      <w:r>
        <w:t>SNF-VMCATCHER</w:t>
      </w:r>
      <w:r>
        <w:rPr>
          <w:rStyle w:val="FootnoteReference"/>
        </w:rPr>
        <w:footnoteReference w:id="24"/>
      </w:r>
      <w:r>
        <w:t>: Which is the implem</w:t>
      </w:r>
      <w:r w:rsidR="00FE0508">
        <w:t xml:space="preserve">entation of </w:t>
      </w:r>
      <w:proofErr w:type="spellStart"/>
      <w:r w:rsidR="00FE0508">
        <w:t>vmcatcher</w:t>
      </w:r>
      <w:proofErr w:type="spellEnd"/>
      <w:r w:rsidR="00FE0508">
        <w:t xml:space="preserve"> to use </w:t>
      </w:r>
      <w:proofErr w:type="spellStart"/>
      <w:r w:rsidR="00FE0508">
        <w:t>kam</w:t>
      </w:r>
      <w:r>
        <w:t>aki</w:t>
      </w:r>
      <w:proofErr w:type="spellEnd"/>
      <w:r>
        <w:t xml:space="preserve"> and </w:t>
      </w:r>
      <w:proofErr w:type="spellStart"/>
      <w:r>
        <w:t>snf</w:t>
      </w:r>
      <w:proofErr w:type="spellEnd"/>
      <w:r>
        <w:t xml:space="preserve">-image to import images on your </w:t>
      </w:r>
      <w:proofErr w:type="spellStart"/>
      <w:r>
        <w:t>Synnefo</w:t>
      </w:r>
      <w:proofErr w:type="spellEnd"/>
      <w:r>
        <w:t xml:space="preserve"> installation.</w:t>
      </w:r>
    </w:p>
    <w:p w14:paraId="5B51D237" w14:textId="77777777" w:rsidR="00C9780E" w:rsidRPr="00466D4B" w:rsidRDefault="00C9780E" w:rsidP="00C9780E">
      <w:r>
        <w:t xml:space="preserve">Please note that </w:t>
      </w:r>
      <w:proofErr w:type="spellStart"/>
      <w:r>
        <w:t>astavoms</w:t>
      </w:r>
      <w:proofErr w:type="spellEnd"/>
      <w:r>
        <w:t xml:space="preserve"> is required for both SNF-OCCI and SNF-CDMI to work as they redirect to that service to authenticate a user. Note that </w:t>
      </w:r>
      <w:proofErr w:type="spellStart"/>
      <w:r>
        <w:t>Synnefo</w:t>
      </w:r>
      <w:proofErr w:type="spellEnd"/>
      <w:r>
        <w:t xml:space="preserve"> does not support VMs with Logical Volumes.</w:t>
      </w:r>
    </w:p>
    <w:p w14:paraId="6CFA5EF8" w14:textId="77777777" w:rsidR="00C9780E" w:rsidRDefault="00C9780E" w:rsidP="00C9780E"/>
    <w:p w14:paraId="5C1A4BE0" w14:textId="77777777" w:rsidR="00C9780E" w:rsidRDefault="00C9780E" w:rsidP="00C9780E"/>
    <w:p w14:paraId="378A9EAA" w14:textId="0D76543E" w:rsidR="004C79FC" w:rsidRDefault="004C79FC">
      <w:pPr>
        <w:pStyle w:val="Heading1"/>
        <w:numPr>
          <w:ilvl w:val="0"/>
          <w:numId w:val="1"/>
        </w:numPr>
      </w:pPr>
      <w:bookmarkStart w:id="11" w:name="_Toc327624040"/>
      <w:r>
        <w:lastRenderedPageBreak/>
        <w:t>Integration status and plans</w:t>
      </w:r>
      <w:bookmarkEnd w:id="11"/>
    </w:p>
    <w:p w14:paraId="54A2D2C8" w14:textId="70108BB3" w:rsidR="00467C0D" w:rsidRDefault="00EC7DB2" w:rsidP="00467C0D">
      <w:r w:rsidRPr="00EC7DB2">
        <w:t xml:space="preserve">This section provides status information about the sites that participate in the ELIXIR Competence Centre. The section captures the current status </w:t>
      </w:r>
      <w:r>
        <w:t xml:space="preserve">of these sites, </w:t>
      </w:r>
      <w:r w:rsidRPr="00EC7DB2">
        <w:t>and plans for providing cloud services in the ELIXIR Compute Platform.</w:t>
      </w:r>
      <w:r>
        <w:t xml:space="preserve"> The section covers:</w:t>
      </w:r>
    </w:p>
    <w:p w14:paraId="2D31F1A8" w14:textId="282EBC7A" w:rsidR="00EC7DB2" w:rsidRDefault="00EC7DB2" w:rsidP="000B26BC">
      <w:pPr>
        <w:pStyle w:val="ListParagraph"/>
        <w:numPr>
          <w:ilvl w:val="0"/>
          <w:numId w:val="38"/>
        </w:numPr>
        <w:ind w:left="2977"/>
      </w:pPr>
      <w:r>
        <w:t>CSC from Finland</w:t>
      </w:r>
    </w:p>
    <w:p w14:paraId="2CB49E6E" w14:textId="629912D8" w:rsidR="00EC7DB2" w:rsidRDefault="00EC7DB2" w:rsidP="000B26BC">
      <w:pPr>
        <w:pStyle w:val="ListParagraph"/>
        <w:numPr>
          <w:ilvl w:val="0"/>
          <w:numId w:val="38"/>
        </w:numPr>
        <w:ind w:left="2977"/>
      </w:pPr>
      <w:r>
        <w:t>CESNET from Czech Republic</w:t>
      </w:r>
    </w:p>
    <w:p w14:paraId="240157FC" w14:textId="0FD2AE63" w:rsidR="00EC7DB2" w:rsidRDefault="00EC7DB2" w:rsidP="000B26BC">
      <w:pPr>
        <w:pStyle w:val="ListParagraph"/>
        <w:numPr>
          <w:ilvl w:val="0"/>
          <w:numId w:val="38"/>
        </w:numPr>
        <w:ind w:left="2977"/>
      </w:pPr>
      <w:r>
        <w:t>CNRS from France</w:t>
      </w:r>
    </w:p>
    <w:p w14:paraId="7D76F55A" w14:textId="044C7D69" w:rsidR="00EC7DB2" w:rsidRDefault="00EC7DB2" w:rsidP="000B26BC">
      <w:pPr>
        <w:pStyle w:val="ListParagraph"/>
        <w:numPr>
          <w:ilvl w:val="0"/>
          <w:numId w:val="38"/>
        </w:numPr>
        <w:ind w:left="2977"/>
      </w:pPr>
      <w:r>
        <w:t>EMBL-EBI from UK</w:t>
      </w:r>
    </w:p>
    <w:p w14:paraId="2574E06E" w14:textId="2078B7F3" w:rsidR="00EC7DB2" w:rsidRDefault="00EC7DB2" w:rsidP="000B26BC">
      <w:pPr>
        <w:pStyle w:val="ListParagraph"/>
        <w:numPr>
          <w:ilvl w:val="0"/>
          <w:numId w:val="38"/>
        </w:numPr>
        <w:ind w:left="2977"/>
      </w:pPr>
      <w:r>
        <w:t>GRNET from Greece</w:t>
      </w:r>
    </w:p>
    <w:p w14:paraId="5235B0A8" w14:textId="1802CA6D" w:rsidR="00EC7DB2" w:rsidRPr="00467C0D" w:rsidRDefault="00EC7DB2" w:rsidP="000B26BC">
      <w:pPr>
        <w:pStyle w:val="ListParagraph"/>
        <w:numPr>
          <w:ilvl w:val="0"/>
          <w:numId w:val="38"/>
        </w:numPr>
        <w:ind w:left="2977"/>
      </w:pPr>
      <w:proofErr w:type="spellStart"/>
      <w:r>
        <w:t>JetStream</w:t>
      </w:r>
      <w:proofErr w:type="spellEnd"/>
      <w:r>
        <w:t xml:space="preserve"> from</w:t>
      </w:r>
      <w:r w:rsidR="00FE0508">
        <w:t xml:space="preserve"> the</w:t>
      </w:r>
      <w:r>
        <w:t xml:space="preserve"> University of Indiana, USA</w:t>
      </w:r>
    </w:p>
    <w:p w14:paraId="5294441A" w14:textId="77777777" w:rsidR="009F16CE" w:rsidRDefault="009F16CE" w:rsidP="009F16CE">
      <w:pPr>
        <w:pStyle w:val="Heading2"/>
      </w:pPr>
      <w:bookmarkStart w:id="12" w:name="_Toc327624041"/>
      <w:r>
        <w:t>CSC</w:t>
      </w:r>
      <w:bookmarkEnd w:id="12"/>
    </w:p>
    <w:p w14:paraId="303CE17A" w14:textId="4BC9BE31" w:rsidR="00FA2573" w:rsidRDefault="00FA2573" w:rsidP="00FA2573">
      <w:r>
        <w:t xml:space="preserve">CSC provides an IaaS cloud service called </w:t>
      </w:r>
      <w:proofErr w:type="spellStart"/>
      <w:r w:rsidR="009158EA">
        <w:t>c</w:t>
      </w:r>
      <w:r>
        <w:t>Pouta</w:t>
      </w:r>
      <w:proofErr w:type="spellEnd"/>
      <w:r>
        <w:t xml:space="preserve"> for its customers (https://research.csc.fi/cpouta)</w:t>
      </w:r>
      <w:r w:rsidR="000E493D">
        <w:t>.</w:t>
      </w:r>
      <w:r>
        <w:t xml:space="preserve"> This OpenStack based cloud service,</w:t>
      </w:r>
      <w:r w:rsidR="000E493D" w:rsidRPr="000E493D">
        <w:t xml:space="preserve"> </w:t>
      </w:r>
      <w:r w:rsidR="000E493D">
        <w:t xml:space="preserve">funded by the Finnish Ministry of Culture and Education, allows users to </w:t>
      </w:r>
      <w:r>
        <w:t>launch their own virtual machines to a server environment running in the C</w:t>
      </w:r>
      <w:r w:rsidR="000E493D">
        <w:t xml:space="preserve">SC computing </w:t>
      </w:r>
      <w:proofErr w:type="spellStart"/>
      <w:r w:rsidR="000E493D">
        <w:t>center</w:t>
      </w:r>
      <w:proofErr w:type="spellEnd"/>
      <w:r w:rsidR="000E493D">
        <w:t xml:space="preserve"> in </w:t>
      </w:r>
      <w:proofErr w:type="spellStart"/>
      <w:r w:rsidR="000E493D">
        <w:t>Kajaani</w:t>
      </w:r>
      <w:proofErr w:type="spellEnd"/>
      <w:r w:rsidR="000E493D">
        <w:t xml:space="preserve">. </w:t>
      </w:r>
    </w:p>
    <w:p w14:paraId="54B269D5" w14:textId="6185A93C" w:rsidR="00FA2573" w:rsidRDefault="00FA2573" w:rsidP="00FA2573">
      <w:r>
        <w:t>Currently the service contains nearly 3500 computing cores, used by over 200 comput</w:t>
      </w:r>
      <w:r w:rsidR="000E493D">
        <w:t xml:space="preserve">ing projects.  The majority of </w:t>
      </w:r>
      <w:r>
        <w:t>users are academic researchers working in Finland</w:t>
      </w:r>
      <w:r w:rsidR="00176578">
        <w:t>. A</w:t>
      </w:r>
      <w:r>
        <w:t xml:space="preserve">ccess is granted </w:t>
      </w:r>
      <w:r w:rsidR="000E493D">
        <w:t xml:space="preserve">by the CSC resource allocation </w:t>
      </w:r>
      <w:r w:rsidR="004F1DA2">
        <w:t>board, but</w:t>
      </w:r>
      <w:r w:rsidR="002B2D16">
        <w:t xml:space="preserve"> </w:t>
      </w:r>
      <w:proofErr w:type="spellStart"/>
      <w:r w:rsidR="002B2D16">
        <w:t>cPouta</w:t>
      </w:r>
      <w:proofErr w:type="spellEnd"/>
      <w:r w:rsidR="002B2D16">
        <w:t xml:space="preserve"> also</w:t>
      </w:r>
      <w:r w:rsidR="004F1DA2">
        <w:t xml:space="preserve"> </w:t>
      </w:r>
      <w:r w:rsidR="00176578">
        <w:t xml:space="preserve">serves </w:t>
      </w:r>
      <w:r w:rsidR="004F1DA2">
        <w:t xml:space="preserve">international collaboration projects, including </w:t>
      </w:r>
      <w:r w:rsidR="008A7C63">
        <w:t xml:space="preserve">some </w:t>
      </w:r>
      <w:r w:rsidR="00226D30">
        <w:t>ELIXIR use cases</w:t>
      </w:r>
      <w:r w:rsidR="002B2D16">
        <w:t>.</w:t>
      </w:r>
      <w:r>
        <w:t xml:space="preserve"> There are also some commercial users, who buy the </w:t>
      </w:r>
      <w:proofErr w:type="spellStart"/>
      <w:r w:rsidR="005E256F">
        <w:t>c</w:t>
      </w:r>
      <w:r>
        <w:t>Po</w:t>
      </w:r>
      <w:r w:rsidR="000E493D">
        <w:t>uta</w:t>
      </w:r>
      <w:proofErr w:type="spellEnd"/>
      <w:r w:rsidR="000E493D">
        <w:t xml:space="preserve"> capacity directly from CSC.</w:t>
      </w:r>
    </w:p>
    <w:p w14:paraId="5DA1DAC3" w14:textId="15553239" w:rsidR="00936DE7" w:rsidRDefault="00FA2573" w:rsidP="00FA2573">
      <w:r>
        <w:t>As a member of EGI, CSC is interested in being part of the EGI Federa</w:t>
      </w:r>
      <w:r w:rsidR="009158EA">
        <w:t>ted Cloud</w:t>
      </w:r>
      <w:r w:rsidR="00176578">
        <w:t xml:space="preserve"> to offer resources for ELIXIR and</w:t>
      </w:r>
      <w:r w:rsidR="00936DE7">
        <w:t xml:space="preserve"> possibly also</w:t>
      </w:r>
      <w:r w:rsidR="00176578">
        <w:t xml:space="preserve"> </w:t>
      </w:r>
      <w:r w:rsidR="00C9780E">
        <w:t>for</w:t>
      </w:r>
      <w:r w:rsidR="00176578">
        <w:t xml:space="preserve"> other communities</w:t>
      </w:r>
      <w:r w:rsidR="009158EA">
        <w:t>. However, a</w:t>
      </w:r>
      <w:r w:rsidR="000E493D">
        <w:t xml:space="preserve">s </w:t>
      </w:r>
      <w:proofErr w:type="spellStart"/>
      <w:r w:rsidR="000E493D">
        <w:t>cPouta</w:t>
      </w:r>
      <w:proofErr w:type="spellEnd"/>
      <w:r w:rsidR="000E493D">
        <w:t xml:space="preserve"> IaaS cloud is </w:t>
      </w:r>
      <w:r w:rsidR="005E256F">
        <w:t>a</w:t>
      </w:r>
      <w:r w:rsidR="000E493D">
        <w:t xml:space="preserve"> production service </w:t>
      </w:r>
      <w:r w:rsidR="009158EA">
        <w:t>that</w:t>
      </w:r>
      <w:r w:rsidR="009158EA" w:rsidRPr="009158EA">
        <w:t xml:space="preserve"> </w:t>
      </w:r>
      <w:r w:rsidR="009158EA">
        <w:t>primarily supports Finnish researchers</w:t>
      </w:r>
      <w:r w:rsidR="001A37C4">
        <w:t>,</w:t>
      </w:r>
      <w:r w:rsidR="00176578">
        <w:t xml:space="preserve"> offering this to international communities </w:t>
      </w:r>
      <w:r w:rsidR="00936DE7" w:rsidRPr="00936DE7">
        <w:t xml:space="preserve">through the EGI Federated cloud </w:t>
      </w:r>
      <w:r w:rsidR="00176578">
        <w:t xml:space="preserve">should not </w:t>
      </w:r>
      <w:r>
        <w:t>a</w:t>
      </w:r>
      <w:r w:rsidR="000E493D">
        <w:t xml:space="preserve">ffect CSC's service level. </w:t>
      </w:r>
      <w:r w:rsidR="00936DE7" w:rsidRPr="00936DE7">
        <w:t xml:space="preserve">In particular, </w:t>
      </w:r>
      <w:r w:rsidR="00C9780E">
        <w:t xml:space="preserve">ELIXIR and </w:t>
      </w:r>
      <w:r w:rsidR="00936DE7" w:rsidRPr="00936DE7">
        <w:t xml:space="preserve">EGI usage policies must not have a restricting impact on </w:t>
      </w:r>
      <w:r w:rsidR="00B0290C">
        <w:t>providing the CSC</w:t>
      </w:r>
      <w:r w:rsidR="00C9780E">
        <w:t xml:space="preserve">’s core </w:t>
      </w:r>
      <w:r w:rsidR="00936DE7" w:rsidRPr="00936DE7">
        <w:t>services</w:t>
      </w:r>
      <w:r w:rsidR="00C9780E">
        <w:t xml:space="preserve"> to national users</w:t>
      </w:r>
      <w:r w:rsidR="00936DE7" w:rsidRPr="00936DE7">
        <w:t>.</w:t>
      </w:r>
    </w:p>
    <w:p w14:paraId="75332344" w14:textId="5AECEB64" w:rsidR="00936DE7" w:rsidRDefault="00936DE7" w:rsidP="00936DE7">
      <w:r>
        <w:t>The recent development in the EGI Federated Cloud environment should make it easier for CSC to start acting as a resource provider for</w:t>
      </w:r>
      <w:r w:rsidR="002E62A4">
        <w:t xml:space="preserve"> the</w:t>
      </w:r>
      <w:r>
        <w:t xml:space="preserve"> EGI federated cloud. For example, features that previous caused Nova/Keystone compatibility issues are no longer used in the EGI Federated Cloud. However, to utilize these improvements CSC will first need to upgrade the local OpenSta</w:t>
      </w:r>
      <w:r w:rsidR="00B0290C">
        <w:t>ck several version steps (Kilo or Liberty</w:t>
      </w:r>
      <w:r>
        <w:t xml:space="preserve">) which will require several months to be implemented. </w:t>
      </w:r>
    </w:p>
    <w:p w14:paraId="45DCD5FF" w14:textId="593E0D4A" w:rsidR="00936DE7" w:rsidRDefault="00936DE7" w:rsidP="00936DE7">
      <w:r>
        <w:t xml:space="preserve">After this upgrade both the technical and policy issues related to quotas, accounting and </w:t>
      </w:r>
      <w:r w:rsidR="000731CD">
        <w:t>billing integration</w:t>
      </w:r>
      <w:r>
        <w:t xml:space="preserve"> will need to be readdressed and solved.</w:t>
      </w:r>
      <w:r w:rsidR="00B0290C" w:rsidRPr="00B0290C">
        <w:t xml:space="preserve"> The final decision on the actual integration has yet to be made, and therefore there are no commitments on the timetable of the technical </w:t>
      </w:r>
      <w:r w:rsidR="00B0290C" w:rsidRPr="00B0290C">
        <w:lastRenderedPageBreak/>
        <w:t>integration. However, if the decision is positive, it should be technically possible to start the integration work after these changes have been made.</w:t>
      </w:r>
    </w:p>
    <w:p w14:paraId="4AFBD5A0" w14:textId="1586C77A" w:rsidR="009F16CE" w:rsidRDefault="00936DE7" w:rsidP="00467C0D">
      <w:r>
        <w:t xml:space="preserve">Operating an OpenStack cloud is </w:t>
      </w:r>
      <w:r w:rsidR="00C9780E">
        <w:t xml:space="preserve">already a </w:t>
      </w:r>
      <w:r>
        <w:t>resource intens</w:t>
      </w:r>
      <w:r w:rsidR="00C9780E">
        <w:t>ive task</w:t>
      </w:r>
      <w:r>
        <w:t>. Adding extra integrations to a production OpenStack cloud increase</w:t>
      </w:r>
      <w:r w:rsidR="00C9780E">
        <w:t>s</w:t>
      </w:r>
      <w:r>
        <w:t xml:space="preserve"> the complexity of maintaining the </w:t>
      </w:r>
      <w:r w:rsidR="00C9780E">
        <w:t>site</w:t>
      </w:r>
      <w:r>
        <w:t xml:space="preserve">. To ensure the </w:t>
      </w:r>
      <w:r w:rsidR="000B26BC">
        <w:t>long-term</w:t>
      </w:r>
      <w:r>
        <w:t xml:space="preserve"> viability of this platform, CSC would like to be sure that it doesn't add undue burden to the maintenance and update process</w:t>
      </w:r>
      <w:r w:rsidR="00B0290C">
        <w:t>. CSC</w:t>
      </w:r>
      <w:r w:rsidR="00C9780E">
        <w:t>, ELIXIR and EGI will further discuss this topic and work towards a setup that brings value to ELIXIR and works under the limitations set on local services by CSC.</w:t>
      </w:r>
    </w:p>
    <w:p w14:paraId="55ED11FE" w14:textId="52A65FB2" w:rsidR="009F16CE" w:rsidRDefault="009F16CE" w:rsidP="009F16CE">
      <w:pPr>
        <w:pStyle w:val="Heading2"/>
      </w:pPr>
      <w:bookmarkStart w:id="13" w:name="_Toc327624042"/>
      <w:r>
        <w:t>CESNET</w:t>
      </w:r>
      <w:bookmarkEnd w:id="13"/>
    </w:p>
    <w:p w14:paraId="02F746ED" w14:textId="61F5AC92" w:rsidR="00530A7D" w:rsidRDefault="00530A7D" w:rsidP="00530A7D">
      <w:r>
        <w:t>CESNET operates a sizable national HPC infrastructure in</w:t>
      </w:r>
      <w:r w:rsidR="002E62A4">
        <w:t xml:space="preserve"> the</w:t>
      </w:r>
      <w:r>
        <w:t xml:space="preserve"> Czech Republic providing resources to local academic communities, including cloud-based resources, various types of storage, and identity management services. On an international level, CESNET is a member of EGI (NGI_CZ), as a resource provider and a technology provider, specifically in the context of</w:t>
      </w:r>
      <w:r w:rsidR="002E62A4">
        <w:t xml:space="preserve"> the EGI Federated Cloud.</w:t>
      </w:r>
    </w:p>
    <w:p w14:paraId="6368A59C" w14:textId="6C4982DC" w:rsidR="00530A7D" w:rsidRDefault="00530A7D" w:rsidP="00530A7D">
      <w:r>
        <w:t>As a resource provider, CESNET i</w:t>
      </w:r>
      <w:r w:rsidR="002E62A4">
        <w:t xml:space="preserve">s fully integrated and offers </w:t>
      </w:r>
      <w:r>
        <w:t xml:space="preserve">the following cloud services compliant with </w:t>
      </w:r>
      <w:r w:rsidR="002E62A4">
        <w:t xml:space="preserve">the </w:t>
      </w:r>
      <w:r>
        <w:t>EGI Federated Cloud:</w:t>
      </w:r>
    </w:p>
    <w:p w14:paraId="40A63A03" w14:textId="77777777" w:rsidR="00530A7D" w:rsidRDefault="00530A7D" w:rsidP="00530A7D">
      <w:pPr>
        <w:numPr>
          <w:ilvl w:val="0"/>
          <w:numId w:val="20"/>
        </w:numPr>
      </w:pPr>
      <w:r>
        <w:t>Virtual machine management via OCCI</w:t>
      </w:r>
    </w:p>
    <w:p w14:paraId="440C6034" w14:textId="77777777" w:rsidR="00530A7D" w:rsidRDefault="00530A7D" w:rsidP="00530A7D">
      <w:pPr>
        <w:numPr>
          <w:ilvl w:val="0"/>
          <w:numId w:val="20"/>
        </w:numPr>
      </w:pPr>
      <w:r>
        <w:t>Accounting via APEL/SSM</w:t>
      </w:r>
    </w:p>
    <w:p w14:paraId="29D37FF0" w14:textId="77777777" w:rsidR="00530A7D" w:rsidRDefault="00530A7D" w:rsidP="00530A7D">
      <w:pPr>
        <w:numPr>
          <w:ilvl w:val="0"/>
          <w:numId w:val="20"/>
        </w:numPr>
      </w:pPr>
      <w:r>
        <w:t>Information discovery via BDII</w:t>
      </w:r>
    </w:p>
    <w:p w14:paraId="31DFD3E2" w14:textId="77777777" w:rsidR="00530A7D" w:rsidRDefault="00530A7D" w:rsidP="00530A7D">
      <w:pPr>
        <w:numPr>
          <w:ilvl w:val="0"/>
          <w:numId w:val="20"/>
        </w:numPr>
      </w:pPr>
      <w:r>
        <w:t xml:space="preserve">Virtual machine image management via </w:t>
      </w:r>
      <w:proofErr w:type="spellStart"/>
      <w:r>
        <w:t>HEPiX</w:t>
      </w:r>
      <w:proofErr w:type="spellEnd"/>
      <w:r>
        <w:t xml:space="preserve"> </w:t>
      </w:r>
      <w:proofErr w:type="spellStart"/>
      <w:r>
        <w:t>vmcatcher</w:t>
      </w:r>
      <w:proofErr w:type="spellEnd"/>
      <w:r>
        <w:t>/</w:t>
      </w:r>
      <w:proofErr w:type="spellStart"/>
      <w:r>
        <w:t>vmcaster</w:t>
      </w:r>
      <w:proofErr w:type="spellEnd"/>
    </w:p>
    <w:p w14:paraId="3E0DDE47" w14:textId="5CFBA87C" w:rsidR="00530A7D" w:rsidRDefault="00530A7D" w:rsidP="00867128">
      <w:pPr>
        <w:numPr>
          <w:ilvl w:val="0"/>
          <w:numId w:val="20"/>
        </w:numPr>
      </w:pPr>
      <w:r>
        <w:t>AAI</w:t>
      </w:r>
    </w:p>
    <w:p w14:paraId="5149E49F" w14:textId="77777777" w:rsidR="00530A7D" w:rsidRDefault="00530A7D" w:rsidP="00530A7D">
      <w:r>
        <w:t>As a technology provider, CESNET develops and maintains the following EGI Federated Cloud integration components and tools:</w:t>
      </w:r>
    </w:p>
    <w:p w14:paraId="1AD48AAB" w14:textId="77777777" w:rsidR="00530A7D" w:rsidRDefault="00530A7D" w:rsidP="00530A7D">
      <w:pPr>
        <w:numPr>
          <w:ilvl w:val="0"/>
          <w:numId w:val="21"/>
        </w:numPr>
      </w:pPr>
      <w:r>
        <w:t>OCCI components for virtual machine management (</w:t>
      </w:r>
      <w:proofErr w:type="spellStart"/>
      <w:r>
        <w:t>rOCCI</w:t>
      </w:r>
      <w:proofErr w:type="spellEnd"/>
      <w:r>
        <w:t xml:space="preserve">-{core, </w:t>
      </w:r>
      <w:proofErr w:type="spellStart"/>
      <w:r>
        <w:t>api</w:t>
      </w:r>
      <w:proofErr w:type="spellEnd"/>
      <w:r>
        <w:t>, cli, server})</w:t>
      </w:r>
    </w:p>
    <w:p w14:paraId="66D892F7" w14:textId="77777777" w:rsidR="00530A7D" w:rsidRDefault="00530A7D" w:rsidP="00530A7D">
      <w:pPr>
        <w:numPr>
          <w:ilvl w:val="0"/>
          <w:numId w:val="21"/>
        </w:numPr>
      </w:pPr>
      <w:proofErr w:type="spellStart"/>
      <w:r>
        <w:t>OpenNebula</w:t>
      </w:r>
      <w:proofErr w:type="spellEnd"/>
      <w:r>
        <w:t xml:space="preserve"> APEL connector (</w:t>
      </w:r>
      <w:proofErr w:type="spellStart"/>
      <w:r>
        <w:t>oneacct</w:t>
      </w:r>
      <w:proofErr w:type="spellEnd"/>
      <w:r>
        <w:t>-export)</w:t>
      </w:r>
    </w:p>
    <w:p w14:paraId="1D8B0D90" w14:textId="77777777" w:rsidR="00530A7D" w:rsidRDefault="00530A7D" w:rsidP="00530A7D">
      <w:pPr>
        <w:numPr>
          <w:ilvl w:val="0"/>
          <w:numId w:val="21"/>
        </w:numPr>
      </w:pPr>
      <w:proofErr w:type="spellStart"/>
      <w:r>
        <w:t>OpenNebula</w:t>
      </w:r>
      <w:proofErr w:type="spellEnd"/>
      <w:r>
        <w:t xml:space="preserve"> Perun connector (</w:t>
      </w:r>
      <w:proofErr w:type="spellStart"/>
      <w:r>
        <w:t>fctf-perun</w:t>
      </w:r>
      <w:proofErr w:type="spellEnd"/>
      <w:r>
        <w:t>)</w:t>
      </w:r>
    </w:p>
    <w:p w14:paraId="7A93FC24" w14:textId="77777777" w:rsidR="00530A7D" w:rsidRDefault="00530A7D" w:rsidP="00530A7D">
      <w:pPr>
        <w:numPr>
          <w:ilvl w:val="0"/>
          <w:numId w:val="21"/>
        </w:numPr>
      </w:pPr>
      <w:proofErr w:type="spellStart"/>
      <w:r>
        <w:t>OpenNebula</w:t>
      </w:r>
      <w:proofErr w:type="spellEnd"/>
      <w:r>
        <w:t xml:space="preserve"> </w:t>
      </w:r>
      <w:proofErr w:type="spellStart"/>
      <w:r>
        <w:t>vmcatcher</w:t>
      </w:r>
      <w:proofErr w:type="spellEnd"/>
      <w:r>
        <w:t xml:space="preserve"> handler (itchy, nifty)</w:t>
      </w:r>
    </w:p>
    <w:p w14:paraId="1A3CDF13" w14:textId="77777777" w:rsidR="00530A7D" w:rsidRDefault="00530A7D" w:rsidP="00530A7D">
      <w:pPr>
        <w:numPr>
          <w:ilvl w:val="0"/>
          <w:numId w:val="21"/>
        </w:numPr>
      </w:pPr>
      <w:r>
        <w:t>OCCI monitoring probes for Nagios</w:t>
      </w:r>
    </w:p>
    <w:p w14:paraId="18447228" w14:textId="4441F780" w:rsidR="00037DBD" w:rsidRDefault="00037DBD" w:rsidP="00867128">
      <w:r>
        <w:t>CESNET can support the appliances and virtual organizations required by the ELIXIR Compute platform. (Currently there is one ELIXIR virtual organisation, but more are expected in the future.)</w:t>
      </w:r>
    </w:p>
    <w:p w14:paraId="36D06726" w14:textId="6FF3FDB4" w:rsidR="009F16CE" w:rsidRDefault="009F16CE" w:rsidP="009F16CE">
      <w:pPr>
        <w:pStyle w:val="Heading2"/>
      </w:pPr>
      <w:bookmarkStart w:id="14" w:name="_Toc327624043"/>
      <w:r>
        <w:lastRenderedPageBreak/>
        <w:t>CNRS</w:t>
      </w:r>
      <w:bookmarkEnd w:id="14"/>
    </w:p>
    <w:p w14:paraId="3788132E" w14:textId="3112BBF7" w:rsidR="00037DBD" w:rsidRDefault="00037DBD" w:rsidP="00037DBD">
      <w:r>
        <w:t xml:space="preserve">The French Institute of Bioinformatics (IFB) is a national service infrastructure in bioinformatics and the French node of ELIXIR. The IFB’s principal mission is to provide core bioinformatics resources to the French life science community (academic and private partners) coupled to the required computing and storage capacity in a national bioinformatics cloud. To address the most common needs, a selection of major scientific software tools was made and they were installed in pre-configured virtual images (cloud appliances), ready to run on the IFB’s cloud. To date, 36 appliances cover different domains of the life sciences, for example users can deploy a cloud virtual pipeline for microbial genomes analysis. The long-term objective is to create a federation of clouds that rely on the interconnected IT infrastructures of the IFB’s platforms, providing personalized services to </w:t>
      </w:r>
      <w:proofErr w:type="spellStart"/>
      <w:r>
        <w:t>analyze</w:t>
      </w:r>
      <w:proofErr w:type="spellEnd"/>
      <w:r>
        <w:t xml:space="preserve"> life science data.</w:t>
      </w:r>
    </w:p>
    <w:p w14:paraId="1B4ED02F" w14:textId="500E21E7" w:rsidR="00037DBD" w:rsidRDefault="00037DBD" w:rsidP="00037DBD">
      <w:r>
        <w:t xml:space="preserve">Currently, the IFB cloud is based on the </w:t>
      </w:r>
      <w:proofErr w:type="spellStart"/>
      <w:r>
        <w:t>StratusLab</w:t>
      </w:r>
      <w:proofErr w:type="spellEnd"/>
      <w:r>
        <w:t xml:space="preserve"> cloud middleware and comprises 200 computing cores, two terabytes (TB) of RAM and 50 TB of storage. We plan to increase these resources to 5,000 cores with 500 TB of storage by the end of 2016. The IFB’s IT infrastructure is hosted at IDRIS, one of the major national high-performance computing </w:t>
      </w:r>
      <w:proofErr w:type="spellStart"/>
      <w:r>
        <w:t>centers</w:t>
      </w:r>
      <w:proofErr w:type="spellEnd"/>
      <w:r>
        <w:t xml:space="preserve"> (GENCI). This ensures the stability of the IFB’s infrastructure by providing a reliable power supply, cooling system and large network bandwidth commonly found in such environments.</w:t>
      </w:r>
    </w:p>
    <w:p w14:paraId="0CEAE037" w14:textId="77777777" w:rsidR="00037DBD" w:rsidRDefault="00037DBD" w:rsidP="00037DBD">
      <w:r>
        <w:t xml:space="preserve">CNRS IFB cloud </w:t>
      </w:r>
      <w:proofErr w:type="gramStart"/>
      <w:r>
        <w:t>can not</w:t>
      </w:r>
      <w:proofErr w:type="gramEnd"/>
      <w:r>
        <w:t xml:space="preserve"> be yet easily integrated to EGI </w:t>
      </w:r>
      <w:proofErr w:type="spellStart"/>
      <w:r>
        <w:t>FedCloud</w:t>
      </w:r>
      <w:proofErr w:type="spellEnd"/>
      <w:r>
        <w:t xml:space="preserve"> due the facts that (</w:t>
      </w:r>
      <w:proofErr w:type="spellStart"/>
      <w:r>
        <w:t>i</w:t>
      </w:r>
      <w:proofErr w:type="spellEnd"/>
      <w:r>
        <w:t xml:space="preserve">) it is in production status for the French life science community, and (ii) it is currently relying on </w:t>
      </w:r>
      <w:proofErr w:type="spellStart"/>
      <w:r>
        <w:t>StratusLab</w:t>
      </w:r>
      <w:proofErr w:type="spellEnd"/>
      <w:r>
        <w:t xml:space="preserve"> middleware which does not currently have connectors to participate the EGI </w:t>
      </w:r>
      <w:proofErr w:type="spellStart"/>
      <w:r>
        <w:t>FedCloud</w:t>
      </w:r>
      <w:proofErr w:type="spellEnd"/>
      <w:r>
        <w:t xml:space="preserve">. </w:t>
      </w:r>
    </w:p>
    <w:p w14:paraId="25F4B657" w14:textId="77777777" w:rsidR="00037DBD" w:rsidRDefault="00037DBD" w:rsidP="00037DBD">
      <w:r>
        <w:t xml:space="preserve">A way of providing resources to the CC-ELIXIR may be through </w:t>
      </w:r>
    </w:p>
    <w:p w14:paraId="3995560B" w14:textId="334E9605" w:rsidR="00037DBD" w:rsidRDefault="00037DBD" w:rsidP="00867128">
      <w:pPr>
        <w:pStyle w:val="ListParagraph"/>
        <w:numPr>
          <w:ilvl w:val="0"/>
          <w:numId w:val="31"/>
        </w:numPr>
      </w:pPr>
      <w:proofErr w:type="gramStart"/>
      <w:r>
        <w:t>the</w:t>
      </w:r>
      <w:proofErr w:type="gramEnd"/>
      <w:r>
        <w:t xml:space="preserve"> collabor</w:t>
      </w:r>
      <w:r w:rsidR="002E62A4">
        <w:t>ation of one of the IFB platforms</w:t>
      </w:r>
      <w:r>
        <w:t xml:space="preserve"> that</w:t>
      </w:r>
      <w:r w:rsidR="002E62A4">
        <w:t xml:space="preserve"> is collaborating with a site in</w:t>
      </w:r>
      <w:r>
        <w:t xml:space="preserve"> the French NGI already integrated in the EGI </w:t>
      </w:r>
      <w:proofErr w:type="spellStart"/>
      <w:r>
        <w:t>FedCloud</w:t>
      </w:r>
      <w:proofErr w:type="spellEnd"/>
      <w:r>
        <w:t>.</w:t>
      </w:r>
    </w:p>
    <w:p w14:paraId="19F551A9" w14:textId="6DCA1B4C" w:rsidR="00037DBD" w:rsidRDefault="00037DBD" w:rsidP="00867128">
      <w:pPr>
        <w:pStyle w:val="ListParagraph"/>
        <w:numPr>
          <w:ilvl w:val="0"/>
          <w:numId w:val="31"/>
        </w:numPr>
      </w:pPr>
      <w:r>
        <w:t xml:space="preserve">If the development effort is justified, then developing the necessary connectors for </w:t>
      </w:r>
      <w:proofErr w:type="spellStart"/>
      <w:r>
        <w:t>StratusLab</w:t>
      </w:r>
      <w:proofErr w:type="spellEnd"/>
      <w:r>
        <w:t xml:space="preserve"> to participate in the EGI technology-based ELIXIR Compute Platform. </w:t>
      </w:r>
    </w:p>
    <w:p w14:paraId="36B91317" w14:textId="77777777" w:rsidR="00EC7DB2" w:rsidRDefault="00EC7DB2" w:rsidP="00EC7DB2">
      <w:pPr>
        <w:pStyle w:val="Heading2"/>
      </w:pPr>
      <w:bookmarkStart w:id="15" w:name="_Toc452531154"/>
      <w:bookmarkStart w:id="16" w:name="_Toc327624044"/>
      <w:r>
        <w:t>EMBL-EBI</w:t>
      </w:r>
      <w:bookmarkEnd w:id="15"/>
      <w:bookmarkEnd w:id="16"/>
    </w:p>
    <w:p w14:paraId="751E31C5" w14:textId="77777777" w:rsidR="00EC7DB2" w:rsidRDefault="00EC7DB2" w:rsidP="00EC7DB2">
      <w:r>
        <w:t xml:space="preserve">The EMBL-EBI Embassy Cloud (http://www.embassycloud.org/) is a 1200 core OpenStack platform co-located with EMBL-EBI’s services and data resources. Access to the Embassy Cloud is available for researchers outside EMBL if they have a collaboration with staff at EMBL. </w:t>
      </w:r>
    </w:p>
    <w:p w14:paraId="2268394C" w14:textId="3BBEDE88" w:rsidR="00EC7DB2" w:rsidRDefault="00EC7DB2" w:rsidP="00EC7DB2">
      <w:r>
        <w:t xml:space="preserve">The current OpenStack deployment is not compatible with EGI’s integration mechanism, so a separate 16 core stack has been deployed to enable EMBL-EBI to contribute </w:t>
      </w:r>
      <w:r w:rsidR="002E62A4">
        <w:t>resources to the EGI Federated</w:t>
      </w:r>
      <w:r>
        <w:t xml:space="preserve"> Cloud. The technical work is essentially now complete using EGI’s Integration Appliance (Read a</w:t>
      </w:r>
      <w:r w:rsidR="002E62A4">
        <w:t>bout this appliance in Section 3</w:t>
      </w:r>
      <w:r>
        <w:t>.2</w:t>
      </w:r>
      <w:r w:rsidR="005E779F">
        <w:t>), which</w:t>
      </w:r>
      <w:r>
        <w:t xml:space="preserve"> has now been demonstrated to work with </w:t>
      </w:r>
      <w:proofErr w:type="spellStart"/>
      <w:r>
        <w:t>Openstack</w:t>
      </w:r>
      <w:proofErr w:type="spellEnd"/>
      <w:r>
        <w:t xml:space="preserve"> </w:t>
      </w:r>
      <w:proofErr w:type="spellStart"/>
      <w:r>
        <w:t>Tripleo</w:t>
      </w:r>
      <w:proofErr w:type="spellEnd"/>
      <w:r>
        <w:t xml:space="preserve"> Liberty.</w:t>
      </w:r>
    </w:p>
    <w:p w14:paraId="136ACD49" w14:textId="77777777" w:rsidR="00EC7DB2" w:rsidRDefault="00EC7DB2" w:rsidP="00EC7DB2">
      <w:r>
        <w:t>This resource is now being integrated into the ELIXIR ‘NGI’ within EGI’s Grid Operations Centre Database (</w:t>
      </w:r>
      <w:hyperlink r:id="rId17" w:history="1">
        <w:r w:rsidRPr="00736DFC">
          <w:rPr>
            <w:rStyle w:val="Hyperlink"/>
          </w:rPr>
          <w:t>https://goc.egi.eu</w:t>
        </w:r>
      </w:hyperlink>
      <w:r>
        <w:t xml:space="preserve">). (GOCDB is now also integrated with the ELIXIR AAI through the EGI AAI gateway. More about this in Section 5.2). This work by EGI has allowed the EMBL-EBI site to </w:t>
      </w:r>
      <w:r>
        <w:lastRenderedPageBreak/>
        <w:t>appear as part of the ELIXIR NGI. Other ELIXIR Compute Platform cloud sites that are being integrated using the EGI model can also be added into this domain specific ‘NGI’ if they do not wish or are not able to join their national NGI.</w:t>
      </w:r>
    </w:p>
    <w:p w14:paraId="03523799" w14:textId="77777777" w:rsidR="00EC7DB2" w:rsidRDefault="00EC7DB2" w:rsidP="00EC7DB2">
      <w:r>
        <w:t>ELIXIR cloud sites that are already part of an NGI can be given the ‘elixir’ scope. This allows these NGI sites, and the sites within the ELIXIR NGI to be identified and to be extracted to appear in other EGI tools. This integration is now taking place by EGI within the site monitoring tool ARGO – http://argo.egi.eu.</w:t>
      </w:r>
    </w:p>
    <w:p w14:paraId="042BA667" w14:textId="77777777" w:rsidR="00EC7DB2" w:rsidRDefault="00EC7DB2" w:rsidP="00EC7DB2">
      <w:r>
        <w:t xml:space="preserve">Work on the integration of the EMBL-EBI site completely into the EGI Federated Cloud continues with the integration of accounting, information services, and with </w:t>
      </w:r>
      <w:proofErr w:type="spellStart"/>
      <w:r>
        <w:t>AppDB</w:t>
      </w:r>
      <w:proofErr w:type="spellEnd"/>
      <w:r>
        <w:t xml:space="preserve"> for virtual machine integration continuing.</w:t>
      </w:r>
    </w:p>
    <w:p w14:paraId="199B6B47" w14:textId="6EE1EB97" w:rsidR="00EC7DB2" w:rsidRDefault="00BC1C3C" w:rsidP="00EC7DB2">
      <w:r>
        <w:t>There are h</w:t>
      </w:r>
      <w:r w:rsidR="00EC7DB2">
        <w:t>owever, current security concerns</w:t>
      </w:r>
      <w:r>
        <w:t xml:space="preserve"> which</w:t>
      </w:r>
      <w:r w:rsidR="00EC7DB2">
        <w:t xml:space="preserve"> include:</w:t>
      </w:r>
    </w:p>
    <w:p w14:paraId="7A6F538E" w14:textId="6C17F56A" w:rsidR="00EC7DB2" w:rsidRDefault="00EC7DB2" w:rsidP="00EC7DB2">
      <w:pPr>
        <w:pStyle w:val="ListParagraph"/>
        <w:numPr>
          <w:ilvl w:val="0"/>
          <w:numId w:val="30"/>
        </w:numPr>
      </w:pPr>
      <w:r>
        <w:t xml:space="preserve">Nova API v2.1, which is the default in Liberty, no longer allows granular authorization within a project. So in effect users within the same project are not protected from each other. EGI has suggested forking Nova with new code as a work around in the short term, but the </w:t>
      </w:r>
      <w:proofErr w:type="spellStart"/>
      <w:r>
        <w:t>Openstack</w:t>
      </w:r>
      <w:proofErr w:type="spellEnd"/>
      <w:r>
        <w:t xml:space="preserve"> developers are not keen to implement this, so we are currently at an impasse. Note that the new granularity level is exactly what is compatible with </w:t>
      </w:r>
      <w:r w:rsidR="00BC1C3C">
        <w:t xml:space="preserve">the </w:t>
      </w:r>
      <w:r>
        <w:t xml:space="preserve">CSC national authorisation level. </w:t>
      </w:r>
    </w:p>
    <w:p w14:paraId="1BE55833" w14:textId="77777777" w:rsidR="00EC7DB2" w:rsidRDefault="00EC7DB2" w:rsidP="00EC7DB2">
      <w:pPr>
        <w:pStyle w:val="ListParagraph"/>
        <w:numPr>
          <w:ilvl w:val="0"/>
          <w:numId w:val="30"/>
        </w:numPr>
      </w:pPr>
      <w:r>
        <w:t xml:space="preserve">The lack of CRL (Certificate Revocation List) checking by VOMS library/Apache in </w:t>
      </w:r>
      <w:proofErr w:type="spellStart"/>
      <w:r>
        <w:t>Openstack</w:t>
      </w:r>
      <w:proofErr w:type="spellEnd"/>
      <w:r>
        <w:t xml:space="preserve"> is a concern as revoked user certificates will still be allowed to access the cloud resource. The integration of Keystone WSGI/SSL/VOMS and Nova OOI is far from trivial, and alongside our security concerns has prevented us from using our current production stack for the EGI integration.</w:t>
      </w:r>
    </w:p>
    <w:p w14:paraId="619E81B4" w14:textId="5A8D6560" w:rsidR="00466D4B" w:rsidRDefault="00EC7DB2" w:rsidP="00466D4B">
      <w:r>
        <w:t>During Summer 2016 the EMBL-EBI OpenStack cloud installation will be expanded and upgraded to the latest OpenStack version (Liberty) and the current demonstration integration of the EGI Federated Cloud at EMBL-EBI will be transferred to the production cloud.</w:t>
      </w:r>
    </w:p>
    <w:p w14:paraId="29CB6933" w14:textId="77777777" w:rsidR="009F16CE" w:rsidRDefault="009F16CE" w:rsidP="009F16CE">
      <w:pPr>
        <w:pStyle w:val="Heading2"/>
      </w:pPr>
      <w:bookmarkStart w:id="17" w:name="_Toc327624045"/>
      <w:r>
        <w:t>GRNET</w:t>
      </w:r>
      <w:bookmarkEnd w:id="17"/>
    </w:p>
    <w:p w14:paraId="4DBC0F19" w14:textId="77777777" w:rsidR="00BC6614" w:rsidRDefault="00BC6614" w:rsidP="00BC6614">
      <w:r>
        <w:t>GRNET operates Infrastructure as a Service ~</w:t>
      </w:r>
      <w:proofErr w:type="spellStart"/>
      <w:r>
        <w:t>okeanos</w:t>
      </w:r>
      <w:proofErr w:type="spellEnd"/>
      <w:r>
        <w:t xml:space="preserve"> via large </w:t>
      </w:r>
      <w:proofErr w:type="spellStart"/>
      <w:r>
        <w:t>datacenters</w:t>
      </w:r>
      <w:proofErr w:type="spellEnd"/>
      <w:r>
        <w:t xml:space="preserve"> (84 racks, 1200+ servers, 10000 Virtual Machines active, 5 Petabytes of storage).  GRNET is also developing </w:t>
      </w:r>
      <w:proofErr w:type="spellStart"/>
      <w:r>
        <w:t>Synnefo</w:t>
      </w:r>
      <w:proofErr w:type="spellEnd"/>
      <w:r>
        <w:t>, the cloud software for ~</w:t>
      </w:r>
      <w:proofErr w:type="spellStart"/>
      <w:r>
        <w:t>okeanos</w:t>
      </w:r>
      <w:proofErr w:type="spellEnd"/>
      <w:r>
        <w:t>. The service was initially conceived and designed with the Greek Research and Academic community in mind, which comprises the natural user base of GRNET. Soon it became evident though that there is a wider potential and that this effort can be exploited in a broader environment. Towards this, ~</w:t>
      </w:r>
      <w:proofErr w:type="spellStart"/>
      <w:r>
        <w:t>okeanos</w:t>
      </w:r>
      <w:proofErr w:type="spellEnd"/>
      <w:r>
        <w:t xml:space="preserve"> has joined the EGI Federated Cloud activities with the aim to enhance its interoperability features and enable the offering of computing resources to the high-productivity federated infrastructure offered by EGI. ~</w:t>
      </w:r>
      <w:proofErr w:type="spellStart"/>
      <w:r>
        <w:t>Okeanos</w:t>
      </w:r>
      <w:proofErr w:type="spellEnd"/>
      <w:r>
        <w:t xml:space="preserve"> is fully integrated with EGI Federated Cloud and is offering the following services: </w:t>
      </w:r>
    </w:p>
    <w:p w14:paraId="429C004F" w14:textId="6E2EE38F" w:rsidR="00BC6614" w:rsidRDefault="00BC6614" w:rsidP="00867128">
      <w:pPr>
        <w:pStyle w:val="ListParagraph"/>
        <w:numPr>
          <w:ilvl w:val="0"/>
          <w:numId w:val="32"/>
        </w:numPr>
      </w:pPr>
      <w:r>
        <w:t xml:space="preserve">OCCI via the SNF-OCCI an implementation of the OCCI specification on top of </w:t>
      </w:r>
      <w:proofErr w:type="spellStart"/>
      <w:r>
        <w:t>synnefo’s</w:t>
      </w:r>
      <w:proofErr w:type="spellEnd"/>
      <w:r>
        <w:t xml:space="preserve"> API</w:t>
      </w:r>
      <w:r w:rsidR="00BC1C3C">
        <w:t>,</w:t>
      </w:r>
      <w:r>
        <w:t xml:space="preserve"> </w:t>
      </w:r>
      <w:proofErr w:type="spellStart"/>
      <w:r>
        <w:t>kamaki</w:t>
      </w:r>
      <w:proofErr w:type="spellEnd"/>
      <w:r>
        <w:t xml:space="preserve"> </w:t>
      </w:r>
    </w:p>
    <w:p w14:paraId="75C4A273" w14:textId="17DCCF20" w:rsidR="00BC6614" w:rsidRDefault="00BC6614" w:rsidP="00867128">
      <w:pPr>
        <w:pStyle w:val="ListParagraph"/>
        <w:numPr>
          <w:ilvl w:val="0"/>
          <w:numId w:val="32"/>
        </w:numPr>
      </w:pPr>
      <w:r>
        <w:lastRenderedPageBreak/>
        <w:t xml:space="preserve">CDMI via the SNF-CDMI an implementation of the CDMI specification on top of </w:t>
      </w:r>
      <w:proofErr w:type="spellStart"/>
      <w:r>
        <w:t>synnefo’s</w:t>
      </w:r>
      <w:proofErr w:type="spellEnd"/>
      <w:r>
        <w:t xml:space="preserve"> API</w:t>
      </w:r>
      <w:r w:rsidR="00BC1C3C">
        <w:t>,</w:t>
      </w:r>
      <w:r>
        <w:t xml:space="preserve"> </w:t>
      </w:r>
      <w:proofErr w:type="spellStart"/>
      <w:r>
        <w:t>kamaki</w:t>
      </w:r>
      <w:proofErr w:type="spellEnd"/>
      <w:r>
        <w:t xml:space="preserve"> </w:t>
      </w:r>
    </w:p>
    <w:p w14:paraId="1399081F" w14:textId="77777777" w:rsidR="00BC6614" w:rsidRDefault="00BC6614" w:rsidP="00867128">
      <w:pPr>
        <w:pStyle w:val="ListParagraph"/>
        <w:numPr>
          <w:ilvl w:val="0"/>
          <w:numId w:val="32"/>
        </w:numPr>
      </w:pPr>
      <w:r>
        <w:t>Accounting via the SNF-SSM implementation of the SSM accounting mechanism.</w:t>
      </w:r>
    </w:p>
    <w:p w14:paraId="70D947EE" w14:textId="77777777" w:rsidR="00BC6614" w:rsidRDefault="00BC6614" w:rsidP="00867128">
      <w:pPr>
        <w:pStyle w:val="ListParagraph"/>
        <w:numPr>
          <w:ilvl w:val="0"/>
          <w:numId w:val="32"/>
        </w:numPr>
      </w:pPr>
      <w:r>
        <w:t xml:space="preserve">VM Image management </w:t>
      </w:r>
      <w:proofErr w:type="gramStart"/>
      <w:r>
        <w:t>via  SNF</w:t>
      </w:r>
      <w:proofErr w:type="gramEnd"/>
      <w:r>
        <w:t>-VMCATCHER.</w:t>
      </w:r>
    </w:p>
    <w:p w14:paraId="18E2BBFF" w14:textId="2EDC46E1" w:rsidR="00466D4B" w:rsidRDefault="00BC6614" w:rsidP="00BC6614">
      <w:r>
        <w:t xml:space="preserve">GRNET supports the </w:t>
      </w:r>
      <w:r w:rsidR="00037DBD">
        <w:t xml:space="preserve">virtual organisations and virtual machine </w:t>
      </w:r>
      <w:r>
        <w:t xml:space="preserve">images required by </w:t>
      </w:r>
      <w:r w:rsidR="00037DBD">
        <w:t xml:space="preserve">the </w:t>
      </w:r>
      <w:r>
        <w:t xml:space="preserve">ELIXIR </w:t>
      </w:r>
      <w:r w:rsidR="00037DBD">
        <w:t xml:space="preserve">Competence Centre. </w:t>
      </w:r>
      <w:r>
        <w:t xml:space="preserve">The </w:t>
      </w:r>
      <w:r w:rsidR="000B26BC">
        <w:t>plans for the next year are</w:t>
      </w:r>
      <w:r>
        <w:t xml:space="preserve"> to update </w:t>
      </w:r>
      <w:proofErr w:type="spellStart"/>
      <w:r>
        <w:t>snf-occi</w:t>
      </w:r>
      <w:proofErr w:type="spellEnd"/>
      <w:r>
        <w:t xml:space="preserve"> to support OCCI 1.2 specification and to extend it capabilities.</w:t>
      </w:r>
      <w:r w:rsidR="00466D4B">
        <w:t xml:space="preserve"> </w:t>
      </w:r>
    </w:p>
    <w:p w14:paraId="736C1E78" w14:textId="5E31C6EF" w:rsidR="009F16CE" w:rsidRDefault="0082118F" w:rsidP="009F16CE">
      <w:pPr>
        <w:pStyle w:val="Heading2"/>
      </w:pPr>
      <w:bookmarkStart w:id="18" w:name="_Toc327624046"/>
      <w:r>
        <w:t>Jets</w:t>
      </w:r>
      <w:r w:rsidR="009F16CE">
        <w:t>tream</w:t>
      </w:r>
      <w:bookmarkEnd w:id="18"/>
    </w:p>
    <w:p w14:paraId="282099E7" w14:textId="0D02C0F1" w:rsidR="003F187F" w:rsidRPr="00467C0D" w:rsidRDefault="003F187F" w:rsidP="00467C0D">
      <w:r w:rsidRPr="003F187F">
        <w:t xml:space="preserve">The Jetstream system received official acceptance after review by the National Science Foundation at the beginning of May 2016. Since this was announced an ELIXIR start up allocation has been approved by XSEDE. An initial meeting with the Jetstream administrators was conducted on May 18th to discuss the goals of the Jetstream interoperability project and the use of the EGI </w:t>
      </w:r>
      <w:proofErr w:type="spellStart"/>
      <w:r w:rsidRPr="003F187F">
        <w:t>FedCloud</w:t>
      </w:r>
      <w:proofErr w:type="spellEnd"/>
      <w:r w:rsidRPr="003F187F">
        <w:t xml:space="preserve"> integration appliance. While there were some policy concerns surrounding the XSEDE allocation process, no immediate technical concerns were expressed by the administrators. An initial attempt to run the EGI </w:t>
      </w:r>
      <w:proofErr w:type="spellStart"/>
      <w:r w:rsidRPr="003F187F">
        <w:t>FedCloud</w:t>
      </w:r>
      <w:proofErr w:type="spellEnd"/>
      <w:r w:rsidRPr="003F187F">
        <w:t xml:space="preserve"> integratio</w:t>
      </w:r>
      <w:r w:rsidR="0082118F">
        <w:t xml:space="preserve">n appliance will happen in early June </w:t>
      </w:r>
      <w:r w:rsidRPr="003F187F">
        <w:t>with result</w:t>
      </w:r>
      <w:r w:rsidR="00BC1C3C">
        <w:t>s</w:t>
      </w:r>
      <w:r w:rsidRPr="003F187F">
        <w:t xml:space="preserve"> reported to the ELIXIR Competence Centre. Once the integration appliance has successfully been installed ELIXIR application testing can occur.</w:t>
      </w:r>
    </w:p>
    <w:p w14:paraId="26137714" w14:textId="77777777" w:rsidR="009F16CE" w:rsidRPr="009F16CE" w:rsidRDefault="009F16CE" w:rsidP="009F16CE"/>
    <w:p w14:paraId="058C3506" w14:textId="5B17A6D1" w:rsidR="004B1271" w:rsidRDefault="004B1271" w:rsidP="004B1271">
      <w:pPr>
        <w:pStyle w:val="Heading1"/>
        <w:numPr>
          <w:ilvl w:val="0"/>
          <w:numId w:val="1"/>
        </w:numPr>
      </w:pPr>
      <w:bookmarkStart w:id="19" w:name="_Toc327624047"/>
      <w:r>
        <w:lastRenderedPageBreak/>
        <w:t>Report on AAI integration</w:t>
      </w:r>
      <w:bookmarkEnd w:id="19"/>
    </w:p>
    <w:p w14:paraId="6B5DDDB9" w14:textId="18ACBF03" w:rsidR="00EE6A59" w:rsidRDefault="004B1271" w:rsidP="00B2650F">
      <w:r w:rsidRPr="009329A2">
        <w:t xml:space="preserve">This subsection provides details about the </w:t>
      </w:r>
      <w:r>
        <w:t>integration activit</w:t>
      </w:r>
      <w:r w:rsidR="007212E9">
        <w:t xml:space="preserve">ies that were performed by EGI and </w:t>
      </w:r>
      <w:r w:rsidR="00B2650F">
        <w:t xml:space="preserve">the ELIXIR AAI Task Force to integrate </w:t>
      </w:r>
      <w:r w:rsidR="00EE6A59">
        <w:t xml:space="preserve">EGI services </w:t>
      </w:r>
      <w:r w:rsidR="00B2650F">
        <w:t>with the ELIXIR A</w:t>
      </w:r>
      <w:r w:rsidR="007212E9">
        <w:t>uthentication-Authorisation Infrastructure (AAI)</w:t>
      </w:r>
      <w:r w:rsidR="00B2650F">
        <w:t xml:space="preserve">. </w:t>
      </w:r>
      <w:r w:rsidR="00EE6A59">
        <w:t>The AAI integration was implemented through the recently released EGI AAI proxy service</w:t>
      </w:r>
      <w:r w:rsidR="00EE6A59">
        <w:rPr>
          <w:rStyle w:val="FootnoteReference"/>
        </w:rPr>
        <w:footnoteReference w:id="25"/>
      </w:r>
      <w:r w:rsidR="00EE6A59">
        <w:t xml:space="preserve">. The GOCDB service registry, and the </w:t>
      </w:r>
      <w:proofErr w:type="spellStart"/>
      <w:r w:rsidR="00EE6A59">
        <w:t>AppDB</w:t>
      </w:r>
      <w:proofErr w:type="spellEnd"/>
      <w:r w:rsidR="00EE6A59">
        <w:t xml:space="preserve"> Virtual Machine Image catalogue were selected as priority services to conduct the integration. Besides these OpenStack was also integrated with the EGI AAI proxy. </w:t>
      </w:r>
    </w:p>
    <w:p w14:paraId="32F4F993" w14:textId="77777777" w:rsidR="00EE6A59" w:rsidRDefault="007212E9" w:rsidP="00B2650F">
      <w:r>
        <w:t>The</w:t>
      </w:r>
      <w:r w:rsidR="00EE6A59">
        <w:t>se</w:t>
      </w:r>
      <w:r>
        <w:t xml:space="preserve"> integration</w:t>
      </w:r>
      <w:r w:rsidR="00EE6A59">
        <w:t>s</w:t>
      </w:r>
      <w:r>
        <w:t xml:space="preserve"> enable members of the ELIXIR C</w:t>
      </w:r>
      <w:r w:rsidR="00EE6A59">
        <w:t xml:space="preserve">ommunity to interact with GOCDB, </w:t>
      </w:r>
      <w:proofErr w:type="spellStart"/>
      <w:r>
        <w:t>AppDB</w:t>
      </w:r>
      <w:proofErr w:type="spellEnd"/>
      <w:r w:rsidR="00EE6A59">
        <w:t xml:space="preserve"> and OpenStack resources</w:t>
      </w:r>
      <w:r>
        <w:t xml:space="preserve"> usin</w:t>
      </w:r>
      <w:r w:rsidR="00EE6A59">
        <w:t>g their ELIXIR user identities:</w:t>
      </w:r>
    </w:p>
    <w:p w14:paraId="3704A10E" w14:textId="77777777" w:rsidR="00EE6A59" w:rsidRDefault="007212E9" w:rsidP="00EE6A59">
      <w:pPr>
        <w:pStyle w:val="ListParagraph"/>
        <w:numPr>
          <w:ilvl w:val="0"/>
          <w:numId w:val="28"/>
        </w:numPr>
      </w:pPr>
      <w:r>
        <w:t xml:space="preserve">In GOCDB these ELIXIR </w:t>
      </w:r>
      <w:r w:rsidR="00EE6A59">
        <w:t xml:space="preserve">service providers </w:t>
      </w:r>
      <w:r>
        <w:t>can register and manage the registration of basic infrastructure resources</w:t>
      </w:r>
      <w:r w:rsidR="00EE6A59">
        <w:t xml:space="preserve"> (cloud and storage).</w:t>
      </w:r>
    </w:p>
    <w:p w14:paraId="0F45F728" w14:textId="514FBA8C" w:rsidR="004B1271" w:rsidRDefault="00EE6A59" w:rsidP="00EE6A59">
      <w:pPr>
        <w:pStyle w:val="ListParagraph"/>
        <w:numPr>
          <w:ilvl w:val="0"/>
          <w:numId w:val="28"/>
        </w:numPr>
      </w:pPr>
      <w:r>
        <w:t xml:space="preserve">In </w:t>
      </w:r>
      <w:proofErr w:type="spellStart"/>
      <w:r w:rsidR="007212E9">
        <w:t>AppDB</w:t>
      </w:r>
      <w:proofErr w:type="spellEnd"/>
      <w:r w:rsidR="007212E9">
        <w:t xml:space="preserve"> </w:t>
      </w:r>
      <w:r>
        <w:t xml:space="preserve">ELIXIR application developers can </w:t>
      </w:r>
      <w:r w:rsidR="007212E9">
        <w:t>register Virtual Machine Images</w:t>
      </w:r>
      <w:r>
        <w:t xml:space="preserve"> and </w:t>
      </w:r>
      <w:r w:rsidR="007212E9">
        <w:t xml:space="preserve">Virtual Appliances for </w:t>
      </w:r>
      <w:r>
        <w:t xml:space="preserve">publishing these on the ELIXIR cloud sites and for </w:t>
      </w:r>
      <w:r w:rsidR="007212E9">
        <w:t xml:space="preserve">sharing these with </w:t>
      </w:r>
      <w:r>
        <w:t>the</w:t>
      </w:r>
      <w:r w:rsidR="007212E9">
        <w:t xml:space="preserve"> broader </w:t>
      </w:r>
      <w:r>
        <w:t xml:space="preserve">life science </w:t>
      </w:r>
      <w:r w:rsidR="007212E9">
        <w:t xml:space="preserve">community. </w:t>
      </w:r>
    </w:p>
    <w:p w14:paraId="5AA11477" w14:textId="70D94E4E" w:rsidR="00EE6A59" w:rsidRDefault="00EE6A59" w:rsidP="00EE6A59">
      <w:pPr>
        <w:pStyle w:val="ListParagraph"/>
        <w:numPr>
          <w:ilvl w:val="0"/>
          <w:numId w:val="28"/>
        </w:numPr>
      </w:pPr>
      <w:r>
        <w:t xml:space="preserve">In OpenStack </w:t>
      </w:r>
      <w:r w:rsidR="00226D30">
        <w:t>authenticated ELIXIR users</w:t>
      </w:r>
      <w:r>
        <w:t xml:space="preserve"> can instantiate applications from the pre-deployed Virtual Machine Images and Virtual Appliances. </w:t>
      </w:r>
    </w:p>
    <w:p w14:paraId="545C77ED" w14:textId="686B178B" w:rsidR="00EE6A59" w:rsidRDefault="00EE6A59" w:rsidP="00EE6A59">
      <w:r>
        <w:t>The next subsections provide details on how the integration was achieved and what are the next steps.</w:t>
      </w:r>
    </w:p>
    <w:p w14:paraId="75FC1D4E" w14:textId="528229F0" w:rsidR="007212E9" w:rsidRDefault="007212E9" w:rsidP="007212E9">
      <w:pPr>
        <w:pStyle w:val="Heading2"/>
      </w:pPr>
      <w:bookmarkStart w:id="20" w:name="_Ref451849891"/>
      <w:bookmarkStart w:id="21" w:name="_Toc327624048"/>
      <w:r>
        <w:t xml:space="preserve">Integration of </w:t>
      </w:r>
      <w:r w:rsidR="004D4994">
        <w:t xml:space="preserve">the </w:t>
      </w:r>
      <w:r>
        <w:t>ELIXIR AAI with</w:t>
      </w:r>
      <w:r w:rsidR="004D4994">
        <w:t xml:space="preserve"> the</w:t>
      </w:r>
      <w:r>
        <w:t xml:space="preserve"> EGI AAI proxy</w:t>
      </w:r>
      <w:bookmarkEnd w:id="20"/>
      <w:bookmarkEnd w:id="21"/>
    </w:p>
    <w:p w14:paraId="55B2D9FA" w14:textId="01F556F3" w:rsidR="002F092C" w:rsidRDefault="004C06CC" w:rsidP="004C06CC">
      <w:r>
        <w:t xml:space="preserve">The </w:t>
      </w:r>
      <w:r w:rsidR="002F092C">
        <w:t>‘</w:t>
      </w:r>
      <w:r>
        <w:t>EGI AAI proxy</w:t>
      </w:r>
      <w:r w:rsidR="002F092C">
        <w:t>’</w:t>
      </w:r>
      <w:r>
        <w:t xml:space="preserve"> </w:t>
      </w:r>
      <w:r w:rsidR="002F092C">
        <w:t xml:space="preserve">is a new service in the EGI service </w:t>
      </w:r>
      <w:r w:rsidR="005E779F">
        <w:t>portfolio and it</w:t>
      </w:r>
      <w:r w:rsidR="002F092C">
        <w:t xml:space="preserve"> </w:t>
      </w:r>
      <w:r>
        <w:t xml:space="preserve">enables access to EGI services and resources with federated authentication mechanisms. Specifically, the proxy </w:t>
      </w:r>
      <w:r w:rsidR="002F092C">
        <w:t>service is operated</w:t>
      </w:r>
      <w:r>
        <w:t xml:space="preserve"> as a central hub between federated Identity Providers </w:t>
      </w:r>
      <w:r w:rsidR="002F092C">
        <w:t>(</w:t>
      </w:r>
      <w:proofErr w:type="spellStart"/>
      <w:r w:rsidR="002F092C">
        <w:t>IdPs</w:t>
      </w:r>
      <w:proofErr w:type="spellEnd"/>
      <w:r w:rsidR="002F092C">
        <w:t xml:space="preserve">) residing ‘outside’ of the EGI network of services, </w:t>
      </w:r>
      <w:r>
        <w:t>and Service Providers</w:t>
      </w:r>
      <w:r w:rsidR="002F092C">
        <w:t xml:space="preserve"> (SPs) that are part of EGI</w:t>
      </w:r>
      <w:r>
        <w:t xml:space="preserve">. The main advantage of this design principle is that all entities </w:t>
      </w:r>
      <w:r w:rsidR="004D4994">
        <w:t xml:space="preserve">only </w:t>
      </w:r>
      <w:r>
        <w:t>need to establish and maintain technical</w:t>
      </w:r>
      <w:r w:rsidR="002F092C">
        <w:t xml:space="preserve"> and </w:t>
      </w:r>
      <w:r>
        <w:t>trust relation</w:t>
      </w:r>
      <w:r w:rsidR="004D4994">
        <w:t xml:space="preserve">s </w:t>
      </w:r>
      <w:r w:rsidR="002F092C">
        <w:t xml:space="preserve">to a single entity, </w:t>
      </w:r>
      <w:r>
        <w:t>the EGI AAI proxy</w:t>
      </w:r>
      <w:r w:rsidR="002F092C">
        <w:t xml:space="preserve">, instead of managing N-to-M relationships. </w:t>
      </w:r>
      <w:r>
        <w:t xml:space="preserve">The proxy acts as a Service Provider towards the Identity Providers and as an Identity Provider towards the Service Providers. </w:t>
      </w:r>
    </w:p>
    <w:p w14:paraId="648CDA05" w14:textId="77777777" w:rsidR="002F092C" w:rsidRDefault="002F092C" w:rsidP="004C06CC">
      <w:r>
        <w:t>Using the EGI AAI proxy, u</w:t>
      </w:r>
      <w:r w:rsidR="004C06CC">
        <w:t xml:space="preserve">sers are able to authenticate with the credentials provided by the </w:t>
      </w:r>
      <w:proofErr w:type="spellStart"/>
      <w:r w:rsidR="004C06CC">
        <w:t>IdP</w:t>
      </w:r>
      <w:proofErr w:type="spellEnd"/>
      <w:r w:rsidR="004C06CC">
        <w:t xml:space="preserve"> of their Home Organisation through </w:t>
      </w:r>
      <w:proofErr w:type="spellStart"/>
      <w:r w:rsidR="004C06CC">
        <w:t>eduGAIN</w:t>
      </w:r>
      <w:proofErr w:type="spellEnd"/>
      <w:r w:rsidR="004C06CC">
        <w:t xml:space="preserve">, as well as using social identity providers, </w:t>
      </w:r>
      <w:proofErr w:type="spellStart"/>
      <w:r w:rsidR="004C06CC">
        <w:t>eGOV</w:t>
      </w:r>
      <w:proofErr w:type="spellEnd"/>
      <w:r w:rsidR="004C06CC">
        <w:t xml:space="preserve"> IDs, or other selected external identity providers. To achieve this, the EGI AAI has built</w:t>
      </w:r>
      <w:r>
        <w:t>-</w:t>
      </w:r>
      <w:r w:rsidR="004C06CC">
        <w:t xml:space="preserve">in support for SAML, OpenID Connect and OAuth2 providers and already enables user logins through Facebook, Google, LinkedIn, and ORCID. In addition to serving as an authentication proxy, the EGI AAI </w:t>
      </w:r>
      <w:r w:rsidR="004C06CC">
        <w:lastRenderedPageBreak/>
        <w:t>provides a central Discovery Service (W</w:t>
      </w:r>
      <w:r>
        <w:t>here Are You From – W</w:t>
      </w:r>
      <w:r w:rsidR="004C06CC">
        <w:t xml:space="preserve">AYF) for users to select their preferred </w:t>
      </w:r>
      <w:proofErr w:type="spellStart"/>
      <w:r w:rsidR="004C06CC">
        <w:t>IdP</w:t>
      </w:r>
      <w:proofErr w:type="spellEnd"/>
      <w:r w:rsidR="004C06CC">
        <w:t xml:space="preserve">. </w:t>
      </w:r>
    </w:p>
    <w:p w14:paraId="0F50534B" w14:textId="3B86A39D" w:rsidR="004C06CC" w:rsidRDefault="002F092C" w:rsidP="004C06CC">
      <w:r>
        <w:t xml:space="preserve">The EGI AAI </w:t>
      </w:r>
      <w:r w:rsidR="004C06CC">
        <w:t xml:space="preserve">proxy is also responsible for aggregating user attributes originating from various authoritative sources </w:t>
      </w:r>
      <w:r>
        <w:t>(</w:t>
      </w:r>
      <w:proofErr w:type="spellStart"/>
      <w:r>
        <w:t>IdPs</w:t>
      </w:r>
      <w:proofErr w:type="spellEnd"/>
      <w:r>
        <w:t xml:space="preserve"> and attribute provider services) </w:t>
      </w:r>
      <w:r w:rsidR="004C06CC">
        <w:t xml:space="preserve">and delivering them to </w:t>
      </w:r>
      <w:r>
        <w:t xml:space="preserve">the connected EGI service providers </w:t>
      </w:r>
      <w:r w:rsidR="004C06CC">
        <w:t>in a harmonised and transparent way</w:t>
      </w:r>
      <w:r>
        <w:t xml:space="preserve">. Service Providers can use the received attributes for </w:t>
      </w:r>
      <w:r w:rsidR="004C06CC">
        <w:t>authorisation purposes</w:t>
      </w:r>
      <w:r>
        <w:t>, i.e. deciding what the user is allowed to use/do with the service</w:t>
      </w:r>
      <w:r w:rsidR="004C06CC">
        <w:t>. </w:t>
      </w:r>
      <w:r w:rsidR="00376C43">
        <w:t>The EGI services require a minimum set of attributes from the EGI AAI proxy about the user to grant access</w:t>
      </w:r>
      <w:r w:rsidR="00376C43">
        <w:rPr>
          <w:rStyle w:val="FootnoteReference"/>
        </w:rPr>
        <w:footnoteReference w:id="26"/>
      </w:r>
      <w:r w:rsidR="00376C43">
        <w:t xml:space="preserve">. </w:t>
      </w:r>
    </w:p>
    <w:p w14:paraId="06B7F659" w14:textId="2C6736B7" w:rsidR="00501FF1" w:rsidRDefault="002F092C" w:rsidP="004C06CC">
      <w:r>
        <w:t xml:space="preserve">Within ELIXIR the ELIXIR AAI service operates as both an </w:t>
      </w:r>
      <w:proofErr w:type="spellStart"/>
      <w:r>
        <w:t>IdP</w:t>
      </w:r>
      <w:proofErr w:type="spellEnd"/>
      <w:r>
        <w:t xml:space="preserve"> and attribute provider service. It’s assumed that this service will manage user accounts and personal attributes for every ELIXIR us</w:t>
      </w:r>
      <w:r w:rsidR="004D4994">
        <w:t xml:space="preserve">er. During the last months the </w:t>
      </w:r>
      <w:r>
        <w:t>E</w:t>
      </w:r>
      <w:r w:rsidR="004C06CC">
        <w:t xml:space="preserve">GI AAI </w:t>
      </w:r>
      <w:r>
        <w:t xml:space="preserve">proxy </w:t>
      </w:r>
      <w:r w:rsidR="004C06CC">
        <w:t xml:space="preserve">has been integrated with the ELXIR AAI </w:t>
      </w:r>
      <w:r>
        <w:t xml:space="preserve">with the goal </w:t>
      </w:r>
      <w:r w:rsidR="004C06CC">
        <w:t xml:space="preserve">to enable members of the ELIXIR Community </w:t>
      </w:r>
      <w:r w:rsidR="004D4994">
        <w:t xml:space="preserve">to </w:t>
      </w:r>
      <w:r w:rsidR="004C06CC">
        <w:t>access EGI services</w:t>
      </w:r>
      <w:r>
        <w:t>. Two EGI service</w:t>
      </w:r>
      <w:r w:rsidR="004D4994">
        <w:t>s</w:t>
      </w:r>
      <w:r>
        <w:t xml:space="preserve"> – </w:t>
      </w:r>
      <w:r w:rsidR="004C06CC">
        <w:t xml:space="preserve">the GOCDB </w:t>
      </w:r>
      <w:r>
        <w:t xml:space="preserve">service registry and the </w:t>
      </w:r>
      <w:proofErr w:type="spellStart"/>
      <w:r>
        <w:t>AppDB</w:t>
      </w:r>
      <w:proofErr w:type="spellEnd"/>
      <w:r>
        <w:t xml:space="preserve"> Virtual Machine marketplace –</w:t>
      </w:r>
      <w:r w:rsidR="00501FF1">
        <w:t xml:space="preserve"> were chosen as priority services for the ELIXIR integration. The integration work was achieved by connecting </w:t>
      </w:r>
      <w:r w:rsidR="004C06CC">
        <w:t xml:space="preserve">the SP proxy element of the EGI AAI </w:t>
      </w:r>
      <w:r w:rsidR="00501FF1">
        <w:t xml:space="preserve">proxy </w:t>
      </w:r>
      <w:r w:rsidR="004C06CC">
        <w:t xml:space="preserve">with </w:t>
      </w:r>
      <w:r w:rsidR="00501FF1">
        <w:t xml:space="preserve">the </w:t>
      </w:r>
      <w:proofErr w:type="spellStart"/>
      <w:r w:rsidR="004D4994">
        <w:t>IdP</w:t>
      </w:r>
      <w:proofErr w:type="spellEnd"/>
      <w:r w:rsidR="004D4994">
        <w:t xml:space="preserve"> proxy of the ELIXIR AAI by</w:t>
      </w:r>
      <w:r w:rsidR="004C06CC">
        <w:t xml:space="preserve"> exchang</w:t>
      </w:r>
      <w:r w:rsidR="00501FF1">
        <w:t>ing</w:t>
      </w:r>
      <w:r w:rsidR="004C06CC">
        <w:t xml:space="preserve"> the</w:t>
      </w:r>
      <w:r w:rsidR="00501FF1">
        <w:t>ir</w:t>
      </w:r>
      <w:r w:rsidR="004C06CC">
        <w:t xml:space="preserve"> SAML metadata in XML format. </w:t>
      </w:r>
    </w:p>
    <w:p w14:paraId="0FCC3440" w14:textId="77777777" w:rsidR="00376C43" w:rsidRDefault="004C06CC" w:rsidP="004C06CC">
      <w:r>
        <w:t>The typical S</w:t>
      </w:r>
      <w:r w:rsidR="00501FF1">
        <w:t>ingle Sign-On (S</w:t>
      </w:r>
      <w:r>
        <w:t>SO</w:t>
      </w:r>
      <w:r w:rsidR="00501FF1">
        <w:t>)</w:t>
      </w:r>
      <w:r>
        <w:t xml:space="preserve"> flow </w:t>
      </w:r>
      <w:r w:rsidR="00501FF1">
        <w:t xml:space="preserve">in the integrated system </w:t>
      </w:r>
      <w:r>
        <w:t xml:space="preserve">begins with the ELIXIR user accessing an EGI application </w:t>
      </w:r>
      <w:r w:rsidR="00501FF1">
        <w:t xml:space="preserve">(GOCDB or </w:t>
      </w:r>
      <w:proofErr w:type="spellStart"/>
      <w:r w:rsidR="00501FF1">
        <w:t>AppDB</w:t>
      </w:r>
      <w:proofErr w:type="spellEnd"/>
      <w:r w:rsidR="00501FF1">
        <w:t xml:space="preserve">) </w:t>
      </w:r>
      <w:r>
        <w:t xml:space="preserve">through </w:t>
      </w:r>
      <w:r w:rsidR="00501FF1">
        <w:t>a</w:t>
      </w:r>
      <w:r>
        <w:t xml:space="preserve"> web browser (SP-initiated SSO). Since the user is not logged in at the SP</w:t>
      </w:r>
      <w:r w:rsidR="00501FF1">
        <w:t xml:space="preserve"> yet</w:t>
      </w:r>
      <w:r>
        <w:t xml:space="preserve">, the SP sends the user to the EGI </w:t>
      </w:r>
      <w:proofErr w:type="spellStart"/>
      <w:r>
        <w:t>IdP</w:t>
      </w:r>
      <w:proofErr w:type="spellEnd"/>
      <w:r>
        <w:t xml:space="preserve"> proxy to authenticate. The user is then redirected to the EGI central Discovery Service page where </w:t>
      </w:r>
      <w:r w:rsidR="00501FF1">
        <w:t>he/she</w:t>
      </w:r>
      <w:r>
        <w:t xml:space="preserve"> </w:t>
      </w:r>
      <w:r w:rsidR="00501FF1">
        <w:t>is</w:t>
      </w:r>
      <w:r>
        <w:t xml:space="preserve"> able to select t</w:t>
      </w:r>
      <w:r w:rsidR="00501FF1">
        <w:t>o authenticate at ELIXIR</w:t>
      </w:r>
      <w:r>
        <w:t xml:space="preserve">. This results in a SAML authentication request from the EGI </w:t>
      </w:r>
      <w:r w:rsidR="00501FF1">
        <w:t xml:space="preserve">AAI </w:t>
      </w:r>
      <w:r>
        <w:t xml:space="preserve">proxy to the ELIXIR </w:t>
      </w:r>
      <w:r w:rsidR="00501FF1">
        <w:t xml:space="preserve">AAI (it’s </w:t>
      </w:r>
      <w:proofErr w:type="spellStart"/>
      <w:r>
        <w:t>IdP</w:t>
      </w:r>
      <w:proofErr w:type="spellEnd"/>
      <w:r>
        <w:t xml:space="preserve"> proxy</w:t>
      </w:r>
      <w:r w:rsidR="00501FF1">
        <w:t xml:space="preserve"> component)</w:t>
      </w:r>
      <w:r>
        <w:t>. Compliance of the EGI SP proxy with the GÉANT Data Protection Code of Conduct (</w:t>
      </w:r>
      <w:proofErr w:type="spellStart"/>
      <w:r>
        <w:t>CoCo</w:t>
      </w:r>
      <w:proofErr w:type="spellEnd"/>
      <w:r>
        <w:t xml:space="preserve">) and the REFEDS Research and Scholarship (R&amp;S) allows the ELIXIR </w:t>
      </w:r>
      <w:r w:rsidR="00501FF1">
        <w:t xml:space="preserve">AAI </w:t>
      </w:r>
      <w:proofErr w:type="spellStart"/>
      <w:r>
        <w:t>IdP</w:t>
      </w:r>
      <w:proofErr w:type="spellEnd"/>
      <w:r>
        <w:t xml:space="preserve"> proxy to release the minimum set of attributes required for a user to make use of the EGI </w:t>
      </w:r>
      <w:r w:rsidR="00376C43">
        <w:t>service</w:t>
      </w:r>
      <w:r>
        <w:t xml:space="preserve">. </w:t>
      </w:r>
    </w:p>
    <w:p w14:paraId="057475E3" w14:textId="60C8CBD6" w:rsidR="00DD4B00" w:rsidRDefault="004C06CC" w:rsidP="004C06CC">
      <w:r>
        <w:t>The released attribute set includes an opaque (</w:t>
      </w:r>
      <w:proofErr w:type="spellStart"/>
      <w:r>
        <w:t>eduPersonalUniqueId</w:t>
      </w:r>
      <w:proofErr w:type="spellEnd"/>
      <w:r>
        <w:t>), as well as a username-based (</w:t>
      </w:r>
      <w:proofErr w:type="spellStart"/>
      <w:r>
        <w:t>eduPersonPrincipalName</w:t>
      </w:r>
      <w:proofErr w:type="spellEnd"/>
      <w:r>
        <w:t xml:space="preserve">) user identifier scoped at </w:t>
      </w:r>
      <w:r w:rsidRPr="00376C43">
        <w:t>elixir-europe.org</w:t>
      </w:r>
      <w:r w:rsidR="00376C43">
        <w:t>.</w:t>
      </w:r>
      <w:r>
        <w:t xml:space="preserve"> The first name (</w:t>
      </w:r>
      <w:proofErr w:type="spellStart"/>
      <w:r>
        <w:t>givenName</w:t>
      </w:r>
      <w:proofErr w:type="spellEnd"/>
      <w:r>
        <w:t>), surname (</w:t>
      </w:r>
      <w:proofErr w:type="spellStart"/>
      <w:r>
        <w:t>sn</w:t>
      </w:r>
      <w:proofErr w:type="spellEnd"/>
      <w:r>
        <w:t xml:space="preserve">) and email (mail) </w:t>
      </w:r>
      <w:r w:rsidR="00376C43">
        <w:t>of the user are</w:t>
      </w:r>
      <w:r>
        <w:t xml:space="preserve"> also provided. To indicate the set of rights to specific EGI resources, the ELIXIR </w:t>
      </w:r>
      <w:proofErr w:type="spellStart"/>
      <w:r>
        <w:t>IdP</w:t>
      </w:r>
      <w:proofErr w:type="spellEnd"/>
      <w:r>
        <w:t xml:space="preserve"> proxy releases an </w:t>
      </w:r>
      <w:proofErr w:type="spellStart"/>
      <w:r>
        <w:t>eduPersonEntitlement</w:t>
      </w:r>
      <w:proofErr w:type="spellEnd"/>
      <w:r>
        <w:t xml:space="preserve"> attribute. This is a multi-valued attribute, with each value formatted as a URI. The structure of the value itself however, is based on an agreement between ELXIR and </w:t>
      </w:r>
      <w:r w:rsidR="00376C43">
        <w:t>EGI</w:t>
      </w:r>
      <w:r>
        <w:t>, since there are currently no commonly accepted standards or recommendations regarding the representation of entitlements.</w:t>
      </w:r>
      <w:r w:rsidR="00DD4B00">
        <w:t xml:space="preserve"> The </w:t>
      </w:r>
      <w:r w:rsidR="00367038">
        <w:t xml:space="preserve">agreed </w:t>
      </w:r>
      <w:proofErr w:type="spellStart"/>
      <w:r w:rsidR="00DD4B00">
        <w:t>eduPersonEntitlement</w:t>
      </w:r>
      <w:proofErr w:type="spellEnd"/>
      <w:r w:rsidR="00DD4B00">
        <w:t xml:space="preserve"> content i</w:t>
      </w:r>
      <w:r w:rsidR="00367038">
        <w:t xml:space="preserve">s documented at </w:t>
      </w:r>
      <w:hyperlink r:id="rId18" w:history="1">
        <w:r w:rsidR="00367038" w:rsidRPr="005136E3">
          <w:rPr>
            <w:rStyle w:val="Hyperlink"/>
          </w:rPr>
          <w:t>https://wiki.egi.eu/wiki/EGI_AAI_integration_with_ELIXIR_AAI</w:t>
        </w:r>
      </w:hyperlink>
      <w:r w:rsidR="00DD4B00">
        <w:t>.</w:t>
      </w:r>
      <w:r w:rsidR="00367038">
        <w:t xml:space="preserve"> </w:t>
      </w:r>
    </w:p>
    <w:p w14:paraId="63FD3677" w14:textId="35A7F23C" w:rsidR="007212E9" w:rsidRPr="00466D4B" w:rsidRDefault="004C06CC" w:rsidP="007212E9">
      <w:r>
        <w:t xml:space="preserve">The ELIXIR </w:t>
      </w:r>
      <w:proofErr w:type="spellStart"/>
      <w:r>
        <w:t>IdP</w:t>
      </w:r>
      <w:proofErr w:type="spellEnd"/>
      <w:r>
        <w:t xml:space="preserve"> builds an assertion containing the attributes </w:t>
      </w:r>
      <w:r w:rsidR="00DD4B00">
        <w:t xml:space="preserve">above, which is sent to the </w:t>
      </w:r>
      <w:r>
        <w:t>SP proxy</w:t>
      </w:r>
      <w:r w:rsidR="00DD4B00">
        <w:t xml:space="preserve"> component of the EGI AAI proxy</w:t>
      </w:r>
      <w:r>
        <w:t xml:space="preserve">. Based on the authentication method selected by the user, the </w:t>
      </w:r>
      <w:r>
        <w:lastRenderedPageBreak/>
        <w:t>EGI proxy assigns a Level of Assurance (</w:t>
      </w:r>
      <w:proofErr w:type="spellStart"/>
      <w:r>
        <w:t>LoA</w:t>
      </w:r>
      <w:proofErr w:type="spellEnd"/>
      <w:r>
        <w:t>)</w:t>
      </w:r>
      <w:r w:rsidR="00DD4B00">
        <w:rPr>
          <w:rStyle w:val="FootnoteReference"/>
        </w:rPr>
        <w:footnoteReference w:id="27"/>
      </w:r>
      <w:r>
        <w:t xml:space="preserve">, which is conveyed to the SP through the </w:t>
      </w:r>
      <w:proofErr w:type="spellStart"/>
      <w:r>
        <w:t>eduPersonAssurance</w:t>
      </w:r>
      <w:proofErr w:type="spellEnd"/>
      <w:r>
        <w:t xml:space="preserve"> attribute and the Authentication Context Class of the SAML authentication response. EGI AAI currently distinguishes between three </w:t>
      </w:r>
      <w:proofErr w:type="spellStart"/>
      <w:r>
        <w:t>LoA</w:t>
      </w:r>
      <w:proofErr w:type="spellEnd"/>
      <w:r>
        <w:t xml:space="preserve"> levels, namely, Low, Substantial and High. Some EGI SPs have been configured to provide limited access (or not to accept at all) credentials with the</w:t>
      </w:r>
      <w:r w:rsidR="00DD4B00">
        <w:t xml:space="preserve"> Low </w:t>
      </w:r>
      <w:proofErr w:type="spellStart"/>
      <w:r w:rsidR="00DD4B00">
        <w:t>LoA</w:t>
      </w:r>
      <w:proofErr w:type="spellEnd"/>
      <w:r w:rsidR="00DD4B00">
        <w:t xml:space="preserve">. Details regarding </w:t>
      </w:r>
      <w:proofErr w:type="spellStart"/>
      <w:r w:rsidR="00DD4B00">
        <w:t>LoA</w:t>
      </w:r>
      <w:proofErr w:type="spellEnd"/>
      <w:r w:rsidR="00DD4B00">
        <w:t xml:space="preserve"> levels in case of GOCDB and </w:t>
      </w:r>
      <w:proofErr w:type="spellStart"/>
      <w:r w:rsidR="00DD4B00">
        <w:t>AppDB</w:t>
      </w:r>
      <w:proofErr w:type="spellEnd"/>
      <w:r w:rsidR="00DD4B00">
        <w:t xml:space="preserve"> </w:t>
      </w:r>
      <w:r>
        <w:t xml:space="preserve">are </w:t>
      </w:r>
      <w:r w:rsidR="00DD4B00">
        <w:t xml:space="preserve">reported </w:t>
      </w:r>
      <w:r>
        <w:t xml:space="preserve">in the </w:t>
      </w:r>
      <w:r w:rsidR="00DD4B00">
        <w:t xml:space="preserve">next </w:t>
      </w:r>
      <w:r>
        <w:t>subsections.</w:t>
      </w:r>
    </w:p>
    <w:p w14:paraId="4CCD6A4C" w14:textId="21EB84D0" w:rsidR="007212E9" w:rsidRDefault="007212E9" w:rsidP="007212E9">
      <w:pPr>
        <w:pStyle w:val="Heading2"/>
      </w:pPr>
      <w:bookmarkStart w:id="22" w:name="_Toc327624049"/>
      <w:r>
        <w:t>Integration of GOCDB with the EGI AAI proxy</w:t>
      </w:r>
      <w:bookmarkEnd w:id="22"/>
    </w:p>
    <w:p w14:paraId="077F4814" w14:textId="3AA00C91" w:rsidR="00A35869" w:rsidRDefault="00A35869" w:rsidP="00A35869">
      <w:r w:rsidRPr="00C64755">
        <w:t xml:space="preserve">GOCDB has been integrated with the EGI </w:t>
      </w:r>
      <w:r w:rsidR="00DD4B00">
        <w:t xml:space="preserve">AAI proxy. </w:t>
      </w:r>
      <w:r w:rsidRPr="00C64755">
        <w:t xml:space="preserve">This allows users without a client x509 certificate to access GOCDB provided the user authenticates to the </w:t>
      </w:r>
      <w:r w:rsidR="00DD4B00">
        <w:t>AAI proxy</w:t>
      </w:r>
      <w:r w:rsidRPr="00C64755">
        <w:t xml:space="preserve"> using an authentication scheme that provides an adequate level of assurance (</w:t>
      </w:r>
      <w:proofErr w:type="spellStart"/>
      <w:r w:rsidRPr="00C64755">
        <w:t>LoA</w:t>
      </w:r>
      <w:proofErr w:type="spellEnd"/>
      <w:r w:rsidRPr="00C64755">
        <w:t>)</w:t>
      </w:r>
      <w:r>
        <w:t>. As</w:t>
      </w:r>
      <w:r w:rsidRPr="00C64755">
        <w:t xml:space="preserve"> a central configuration management database, GOCDB requires the highest level of assurance</w:t>
      </w:r>
      <w:r w:rsidR="00DD4B00">
        <w:t>.</w:t>
      </w:r>
      <w:r w:rsidRPr="00C64755">
        <w:t xml:space="preserve"> For example, if the user authenticates to the </w:t>
      </w:r>
      <w:proofErr w:type="spellStart"/>
      <w:r w:rsidRPr="00C64755">
        <w:t>ProxyIdP</w:t>
      </w:r>
      <w:proofErr w:type="spellEnd"/>
      <w:r w:rsidRPr="00C64755">
        <w:t xml:space="preserve"> using a scheme that provides a </w:t>
      </w:r>
      <w:r w:rsidR="00DD4B00">
        <w:t>low or medium</w:t>
      </w:r>
      <w:r w:rsidRPr="00C64755">
        <w:t xml:space="preserve"> level of assurance such as social-media/Facebook, then access to GOCDB is denied. Conversely, if a project integrates a trusted identity provider with the </w:t>
      </w:r>
      <w:proofErr w:type="spellStart"/>
      <w:r w:rsidRPr="00C64755">
        <w:t>ProxyIdP</w:t>
      </w:r>
      <w:proofErr w:type="spellEnd"/>
      <w:r w:rsidRPr="00C64755">
        <w:t xml:space="preserve"> where the user authenticates using a scheme that provides a high </w:t>
      </w:r>
      <w:proofErr w:type="spellStart"/>
      <w:r w:rsidRPr="00C64755">
        <w:t>LoA</w:t>
      </w:r>
      <w:proofErr w:type="spellEnd"/>
      <w:r w:rsidRPr="00C64755">
        <w:t xml:space="preserve"> (e.g. institutional credentials), access is granted. During the login process, the </w:t>
      </w:r>
      <w:proofErr w:type="spellStart"/>
      <w:r w:rsidRPr="00C64755">
        <w:t>LoA</w:t>
      </w:r>
      <w:proofErr w:type="spellEnd"/>
      <w:r w:rsidRPr="00C64755">
        <w:t xml:space="preserve"> category that is assigned to the user's </w:t>
      </w:r>
      <w:r w:rsidR="00DD4B00">
        <w:t>authenticated session (e.g. low</w:t>
      </w:r>
      <w:r w:rsidRPr="00C64755">
        <w:t xml:space="preserve">, </w:t>
      </w:r>
      <w:r w:rsidR="00DD4B00">
        <w:t>substantial</w:t>
      </w:r>
      <w:r w:rsidRPr="00C64755">
        <w:t xml:space="preserve">, </w:t>
      </w:r>
      <w:r w:rsidR="00DD4B00">
        <w:t>high</w:t>
      </w:r>
      <w:r w:rsidRPr="00C64755">
        <w:t xml:space="preserve">) is communicated to the GOCDB. </w:t>
      </w:r>
      <w:r>
        <w:t xml:space="preserve">The ELIXIR </w:t>
      </w:r>
      <w:r w:rsidR="00DD4B00">
        <w:t xml:space="preserve">AAI </w:t>
      </w:r>
      <w:proofErr w:type="spellStart"/>
      <w:r>
        <w:t>IdP</w:t>
      </w:r>
      <w:proofErr w:type="spellEnd"/>
      <w:r>
        <w:t xml:space="preserve"> provides the highest level of assurance to GOCDB. </w:t>
      </w:r>
    </w:p>
    <w:p w14:paraId="1650B2C8" w14:textId="13C420B6" w:rsidR="007212E9" w:rsidRDefault="00E27073" w:rsidP="00A35869">
      <w:r>
        <w:t xml:space="preserve">Based on the provided assurance level, GOCDB can make its own internal authorisation decisions. </w:t>
      </w:r>
      <w:r w:rsidR="00A35869" w:rsidRPr="00C64755">
        <w:t>If a user is granted access, they use the existing GOCDB role mechanisms to request roles and permissions</w:t>
      </w:r>
      <w:r w:rsidR="00A639CC">
        <w:t xml:space="preserve">. The list of available roles, with their permissions is provided in Appendix 1. There is no automatic mapping between ELIXIR roles and GOCDB roles. </w:t>
      </w:r>
    </w:p>
    <w:p w14:paraId="08261A6B" w14:textId="508843EA" w:rsidR="00A639CC" w:rsidRDefault="00A639CC" w:rsidP="00A639CC">
      <w:pPr>
        <w:pStyle w:val="ListParagraph"/>
        <w:numPr>
          <w:ilvl w:val="1"/>
          <w:numId w:val="22"/>
        </w:numPr>
      </w:pPr>
      <w:r>
        <w:t>User logs in to GOCDB service registry with</w:t>
      </w:r>
      <w:r w:rsidR="001D6686">
        <w:t xml:space="preserve"> an</w:t>
      </w:r>
      <w:r>
        <w:t xml:space="preserve"> ELIXIR account (</w:t>
      </w:r>
      <w:hyperlink r:id="rId19" w:history="1">
        <w:r w:rsidRPr="001C2F60">
          <w:rPr>
            <w:rStyle w:val="Hyperlink"/>
          </w:rPr>
          <w:t>http://goc.egi.eu</w:t>
        </w:r>
      </w:hyperlink>
      <w:r>
        <w:t xml:space="preserve">) </w:t>
      </w:r>
    </w:p>
    <w:p w14:paraId="6FE09D3B" w14:textId="6B6E605C" w:rsidR="00A639CC" w:rsidRDefault="00E27073" w:rsidP="00A639CC">
      <w:pPr>
        <w:pStyle w:val="ListParagraph"/>
        <w:numPr>
          <w:ilvl w:val="1"/>
          <w:numId w:val="22"/>
        </w:numPr>
      </w:pPr>
      <w:r>
        <w:t xml:space="preserve">User requests a role. The request is passed to the existing users who already own the necessary roles to approve or reject the role request. Currently Steven Newhouse from </w:t>
      </w:r>
      <w:r w:rsidR="009A2897">
        <w:t>EMBL-</w:t>
      </w:r>
      <w:r>
        <w:t>EBI a</w:t>
      </w:r>
      <w:r w:rsidR="001D6686">
        <w:t xml:space="preserve">nd Miroslav </w:t>
      </w:r>
      <w:proofErr w:type="spellStart"/>
      <w:r w:rsidR="001D6686">
        <w:t>Ruda</w:t>
      </w:r>
      <w:proofErr w:type="spellEnd"/>
      <w:r w:rsidR="001D6686">
        <w:t xml:space="preserve"> from CESNET</w:t>
      </w:r>
      <w:r>
        <w:t xml:space="preserve"> have roles over the ELIXR group. (Once this initial community admin group is established within GOCDB by the GOCDB admin, the group can subsequently self-manage their user memberships.) </w:t>
      </w:r>
    </w:p>
    <w:p w14:paraId="7D33D9BB" w14:textId="1C8A0C5D" w:rsidR="00A639CC" w:rsidRDefault="00A639CC" w:rsidP="00A639CC">
      <w:pPr>
        <w:pStyle w:val="ListParagraph"/>
        <w:numPr>
          <w:ilvl w:val="1"/>
          <w:numId w:val="22"/>
        </w:numPr>
      </w:pPr>
      <w:r>
        <w:t xml:space="preserve">User is granted with the approved role at next login, and can perform authorised operations. </w:t>
      </w:r>
    </w:p>
    <w:p w14:paraId="135E91C7" w14:textId="77777777" w:rsidR="00AA2B5A" w:rsidRPr="007212E9" w:rsidRDefault="00AA2B5A" w:rsidP="00AA2B5A">
      <w:pPr>
        <w:pStyle w:val="ListParagraph"/>
        <w:ind w:left="1080"/>
      </w:pPr>
    </w:p>
    <w:p w14:paraId="63699632" w14:textId="3E490C03" w:rsidR="00BC1C3C" w:rsidRDefault="007212E9" w:rsidP="00BC1C3C">
      <w:pPr>
        <w:pStyle w:val="Heading2"/>
      </w:pPr>
      <w:bookmarkStart w:id="23" w:name="_Toc327624050"/>
      <w:r>
        <w:t xml:space="preserve">Integration of </w:t>
      </w:r>
      <w:proofErr w:type="spellStart"/>
      <w:r>
        <w:t>AppDB</w:t>
      </w:r>
      <w:proofErr w:type="spellEnd"/>
      <w:r>
        <w:t xml:space="preserve"> with the EGI AAI proxy</w:t>
      </w:r>
      <w:bookmarkEnd w:id="23"/>
    </w:p>
    <w:p w14:paraId="64B3F9BE" w14:textId="0473AD13" w:rsidR="00BC1C3C" w:rsidRDefault="001D6686" w:rsidP="00BC1C3C">
      <w:r>
        <w:t xml:space="preserve">The </w:t>
      </w:r>
      <w:r w:rsidR="00BC1C3C">
        <w:t xml:space="preserve">EGI </w:t>
      </w:r>
      <w:proofErr w:type="spellStart"/>
      <w:r w:rsidR="00BC1C3C">
        <w:t>AppDB</w:t>
      </w:r>
      <w:proofErr w:type="spellEnd"/>
      <w:r w:rsidR="00BC1C3C">
        <w:t xml:space="preserve"> is planned to be used as a marketplace of Virtual Machine Images (VMIs) within the ELIXIR Compute platform. A user can have three roles when accessing the EGI </w:t>
      </w:r>
      <w:proofErr w:type="spellStart"/>
      <w:r w:rsidR="00BC1C3C">
        <w:t>AppDB</w:t>
      </w:r>
      <w:proofErr w:type="spellEnd"/>
      <w:r w:rsidR="00BC1C3C">
        <w:t xml:space="preserve"> marketplace:</w:t>
      </w:r>
    </w:p>
    <w:p w14:paraId="6780D858" w14:textId="77777777" w:rsidR="00BC1C3C" w:rsidRDefault="00BC1C3C" w:rsidP="00AA2B5A">
      <w:pPr>
        <w:pStyle w:val="ListParagraph"/>
        <w:numPr>
          <w:ilvl w:val="0"/>
          <w:numId w:val="41"/>
        </w:numPr>
      </w:pPr>
      <w:r>
        <w:lastRenderedPageBreak/>
        <w:t>Visitor: Can browse publicly visible VMIs, can download them for local use. Visitors do not have to login.</w:t>
      </w:r>
    </w:p>
    <w:p w14:paraId="54F89E81" w14:textId="181411B6" w:rsidR="00BC1C3C" w:rsidRDefault="007441C3" w:rsidP="00AA2B5A">
      <w:pPr>
        <w:pStyle w:val="ListParagraph"/>
        <w:numPr>
          <w:ilvl w:val="0"/>
          <w:numId w:val="41"/>
        </w:numPr>
      </w:pPr>
      <w:r>
        <w:t xml:space="preserve">VMI developer: </w:t>
      </w:r>
      <w:r w:rsidR="00BC1C3C">
        <w:t>Any user with a valid account</w:t>
      </w:r>
      <w:r>
        <w:t xml:space="preserve"> c</w:t>
      </w:r>
      <w:r w:rsidR="00BC1C3C">
        <w:t xml:space="preserve">an register new VMIs and VMI versions in the marketplace and (optionally) can submit these to the community coordinator for inclusion in the community image list. </w:t>
      </w:r>
    </w:p>
    <w:p w14:paraId="60E5A256" w14:textId="6CEAF807" w:rsidR="00BC1C3C" w:rsidRDefault="00BC1C3C" w:rsidP="00AA2B5A">
      <w:pPr>
        <w:pStyle w:val="ListParagraph"/>
        <w:numPr>
          <w:ilvl w:val="0"/>
          <w:numId w:val="41"/>
        </w:numPr>
      </w:pPr>
      <w:r>
        <w:t xml:space="preserve">Coordinator of a scientific community: Can add VMIs to the community image list to trigger the replication of these VMIs to the cloud sites that support the community. </w:t>
      </w:r>
      <w:r w:rsidR="000B4507">
        <w:t>The c</w:t>
      </w:r>
      <w:r>
        <w:t xml:space="preserve">ommunity image list includes VMs that are of high relevance to the scientific community. Community coordinators have to login to </w:t>
      </w:r>
      <w:proofErr w:type="spellStart"/>
      <w:r>
        <w:t>AppDB</w:t>
      </w:r>
      <w:proofErr w:type="spellEnd"/>
      <w:r>
        <w:t xml:space="preserve"> and must have attributes that express affiliation to a community and coordinator role within that community.</w:t>
      </w:r>
    </w:p>
    <w:p w14:paraId="6491B786" w14:textId="77777777" w:rsidR="00BC1C3C" w:rsidRDefault="00BC1C3C" w:rsidP="00BC1C3C">
      <w:r>
        <w:t xml:space="preserve">The goal of the </w:t>
      </w:r>
      <w:proofErr w:type="spellStart"/>
      <w:r>
        <w:t>AppDB</w:t>
      </w:r>
      <w:proofErr w:type="spellEnd"/>
      <w:r>
        <w:t xml:space="preserve">–ELIXIR AAI integration was to enable authorized access to the marketplace for members of the ELIXIR community - i.e. for those possessing ELIXIR accounts. </w:t>
      </w:r>
    </w:p>
    <w:p w14:paraId="43A2DA3E" w14:textId="77777777" w:rsidR="000B4507" w:rsidRDefault="00BC1C3C" w:rsidP="00E620D8">
      <w:r>
        <w:t xml:space="preserve">The integration of </w:t>
      </w:r>
      <w:proofErr w:type="spellStart"/>
      <w:r>
        <w:t>AppDB</w:t>
      </w:r>
      <w:proofErr w:type="spellEnd"/>
      <w:r>
        <w:t xml:space="preserve"> with the EGI </w:t>
      </w:r>
      <w:proofErr w:type="spellStart"/>
      <w:r>
        <w:t>ProxyIdP</w:t>
      </w:r>
      <w:proofErr w:type="spellEnd"/>
      <w:r>
        <w:t xml:space="preserve"> has been completed, so </w:t>
      </w:r>
      <w:proofErr w:type="spellStart"/>
      <w:r>
        <w:t>AppDB</w:t>
      </w:r>
      <w:proofErr w:type="spellEnd"/>
      <w:r>
        <w:t xml:space="preserve"> can login and authorise users coming through the EGI AAI proxy. Authorization of user actions is based on relevant entitlements returned by the EGI AAI proxy</w:t>
      </w:r>
      <w:r w:rsidR="00E620D8" w:rsidRPr="00E620D8">
        <w:t>.</w:t>
      </w:r>
      <w:r w:rsidR="00AE337E">
        <w:t xml:space="preserve"> More detailed information about authoriz</w:t>
      </w:r>
      <w:r w:rsidR="000B4507">
        <w:t xml:space="preserve">ation process can be found at </w:t>
      </w:r>
      <w:hyperlink r:id="rId20" w:history="1">
        <w:r w:rsidR="00AE337E" w:rsidRPr="00AE337E">
          <w:rPr>
            <w:rStyle w:val="Hyperlink"/>
          </w:rPr>
          <w:t>https://wiki.egi.eu/wiki/EGI_AAI_integration_with_ELIXIR_AAI</w:t>
        </w:r>
      </w:hyperlink>
      <w:r w:rsidR="000B4507">
        <w:t xml:space="preserve">. </w:t>
      </w:r>
    </w:p>
    <w:p w14:paraId="0E376FCD" w14:textId="5A9F91AB" w:rsidR="00AA2B5A" w:rsidRPr="00E620D8" w:rsidRDefault="00AA2B5A" w:rsidP="00E620D8">
      <w:r w:rsidRPr="00AA2B5A">
        <w:t xml:space="preserve">Since early June </w:t>
      </w:r>
      <w:r w:rsidR="000B4507">
        <w:t>these new</w:t>
      </w:r>
      <w:r w:rsidRPr="00AA2B5A">
        <w:t xml:space="preserve"> developments </w:t>
      </w:r>
      <w:r w:rsidR="000B4507">
        <w:t>are available in</w:t>
      </w:r>
      <w:r w:rsidRPr="00AA2B5A">
        <w:t xml:space="preserve"> the </w:t>
      </w:r>
      <w:proofErr w:type="spellStart"/>
      <w:r w:rsidRPr="00AA2B5A">
        <w:t>AppDB</w:t>
      </w:r>
      <w:proofErr w:type="spellEnd"/>
      <w:r w:rsidRPr="00AA2B5A">
        <w:t xml:space="preserve"> production ins</w:t>
      </w:r>
      <w:r>
        <w:t xml:space="preserve">tance </w:t>
      </w:r>
      <w:r w:rsidR="000B4507">
        <w:t>(</w:t>
      </w:r>
      <w:hyperlink r:id="rId21" w:history="1">
        <w:r w:rsidR="000B4507" w:rsidRPr="005136E3">
          <w:rPr>
            <w:rStyle w:val="Hyperlink"/>
          </w:rPr>
          <w:t>http://appdb.egi.eu</w:t>
        </w:r>
      </w:hyperlink>
      <w:r w:rsidR="000B4507">
        <w:t>) so</w:t>
      </w:r>
      <w:r>
        <w:t xml:space="preserve"> ELIXIR</w:t>
      </w:r>
      <w:r w:rsidRPr="00AA2B5A">
        <w:t xml:space="preserve"> users </w:t>
      </w:r>
      <w:r w:rsidR="000B4507">
        <w:t>can login</w:t>
      </w:r>
      <w:r>
        <w:t xml:space="preserve"> into the system</w:t>
      </w:r>
      <w:r w:rsidR="000B4507">
        <w:t xml:space="preserve"> with their ELIXIR accounts. </w:t>
      </w:r>
      <w:proofErr w:type="gramStart"/>
      <w:r w:rsidR="000B4507">
        <w:t xml:space="preserve">Their </w:t>
      </w:r>
      <w:r w:rsidRPr="00AA2B5A">
        <w:t>ro</w:t>
      </w:r>
      <w:r w:rsidR="000B4507">
        <w:t>le (if any) is recognized by</w:t>
      </w:r>
      <w:r w:rsidRPr="00AA2B5A">
        <w:t xml:space="preserve"> </w:t>
      </w:r>
      <w:proofErr w:type="spellStart"/>
      <w:r w:rsidRPr="00AA2B5A">
        <w:t>AppDB</w:t>
      </w:r>
      <w:proofErr w:type="spellEnd"/>
      <w:proofErr w:type="gramEnd"/>
      <w:r w:rsidRPr="00AA2B5A">
        <w:t xml:space="preserve"> </w:t>
      </w:r>
      <w:r w:rsidR="000B4507">
        <w:t xml:space="preserve">automatically </w:t>
      </w:r>
      <w:r w:rsidRPr="00AA2B5A">
        <w:t>and they are granted with the appropriate permissions</w:t>
      </w:r>
      <w:r w:rsidR="000B4507">
        <w:t xml:space="preserve"> within the system</w:t>
      </w:r>
      <w:r w:rsidRPr="00AA2B5A">
        <w:t xml:space="preserve">. </w:t>
      </w:r>
    </w:p>
    <w:p w14:paraId="22DB4BF8" w14:textId="20FECC26" w:rsidR="00536BBD" w:rsidRDefault="00536BBD" w:rsidP="00536BBD">
      <w:pPr>
        <w:pStyle w:val="Heading2"/>
      </w:pPr>
      <w:bookmarkStart w:id="24" w:name="_Toc327624051"/>
      <w:r>
        <w:t>Integration of OpenStack with the EGI AAI proxy</w:t>
      </w:r>
      <w:bookmarkEnd w:id="24"/>
    </w:p>
    <w:p w14:paraId="3B8B2D0F" w14:textId="1B3162E2" w:rsidR="00A1016C" w:rsidRDefault="00EE6A59" w:rsidP="00B07157">
      <w:r>
        <w:t xml:space="preserve">Until recently </w:t>
      </w:r>
      <w:r w:rsidR="00E96459">
        <w:t>OpenStack resources</w:t>
      </w:r>
      <w:r>
        <w:t xml:space="preserve"> of the EGI Federated Cloud were able to authenticate and authorize</w:t>
      </w:r>
      <w:r w:rsidR="00E96459">
        <w:t xml:space="preserve"> users </w:t>
      </w:r>
      <w:r>
        <w:t>solely through</w:t>
      </w:r>
      <w:r w:rsidR="00E96459">
        <w:t xml:space="preserve"> X</w:t>
      </w:r>
      <w:r>
        <w:t>.</w:t>
      </w:r>
      <w:r w:rsidR="00E96459">
        <w:t>509 proxy certificates</w:t>
      </w:r>
      <w:r>
        <w:t xml:space="preserve">. This </w:t>
      </w:r>
      <w:r w:rsidR="00E96459">
        <w:t>prevent</w:t>
      </w:r>
      <w:r>
        <w:t>ed</w:t>
      </w:r>
      <w:r w:rsidR="00E96459">
        <w:t xml:space="preserve"> users without a client X</w:t>
      </w:r>
      <w:r>
        <w:t>.</w:t>
      </w:r>
      <w:r w:rsidR="00E96459">
        <w:t>509 certificate to interact</w:t>
      </w:r>
      <w:r w:rsidR="0095147C">
        <w:t xml:space="preserve"> </w:t>
      </w:r>
      <w:r>
        <w:t xml:space="preserve">with </w:t>
      </w:r>
      <w:r w:rsidR="00E96459">
        <w:t xml:space="preserve">the providers. </w:t>
      </w:r>
      <w:r w:rsidR="00B07157">
        <w:t xml:space="preserve">The </w:t>
      </w:r>
      <w:r>
        <w:t xml:space="preserve">latest versions of the </w:t>
      </w:r>
      <w:r w:rsidR="00B07157">
        <w:t xml:space="preserve">OpenStack identity service (Keystone) </w:t>
      </w:r>
      <w:r>
        <w:t xml:space="preserve">now </w:t>
      </w:r>
      <w:r w:rsidR="00B07157">
        <w:t>includes support for federated users</w:t>
      </w:r>
      <w:r>
        <w:t xml:space="preserve">: </w:t>
      </w:r>
      <w:r w:rsidR="00B07157">
        <w:t xml:space="preserve">Keystone </w:t>
      </w:r>
      <w:r>
        <w:t>can act</w:t>
      </w:r>
      <w:r w:rsidR="00B07157">
        <w:t xml:space="preserve"> as a Service Provider (SP) that consumes identity properties issued by an external Identity Provider, such as SAML assertions or OpenID Connect claims. The OpenStack web dashboard (</w:t>
      </w:r>
      <w:r w:rsidR="00B07157" w:rsidRPr="00B07157">
        <w:t>Horizon</w:t>
      </w:r>
      <w:r w:rsidR="00B07157">
        <w:t>)</w:t>
      </w:r>
      <w:r w:rsidR="00B07157" w:rsidRPr="00B07157">
        <w:t xml:space="preserve"> </w:t>
      </w:r>
      <w:r w:rsidR="001D6686">
        <w:t>has also introduced</w:t>
      </w:r>
      <w:r w:rsidR="00B07157">
        <w:t xml:space="preserve"> support for this kind of authentication</w:t>
      </w:r>
      <w:r>
        <w:t xml:space="preserve"> and authorisation</w:t>
      </w:r>
      <w:r w:rsidR="00B07157">
        <w:t xml:space="preserve">. </w:t>
      </w:r>
      <w:r>
        <w:t xml:space="preserve">Based on this new OpenStack feature EGI has connected OpenStack with the EGI AAI proxy. </w:t>
      </w:r>
      <w:r w:rsidR="00B07157">
        <w:t xml:space="preserve">The integration </w:t>
      </w:r>
      <w:r w:rsidR="00231479">
        <w:t>is</w:t>
      </w:r>
      <w:r w:rsidR="000C767B">
        <w:t xml:space="preserve"> achieved with a new</w:t>
      </w:r>
      <w:r w:rsidR="00B07157">
        <w:t xml:space="preserve"> configuration of the Keystone federation t</w:t>
      </w:r>
      <w:r w:rsidR="000C767B">
        <w:t>hat</w:t>
      </w:r>
      <w:r w:rsidR="00B07157">
        <w:t xml:space="preserve"> use</w:t>
      </w:r>
      <w:r w:rsidR="000C767B">
        <w:t>s</w:t>
      </w:r>
      <w:r w:rsidR="00B07157">
        <w:t xml:space="preserve"> EGI AAI as a SAML </w:t>
      </w:r>
      <w:proofErr w:type="spellStart"/>
      <w:r w:rsidR="00B07157">
        <w:t>IdP</w:t>
      </w:r>
      <w:proofErr w:type="spellEnd"/>
      <w:r w:rsidR="00B07157">
        <w:t xml:space="preserve">. </w:t>
      </w:r>
      <w:r w:rsidR="00914076">
        <w:t>Detailed instructions are available in the OpenStack guides</w:t>
      </w:r>
      <w:r w:rsidR="00914076">
        <w:rPr>
          <w:rStyle w:val="FootnoteReference"/>
        </w:rPr>
        <w:footnoteReference w:id="28"/>
      </w:r>
      <w:r w:rsidR="00A1016C">
        <w:t>.</w:t>
      </w:r>
    </w:p>
    <w:p w14:paraId="3FA7AB7A" w14:textId="402C8838" w:rsidR="00A1016C" w:rsidRDefault="001D6686" w:rsidP="00A1016C">
      <w:r>
        <w:t xml:space="preserve">The </w:t>
      </w:r>
      <w:r w:rsidR="00231479">
        <w:t>screenshot</w:t>
      </w:r>
      <w:r>
        <w:t xml:space="preserve"> below</w:t>
      </w:r>
      <w:r w:rsidR="00231479">
        <w:t xml:space="preserve"> shows the </w:t>
      </w:r>
      <w:r w:rsidR="00A1016C">
        <w:t xml:space="preserve">SAML-enabled OpenStack dashboard </w:t>
      </w:r>
      <w:r w:rsidR="005E779F">
        <w:t>displaying a</w:t>
      </w:r>
      <w:r w:rsidR="00A1016C">
        <w:t xml:space="preserve"> drop down menu</w:t>
      </w:r>
      <w:r w:rsidR="00231479">
        <w:t xml:space="preserve"> of available authentication providers. </w:t>
      </w:r>
      <w:r w:rsidR="00A1016C">
        <w:t xml:space="preserve">When selecting the egi.eu </w:t>
      </w:r>
      <w:proofErr w:type="spellStart"/>
      <w:r w:rsidR="00A1016C">
        <w:t>IdP</w:t>
      </w:r>
      <w:proofErr w:type="spellEnd"/>
      <w:r w:rsidR="00A1016C">
        <w:t xml:space="preserve"> proxy option, </w:t>
      </w:r>
      <w:r>
        <w:t xml:space="preserve">the </w:t>
      </w:r>
      <w:r w:rsidR="00A1016C">
        <w:t xml:space="preserve">user will be redirected to the EGI AAI proxy and </w:t>
      </w:r>
      <w:r w:rsidR="00231479">
        <w:t xml:space="preserve">can </w:t>
      </w:r>
      <w:r w:rsidR="00A1016C">
        <w:t xml:space="preserve">follow the process described in section </w:t>
      </w:r>
      <w:r w:rsidR="00A1016C">
        <w:fldChar w:fldCharType="begin"/>
      </w:r>
      <w:r w:rsidR="00A1016C">
        <w:instrText xml:space="preserve"> REF _Ref451849891 \r \h </w:instrText>
      </w:r>
      <w:r w:rsidR="00A1016C">
        <w:fldChar w:fldCharType="separate"/>
      </w:r>
      <w:r w:rsidR="00A1016C">
        <w:t>5.1</w:t>
      </w:r>
      <w:r w:rsidR="00A1016C">
        <w:fldChar w:fldCharType="end"/>
      </w:r>
      <w:r w:rsidR="00A1016C">
        <w:t xml:space="preserve"> to authenticate with an ELIXIR account.</w:t>
      </w:r>
    </w:p>
    <w:p w14:paraId="0E817A57" w14:textId="77777777" w:rsidR="00231479" w:rsidRDefault="00A1016C" w:rsidP="00231479">
      <w:pPr>
        <w:keepNext/>
        <w:jc w:val="center"/>
      </w:pPr>
      <w:r>
        <w:rPr>
          <w:noProof/>
          <w:lang w:val="en-US"/>
        </w:rPr>
        <w:lastRenderedPageBreak/>
        <w:drawing>
          <wp:inline distT="0" distB="0" distL="0" distR="0" wp14:anchorId="6C0242B2" wp14:editId="2DC595DC">
            <wp:extent cx="3184746" cy="1512467"/>
            <wp:effectExtent l="0" t="0" r="0"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lector.png"/>
                    <pic:cNvPicPr/>
                  </pic:nvPicPr>
                  <pic:blipFill rotWithShape="1">
                    <a:blip r:embed="rId22">
                      <a:extLst>
                        <a:ext uri="{28A0092B-C50C-407E-A947-70E740481C1C}">
                          <a14:useLocalDpi xmlns:a14="http://schemas.microsoft.com/office/drawing/2010/main" val="0"/>
                        </a:ext>
                      </a:extLst>
                    </a:blip>
                    <a:srcRect l="9694" t="41852" r="9091" b="-1"/>
                    <a:stretch/>
                  </pic:blipFill>
                  <pic:spPr bwMode="auto">
                    <a:xfrm>
                      <a:off x="0" y="0"/>
                      <a:ext cx="3190631" cy="1515262"/>
                    </a:xfrm>
                    <a:prstGeom prst="rect">
                      <a:avLst/>
                    </a:prstGeom>
                    <a:ln>
                      <a:noFill/>
                    </a:ln>
                    <a:extLst>
                      <a:ext uri="{53640926-AAD7-44d8-BBD7-CCE9431645EC}">
                        <a14:shadowObscured xmlns:a14="http://schemas.microsoft.com/office/drawing/2010/main"/>
                      </a:ext>
                    </a:extLst>
                  </pic:spPr>
                </pic:pic>
              </a:graphicData>
            </a:graphic>
          </wp:inline>
        </w:drawing>
      </w:r>
    </w:p>
    <w:p w14:paraId="3F689200" w14:textId="78BAF23A" w:rsidR="00A1016C" w:rsidRDefault="00231479" w:rsidP="00231479">
      <w:pPr>
        <w:pStyle w:val="Caption"/>
        <w:jc w:val="center"/>
      </w:pPr>
      <w:r>
        <w:t xml:space="preserve">Figure </w:t>
      </w:r>
      <w:r>
        <w:fldChar w:fldCharType="begin"/>
      </w:r>
      <w:r>
        <w:instrText xml:space="preserve"> SEQ Figure \* ARABIC </w:instrText>
      </w:r>
      <w:r>
        <w:fldChar w:fldCharType="separate"/>
      </w:r>
      <w:r w:rsidR="00296FA9">
        <w:rPr>
          <w:noProof/>
        </w:rPr>
        <w:t>3</w:t>
      </w:r>
      <w:r>
        <w:fldChar w:fldCharType="end"/>
      </w:r>
      <w:r>
        <w:t xml:space="preserve">. EGI AAI </w:t>
      </w:r>
      <w:proofErr w:type="spellStart"/>
      <w:r>
        <w:t>IdP</w:t>
      </w:r>
      <w:proofErr w:type="spellEnd"/>
      <w:r>
        <w:t xml:space="preserve"> proxy configured in OpenStack</w:t>
      </w:r>
    </w:p>
    <w:p w14:paraId="1DCA3F3E" w14:textId="189CCAC1" w:rsidR="00914076" w:rsidRDefault="00A1016C" w:rsidP="00A1016C">
      <w:r>
        <w:t>S</w:t>
      </w:r>
      <w:r w:rsidR="00914076">
        <w:t>ite administrators need to set up the rules that map the attri</w:t>
      </w:r>
      <w:r>
        <w:t xml:space="preserve">butes released from the EGI AAI </w:t>
      </w:r>
      <w:r w:rsidR="00914076">
        <w:t xml:space="preserve">proxy to local </w:t>
      </w:r>
      <w:r w:rsidR="003A44A3">
        <w:t>OpenStack identity objec</w:t>
      </w:r>
      <w:r w:rsidR="00231479">
        <w:t>t</w:t>
      </w:r>
      <w:r w:rsidR="003A44A3">
        <w:t>s</w:t>
      </w:r>
      <w:r w:rsidR="00914076">
        <w:t>. There are many ways t</w:t>
      </w:r>
      <w:r w:rsidR="00231479">
        <w:t xml:space="preserve">o setup and combine these rules. </w:t>
      </w:r>
      <w:r w:rsidR="00914076">
        <w:t xml:space="preserve"> </w:t>
      </w:r>
      <w:r w:rsidR="00231479">
        <w:t xml:space="preserve">For </w:t>
      </w:r>
      <w:r w:rsidR="00914076">
        <w:t xml:space="preserve">the </w:t>
      </w:r>
      <w:r w:rsidR="00231479">
        <w:t xml:space="preserve">EGI </w:t>
      </w:r>
      <w:r w:rsidR="00914076">
        <w:t xml:space="preserve">integration the following </w:t>
      </w:r>
      <w:r w:rsidR="00231479">
        <w:t xml:space="preserve">objects </w:t>
      </w:r>
      <w:r w:rsidR="00914076">
        <w:t>are used:</w:t>
      </w:r>
    </w:p>
    <w:p w14:paraId="3BDA29AA" w14:textId="77777777" w:rsidR="00A1016C" w:rsidRDefault="00914076" w:rsidP="00914076">
      <w:pPr>
        <w:pStyle w:val="ListParagraph"/>
        <w:numPr>
          <w:ilvl w:val="0"/>
          <w:numId w:val="26"/>
        </w:numPr>
      </w:pPr>
      <w:proofErr w:type="spellStart"/>
      <w:proofErr w:type="gramStart"/>
      <w:r>
        <w:t>eduPersonalUniqueId</w:t>
      </w:r>
      <w:proofErr w:type="spellEnd"/>
      <w:proofErr w:type="gramEnd"/>
      <w:r>
        <w:t>, is ma</w:t>
      </w:r>
      <w:r w:rsidR="00A1016C">
        <w:t>pped to the user id in Keystone.</w:t>
      </w:r>
    </w:p>
    <w:p w14:paraId="02670065" w14:textId="58239A12" w:rsidR="00914076" w:rsidRDefault="00914076" w:rsidP="00914076">
      <w:pPr>
        <w:pStyle w:val="ListParagraph"/>
        <w:numPr>
          <w:ilvl w:val="0"/>
          <w:numId w:val="26"/>
        </w:numPr>
      </w:pPr>
      <w:proofErr w:type="spellStart"/>
      <w:r>
        <w:t>eduPersonEntitlement</w:t>
      </w:r>
      <w:proofErr w:type="spellEnd"/>
      <w:r w:rsidR="00A1016C">
        <w:t xml:space="preserve"> </w:t>
      </w:r>
      <w:r>
        <w:t>define</w:t>
      </w:r>
      <w:r w:rsidR="00231479">
        <w:t>s</w:t>
      </w:r>
      <w:r>
        <w:t xml:space="preserve"> the </w:t>
      </w:r>
      <w:r w:rsidR="00A1016C">
        <w:t xml:space="preserve">OpenStack </w:t>
      </w:r>
      <w:r>
        <w:t>groups the user is allowed to</w:t>
      </w:r>
      <w:r w:rsidR="00231479">
        <w:t xml:space="preserve"> access</w:t>
      </w:r>
      <w:r>
        <w:t>,</w:t>
      </w:r>
    </w:p>
    <w:p w14:paraId="136A6D7F" w14:textId="26277FF9" w:rsidR="00914076" w:rsidRDefault="00231479" w:rsidP="00914076">
      <w:pPr>
        <w:pStyle w:val="ListParagraph"/>
        <w:numPr>
          <w:ilvl w:val="0"/>
          <w:numId w:val="26"/>
        </w:numPr>
      </w:pPr>
      <w:r>
        <w:t>L</w:t>
      </w:r>
      <w:r w:rsidR="00914076">
        <w:t xml:space="preserve">evel of Assurance </w:t>
      </w:r>
      <w:r w:rsidR="00A1016C">
        <w:t xml:space="preserve">may restrict </w:t>
      </w:r>
      <w:r w:rsidR="00914076">
        <w:t xml:space="preserve">grant access to users with </w:t>
      </w:r>
      <w:r w:rsidR="003A44A3">
        <w:t>the desired</w:t>
      </w:r>
      <w:r w:rsidR="00914076">
        <w:t xml:space="preserve"> </w:t>
      </w:r>
      <w:proofErr w:type="spellStart"/>
      <w:r w:rsidR="00914076">
        <w:t>LoA</w:t>
      </w:r>
      <w:proofErr w:type="spellEnd"/>
      <w:r w:rsidR="00914076">
        <w:t xml:space="preserve"> </w:t>
      </w:r>
    </w:p>
    <w:p w14:paraId="311A21BA" w14:textId="33A33F94" w:rsidR="00A1016C" w:rsidRDefault="00A1016C" w:rsidP="00A1016C">
      <w:r>
        <w:t xml:space="preserve">Once the </w:t>
      </w:r>
      <w:proofErr w:type="spellStart"/>
      <w:r>
        <w:t>eduPersonEntitlement</w:t>
      </w:r>
      <w:proofErr w:type="spellEnd"/>
      <w:r>
        <w:t xml:space="preserve"> contents are agreed, recommended mappings will be provided for administrators to easily integrate their resources. Users authenticated through this mechanism can be managed by the OpenStack administrator as any other user.</w:t>
      </w:r>
    </w:p>
    <w:p w14:paraId="386BBBF2" w14:textId="77777777" w:rsidR="007212E9" w:rsidRDefault="007212E9" w:rsidP="007212E9">
      <w:pPr>
        <w:rPr>
          <w:b/>
        </w:rPr>
      </w:pPr>
    </w:p>
    <w:p w14:paraId="6FE35503" w14:textId="5C74581F" w:rsidR="00296FA9" w:rsidRDefault="00296FA9" w:rsidP="00296FA9">
      <w:pPr>
        <w:pStyle w:val="Heading1"/>
        <w:numPr>
          <w:ilvl w:val="0"/>
          <w:numId w:val="1"/>
        </w:numPr>
      </w:pPr>
      <w:bookmarkStart w:id="25" w:name="_Toc327624052"/>
      <w:r>
        <w:lastRenderedPageBreak/>
        <w:t>Summary and next steps</w:t>
      </w:r>
      <w:bookmarkEnd w:id="25"/>
    </w:p>
    <w:p w14:paraId="181E8FCB" w14:textId="0772AD14" w:rsidR="005F058C" w:rsidRDefault="005F058C" w:rsidP="005F058C">
      <w:r>
        <w:t xml:space="preserve">Based on the joint work of </w:t>
      </w:r>
      <w:r w:rsidR="001D6686">
        <w:t xml:space="preserve">the </w:t>
      </w:r>
      <w:r>
        <w:t>ELIXIR and EGI communities, the basic building blocks of the ELIXIR compute platform have been established:</w:t>
      </w:r>
    </w:p>
    <w:p w14:paraId="677F25B3" w14:textId="086FCDB6" w:rsidR="005F058C" w:rsidRDefault="005F058C" w:rsidP="001A6C2E">
      <w:pPr>
        <w:pStyle w:val="ListParagraph"/>
        <w:numPr>
          <w:ilvl w:val="0"/>
          <w:numId w:val="45"/>
        </w:numPr>
      </w:pPr>
      <w:r>
        <w:t xml:space="preserve">The ELIXIR AAI and EGI AAI systems have been connected, and ELIXIR users can login with ELIXIR accounts to the EGI GOCDB and </w:t>
      </w:r>
      <w:proofErr w:type="spellStart"/>
      <w:r>
        <w:t>AppDB</w:t>
      </w:r>
      <w:proofErr w:type="spellEnd"/>
      <w:r>
        <w:t xml:space="preserve"> services. </w:t>
      </w:r>
      <w:r w:rsidR="000B4507">
        <w:t>Community managers, cloud resource managers are recognised with distinguished roles within these systems.</w:t>
      </w:r>
    </w:p>
    <w:p w14:paraId="13D644C2" w14:textId="1DE9DD9D" w:rsidR="005F058C" w:rsidRDefault="000B4507" w:rsidP="001A6C2E">
      <w:pPr>
        <w:pStyle w:val="ListParagraph"/>
        <w:numPr>
          <w:ilvl w:val="0"/>
          <w:numId w:val="45"/>
        </w:numPr>
      </w:pPr>
      <w:r>
        <w:t>Installation g</w:t>
      </w:r>
      <w:r w:rsidR="005F058C">
        <w:t xml:space="preserve">uidelines and tools have been improved for OpenStack, </w:t>
      </w:r>
      <w:proofErr w:type="spellStart"/>
      <w:r w:rsidR="005F058C">
        <w:t>OpenNebula</w:t>
      </w:r>
      <w:proofErr w:type="spellEnd"/>
      <w:r w:rsidR="005F058C">
        <w:t xml:space="preserve"> and </w:t>
      </w:r>
      <w:proofErr w:type="spellStart"/>
      <w:r w:rsidR="005F058C">
        <w:t>Synnefo</w:t>
      </w:r>
      <w:proofErr w:type="spellEnd"/>
      <w:r w:rsidR="005F058C">
        <w:t xml:space="preserve"> cloud providers to participate in the EGI Federated Cloud, and particularly in its ELIXIR Virtual Organisation. </w:t>
      </w:r>
    </w:p>
    <w:p w14:paraId="1E187C34" w14:textId="2BF6B73B" w:rsidR="005F058C" w:rsidRDefault="001A6C2E" w:rsidP="001A6C2E">
      <w:pPr>
        <w:pStyle w:val="ListParagraph"/>
        <w:numPr>
          <w:ilvl w:val="0"/>
          <w:numId w:val="45"/>
        </w:numPr>
      </w:pPr>
      <w:r>
        <w:t xml:space="preserve">3 </w:t>
      </w:r>
      <w:r w:rsidR="005F058C">
        <w:t>cloud providers (CESNET, EMBL-EBI and GRNET) are deployed and are ready to join the ELIXIR Compute Platform that is represented by the vo.elixir-europe.eu virtual organisation.</w:t>
      </w:r>
    </w:p>
    <w:p w14:paraId="3661DA2C" w14:textId="2AE62D6F" w:rsidR="005F058C" w:rsidRDefault="005F058C" w:rsidP="00654D07">
      <w:r>
        <w:t xml:space="preserve">The next step for the CC is to </w:t>
      </w:r>
      <w:r w:rsidR="00654D07">
        <w:t>finalise the integration of the</w:t>
      </w:r>
      <w:r>
        <w:t xml:space="preserve"> reported building blocks, and </w:t>
      </w:r>
      <w:r w:rsidR="00654D07">
        <w:t xml:space="preserve">then start </w:t>
      </w:r>
      <w:r>
        <w:t>implement</w:t>
      </w:r>
      <w:r w:rsidR="00654D07">
        <w:t>ing</w:t>
      </w:r>
      <w:r>
        <w:t xml:space="preserve"> the </w:t>
      </w:r>
      <w:r w:rsidR="00654D07">
        <w:t xml:space="preserve">cloud </w:t>
      </w:r>
      <w:r w:rsidR="001D6686">
        <w:t>use cases</w:t>
      </w:r>
      <w:r>
        <w:t xml:space="preserve"> from M6.3 on top of it. Particularly the CC members </w:t>
      </w:r>
      <w:r w:rsidR="00F73C4A">
        <w:t>–</w:t>
      </w:r>
      <w:r>
        <w:t xml:space="preserve"> with the support of the broader EL</w:t>
      </w:r>
      <w:r w:rsidR="001A6C2E">
        <w:t xml:space="preserve">IXIR and EGI communities </w:t>
      </w:r>
      <w:r w:rsidR="00F73C4A">
        <w:t xml:space="preserve">– </w:t>
      </w:r>
      <w:r w:rsidR="001A6C2E">
        <w:t>must:</w:t>
      </w:r>
    </w:p>
    <w:p w14:paraId="62FBA372" w14:textId="41EEE07D" w:rsidR="005F058C" w:rsidRDefault="005F058C" w:rsidP="001A6C2E">
      <w:pPr>
        <w:pStyle w:val="ListParagraph"/>
        <w:numPr>
          <w:ilvl w:val="0"/>
          <w:numId w:val="44"/>
        </w:numPr>
      </w:pPr>
      <w:r>
        <w:t xml:space="preserve">Join the ELIXIR Virtual Organisation with the three existing sites (CESNET, EMBL-EBI, GRNET). </w:t>
      </w:r>
    </w:p>
    <w:p w14:paraId="6ABA47F8" w14:textId="66452FFD" w:rsidR="005F058C" w:rsidRDefault="005F058C" w:rsidP="001A6C2E">
      <w:pPr>
        <w:pStyle w:val="ListParagraph"/>
        <w:numPr>
          <w:ilvl w:val="0"/>
          <w:numId w:val="44"/>
        </w:numPr>
      </w:pPr>
      <w:r>
        <w:t xml:space="preserve">Work with other cloud providers in the CC to eliminate the issues that are blocking them to join the ELIXIR Compute Platform (CSC, CNRS, </w:t>
      </w:r>
      <w:proofErr w:type="spellStart"/>
      <w:r>
        <w:t>SURFsara</w:t>
      </w:r>
      <w:proofErr w:type="spellEnd"/>
      <w:r>
        <w:t xml:space="preserve">).  </w:t>
      </w:r>
    </w:p>
    <w:p w14:paraId="408E690F" w14:textId="3C5FE552" w:rsidR="00654D07" w:rsidRDefault="00654D07" w:rsidP="00654D07">
      <w:pPr>
        <w:pStyle w:val="ListParagraph"/>
        <w:numPr>
          <w:ilvl w:val="0"/>
          <w:numId w:val="44"/>
        </w:numPr>
      </w:pPr>
      <w:r>
        <w:t xml:space="preserve">Define the policies and protocols for ELIXIR users and use cases about getting access to resources from the ELIXIR Compute Platform. (Accounting and monitoring of resources and resource use will be required to achieve this.) </w:t>
      </w:r>
    </w:p>
    <w:p w14:paraId="2FBFE125" w14:textId="45ED5F91" w:rsidR="00654D07" w:rsidRDefault="005F058C" w:rsidP="00654D07">
      <w:pPr>
        <w:pStyle w:val="ListParagraph"/>
        <w:numPr>
          <w:ilvl w:val="0"/>
          <w:numId w:val="44"/>
        </w:numPr>
      </w:pPr>
      <w:r>
        <w:t xml:space="preserve">Create the VMs that are required for the M6.3 scientific use cases, </w:t>
      </w:r>
      <w:proofErr w:type="gramStart"/>
      <w:r>
        <w:t>then</w:t>
      </w:r>
      <w:proofErr w:type="gramEnd"/>
      <w:r>
        <w:t xml:space="preserve"> roll these out to the ELIXIR VO. Document the experiences in D6</w:t>
      </w:r>
      <w:r w:rsidR="00654D07">
        <w:t>.</w:t>
      </w:r>
      <w:r>
        <w:t xml:space="preserve">15 (due in January 2017). </w:t>
      </w:r>
    </w:p>
    <w:p w14:paraId="377FB5B5" w14:textId="77777777" w:rsidR="005F058C" w:rsidRDefault="005F058C" w:rsidP="005F058C">
      <w:r>
        <w:t xml:space="preserve">Besides the above tasks the following actions can help even further in expanding the uptake of the </w:t>
      </w:r>
      <w:proofErr w:type="gramStart"/>
      <w:r>
        <w:t>ELIXIR Compute Platform.</w:t>
      </w:r>
      <w:proofErr w:type="gramEnd"/>
      <w:r>
        <w:t xml:space="preserve"> These can mostly run based on the experiences gained from the CC use cases, but some can already start and run in parallel with those:</w:t>
      </w:r>
    </w:p>
    <w:p w14:paraId="396ABE1E" w14:textId="600FABC0" w:rsidR="005F058C" w:rsidRDefault="005F058C" w:rsidP="001A6C2E">
      <w:pPr>
        <w:pStyle w:val="ListParagraph"/>
        <w:numPr>
          <w:ilvl w:val="0"/>
          <w:numId w:val="47"/>
        </w:numPr>
      </w:pPr>
      <w:r>
        <w:t>Decide on how to structure the ELIXIR Compute Platform. How many, and what kind of Virtual Organisations to create? What user roles to use? How much capacity/service limitations to associate to those roles?</w:t>
      </w:r>
    </w:p>
    <w:p w14:paraId="4F0C44D0" w14:textId="5704ECDC" w:rsidR="005F058C" w:rsidRDefault="005F058C" w:rsidP="001A6C2E">
      <w:pPr>
        <w:pStyle w:val="ListParagraph"/>
        <w:numPr>
          <w:ilvl w:val="0"/>
          <w:numId w:val="47"/>
        </w:numPr>
      </w:pPr>
      <w:r>
        <w:t xml:space="preserve">Finalise the ELIXIR access to OpenStack clouds through the ELIXIR-EGI AAI integration. This will lower the barrier even further for ELIXIR users to access resources in the ELIXIR Compute Platform. Depending on the experiences introduce similar ‘direct’ connection to other types of clouds that form the ELIXIR Compute Platform. </w:t>
      </w:r>
    </w:p>
    <w:p w14:paraId="02A45DB4" w14:textId="4A3DB285" w:rsidR="005F058C" w:rsidRDefault="005F058C" w:rsidP="005F058C">
      <w:pPr>
        <w:pStyle w:val="ListParagraph"/>
        <w:numPr>
          <w:ilvl w:val="0"/>
          <w:numId w:val="47"/>
        </w:numPr>
      </w:pPr>
      <w:r>
        <w:t>Based on the operational experiences gained from the use cases in the CC, create documentations for the broader ELIXIR community on how to join and operate resources in the ELIXIR Compute Platform.</w:t>
      </w:r>
    </w:p>
    <w:p w14:paraId="2C56C5FF" w14:textId="77777777" w:rsidR="005F058C" w:rsidRPr="005F058C" w:rsidRDefault="005F058C" w:rsidP="005F058C"/>
    <w:p w14:paraId="30102D41" w14:textId="3B7D6EBB" w:rsidR="0061075F" w:rsidRDefault="00A639CC">
      <w:pPr>
        <w:pStyle w:val="Appendix"/>
        <w:numPr>
          <w:ilvl w:val="0"/>
          <w:numId w:val="2"/>
        </w:numPr>
      </w:pPr>
      <w:bookmarkStart w:id="26" w:name="_Toc428966034"/>
      <w:bookmarkStart w:id="27" w:name="_Toc327624053"/>
      <w:bookmarkEnd w:id="26"/>
      <w:r>
        <w:lastRenderedPageBreak/>
        <w:t>User roles and permissions in GOCDB</w:t>
      </w:r>
      <w:bookmarkEnd w:id="27"/>
    </w:p>
    <w:p w14:paraId="0212F4EA" w14:textId="4518B4B5" w:rsidR="0027355A" w:rsidRPr="0027355A" w:rsidRDefault="0027355A" w:rsidP="0027355A">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 xml:space="preserve">In GOCDB, users request Roles over domain objects such as Projects, NGIs, Sites and </w:t>
      </w:r>
      <w:proofErr w:type="spellStart"/>
      <w:r w:rsidRPr="0027355A">
        <w:rPr>
          <w:rFonts w:asciiTheme="minorHAnsi" w:eastAsia="Times New Roman" w:hAnsiTheme="minorHAnsi" w:cs="Times New Roman"/>
          <w:bCs/>
          <w:color w:val="auto"/>
          <w:kern w:val="0"/>
          <w:sz w:val="27"/>
          <w:szCs w:val="27"/>
          <w:lang w:val="en-US" w:eastAsia="en-GB"/>
        </w:rPr>
        <w:t>ServiceGroups</w:t>
      </w:r>
      <w:proofErr w:type="spellEnd"/>
      <w:r w:rsidRPr="0027355A">
        <w:rPr>
          <w:rFonts w:asciiTheme="minorHAnsi" w:eastAsia="Times New Roman" w:hAnsiTheme="minorHAnsi" w:cs="Times New Roman"/>
          <w:bCs/>
          <w:color w:val="auto"/>
          <w:kern w:val="0"/>
          <w:sz w:val="27"/>
          <w:szCs w:val="27"/>
          <w:lang w:val="en-US" w:eastAsia="en-GB"/>
        </w:rPr>
        <w:t>.</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A Role enables Actions on target objects (often, the target is the same as the domain object).</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Some Roles allow actions over different targets.</w:t>
      </w:r>
    </w:p>
    <w:p w14:paraId="794E13E0" w14:textId="4D820555" w:rsid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The Role-Action mapping matrix is shown below.</w:t>
      </w:r>
      <w:r>
        <w:rPr>
          <w:rFonts w:asciiTheme="minorHAnsi" w:eastAsia="Times New Roman" w:hAnsiTheme="minorHAnsi" w:cs="Times New Roman"/>
          <w:bCs/>
          <w:color w:val="auto"/>
          <w:kern w:val="0"/>
          <w:sz w:val="27"/>
          <w:szCs w:val="27"/>
          <w:lang w:val="en-US" w:eastAsia="en-GB"/>
        </w:rPr>
        <w:t xml:space="preserve"> </w:t>
      </w:r>
      <w:r w:rsidR="00512F50">
        <w:rPr>
          <w:rFonts w:asciiTheme="minorHAnsi" w:eastAsia="Times New Roman" w:hAnsiTheme="minorHAnsi" w:cs="Times New Roman"/>
          <w:bCs/>
          <w:color w:val="auto"/>
          <w:kern w:val="0"/>
          <w:sz w:val="27"/>
          <w:szCs w:val="27"/>
          <w:lang w:val="en-US" w:eastAsia="en-GB"/>
        </w:rPr>
        <w:t xml:space="preserve">The </w:t>
      </w:r>
      <w:r>
        <w:rPr>
          <w:rFonts w:asciiTheme="minorHAnsi" w:eastAsia="Times New Roman" w:hAnsiTheme="minorHAnsi" w:cs="Times New Roman"/>
          <w:bCs/>
          <w:color w:val="auto"/>
          <w:kern w:val="0"/>
          <w:sz w:val="27"/>
          <w:szCs w:val="27"/>
          <w:lang w:val="en-US" w:eastAsia="en-GB"/>
        </w:rPr>
        <w:t>matrix</w:t>
      </w:r>
      <w:r w:rsidR="00512F50">
        <w:rPr>
          <w:rFonts w:asciiTheme="minorHAnsi" w:eastAsia="Times New Roman" w:hAnsiTheme="minorHAnsi" w:cs="Times New Roman"/>
          <w:bCs/>
          <w:color w:val="auto"/>
          <w:kern w:val="0"/>
          <w:sz w:val="27"/>
          <w:szCs w:val="27"/>
          <w:lang w:val="en-US" w:eastAsia="en-GB"/>
        </w:rPr>
        <w:t xml:space="preserve"> was copied from GOCDB page </w:t>
      </w:r>
      <w:hyperlink r:id="rId23" w:history="1">
        <w:r w:rsidR="00512F50" w:rsidRPr="001C2F60">
          <w:rPr>
            <w:rStyle w:val="Hyperlink"/>
            <w:rFonts w:asciiTheme="minorHAnsi" w:eastAsia="Times New Roman" w:hAnsiTheme="minorHAnsi" w:cs="Times New Roman"/>
            <w:bCs/>
            <w:kern w:val="0"/>
            <w:sz w:val="27"/>
            <w:szCs w:val="27"/>
            <w:lang w:val="en-US" w:eastAsia="en-GB"/>
          </w:rPr>
          <w:t>https://goc.egi.eu/portal/index.php?Page_Type=View_Role_Action_Mappings</w:t>
        </w:r>
      </w:hyperlink>
      <w:r w:rsidR="00512F50">
        <w:rPr>
          <w:rFonts w:asciiTheme="minorHAnsi" w:eastAsia="Times New Roman" w:hAnsiTheme="minorHAnsi" w:cs="Times New Roman"/>
          <w:bCs/>
          <w:color w:val="auto"/>
          <w:kern w:val="0"/>
          <w:sz w:val="27"/>
          <w:szCs w:val="27"/>
          <w:lang w:val="en-US" w:eastAsia="en-GB"/>
        </w:rPr>
        <w:t xml:space="preserve">. </w:t>
      </w:r>
    </w:p>
    <w:p w14:paraId="081F95D7" w14:textId="77777777" w:rsidR="0027355A" w:rsidRP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p>
    <w:p w14:paraId="52FA5C3E" w14:textId="4887A21F"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proofErr w:type="spellStart"/>
      <w:r w:rsidRPr="00A639CC">
        <w:rPr>
          <w:rFonts w:asciiTheme="minorHAnsi" w:eastAsia="Times New Roman" w:hAnsiTheme="minorHAnsi" w:cs="Times New Roman"/>
          <w:b/>
          <w:bCs/>
          <w:color w:val="auto"/>
          <w:kern w:val="0"/>
          <w:sz w:val="27"/>
          <w:szCs w:val="27"/>
          <w:lang w:val="en-US" w:eastAsia="en-GB"/>
        </w:rPr>
        <w:t>ServiceGroup</w:t>
      </w:r>
      <w:proofErr w:type="spellEnd"/>
      <w:r w:rsidRPr="00A639CC">
        <w:rPr>
          <w:rFonts w:asciiTheme="minorHAnsi" w:eastAsia="Times New Roman" w:hAnsiTheme="minorHAnsi" w:cs="Times New Roman"/>
          <w:b/>
          <w:bCs/>
          <w:color w:val="auto"/>
          <w:kern w:val="0"/>
          <w:sz w:val="27"/>
          <w:szCs w:val="27"/>
          <w:lang w:val="en-US" w:eastAsia="en-GB"/>
        </w:rPr>
        <w:t xml:space="preserve"> Roles</w:t>
      </w:r>
    </w:p>
    <w:tbl>
      <w:tblPr>
        <w:tblW w:w="0" w:type="auto"/>
        <w:tblCellSpacing w:w="15" w:type="dxa"/>
        <w:tblCellMar>
          <w:left w:w="0" w:type="dxa"/>
          <w:right w:w="0" w:type="dxa"/>
        </w:tblCellMar>
        <w:tblLook w:val="04A0" w:firstRow="1" w:lastRow="0" w:firstColumn="1" w:lastColumn="0" w:noHBand="0" w:noVBand="1"/>
      </w:tblPr>
      <w:tblGrid>
        <w:gridCol w:w="2852"/>
        <w:gridCol w:w="2349"/>
        <w:gridCol w:w="2170"/>
      </w:tblGrid>
      <w:tr w:rsidR="00A639CC" w:rsidRPr="00A639CC" w14:paraId="0018FE4E" w14:textId="77777777" w:rsidTr="00A639CC">
        <w:trPr>
          <w:tblHeader/>
          <w:tblCellSpacing w:w="15" w:type="dxa"/>
        </w:trPr>
        <w:tc>
          <w:tcPr>
            <w:tcW w:w="0" w:type="auto"/>
            <w:tcMar>
              <w:top w:w="15" w:type="dxa"/>
              <w:left w:w="15" w:type="dxa"/>
              <w:bottom w:w="15" w:type="dxa"/>
              <w:right w:w="15" w:type="dxa"/>
            </w:tcMar>
            <w:vAlign w:val="center"/>
            <w:hideMark/>
          </w:tcPr>
          <w:p w14:paraId="69B187D2"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t>RoleType</w:t>
            </w:r>
            <w:proofErr w:type="spellEnd"/>
          </w:p>
        </w:tc>
        <w:tc>
          <w:tcPr>
            <w:tcW w:w="0" w:type="auto"/>
            <w:tcMar>
              <w:top w:w="15" w:type="dxa"/>
              <w:left w:w="15" w:type="dxa"/>
              <w:bottom w:w="15" w:type="dxa"/>
              <w:right w:w="15" w:type="dxa"/>
            </w:tcMar>
            <w:vAlign w:val="center"/>
            <w:hideMark/>
          </w:tcPr>
          <w:p w14:paraId="5AB4603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4DB675B"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799DDF43" w14:textId="77777777" w:rsidTr="00A639CC">
        <w:trPr>
          <w:tblCellSpacing w:w="15" w:type="dxa"/>
        </w:trPr>
        <w:tc>
          <w:tcPr>
            <w:tcW w:w="0" w:type="auto"/>
            <w:tcMar>
              <w:top w:w="15" w:type="dxa"/>
              <w:left w:w="15" w:type="dxa"/>
              <w:bottom w:w="15" w:type="dxa"/>
              <w:right w:w="15" w:type="dxa"/>
            </w:tcMar>
            <w:vAlign w:val="center"/>
            <w:hideMark/>
          </w:tcPr>
          <w:p w14:paraId="59E0AD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1B6F1BC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0892D5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r w:rsidR="00A639CC" w:rsidRPr="00A639CC" w14:paraId="55CF0C7C" w14:textId="77777777" w:rsidTr="00A639CC">
        <w:trPr>
          <w:tblCellSpacing w:w="15" w:type="dxa"/>
        </w:trPr>
        <w:tc>
          <w:tcPr>
            <w:tcW w:w="0" w:type="auto"/>
            <w:tcMar>
              <w:top w:w="15" w:type="dxa"/>
              <w:left w:w="15" w:type="dxa"/>
              <w:bottom w:w="15" w:type="dxa"/>
              <w:right w:w="15" w:type="dxa"/>
            </w:tcMar>
            <w:vAlign w:val="center"/>
            <w:hideMark/>
          </w:tcPr>
          <w:p w14:paraId="388AFA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46A800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6362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r w:rsidR="00A639CC" w:rsidRPr="00A639CC" w14:paraId="2E2F65F6" w14:textId="77777777" w:rsidTr="00A639CC">
        <w:trPr>
          <w:tblCellSpacing w:w="15" w:type="dxa"/>
        </w:trPr>
        <w:tc>
          <w:tcPr>
            <w:tcW w:w="0" w:type="auto"/>
            <w:tcMar>
              <w:top w:w="15" w:type="dxa"/>
              <w:left w:w="15" w:type="dxa"/>
              <w:bottom w:w="15" w:type="dxa"/>
              <w:right w:w="15" w:type="dxa"/>
            </w:tcMar>
            <w:vAlign w:val="center"/>
            <w:hideMark/>
          </w:tcPr>
          <w:p w14:paraId="031EDE7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5248766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40F2659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r w:rsidR="00A639CC" w:rsidRPr="00A639CC" w14:paraId="6276320E" w14:textId="77777777" w:rsidTr="00A639CC">
        <w:trPr>
          <w:tblCellSpacing w:w="15" w:type="dxa"/>
        </w:trPr>
        <w:tc>
          <w:tcPr>
            <w:tcW w:w="0" w:type="auto"/>
            <w:tcMar>
              <w:top w:w="15" w:type="dxa"/>
              <w:left w:w="15" w:type="dxa"/>
              <w:bottom w:w="15" w:type="dxa"/>
              <w:right w:w="15" w:type="dxa"/>
            </w:tcMar>
            <w:vAlign w:val="center"/>
            <w:hideMark/>
          </w:tcPr>
          <w:p w14:paraId="6B6752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75D9B0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B485F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bl>
    <w:p w14:paraId="6B6B1E5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Project Roles</w:t>
      </w:r>
    </w:p>
    <w:tbl>
      <w:tblPr>
        <w:tblW w:w="0" w:type="auto"/>
        <w:tblCellSpacing w:w="15" w:type="dxa"/>
        <w:tblCellMar>
          <w:left w:w="0" w:type="dxa"/>
          <w:right w:w="0" w:type="dxa"/>
        </w:tblCellMar>
        <w:tblLook w:val="04A0" w:firstRow="1" w:lastRow="0" w:firstColumn="1" w:lastColumn="0" w:noHBand="0" w:noVBand="1"/>
      </w:tblPr>
      <w:tblGrid>
        <w:gridCol w:w="2436"/>
        <w:gridCol w:w="3384"/>
        <w:gridCol w:w="2170"/>
      </w:tblGrid>
      <w:tr w:rsidR="00A639CC" w:rsidRPr="00A639CC" w14:paraId="23C0AD17" w14:textId="77777777" w:rsidTr="00A639CC">
        <w:trPr>
          <w:tblHeader/>
          <w:tblCellSpacing w:w="15" w:type="dxa"/>
        </w:trPr>
        <w:tc>
          <w:tcPr>
            <w:tcW w:w="0" w:type="auto"/>
            <w:tcMar>
              <w:top w:w="15" w:type="dxa"/>
              <w:left w:w="15" w:type="dxa"/>
              <w:bottom w:w="15" w:type="dxa"/>
              <w:right w:w="15" w:type="dxa"/>
            </w:tcMar>
            <w:vAlign w:val="center"/>
            <w:hideMark/>
          </w:tcPr>
          <w:p w14:paraId="07781F51" w14:textId="7C6DB4F2"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t>RoleType</w:t>
            </w:r>
            <w:proofErr w:type="spellEnd"/>
          </w:p>
        </w:tc>
        <w:tc>
          <w:tcPr>
            <w:tcW w:w="0" w:type="auto"/>
            <w:tcMar>
              <w:top w:w="15" w:type="dxa"/>
              <w:left w:w="15" w:type="dxa"/>
              <w:bottom w:w="15" w:type="dxa"/>
              <w:right w:w="15" w:type="dxa"/>
            </w:tcMar>
            <w:vAlign w:val="center"/>
            <w:hideMark/>
          </w:tcPr>
          <w:p w14:paraId="265617F5"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4FE1C7F4"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682EBBC9" w14:textId="77777777" w:rsidTr="00A639CC">
        <w:trPr>
          <w:tblCellSpacing w:w="15" w:type="dxa"/>
        </w:trPr>
        <w:tc>
          <w:tcPr>
            <w:tcW w:w="0" w:type="auto"/>
            <w:tcMar>
              <w:top w:w="15" w:type="dxa"/>
              <w:left w:w="15" w:type="dxa"/>
              <w:bottom w:w="15" w:type="dxa"/>
              <w:right w:w="15" w:type="dxa"/>
            </w:tcMar>
            <w:vAlign w:val="center"/>
            <w:hideMark/>
          </w:tcPr>
          <w:p w14:paraId="31BD0F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D1585B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DB6C84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AC775A0" w14:textId="77777777" w:rsidTr="00A639CC">
        <w:trPr>
          <w:tblCellSpacing w:w="15" w:type="dxa"/>
        </w:trPr>
        <w:tc>
          <w:tcPr>
            <w:tcW w:w="0" w:type="auto"/>
            <w:tcMar>
              <w:top w:w="15" w:type="dxa"/>
              <w:left w:w="15" w:type="dxa"/>
              <w:bottom w:w="15" w:type="dxa"/>
              <w:right w:w="15" w:type="dxa"/>
            </w:tcMar>
            <w:vAlign w:val="center"/>
            <w:hideMark/>
          </w:tcPr>
          <w:p w14:paraId="63E706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0EE7F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8AAC8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869AF15" w14:textId="77777777" w:rsidTr="00A639CC">
        <w:trPr>
          <w:tblCellSpacing w:w="15" w:type="dxa"/>
        </w:trPr>
        <w:tc>
          <w:tcPr>
            <w:tcW w:w="0" w:type="auto"/>
            <w:tcMar>
              <w:top w:w="15" w:type="dxa"/>
              <w:left w:w="15" w:type="dxa"/>
              <w:bottom w:w="15" w:type="dxa"/>
              <w:right w:w="15" w:type="dxa"/>
            </w:tcMar>
            <w:vAlign w:val="center"/>
            <w:hideMark/>
          </w:tcPr>
          <w:p w14:paraId="30F85B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2E8CD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820A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4A98399" w14:textId="77777777" w:rsidTr="00A639CC">
        <w:trPr>
          <w:tblCellSpacing w:w="15" w:type="dxa"/>
        </w:trPr>
        <w:tc>
          <w:tcPr>
            <w:tcW w:w="0" w:type="auto"/>
            <w:tcMar>
              <w:top w:w="15" w:type="dxa"/>
              <w:left w:w="15" w:type="dxa"/>
              <w:bottom w:w="15" w:type="dxa"/>
              <w:right w:w="15" w:type="dxa"/>
            </w:tcMar>
            <w:vAlign w:val="center"/>
            <w:hideMark/>
          </w:tcPr>
          <w:p w14:paraId="296E734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D4A0D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6CE412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9C1F8FB" w14:textId="77777777" w:rsidTr="00A639CC">
        <w:trPr>
          <w:tblCellSpacing w:w="15" w:type="dxa"/>
        </w:trPr>
        <w:tc>
          <w:tcPr>
            <w:tcW w:w="0" w:type="auto"/>
            <w:tcMar>
              <w:top w:w="15" w:type="dxa"/>
              <w:left w:w="15" w:type="dxa"/>
              <w:bottom w:w="15" w:type="dxa"/>
              <w:right w:w="15" w:type="dxa"/>
            </w:tcMar>
            <w:vAlign w:val="center"/>
            <w:hideMark/>
          </w:tcPr>
          <w:p w14:paraId="762A312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BACF50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54095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185DD407" w14:textId="77777777" w:rsidTr="00A639CC">
        <w:trPr>
          <w:tblCellSpacing w:w="15" w:type="dxa"/>
        </w:trPr>
        <w:tc>
          <w:tcPr>
            <w:tcW w:w="0" w:type="auto"/>
            <w:tcMar>
              <w:top w:w="15" w:type="dxa"/>
              <w:left w:w="15" w:type="dxa"/>
              <w:bottom w:w="15" w:type="dxa"/>
              <w:right w:w="15" w:type="dxa"/>
            </w:tcMar>
            <w:vAlign w:val="center"/>
            <w:hideMark/>
          </w:tcPr>
          <w:p w14:paraId="017989C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EA773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91652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68D7552" w14:textId="77777777" w:rsidTr="00A639CC">
        <w:trPr>
          <w:tblCellSpacing w:w="15" w:type="dxa"/>
        </w:trPr>
        <w:tc>
          <w:tcPr>
            <w:tcW w:w="0" w:type="auto"/>
            <w:tcMar>
              <w:top w:w="15" w:type="dxa"/>
              <w:left w:w="15" w:type="dxa"/>
              <w:bottom w:w="15" w:type="dxa"/>
              <w:right w:w="15" w:type="dxa"/>
            </w:tcMar>
            <w:vAlign w:val="center"/>
            <w:hideMark/>
          </w:tcPr>
          <w:p w14:paraId="629BD4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F4288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067737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A7BC884" w14:textId="77777777" w:rsidTr="00A639CC">
        <w:trPr>
          <w:tblCellSpacing w:w="15" w:type="dxa"/>
        </w:trPr>
        <w:tc>
          <w:tcPr>
            <w:tcW w:w="0" w:type="auto"/>
            <w:tcMar>
              <w:top w:w="15" w:type="dxa"/>
              <w:left w:w="15" w:type="dxa"/>
              <w:bottom w:w="15" w:type="dxa"/>
              <w:right w:w="15" w:type="dxa"/>
            </w:tcMar>
            <w:vAlign w:val="center"/>
            <w:hideMark/>
          </w:tcPr>
          <w:p w14:paraId="1BDAA3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DCAE7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5C231F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B80EF75" w14:textId="77777777" w:rsidTr="00A639CC">
        <w:trPr>
          <w:tblCellSpacing w:w="15" w:type="dxa"/>
        </w:trPr>
        <w:tc>
          <w:tcPr>
            <w:tcW w:w="0" w:type="auto"/>
            <w:tcMar>
              <w:top w:w="15" w:type="dxa"/>
              <w:left w:w="15" w:type="dxa"/>
              <w:bottom w:w="15" w:type="dxa"/>
              <w:right w:w="15" w:type="dxa"/>
            </w:tcMar>
            <w:vAlign w:val="center"/>
            <w:hideMark/>
          </w:tcPr>
          <w:p w14:paraId="09C83C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61B5BA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3B0AA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66F4348" w14:textId="77777777" w:rsidTr="00A639CC">
        <w:trPr>
          <w:tblCellSpacing w:w="15" w:type="dxa"/>
        </w:trPr>
        <w:tc>
          <w:tcPr>
            <w:tcW w:w="0" w:type="auto"/>
            <w:tcMar>
              <w:top w:w="15" w:type="dxa"/>
              <w:left w:w="15" w:type="dxa"/>
              <w:bottom w:w="15" w:type="dxa"/>
              <w:right w:w="15" w:type="dxa"/>
            </w:tcMar>
            <w:vAlign w:val="center"/>
            <w:hideMark/>
          </w:tcPr>
          <w:p w14:paraId="1C6F45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3D986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AF8D0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219BFC93" w14:textId="77777777" w:rsidTr="00A639CC">
        <w:trPr>
          <w:tblCellSpacing w:w="15" w:type="dxa"/>
        </w:trPr>
        <w:tc>
          <w:tcPr>
            <w:tcW w:w="0" w:type="auto"/>
            <w:tcMar>
              <w:top w:w="15" w:type="dxa"/>
              <w:left w:w="15" w:type="dxa"/>
              <w:bottom w:w="15" w:type="dxa"/>
              <w:right w:w="15" w:type="dxa"/>
            </w:tcMar>
            <w:vAlign w:val="center"/>
            <w:hideMark/>
          </w:tcPr>
          <w:p w14:paraId="6574EFE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52246D7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A87AA4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7733C72" w14:textId="77777777" w:rsidTr="00A639CC">
        <w:trPr>
          <w:tblCellSpacing w:w="15" w:type="dxa"/>
        </w:trPr>
        <w:tc>
          <w:tcPr>
            <w:tcW w:w="0" w:type="auto"/>
            <w:tcMar>
              <w:top w:w="15" w:type="dxa"/>
              <w:left w:w="15" w:type="dxa"/>
              <w:bottom w:w="15" w:type="dxa"/>
              <w:right w:w="15" w:type="dxa"/>
            </w:tcMar>
            <w:vAlign w:val="center"/>
            <w:hideMark/>
          </w:tcPr>
          <w:p w14:paraId="78354F4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302EE8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2AAA4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8569A11" w14:textId="77777777" w:rsidTr="00A639CC">
        <w:trPr>
          <w:tblCellSpacing w:w="15" w:type="dxa"/>
        </w:trPr>
        <w:tc>
          <w:tcPr>
            <w:tcW w:w="0" w:type="auto"/>
            <w:tcMar>
              <w:top w:w="15" w:type="dxa"/>
              <w:left w:w="15" w:type="dxa"/>
              <w:bottom w:w="15" w:type="dxa"/>
              <w:right w:w="15" w:type="dxa"/>
            </w:tcMar>
            <w:vAlign w:val="center"/>
            <w:hideMark/>
          </w:tcPr>
          <w:p w14:paraId="5AE2C07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47FFB5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7D8844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561BE15B" w14:textId="77777777" w:rsidTr="00A639CC">
        <w:trPr>
          <w:tblCellSpacing w:w="15" w:type="dxa"/>
        </w:trPr>
        <w:tc>
          <w:tcPr>
            <w:tcW w:w="0" w:type="auto"/>
            <w:tcMar>
              <w:top w:w="15" w:type="dxa"/>
              <w:left w:w="15" w:type="dxa"/>
              <w:bottom w:w="15" w:type="dxa"/>
              <w:right w:w="15" w:type="dxa"/>
            </w:tcMar>
            <w:vAlign w:val="center"/>
            <w:hideMark/>
          </w:tcPr>
          <w:p w14:paraId="7D61399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lastRenderedPageBreak/>
              <w:t>COD Administrator</w:t>
            </w:r>
          </w:p>
        </w:tc>
        <w:tc>
          <w:tcPr>
            <w:tcW w:w="0" w:type="auto"/>
            <w:tcMar>
              <w:top w:w="15" w:type="dxa"/>
              <w:left w:w="15" w:type="dxa"/>
              <w:bottom w:w="15" w:type="dxa"/>
              <w:right w:w="15" w:type="dxa"/>
            </w:tcMar>
            <w:vAlign w:val="center"/>
            <w:hideMark/>
          </w:tcPr>
          <w:p w14:paraId="15EB57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08DAC6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04EAC3A" w14:textId="77777777" w:rsidTr="00A639CC">
        <w:trPr>
          <w:tblCellSpacing w:w="15" w:type="dxa"/>
        </w:trPr>
        <w:tc>
          <w:tcPr>
            <w:tcW w:w="0" w:type="auto"/>
            <w:tcMar>
              <w:top w:w="15" w:type="dxa"/>
              <w:left w:w="15" w:type="dxa"/>
              <w:bottom w:w="15" w:type="dxa"/>
              <w:right w:w="15" w:type="dxa"/>
            </w:tcMar>
            <w:vAlign w:val="center"/>
            <w:hideMark/>
          </w:tcPr>
          <w:p w14:paraId="06A136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1A7502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ABAEE2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555EF8C0" w14:textId="77777777" w:rsidTr="00A639CC">
        <w:trPr>
          <w:tblCellSpacing w:w="15" w:type="dxa"/>
        </w:trPr>
        <w:tc>
          <w:tcPr>
            <w:tcW w:w="0" w:type="auto"/>
            <w:tcMar>
              <w:top w:w="15" w:type="dxa"/>
              <w:left w:w="15" w:type="dxa"/>
              <w:bottom w:w="15" w:type="dxa"/>
              <w:right w:w="15" w:type="dxa"/>
            </w:tcMar>
            <w:vAlign w:val="center"/>
            <w:hideMark/>
          </w:tcPr>
          <w:p w14:paraId="5531F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99F1D1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682B04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8CBB3AC" w14:textId="77777777" w:rsidTr="00A639CC">
        <w:trPr>
          <w:tblCellSpacing w:w="15" w:type="dxa"/>
        </w:trPr>
        <w:tc>
          <w:tcPr>
            <w:tcW w:w="0" w:type="auto"/>
            <w:tcMar>
              <w:top w:w="15" w:type="dxa"/>
              <w:left w:w="15" w:type="dxa"/>
              <w:bottom w:w="15" w:type="dxa"/>
              <w:right w:w="15" w:type="dxa"/>
            </w:tcMar>
            <w:vAlign w:val="center"/>
            <w:hideMark/>
          </w:tcPr>
          <w:p w14:paraId="3779B5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33191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F9F2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04D3F05" w14:textId="77777777" w:rsidTr="00A639CC">
        <w:trPr>
          <w:tblCellSpacing w:w="15" w:type="dxa"/>
        </w:trPr>
        <w:tc>
          <w:tcPr>
            <w:tcW w:w="0" w:type="auto"/>
            <w:tcMar>
              <w:top w:w="15" w:type="dxa"/>
              <w:left w:w="15" w:type="dxa"/>
              <w:bottom w:w="15" w:type="dxa"/>
              <w:right w:w="15" w:type="dxa"/>
            </w:tcMar>
            <w:vAlign w:val="center"/>
            <w:hideMark/>
          </w:tcPr>
          <w:p w14:paraId="09B88C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7EA3B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FF9E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9AA7EC2" w14:textId="77777777" w:rsidTr="00A639CC">
        <w:trPr>
          <w:tblCellSpacing w:w="15" w:type="dxa"/>
        </w:trPr>
        <w:tc>
          <w:tcPr>
            <w:tcW w:w="0" w:type="auto"/>
            <w:tcMar>
              <w:top w:w="15" w:type="dxa"/>
              <w:left w:w="15" w:type="dxa"/>
              <w:bottom w:w="15" w:type="dxa"/>
              <w:right w:w="15" w:type="dxa"/>
            </w:tcMar>
            <w:vAlign w:val="center"/>
            <w:hideMark/>
          </w:tcPr>
          <w:p w14:paraId="5E779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2D6577C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28B0975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8E901E" w14:textId="77777777" w:rsidTr="00A639CC">
        <w:trPr>
          <w:tblCellSpacing w:w="15" w:type="dxa"/>
        </w:trPr>
        <w:tc>
          <w:tcPr>
            <w:tcW w:w="0" w:type="auto"/>
            <w:tcMar>
              <w:top w:w="15" w:type="dxa"/>
              <w:left w:w="15" w:type="dxa"/>
              <w:bottom w:w="15" w:type="dxa"/>
              <w:right w:w="15" w:type="dxa"/>
            </w:tcMar>
            <w:vAlign w:val="center"/>
            <w:hideMark/>
          </w:tcPr>
          <w:p w14:paraId="3CCD9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36C0A7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7DFB77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424BB9F7" w14:textId="77777777" w:rsidTr="00A639CC">
        <w:trPr>
          <w:tblCellSpacing w:w="15" w:type="dxa"/>
        </w:trPr>
        <w:tc>
          <w:tcPr>
            <w:tcW w:w="0" w:type="auto"/>
            <w:tcMar>
              <w:top w:w="15" w:type="dxa"/>
              <w:left w:w="15" w:type="dxa"/>
              <w:bottom w:w="15" w:type="dxa"/>
              <w:right w:w="15" w:type="dxa"/>
            </w:tcMar>
            <w:vAlign w:val="center"/>
            <w:hideMark/>
          </w:tcPr>
          <w:p w14:paraId="043BD61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6903E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66AAD21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375E243" w14:textId="77777777" w:rsidTr="00A639CC">
        <w:trPr>
          <w:tblCellSpacing w:w="15" w:type="dxa"/>
        </w:trPr>
        <w:tc>
          <w:tcPr>
            <w:tcW w:w="0" w:type="auto"/>
            <w:tcMar>
              <w:top w:w="15" w:type="dxa"/>
              <w:left w:w="15" w:type="dxa"/>
              <w:bottom w:w="15" w:type="dxa"/>
              <w:right w:w="15" w:type="dxa"/>
            </w:tcMar>
            <w:vAlign w:val="center"/>
            <w:hideMark/>
          </w:tcPr>
          <w:p w14:paraId="6E2A16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FA416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4FB30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0851D86" w14:textId="77777777" w:rsidTr="00A639CC">
        <w:trPr>
          <w:tblCellSpacing w:w="15" w:type="dxa"/>
        </w:trPr>
        <w:tc>
          <w:tcPr>
            <w:tcW w:w="0" w:type="auto"/>
            <w:tcMar>
              <w:top w:w="15" w:type="dxa"/>
              <w:left w:w="15" w:type="dxa"/>
              <w:bottom w:w="15" w:type="dxa"/>
              <w:right w:w="15" w:type="dxa"/>
            </w:tcMar>
            <w:vAlign w:val="center"/>
            <w:hideMark/>
          </w:tcPr>
          <w:p w14:paraId="7C75D8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00D7C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7917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698FD579" w14:textId="77777777" w:rsidTr="00A639CC">
        <w:trPr>
          <w:tblCellSpacing w:w="15" w:type="dxa"/>
        </w:trPr>
        <w:tc>
          <w:tcPr>
            <w:tcW w:w="0" w:type="auto"/>
            <w:tcMar>
              <w:top w:w="15" w:type="dxa"/>
              <w:left w:w="15" w:type="dxa"/>
              <w:bottom w:w="15" w:type="dxa"/>
              <w:right w:w="15" w:type="dxa"/>
            </w:tcMar>
            <w:vAlign w:val="center"/>
            <w:hideMark/>
          </w:tcPr>
          <w:p w14:paraId="7DCA5E7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797E6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79666D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E130A68" w14:textId="77777777" w:rsidTr="00A639CC">
        <w:trPr>
          <w:tblCellSpacing w:w="15" w:type="dxa"/>
        </w:trPr>
        <w:tc>
          <w:tcPr>
            <w:tcW w:w="0" w:type="auto"/>
            <w:tcMar>
              <w:top w:w="15" w:type="dxa"/>
              <w:left w:w="15" w:type="dxa"/>
              <w:bottom w:w="15" w:type="dxa"/>
              <w:right w:w="15" w:type="dxa"/>
            </w:tcMar>
            <w:vAlign w:val="center"/>
            <w:hideMark/>
          </w:tcPr>
          <w:p w14:paraId="4DFD68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0D92BC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147E4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2AA6A88" w14:textId="77777777" w:rsidTr="00A639CC">
        <w:trPr>
          <w:tblCellSpacing w:w="15" w:type="dxa"/>
        </w:trPr>
        <w:tc>
          <w:tcPr>
            <w:tcW w:w="0" w:type="auto"/>
            <w:tcMar>
              <w:top w:w="15" w:type="dxa"/>
              <w:left w:w="15" w:type="dxa"/>
              <w:bottom w:w="15" w:type="dxa"/>
              <w:right w:w="15" w:type="dxa"/>
            </w:tcMar>
            <w:vAlign w:val="center"/>
            <w:hideMark/>
          </w:tcPr>
          <w:p w14:paraId="4B8305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C7067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F44EF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88310B5" w14:textId="77777777" w:rsidTr="00A639CC">
        <w:trPr>
          <w:tblCellSpacing w:w="15" w:type="dxa"/>
        </w:trPr>
        <w:tc>
          <w:tcPr>
            <w:tcW w:w="0" w:type="auto"/>
            <w:tcMar>
              <w:top w:w="15" w:type="dxa"/>
              <w:left w:w="15" w:type="dxa"/>
              <w:bottom w:w="15" w:type="dxa"/>
              <w:right w:w="15" w:type="dxa"/>
            </w:tcMar>
            <w:vAlign w:val="center"/>
            <w:hideMark/>
          </w:tcPr>
          <w:p w14:paraId="2EC591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6C7C76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DD3918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97DEAA" w14:textId="77777777" w:rsidTr="00A639CC">
        <w:trPr>
          <w:tblCellSpacing w:w="15" w:type="dxa"/>
        </w:trPr>
        <w:tc>
          <w:tcPr>
            <w:tcW w:w="0" w:type="auto"/>
            <w:tcMar>
              <w:top w:w="15" w:type="dxa"/>
              <w:left w:w="15" w:type="dxa"/>
              <w:bottom w:w="15" w:type="dxa"/>
              <w:right w:w="15" w:type="dxa"/>
            </w:tcMar>
            <w:vAlign w:val="center"/>
            <w:hideMark/>
          </w:tcPr>
          <w:p w14:paraId="1724C4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89EA6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95994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272F541" w14:textId="77777777" w:rsidTr="00A639CC">
        <w:trPr>
          <w:tblCellSpacing w:w="15" w:type="dxa"/>
        </w:trPr>
        <w:tc>
          <w:tcPr>
            <w:tcW w:w="0" w:type="auto"/>
            <w:tcMar>
              <w:top w:w="15" w:type="dxa"/>
              <w:left w:w="15" w:type="dxa"/>
              <w:bottom w:w="15" w:type="dxa"/>
              <w:right w:w="15" w:type="dxa"/>
            </w:tcMar>
            <w:vAlign w:val="center"/>
            <w:hideMark/>
          </w:tcPr>
          <w:p w14:paraId="694614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407EC6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A93C8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58290AD" w14:textId="77777777" w:rsidTr="00A639CC">
        <w:trPr>
          <w:tblCellSpacing w:w="15" w:type="dxa"/>
        </w:trPr>
        <w:tc>
          <w:tcPr>
            <w:tcW w:w="0" w:type="auto"/>
            <w:tcMar>
              <w:top w:w="15" w:type="dxa"/>
              <w:left w:w="15" w:type="dxa"/>
              <w:bottom w:w="15" w:type="dxa"/>
              <w:right w:w="15" w:type="dxa"/>
            </w:tcMar>
            <w:vAlign w:val="center"/>
            <w:hideMark/>
          </w:tcPr>
          <w:p w14:paraId="3F37C47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977C0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20F7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12A95CF7" w14:textId="77777777" w:rsidTr="00A639CC">
        <w:trPr>
          <w:tblCellSpacing w:w="15" w:type="dxa"/>
        </w:trPr>
        <w:tc>
          <w:tcPr>
            <w:tcW w:w="0" w:type="auto"/>
            <w:tcMar>
              <w:top w:w="15" w:type="dxa"/>
              <w:left w:w="15" w:type="dxa"/>
              <w:bottom w:w="15" w:type="dxa"/>
              <w:right w:w="15" w:type="dxa"/>
            </w:tcMar>
            <w:vAlign w:val="center"/>
            <w:hideMark/>
          </w:tcPr>
          <w:p w14:paraId="7CF4E7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A5E61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1C44C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F6702AE" w14:textId="77777777" w:rsidTr="00A639CC">
        <w:trPr>
          <w:tblCellSpacing w:w="15" w:type="dxa"/>
        </w:trPr>
        <w:tc>
          <w:tcPr>
            <w:tcW w:w="0" w:type="auto"/>
            <w:tcMar>
              <w:top w:w="15" w:type="dxa"/>
              <w:left w:w="15" w:type="dxa"/>
              <w:bottom w:w="15" w:type="dxa"/>
              <w:right w:w="15" w:type="dxa"/>
            </w:tcMar>
            <w:vAlign w:val="center"/>
            <w:hideMark/>
          </w:tcPr>
          <w:p w14:paraId="066034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33CE5BE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A949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7DDE8D92" w14:textId="2EB10753"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NGI Roles</w:t>
      </w:r>
    </w:p>
    <w:tbl>
      <w:tblPr>
        <w:tblW w:w="0" w:type="auto"/>
        <w:tblCellSpacing w:w="15" w:type="dxa"/>
        <w:tblCellMar>
          <w:left w:w="0" w:type="dxa"/>
          <w:right w:w="0" w:type="dxa"/>
        </w:tblCellMar>
        <w:tblLook w:val="04A0" w:firstRow="1" w:lastRow="0" w:firstColumn="1" w:lastColumn="0" w:noHBand="0" w:noVBand="1"/>
      </w:tblPr>
      <w:tblGrid>
        <w:gridCol w:w="3276"/>
        <w:gridCol w:w="3384"/>
        <w:gridCol w:w="2170"/>
      </w:tblGrid>
      <w:tr w:rsidR="00A639CC" w:rsidRPr="00A639CC" w14:paraId="275FB5C9" w14:textId="77777777" w:rsidTr="00A639CC">
        <w:trPr>
          <w:tblHeader/>
          <w:tblCellSpacing w:w="15" w:type="dxa"/>
        </w:trPr>
        <w:tc>
          <w:tcPr>
            <w:tcW w:w="0" w:type="auto"/>
            <w:tcMar>
              <w:top w:w="15" w:type="dxa"/>
              <w:left w:w="15" w:type="dxa"/>
              <w:bottom w:w="15" w:type="dxa"/>
              <w:right w:w="15" w:type="dxa"/>
            </w:tcMar>
            <w:vAlign w:val="center"/>
            <w:hideMark/>
          </w:tcPr>
          <w:p w14:paraId="5DEA1B5D"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t>RoleType</w:t>
            </w:r>
            <w:proofErr w:type="spellEnd"/>
          </w:p>
        </w:tc>
        <w:tc>
          <w:tcPr>
            <w:tcW w:w="0" w:type="auto"/>
            <w:tcMar>
              <w:top w:w="15" w:type="dxa"/>
              <w:left w:w="15" w:type="dxa"/>
              <w:bottom w:w="15" w:type="dxa"/>
              <w:right w:w="15" w:type="dxa"/>
            </w:tcMar>
            <w:vAlign w:val="center"/>
            <w:hideMark/>
          </w:tcPr>
          <w:p w14:paraId="7928AC67"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286AE1A8"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4293C763" w14:textId="77777777" w:rsidTr="00A639CC">
        <w:trPr>
          <w:tblCellSpacing w:w="15" w:type="dxa"/>
        </w:trPr>
        <w:tc>
          <w:tcPr>
            <w:tcW w:w="0" w:type="auto"/>
            <w:tcMar>
              <w:top w:w="15" w:type="dxa"/>
              <w:left w:w="15" w:type="dxa"/>
              <w:bottom w:w="15" w:type="dxa"/>
              <w:right w:w="15" w:type="dxa"/>
            </w:tcMar>
            <w:vAlign w:val="center"/>
            <w:hideMark/>
          </w:tcPr>
          <w:p w14:paraId="1DCDAC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64C36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64D460D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3D759AE" w14:textId="77777777" w:rsidTr="00A639CC">
        <w:trPr>
          <w:tblCellSpacing w:w="15" w:type="dxa"/>
        </w:trPr>
        <w:tc>
          <w:tcPr>
            <w:tcW w:w="0" w:type="auto"/>
            <w:tcMar>
              <w:top w:w="15" w:type="dxa"/>
              <w:left w:w="15" w:type="dxa"/>
              <w:bottom w:w="15" w:type="dxa"/>
              <w:right w:w="15" w:type="dxa"/>
            </w:tcMar>
            <w:vAlign w:val="center"/>
            <w:hideMark/>
          </w:tcPr>
          <w:p w14:paraId="3A54E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66F03B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293A12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7E3E4073" w14:textId="77777777" w:rsidTr="00A639CC">
        <w:trPr>
          <w:tblCellSpacing w:w="15" w:type="dxa"/>
        </w:trPr>
        <w:tc>
          <w:tcPr>
            <w:tcW w:w="0" w:type="auto"/>
            <w:tcMar>
              <w:top w:w="15" w:type="dxa"/>
              <w:left w:w="15" w:type="dxa"/>
              <w:bottom w:w="15" w:type="dxa"/>
              <w:right w:w="15" w:type="dxa"/>
            </w:tcMar>
            <w:vAlign w:val="center"/>
            <w:hideMark/>
          </w:tcPr>
          <w:p w14:paraId="679837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589F12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27F507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9FB7D67" w14:textId="77777777" w:rsidTr="00A639CC">
        <w:trPr>
          <w:tblCellSpacing w:w="15" w:type="dxa"/>
        </w:trPr>
        <w:tc>
          <w:tcPr>
            <w:tcW w:w="0" w:type="auto"/>
            <w:tcMar>
              <w:top w:w="15" w:type="dxa"/>
              <w:left w:w="15" w:type="dxa"/>
              <w:bottom w:w="15" w:type="dxa"/>
              <w:right w:w="15" w:type="dxa"/>
            </w:tcMar>
            <w:vAlign w:val="center"/>
            <w:hideMark/>
          </w:tcPr>
          <w:p w14:paraId="353B79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45BCC1C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561F4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C4307BD" w14:textId="77777777" w:rsidTr="00A639CC">
        <w:trPr>
          <w:tblCellSpacing w:w="15" w:type="dxa"/>
        </w:trPr>
        <w:tc>
          <w:tcPr>
            <w:tcW w:w="0" w:type="auto"/>
            <w:tcMar>
              <w:top w:w="15" w:type="dxa"/>
              <w:left w:w="15" w:type="dxa"/>
              <w:bottom w:w="15" w:type="dxa"/>
              <w:right w:w="15" w:type="dxa"/>
            </w:tcMar>
            <w:vAlign w:val="center"/>
            <w:hideMark/>
          </w:tcPr>
          <w:p w14:paraId="5006BE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DC30A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2E7E3E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E6A985D" w14:textId="77777777" w:rsidTr="00A639CC">
        <w:trPr>
          <w:tblCellSpacing w:w="15" w:type="dxa"/>
        </w:trPr>
        <w:tc>
          <w:tcPr>
            <w:tcW w:w="0" w:type="auto"/>
            <w:tcMar>
              <w:top w:w="15" w:type="dxa"/>
              <w:left w:w="15" w:type="dxa"/>
              <w:bottom w:w="15" w:type="dxa"/>
              <w:right w:w="15" w:type="dxa"/>
            </w:tcMar>
            <w:vAlign w:val="center"/>
            <w:hideMark/>
          </w:tcPr>
          <w:p w14:paraId="728CAE5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1A09CA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BBA9B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6A3525D" w14:textId="77777777" w:rsidTr="00A639CC">
        <w:trPr>
          <w:tblCellSpacing w:w="15" w:type="dxa"/>
        </w:trPr>
        <w:tc>
          <w:tcPr>
            <w:tcW w:w="0" w:type="auto"/>
            <w:tcMar>
              <w:top w:w="15" w:type="dxa"/>
              <w:left w:w="15" w:type="dxa"/>
              <w:bottom w:w="15" w:type="dxa"/>
              <w:right w:w="15" w:type="dxa"/>
            </w:tcMar>
            <w:vAlign w:val="center"/>
            <w:hideMark/>
          </w:tcPr>
          <w:p w14:paraId="4A63F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8A7F3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E4560E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0016F84" w14:textId="77777777" w:rsidTr="00A639CC">
        <w:trPr>
          <w:tblCellSpacing w:w="15" w:type="dxa"/>
        </w:trPr>
        <w:tc>
          <w:tcPr>
            <w:tcW w:w="0" w:type="auto"/>
            <w:tcMar>
              <w:top w:w="15" w:type="dxa"/>
              <w:left w:w="15" w:type="dxa"/>
              <w:bottom w:w="15" w:type="dxa"/>
              <w:right w:w="15" w:type="dxa"/>
            </w:tcMar>
            <w:vAlign w:val="center"/>
            <w:hideMark/>
          </w:tcPr>
          <w:p w14:paraId="629B88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3CEE6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335CF3C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32203FD" w14:textId="77777777" w:rsidTr="00A639CC">
        <w:trPr>
          <w:tblCellSpacing w:w="15" w:type="dxa"/>
        </w:trPr>
        <w:tc>
          <w:tcPr>
            <w:tcW w:w="0" w:type="auto"/>
            <w:tcMar>
              <w:top w:w="15" w:type="dxa"/>
              <w:left w:w="15" w:type="dxa"/>
              <w:bottom w:w="15" w:type="dxa"/>
              <w:right w:w="15" w:type="dxa"/>
            </w:tcMar>
            <w:vAlign w:val="center"/>
            <w:hideMark/>
          </w:tcPr>
          <w:p w14:paraId="221FDA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3B082F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4029B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FC7533" w14:textId="77777777" w:rsidTr="00A639CC">
        <w:trPr>
          <w:tblCellSpacing w:w="15" w:type="dxa"/>
        </w:trPr>
        <w:tc>
          <w:tcPr>
            <w:tcW w:w="0" w:type="auto"/>
            <w:tcMar>
              <w:top w:w="15" w:type="dxa"/>
              <w:left w:w="15" w:type="dxa"/>
              <w:bottom w:w="15" w:type="dxa"/>
              <w:right w:w="15" w:type="dxa"/>
            </w:tcMar>
            <w:vAlign w:val="center"/>
            <w:hideMark/>
          </w:tcPr>
          <w:p w14:paraId="3AFFDC2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4AE66F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1B0E9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427E859" w14:textId="77777777" w:rsidTr="00A639CC">
        <w:trPr>
          <w:tblCellSpacing w:w="15" w:type="dxa"/>
        </w:trPr>
        <w:tc>
          <w:tcPr>
            <w:tcW w:w="0" w:type="auto"/>
            <w:tcMar>
              <w:top w:w="15" w:type="dxa"/>
              <w:left w:w="15" w:type="dxa"/>
              <w:bottom w:w="15" w:type="dxa"/>
              <w:right w:w="15" w:type="dxa"/>
            </w:tcMar>
            <w:vAlign w:val="center"/>
            <w:hideMark/>
          </w:tcPr>
          <w:p w14:paraId="722921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EF57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DB67C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2873D58" w14:textId="77777777" w:rsidTr="00A639CC">
        <w:trPr>
          <w:tblCellSpacing w:w="15" w:type="dxa"/>
        </w:trPr>
        <w:tc>
          <w:tcPr>
            <w:tcW w:w="0" w:type="auto"/>
            <w:tcMar>
              <w:top w:w="15" w:type="dxa"/>
              <w:left w:w="15" w:type="dxa"/>
              <w:bottom w:w="15" w:type="dxa"/>
              <w:right w:w="15" w:type="dxa"/>
            </w:tcMar>
            <w:vAlign w:val="center"/>
            <w:hideMark/>
          </w:tcPr>
          <w:p w14:paraId="7A096F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70C506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753BE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D19BC7" w14:textId="77777777" w:rsidTr="00A639CC">
        <w:trPr>
          <w:tblCellSpacing w:w="15" w:type="dxa"/>
        </w:trPr>
        <w:tc>
          <w:tcPr>
            <w:tcW w:w="0" w:type="auto"/>
            <w:tcMar>
              <w:top w:w="15" w:type="dxa"/>
              <w:left w:w="15" w:type="dxa"/>
              <w:bottom w:w="15" w:type="dxa"/>
              <w:right w:w="15" w:type="dxa"/>
            </w:tcMar>
            <w:vAlign w:val="center"/>
            <w:hideMark/>
          </w:tcPr>
          <w:p w14:paraId="594936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lastRenderedPageBreak/>
              <w:t>NGI Operations Deputy Manager</w:t>
            </w:r>
          </w:p>
        </w:tc>
        <w:tc>
          <w:tcPr>
            <w:tcW w:w="0" w:type="auto"/>
            <w:tcMar>
              <w:top w:w="15" w:type="dxa"/>
              <w:left w:w="15" w:type="dxa"/>
              <w:bottom w:w="15" w:type="dxa"/>
              <w:right w:w="15" w:type="dxa"/>
            </w:tcMar>
            <w:vAlign w:val="center"/>
            <w:hideMark/>
          </w:tcPr>
          <w:p w14:paraId="68BEBA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801F2E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7010E9B5" w14:textId="77777777" w:rsidTr="00A639CC">
        <w:trPr>
          <w:tblCellSpacing w:w="15" w:type="dxa"/>
        </w:trPr>
        <w:tc>
          <w:tcPr>
            <w:tcW w:w="0" w:type="auto"/>
            <w:tcMar>
              <w:top w:w="15" w:type="dxa"/>
              <w:left w:w="15" w:type="dxa"/>
              <w:bottom w:w="15" w:type="dxa"/>
              <w:right w:w="15" w:type="dxa"/>
            </w:tcMar>
            <w:vAlign w:val="center"/>
            <w:hideMark/>
          </w:tcPr>
          <w:p w14:paraId="6D52234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320D3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1D6969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1FA854B" w14:textId="77777777" w:rsidTr="00A639CC">
        <w:trPr>
          <w:tblCellSpacing w:w="15" w:type="dxa"/>
        </w:trPr>
        <w:tc>
          <w:tcPr>
            <w:tcW w:w="0" w:type="auto"/>
            <w:tcMar>
              <w:top w:w="15" w:type="dxa"/>
              <w:left w:w="15" w:type="dxa"/>
              <w:bottom w:w="15" w:type="dxa"/>
              <w:right w:w="15" w:type="dxa"/>
            </w:tcMar>
            <w:vAlign w:val="center"/>
            <w:hideMark/>
          </w:tcPr>
          <w:p w14:paraId="53E2C2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D4621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67498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E1F967D" w14:textId="77777777" w:rsidTr="00A639CC">
        <w:trPr>
          <w:tblCellSpacing w:w="15" w:type="dxa"/>
        </w:trPr>
        <w:tc>
          <w:tcPr>
            <w:tcW w:w="0" w:type="auto"/>
            <w:tcMar>
              <w:top w:w="15" w:type="dxa"/>
              <w:left w:w="15" w:type="dxa"/>
              <w:bottom w:w="15" w:type="dxa"/>
              <w:right w:w="15" w:type="dxa"/>
            </w:tcMar>
            <w:vAlign w:val="center"/>
            <w:hideMark/>
          </w:tcPr>
          <w:p w14:paraId="02D83B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C7B12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87225C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127CFB60" w14:textId="77777777" w:rsidTr="00A639CC">
        <w:trPr>
          <w:tblCellSpacing w:w="15" w:type="dxa"/>
        </w:trPr>
        <w:tc>
          <w:tcPr>
            <w:tcW w:w="0" w:type="auto"/>
            <w:tcMar>
              <w:top w:w="15" w:type="dxa"/>
              <w:left w:w="15" w:type="dxa"/>
              <w:bottom w:w="15" w:type="dxa"/>
              <w:right w:w="15" w:type="dxa"/>
            </w:tcMar>
            <w:vAlign w:val="center"/>
            <w:hideMark/>
          </w:tcPr>
          <w:p w14:paraId="0CDCFB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14A6390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47E760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38AB41C" w14:textId="77777777" w:rsidTr="00A639CC">
        <w:trPr>
          <w:tblCellSpacing w:w="15" w:type="dxa"/>
        </w:trPr>
        <w:tc>
          <w:tcPr>
            <w:tcW w:w="0" w:type="auto"/>
            <w:tcMar>
              <w:top w:w="15" w:type="dxa"/>
              <w:left w:w="15" w:type="dxa"/>
              <w:bottom w:w="15" w:type="dxa"/>
              <w:right w:w="15" w:type="dxa"/>
            </w:tcMar>
            <w:vAlign w:val="center"/>
            <w:hideMark/>
          </w:tcPr>
          <w:p w14:paraId="5FC43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6A2A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987386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9EDD8B5" w14:textId="77777777" w:rsidTr="00A639CC">
        <w:trPr>
          <w:tblCellSpacing w:w="15" w:type="dxa"/>
        </w:trPr>
        <w:tc>
          <w:tcPr>
            <w:tcW w:w="0" w:type="auto"/>
            <w:tcMar>
              <w:top w:w="15" w:type="dxa"/>
              <w:left w:w="15" w:type="dxa"/>
              <w:bottom w:w="15" w:type="dxa"/>
              <w:right w:w="15" w:type="dxa"/>
            </w:tcMar>
            <w:vAlign w:val="center"/>
            <w:hideMark/>
          </w:tcPr>
          <w:p w14:paraId="3B2C6B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36B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8CD6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736DB1B" w14:textId="77777777" w:rsidTr="00A639CC">
        <w:trPr>
          <w:tblCellSpacing w:w="15" w:type="dxa"/>
        </w:trPr>
        <w:tc>
          <w:tcPr>
            <w:tcW w:w="0" w:type="auto"/>
            <w:tcMar>
              <w:top w:w="15" w:type="dxa"/>
              <w:left w:w="15" w:type="dxa"/>
              <w:bottom w:w="15" w:type="dxa"/>
              <w:right w:w="15" w:type="dxa"/>
            </w:tcMar>
            <w:vAlign w:val="center"/>
            <w:hideMark/>
          </w:tcPr>
          <w:p w14:paraId="349F88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673F7E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09EA93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C47FCE" w14:textId="77777777" w:rsidTr="00A639CC">
        <w:trPr>
          <w:tblCellSpacing w:w="15" w:type="dxa"/>
        </w:trPr>
        <w:tc>
          <w:tcPr>
            <w:tcW w:w="0" w:type="auto"/>
            <w:tcMar>
              <w:top w:w="15" w:type="dxa"/>
              <w:left w:w="15" w:type="dxa"/>
              <w:bottom w:w="15" w:type="dxa"/>
              <w:right w:w="15" w:type="dxa"/>
            </w:tcMar>
            <w:vAlign w:val="center"/>
            <w:hideMark/>
          </w:tcPr>
          <w:p w14:paraId="5E8044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79C409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0B311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368EEB9" w14:textId="77777777" w:rsidTr="00A639CC">
        <w:trPr>
          <w:tblCellSpacing w:w="15" w:type="dxa"/>
        </w:trPr>
        <w:tc>
          <w:tcPr>
            <w:tcW w:w="0" w:type="auto"/>
            <w:tcMar>
              <w:top w:w="15" w:type="dxa"/>
              <w:left w:w="15" w:type="dxa"/>
              <w:bottom w:w="15" w:type="dxa"/>
              <w:right w:w="15" w:type="dxa"/>
            </w:tcMar>
            <w:vAlign w:val="center"/>
            <w:hideMark/>
          </w:tcPr>
          <w:p w14:paraId="2D67C4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0E275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AD0B2D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E85CA6" w14:textId="77777777" w:rsidTr="00A639CC">
        <w:trPr>
          <w:tblCellSpacing w:w="15" w:type="dxa"/>
        </w:trPr>
        <w:tc>
          <w:tcPr>
            <w:tcW w:w="0" w:type="auto"/>
            <w:tcMar>
              <w:top w:w="15" w:type="dxa"/>
              <w:left w:w="15" w:type="dxa"/>
              <w:bottom w:w="15" w:type="dxa"/>
              <w:right w:w="15" w:type="dxa"/>
            </w:tcMar>
            <w:vAlign w:val="center"/>
            <w:hideMark/>
          </w:tcPr>
          <w:p w14:paraId="6B9AD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2D8311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435A3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9B41A48" w14:textId="77777777" w:rsidTr="00A639CC">
        <w:trPr>
          <w:tblCellSpacing w:w="15" w:type="dxa"/>
        </w:trPr>
        <w:tc>
          <w:tcPr>
            <w:tcW w:w="0" w:type="auto"/>
            <w:tcMar>
              <w:top w:w="15" w:type="dxa"/>
              <w:left w:w="15" w:type="dxa"/>
              <w:bottom w:w="15" w:type="dxa"/>
              <w:right w:w="15" w:type="dxa"/>
            </w:tcMar>
            <w:vAlign w:val="center"/>
            <w:hideMark/>
          </w:tcPr>
          <w:p w14:paraId="6F372B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88622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3529A53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7800532" w14:textId="77777777" w:rsidTr="00A639CC">
        <w:trPr>
          <w:tblCellSpacing w:w="15" w:type="dxa"/>
        </w:trPr>
        <w:tc>
          <w:tcPr>
            <w:tcW w:w="0" w:type="auto"/>
            <w:tcMar>
              <w:top w:w="15" w:type="dxa"/>
              <w:left w:w="15" w:type="dxa"/>
              <w:bottom w:w="15" w:type="dxa"/>
              <w:right w:w="15" w:type="dxa"/>
            </w:tcMar>
            <w:vAlign w:val="center"/>
            <w:hideMark/>
          </w:tcPr>
          <w:p w14:paraId="2D60F3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B76E4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B2076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1E57EC2" w14:textId="77777777" w:rsidTr="00A639CC">
        <w:trPr>
          <w:tblCellSpacing w:w="15" w:type="dxa"/>
        </w:trPr>
        <w:tc>
          <w:tcPr>
            <w:tcW w:w="0" w:type="auto"/>
            <w:tcMar>
              <w:top w:w="15" w:type="dxa"/>
              <w:left w:w="15" w:type="dxa"/>
              <w:bottom w:w="15" w:type="dxa"/>
              <w:right w:w="15" w:type="dxa"/>
            </w:tcMar>
            <w:vAlign w:val="center"/>
            <w:hideMark/>
          </w:tcPr>
          <w:p w14:paraId="15541C7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6D5D2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63FE67E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4C50B54" w14:textId="77777777" w:rsidTr="00A639CC">
        <w:trPr>
          <w:tblCellSpacing w:w="15" w:type="dxa"/>
        </w:trPr>
        <w:tc>
          <w:tcPr>
            <w:tcW w:w="0" w:type="auto"/>
            <w:tcMar>
              <w:top w:w="15" w:type="dxa"/>
              <w:left w:w="15" w:type="dxa"/>
              <w:bottom w:w="15" w:type="dxa"/>
              <w:right w:w="15" w:type="dxa"/>
            </w:tcMar>
            <w:vAlign w:val="center"/>
            <w:hideMark/>
          </w:tcPr>
          <w:p w14:paraId="4C3CB0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F5B01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1577F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689447B6" w14:textId="77777777" w:rsidTr="00A639CC">
        <w:trPr>
          <w:tblCellSpacing w:w="15" w:type="dxa"/>
        </w:trPr>
        <w:tc>
          <w:tcPr>
            <w:tcW w:w="0" w:type="auto"/>
            <w:tcMar>
              <w:top w:w="15" w:type="dxa"/>
              <w:left w:w="15" w:type="dxa"/>
              <w:bottom w:w="15" w:type="dxa"/>
              <w:right w:w="15" w:type="dxa"/>
            </w:tcMar>
            <w:vAlign w:val="center"/>
            <w:hideMark/>
          </w:tcPr>
          <w:p w14:paraId="56507D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FA6E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A7369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63477007" w14:textId="77777777" w:rsidTr="00A639CC">
        <w:trPr>
          <w:tblCellSpacing w:w="15" w:type="dxa"/>
        </w:trPr>
        <w:tc>
          <w:tcPr>
            <w:tcW w:w="0" w:type="auto"/>
            <w:tcMar>
              <w:top w:w="15" w:type="dxa"/>
              <w:left w:w="15" w:type="dxa"/>
              <w:bottom w:w="15" w:type="dxa"/>
              <w:right w:w="15" w:type="dxa"/>
            </w:tcMar>
            <w:vAlign w:val="center"/>
            <w:hideMark/>
          </w:tcPr>
          <w:p w14:paraId="1B900A9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FF294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2876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037F36D" w14:textId="77777777" w:rsidTr="00A639CC">
        <w:trPr>
          <w:tblCellSpacing w:w="15" w:type="dxa"/>
        </w:trPr>
        <w:tc>
          <w:tcPr>
            <w:tcW w:w="0" w:type="auto"/>
            <w:tcMar>
              <w:top w:w="15" w:type="dxa"/>
              <w:left w:w="15" w:type="dxa"/>
              <w:bottom w:w="15" w:type="dxa"/>
              <w:right w:w="15" w:type="dxa"/>
            </w:tcMar>
            <w:vAlign w:val="center"/>
            <w:hideMark/>
          </w:tcPr>
          <w:p w14:paraId="46A199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0831A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0921B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131CA62" w14:textId="77777777" w:rsidTr="00A639CC">
        <w:trPr>
          <w:tblCellSpacing w:w="15" w:type="dxa"/>
        </w:trPr>
        <w:tc>
          <w:tcPr>
            <w:tcW w:w="0" w:type="auto"/>
            <w:tcMar>
              <w:top w:w="15" w:type="dxa"/>
              <w:left w:w="15" w:type="dxa"/>
              <w:bottom w:w="15" w:type="dxa"/>
              <w:right w:w="15" w:type="dxa"/>
            </w:tcMar>
            <w:vAlign w:val="center"/>
            <w:hideMark/>
          </w:tcPr>
          <w:p w14:paraId="7D8252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B9462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696C5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7744E1C" w14:textId="77777777" w:rsidTr="00A639CC">
        <w:trPr>
          <w:tblCellSpacing w:w="15" w:type="dxa"/>
        </w:trPr>
        <w:tc>
          <w:tcPr>
            <w:tcW w:w="0" w:type="auto"/>
            <w:tcMar>
              <w:top w:w="15" w:type="dxa"/>
              <w:left w:w="15" w:type="dxa"/>
              <w:bottom w:w="15" w:type="dxa"/>
              <w:right w:w="15" w:type="dxa"/>
            </w:tcMar>
            <w:vAlign w:val="center"/>
            <w:hideMark/>
          </w:tcPr>
          <w:p w14:paraId="1E2E11A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681D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7D4DA9B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877EBD1" w14:textId="77777777" w:rsidTr="00A639CC">
        <w:trPr>
          <w:tblCellSpacing w:w="15" w:type="dxa"/>
        </w:trPr>
        <w:tc>
          <w:tcPr>
            <w:tcW w:w="0" w:type="auto"/>
            <w:tcMar>
              <w:top w:w="15" w:type="dxa"/>
              <w:left w:w="15" w:type="dxa"/>
              <w:bottom w:w="15" w:type="dxa"/>
              <w:right w:w="15" w:type="dxa"/>
            </w:tcMar>
            <w:vAlign w:val="center"/>
            <w:hideMark/>
          </w:tcPr>
          <w:p w14:paraId="33E55B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0F0EA2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55351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81FF7E" w14:textId="77777777" w:rsidTr="00A639CC">
        <w:trPr>
          <w:tblCellSpacing w:w="15" w:type="dxa"/>
        </w:trPr>
        <w:tc>
          <w:tcPr>
            <w:tcW w:w="0" w:type="auto"/>
            <w:tcMar>
              <w:top w:w="15" w:type="dxa"/>
              <w:left w:w="15" w:type="dxa"/>
              <w:bottom w:w="15" w:type="dxa"/>
              <w:right w:w="15" w:type="dxa"/>
            </w:tcMar>
            <w:vAlign w:val="center"/>
            <w:hideMark/>
          </w:tcPr>
          <w:p w14:paraId="0B9E8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C4E223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C82EB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B24A2A4" w14:textId="77777777" w:rsidTr="00A639CC">
        <w:trPr>
          <w:tblCellSpacing w:w="15" w:type="dxa"/>
        </w:trPr>
        <w:tc>
          <w:tcPr>
            <w:tcW w:w="0" w:type="auto"/>
            <w:tcMar>
              <w:top w:w="15" w:type="dxa"/>
              <w:left w:w="15" w:type="dxa"/>
              <w:bottom w:w="15" w:type="dxa"/>
              <w:right w:w="15" w:type="dxa"/>
            </w:tcMar>
            <w:vAlign w:val="center"/>
            <w:hideMark/>
          </w:tcPr>
          <w:p w14:paraId="67333D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3C538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0717B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FA9796D" w14:textId="77777777" w:rsidTr="00A639CC">
        <w:trPr>
          <w:tblCellSpacing w:w="15" w:type="dxa"/>
        </w:trPr>
        <w:tc>
          <w:tcPr>
            <w:tcW w:w="0" w:type="auto"/>
            <w:tcMar>
              <w:top w:w="15" w:type="dxa"/>
              <w:left w:w="15" w:type="dxa"/>
              <w:bottom w:w="15" w:type="dxa"/>
              <w:right w:w="15" w:type="dxa"/>
            </w:tcMar>
            <w:vAlign w:val="center"/>
            <w:hideMark/>
          </w:tcPr>
          <w:p w14:paraId="6780300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BBFCD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484A91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92BB811" w14:textId="77777777" w:rsidTr="00A639CC">
        <w:trPr>
          <w:tblCellSpacing w:w="15" w:type="dxa"/>
        </w:trPr>
        <w:tc>
          <w:tcPr>
            <w:tcW w:w="0" w:type="auto"/>
            <w:tcMar>
              <w:top w:w="15" w:type="dxa"/>
              <w:left w:w="15" w:type="dxa"/>
              <w:bottom w:w="15" w:type="dxa"/>
              <w:right w:w="15" w:type="dxa"/>
            </w:tcMar>
            <w:vAlign w:val="center"/>
            <w:hideMark/>
          </w:tcPr>
          <w:p w14:paraId="53A42E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CA91C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EB0A16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D4D0BFC" w14:textId="77777777" w:rsidTr="00A639CC">
        <w:trPr>
          <w:tblCellSpacing w:w="15" w:type="dxa"/>
        </w:trPr>
        <w:tc>
          <w:tcPr>
            <w:tcW w:w="0" w:type="auto"/>
            <w:tcMar>
              <w:top w:w="15" w:type="dxa"/>
              <w:left w:w="15" w:type="dxa"/>
              <w:bottom w:w="15" w:type="dxa"/>
              <w:right w:w="15" w:type="dxa"/>
            </w:tcMar>
            <w:vAlign w:val="center"/>
            <w:hideMark/>
          </w:tcPr>
          <w:p w14:paraId="5D4135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29C15E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A64EFB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C2C892A" w14:textId="77777777" w:rsidTr="00A639CC">
        <w:trPr>
          <w:tblCellSpacing w:w="15" w:type="dxa"/>
        </w:trPr>
        <w:tc>
          <w:tcPr>
            <w:tcW w:w="0" w:type="auto"/>
            <w:tcMar>
              <w:top w:w="15" w:type="dxa"/>
              <w:left w:w="15" w:type="dxa"/>
              <w:bottom w:w="15" w:type="dxa"/>
              <w:right w:w="15" w:type="dxa"/>
            </w:tcMar>
            <w:vAlign w:val="center"/>
            <w:hideMark/>
          </w:tcPr>
          <w:p w14:paraId="5FD187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044A37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4370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D252FCB" w14:textId="77777777" w:rsidTr="00A639CC">
        <w:trPr>
          <w:tblCellSpacing w:w="15" w:type="dxa"/>
        </w:trPr>
        <w:tc>
          <w:tcPr>
            <w:tcW w:w="0" w:type="auto"/>
            <w:tcMar>
              <w:top w:w="15" w:type="dxa"/>
              <w:left w:w="15" w:type="dxa"/>
              <w:bottom w:w="15" w:type="dxa"/>
              <w:right w:w="15" w:type="dxa"/>
            </w:tcMar>
            <w:vAlign w:val="center"/>
            <w:hideMark/>
          </w:tcPr>
          <w:p w14:paraId="0396EFF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07FC8B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144F2D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EED687C" w14:textId="77777777" w:rsidTr="00A639CC">
        <w:trPr>
          <w:tblCellSpacing w:w="15" w:type="dxa"/>
        </w:trPr>
        <w:tc>
          <w:tcPr>
            <w:tcW w:w="0" w:type="auto"/>
            <w:tcMar>
              <w:top w:w="15" w:type="dxa"/>
              <w:left w:w="15" w:type="dxa"/>
              <w:bottom w:w="15" w:type="dxa"/>
              <w:right w:w="15" w:type="dxa"/>
            </w:tcMar>
            <w:vAlign w:val="center"/>
            <w:hideMark/>
          </w:tcPr>
          <w:p w14:paraId="76A76B1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FC4443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77A03B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F86D6A0" w14:textId="77777777" w:rsidTr="00A639CC">
        <w:trPr>
          <w:tblCellSpacing w:w="15" w:type="dxa"/>
        </w:trPr>
        <w:tc>
          <w:tcPr>
            <w:tcW w:w="0" w:type="auto"/>
            <w:tcMar>
              <w:top w:w="15" w:type="dxa"/>
              <w:left w:w="15" w:type="dxa"/>
              <w:bottom w:w="15" w:type="dxa"/>
              <w:right w:w="15" w:type="dxa"/>
            </w:tcMar>
            <w:vAlign w:val="center"/>
            <w:hideMark/>
          </w:tcPr>
          <w:p w14:paraId="14CE3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4541FD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FB8CC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5A364DF" w14:textId="77777777" w:rsidTr="00A639CC">
        <w:trPr>
          <w:tblCellSpacing w:w="15" w:type="dxa"/>
        </w:trPr>
        <w:tc>
          <w:tcPr>
            <w:tcW w:w="0" w:type="auto"/>
            <w:tcMar>
              <w:top w:w="15" w:type="dxa"/>
              <w:left w:w="15" w:type="dxa"/>
              <w:bottom w:w="15" w:type="dxa"/>
              <w:right w:w="15" w:type="dxa"/>
            </w:tcMar>
            <w:vAlign w:val="center"/>
            <w:hideMark/>
          </w:tcPr>
          <w:p w14:paraId="32E482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3819C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E54C8A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5FC470B" w14:textId="77777777" w:rsidTr="00A639CC">
        <w:trPr>
          <w:tblCellSpacing w:w="15" w:type="dxa"/>
        </w:trPr>
        <w:tc>
          <w:tcPr>
            <w:tcW w:w="0" w:type="auto"/>
            <w:tcMar>
              <w:top w:w="15" w:type="dxa"/>
              <w:left w:w="15" w:type="dxa"/>
              <w:bottom w:w="15" w:type="dxa"/>
              <w:right w:w="15" w:type="dxa"/>
            </w:tcMar>
            <w:vAlign w:val="center"/>
            <w:hideMark/>
          </w:tcPr>
          <w:p w14:paraId="5861988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332635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BDADA7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6A3E7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Site Roles</w:t>
      </w:r>
    </w:p>
    <w:tbl>
      <w:tblPr>
        <w:tblW w:w="0" w:type="auto"/>
        <w:tblCellSpacing w:w="15" w:type="dxa"/>
        <w:tblCellMar>
          <w:left w:w="0" w:type="dxa"/>
          <w:right w:w="0" w:type="dxa"/>
        </w:tblCellMar>
        <w:tblLook w:val="04A0" w:firstRow="1" w:lastRow="0" w:firstColumn="1" w:lastColumn="0" w:noHBand="0" w:noVBand="1"/>
      </w:tblPr>
      <w:tblGrid>
        <w:gridCol w:w="3274"/>
        <w:gridCol w:w="3099"/>
        <w:gridCol w:w="2170"/>
      </w:tblGrid>
      <w:tr w:rsidR="00A639CC" w:rsidRPr="00A639CC" w14:paraId="080C4E48" w14:textId="77777777" w:rsidTr="00A639CC">
        <w:trPr>
          <w:tblHeader/>
          <w:tblCellSpacing w:w="15" w:type="dxa"/>
        </w:trPr>
        <w:tc>
          <w:tcPr>
            <w:tcW w:w="0" w:type="auto"/>
            <w:tcMar>
              <w:top w:w="15" w:type="dxa"/>
              <w:left w:w="15" w:type="dxa"/>
              <w:bottom w:w="15" w:type="dxa"/>
              <w:right w:w="15" w:type="dxa"/>
            </w:tcMar>
            <w:vAlign w:val="center"/>
            <w:hideMark/>
          </w:tcPr>
          <w:p w14:paraId="78898345"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lastRenderedPageBreak/>
              <w:t>RoleType</w:t>
            </w:r>
            <w:proofErr w:type="spellEnd"/>
          </w:p>
        </w:tc>
        <w:tc>
          <w:tcPr>
            <w:tcW w:w="0" w:type="auto"/>
            <w:tcMar>
              <w:top w:w="15" w:type="dxa"/>
              <w:left w:w="15" w:type="dxa"/>
              <w:bottom w:w="15" w:type="dxa"/>
              <w:right w:w="15" w:type="dxa"/>
            </w:tcMar>
            <w:vAlign w:val="center"/>
            <w:hideMark/>
          </w:tcPr>
          <w:p w14:paraId="4E7DF4C9"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124B3A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526A303C" w14:textId="77777777" w:rsidTr="00A639CC">
        <w:trPr>
          <w:tblCellSpacing w:w="15" w:type="dxa"/>
        </w:trPr>
        <w:tc>
          <w:tcPr>
            <w:tcW w:w="0" w:type="auto"/>
            <w:tcMar>
              <w:top w:w="15" w:type="dxa"/>
              <w:left w:w="15" w:type="dxa"/>
              <w:bottom w:w="15" w:type="dxa"/>
              <w:right w:w="15" w:type="dxa"/>
            </w:tcMar>
            <w:vAlign w:val="center"/>
            <w:hideMark/>
          </w:tcPr>
          <w:p w14:paraId="5B23E05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0A63698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2D4A2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985C9E" w14:textId="77777777" w:rsidTr="00A639CC">
        <w:trPr>
          <w:tblCellSpacing w:w="15" w:type="dxa"/>
        </w:trPr>
        <w:tc>
          <w:tcPr>
            <w:tcW w:w="0" w:type="auto"/>
            <w:tcMar>
              <w:top w:w="15" w:type="dxa"/>
              <w:left w:w="15" w:type="dxa"/>
              <w:bottom w:w="15" w:type="dxa"/>
              <w:right w:w="15" w:type="dxa"/>
            </w:tcMar>
            <w:vAlign w:val="center"/>
            <w:hideMark/>
          </w:tcPr>
          <w:p w14:paraId="4EC948A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1AF6481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537ED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9C8D9FF" w14:textId="77777777" w:rsidTr="00A639CC">
        <w:trPr>
          <w:tblCellSpacing w:w="15" w:type="dxa"/>
        </w:trPr>
        <w:tc>
          <w:tcPr>
            <w:tcW w:w="0" w:type="auto"/>
            <w:tcMar>
              <w:top w:w="15" w:type="dxa"/>
              <w:left w:w="15" w:type="dxa"/>
              <w:bottom w:w="15" w:type="dxa"/>
              <w:right w:w="15" w:type="dxa"/>
            </w:tcMar>
            <w:vAlign w:val="center"/>
            <w:hideMark/>
          </w:tcPr>
          <w:p w14:paraId="5926271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27B6636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1B10AC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511235B" w14:textId="77777777" w:rsidTr="00A639CC">
        <w:trPr>
          <w:tblCellSpacing w:w="15" w:type="dxa"/>
        </w:trPr>
        <w:tc>
          <w:tcPr>
            <w:tcW w:w="0" w:type="auto"/>
            <w:tcMar>
              <w:top w:w="15" w:type="dxa"/>
              <w:left w:w="15" w:type="dxa"/>
              <w:bottom w:w="15" w:type="dxa"/>
              <w:right w:w="15" w:type="dxa"/>
            </w:tcMar>
            <w:vAlign w:val="center"/>
            <w:hideMark/>
          </w:tcPr>
          <w:p w14:paraId="595FEA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4FA2A3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D5806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05ADAB8" w14:textId="77777777" w:rsidTr="00A639CC">
        <w:trPr>
          <w:tblCellSpacing w:w="15" w:type="dxa"/>
        </w:trPr>
        <w:tc>
          <w:tcPr>
            <w:tcW w:w="0" w:type="auto"/>
            <w:tcMar>
              <w:top w:w="15" w:type="dxa"/>
              <w:left w:w="15" w:type="dxa"/>
              <w:bottom w:w="15" w:type="dxa"/>
              <w:right w:w="15" w:type="dxa"/>
            </w:tcMar>
            <w:vAlign w:val="center"/>
            <w:hideMark/>
          </w:tcPr>
          <w:p w14:paraId="1D860E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AF2F0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4F75A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5A70C7C" w14:textId="77777777" w:rsidTr="00A639CC">
        <w:trPr>
          <w:tblCellSpacing w:w="15" w:type="dxa"/>
        </w:trPr>
        <w:tc>
          <w:tcPr>
            <w:tcW w:w="0" w:type="auto"/>
            <w:tcMar>
              <w:top w:w="15" w:type="dxa"/>
              <w:left w:w="15" w:type="dxa"/>
              <w:bottom w:w="15" w:type="dxa"/>
              <w:right w:w="15" w:type="dxa"/>
            </w:tcMar>
            <w:vAlign w:val="center"/>
            <w:hideMark/>
          </w:tcPr>
          <w:p w14:paraId="6885C7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F4F8A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9776D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D3DB849" w14:textId="77777777" w:rsidTr="00A639CC">
        <w:trPr>
          <w:tblCellSpacing w:w="15" w:type="dxa"/>
        </w:trPr>
        <w:tc>
          <w:tcPr>
            <w:tcW w:w="0" w:type="auto"/>
            <w:tcMar>
              <w:top w:w="15" w:type="dxa"/>
              <w:left w:w="15" w:type="dxa"/>
              <w:bottom w:w="15" w:type="dxa"/>
              <w:right w:w="15" w:type="dxa"/>
            </w:tcMar>
            <w:vAlign w:val="center"/>
            <w:hideMark/>
          </w:tcPr>
          <w:p w14:paraId="0496E1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2B64B0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0D16C8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3373E6C" w14:textId="77777777" w:rsidTr="00A639CC">
        <w:trPr>
          <w:tblCellSpacing w:w="15" w:type="dxa"/>
        </w:trPr>
        <w:tc>
          <w:tcPr>
            <w:tcW w:w="0" w:type="auto"/>
            <w:tcMar>
              <w:top w:w="15" w:type="dxa"/>
              <w:left w:w="15" w:type="dxa"/>
              <w:bottom w:w="15" w:type="dxa"/>
              <w:right w:w="15" w:type="dxa"/>
            </w:tcMar>
            <w:vAlign w:val="center"/>
            <w:hideMark/>
          </w:tcPr>
          <w:p w14:paraId="13D38D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5E0B9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936B7D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F32138F" w14:textId="77777777" w:rsidTr="00A639CC">
        <w:trPr>
          <w:tblCellSpacing w:w="15" w:type="dxa"/>
        </w:trPr>
        <w:tc>
          <w:tcPr>
            <w:tcW w:w="0" w:type="auto"/>
            <w:tcMar>
              <w:top w:w="15" w:type="dxa"/>
              <w:left w:w="15" w:type="dxa"/>
              <w:bottom w:w="15" w:type="dxa"/>
              <w:right w:w="15" w:type="dxa"/>
            </w:tcMar>
            <w:vAlign w:val="center"/>
            <w:hideMark/>
          </w:tcPr>
          <w:p w14:paraId="496279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1CD637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F6DB7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4BBDC7E" w14:textId="77777777" w:rsidTr="00A639CC">
        <w:trPr>
          <w:tblCellSpacing w:w="15" w:type="dxa"/>
        </w:trPr>
        <w:tc>
          <w:tcPr>
            <w:tcW w:w="0" w:type="auto"/>
            <w:tcMar>
              <w:top w:w="15" w:type="dxa"/>
              <w:left w:w="15" w:type="dxa"/>
              <w:bottom w:w="15" w:type="dxa"/>
              <w:right w:w="15" w:type="dxa"/>
            </w:tcMar>
            <w:vAlign w:val="center"/>
            <w:hideMark/>
          </w:tcPr>
          <w:p w14:paraId="4F2543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638BCA0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D183D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2923BEB" w14:textId="77777777" w:rsidTr="00A639CC">
        <w:trPr>
          <w:tblCellSpacing w:w="15" w:type="dxa"/>
        </w:trPr>
        <w:tc>
          <w:tcPr>
            <w:tcW w:w="0" w:type="auto"/>
            <w:tcMar>
              <w:top w:w="15" w:type="dxa"/>
              <w:left w:w="15" w:type="dxa"/>
              <w:bottom w:w="15" w:type="dxa"/>
              <w:right w:w="15" w:type="dxa"/>
            </w:tcMar>
            <w:vAlign w:val="center"/>
            <w:hideMark/>
          </w:tcPr>
          <w:p w14:paraId="6606C49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2CB171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67E3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9149FC" w14:textId="77777777" w:rsidTr="00A639CC">
        <w:trPr>
          <w:tblCellSpacing w:w="15" w:type="dxa"/>
        </w:trPr>
        <w:tc>
          <w:tcPr>
            <w:tcW w:w="0" w:type="auto"/>
            <w:tcMar>
              <w:top w:w="15" w:type="dxa"/>
              <w:left w:w="15" w:type="dxa"/>
              <w:bottom w:w="15" w:type="dxa"/>
              <w:right w:w="15" w:type="dxa"/>
            </w:tcMar>
            <w:vAlign w:val="center"/>
            <w:hideMark/>
          </w:tcPr>
          <w:p w14:paraId="1F1185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E2B40E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C64F8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A2CF294" w14:textId="77777777" w:rsidTr="00A639CC">
        <w:trPr>
          <w:tblCellSpacing w:w="15" w:type="dxa"/>
        </w:trPr>
        <w:tc>
          <w:tcPr>
            <w:tcW w:w="0" w:type="auto"/>
            <w:tcMar>
              <w:top w:w="15" w:type="dxa"/>
              <w:left w:w="15" w:type="dxa"/>
              <w:bottom w:w="15" w:type="dxa"/>
              <w:right w:w="15" w:type="dxa"/>
            </w:tcMar>
            <w:vAlign w:val="center"/>
            <w:hideMark/>
          </w:tcPr>
          <w:p w14:paraId="68D023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13EF1F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79FD7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0AAE60" w14:textId="77777777" w:rsidTr="00A639CC">
        <w:trPr>
          <w:tblCellSpacing w:w="15" w:type="dxa"/>
        </w:trPr>
        <w:tc>
          <w:tcPr>
            <w:tcW w:w="0" w:type="auto"/>
            <w:tcMar>
              <w:top w:w="15" w:type="dxa"/>
              <w:left w:w="15" w:type="dxa"/>
              <w:bottom w:w="15" w:type="dxa"/>
              <w:right w:w="15" w:type="dxa"/>
            </w:tcMar>
            <w:vAlign w:val="center"/>
            <w:hideMark/>
          </w:tcPr>
          <w:p w14:paraId="1962D5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F946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BBD16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514C89E" w14:textId="77777777" w:rsidTr="00A639CC">
        <w:trPr>
          <w:tblCellSpacing w:w="15" w:type="dxa"/>
        </w:trPr>
        <w:tc>
          <w:tcPr>
            <w:tcW w:w="0" w:type="auto"/>
            <w:tcMar>
              <w:top w:w="15" w:type="dxa"/>
              <w:left w:w="15" w:type="dxa"/>
              <w:bottom w:w="15" w:type="dxa"/>
              <w:right w:w="15" w:type="dxa"/>
            </w:tcMar>
            <w:vAlign w:val="center"/>
            <w:hideMark/>
          </w:tcPr>
          <w:p w14:paraId="54D063B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598EC20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4B5FF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B0F6CC" w14:textId="77777777" w:rsidTr="00A639CC">
        <w:trPr>
          <w:tblCellSpacing w:w="15" w:type="dxa"/>
        </w:trPr>
        <w:tc>
          <w:tcPr>
            <w:tcW w:w="0" w:type="auto"/>
            <w:tcMar>
              <w:top w:w="15" w:type="dxa"/>
              <w:left w:w="15" w:type="dxa"/>
              <w:bottom w:w="15" w:type="dxa"/>
              <w:right w:w="15" w:type="dxa"/>
            </w:tcMar>
            <w:vAlign w:val="center"/>
            <w:hideMark/>
          </w:tcPr>
          <w:p w14:paraId="696155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5612472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63FCD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3180558" w14:textId="77777777" w:rsidTr="00A639CC">
        <w:trPr>
          <w:tblCellSpacing w:w="15" w:type="dxa"/>
        </w:trPr>
        <w:tc>
          <w:tcPr>
            <w:tcW w:w="0" w:type="auto"/>
            <w:tcMar>
              <w:top w:w="15" w:type="dxa"/>
              <w:left w:w="15" w:type="dxa"/>
              <w:bottom w:w="15" w:type="dxa"/>
              <w:right w:w="15" w:type="dxa"/>
            </w:tcMar>
            <w:vAlign w:val="center"/>
            <w:hideMark/>
          </w:tcPr>
          <w:p w14:paraId="27F8C9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E6840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09083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C2ABB57" w14:textId="77777777" w:rsidTr="00A639CC">
        <w:trPr>
          <w:tblCellSpacing w:w="15" w:type="dxa"/>
        </w:trPr>
        <w:tc>
          <w:tcPr>
            <w:tcW w:w="0" w:type="auto"/>
            <w:tcMar>
              <w:top w:w="15" w:type="dxa"/>
              <w:left w:w="15" w:type="dxa"/>
              <w:bottom w:w="15" w:type="dxa"/>
              <w:right w:w="15" w:type="dxa"/>
            </w:tcMar>
            <w:vAlign w:val="center"/>
            <w:hideMark/>
          </w:tcPr>
          <w:p w14:paraId="5B91F3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9275EF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467330F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DC3DC78" w14:textId="77777777" w:rsidTr="00A639CC">
        <w:trPr>
          <w:tblCellSpacing w:w="15" w:type="dxa"/>
        </w:trPr>
        <w:tc>
          <w:tcPr>
            <w:tcW w:w="0" w:type="auto"/>
            <w:tcMar>
              <w:top w:w="15" w:type="dxa"/>
              <w:left w:w="15" w:type="dxa"/>
              <w:bottom w:w="15" w:type="dxa"/>
              <w:right w:w="15" w:type="dxa"/>
            </w:tcMar>
            <w:vAlign w:val="center"/>
            <w:hideMark/>
          </w:tcPr>
          <w:p w14:paraId="1E61CE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293238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06A7C8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C0351C" w14:textId="77777777" w:rsidTr="00A639CC">
        <w:trPr>
          <w:tblCellSpacing w:w="15" w:type="dxa"/>
        </w:trPr>
        <w:tc>
          <w:tcPr>
            <w:tcW w:w="0" w:type="auto"/>
            <w:tcMar>
              <w:top w:w="15" w:type="dxa"/>
              <w:left w:w="15" w:type="dxa"/>
              <w:bottom w:w="15" w:type="dxa"/>
              <w:right w:w="15" w:type="dxa"/>
            </w:tcMar>
            <w:vAlign w:val="center"/>
            <w:hideMark/>
          </w:tcPr>
          <w:p w14:paraId="0DEDDF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7994DD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F100C9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03838F5" w14:textId="77777777" w:rsidTr="00A639CC">
        <w:trPr>
          <w:tblCellSpacing w:w="15" w:type="dxa"/>
        </w:trPr>
        <w:tc>
          <w:tcPr>
            <w:tcW w:w="0" w:type="auto"/>
            <w:tcMar>
              <w:top w:w="15" w:type="dxa"/>
              <w:left w:w="15" w:type="dxa"/>
              <w:bottom w:w="15" w:type="dxa"/>
              <w:right w:w="15" w:type="dxa"/>
            </w:tcMar>
            <w:vAlign w:val="center"/>
            <w:hideMark/>
          </w:tcPr>
          <w:p w14:paraId="39C219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6654B6D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AF83C9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0BB86167" w14:textId="77777777" w:rsidR="00A639CC" w:rsidRPr="00A639CC" w:rsidRDefault="00A639CC" w:rsidP="00A639CC">
      <w:pPr>
        <w:rPr>
          <w:rFonts w:asciiTheme="minorHAnsi" w:hAnsiTheme="minorHAnsi"/>
        </w:rPr>
      </w:pPr>
    </w:p>
    <w:p w14:paraId="77A4DE04" w14:textId="77777777" w:rsidR="0061075F" w:rsidRDefault="0061075F"/>
    <w:p w14:paraId="0AE643A1" w14:textId="77777777" w:rsidR="0061075F" w:rsidRDefault="0061075F"/>
    <w:p w14:paraId="3EBD3AD9" w14:textId="77777777" w:rsidR="00054EFF" w:rsidRDefault="00054EFF">
      <w:bookmarkStart w:id="28" w:name="__UnoMark__6693_10336534681111"/>
      <w:bookmarkStart w:id="29" w:name="__UnoMark__6694_10336534681111"/>
      <w:bookmarkStart w:id="30" w:name="__UnoMark__473_66132523411"/>
      <w:bookmarkStart w:id="31" w:name="__UnoMark__476_66132523411"/>
      <w:bookmarkStart w:id="32" w:name="__UnoMark__6695_10336534681111"/>
      <w:bookmarkStart w:id="33" w:name="__UnoMark__6696_10336534681111"/>
      <w:bookmarkStart w:id="34" w:name="__UnoMark__477_66132523411"/>
      <w:bookmarkStart w:id="35" w:name="__UnoMark__480_66132523411"/>
      <w:bookmarkStart w:id="36" w:name="__UnoMark__6697_10336534681111"/>
      <w:bookmarkStart w:id="37" w:name="__UnoMark__6698_10336534681111"/>
      <w:bookmarkStart w:id="38" w:name="__UnoMark__481_66132523411"/>
      <w:bookmarkStart w:id="39" w:name="__UnoMark__484_66132523411"/>
      <w:bookmarkEnd w:id="28"/>
      <w:bookmarkEnd w:id="29"/>
      <w:bookmarkEnd w:id="30"/>
      <w:bookmarkEnd w:id="31"/>
      <w:bookmarkEnd w:id="32"/>
      <w:bookmarkEnd w:id="33"/>
      <w:bookmarkEnd w:id="34"/>
      <w:bookmarkEnd w:id="35"/>
      <w:bookmarkEnd w:id="36"/>
      <w:bookmarkEnd w:id="37"/>
      <w:bookmarkEnd w:id="38"/>
      <w:bookmarkEnd w:id="39"/>
    </w:p>
    <w:sectPr w:rsidR="00054EFF">
      <w:headerReference w:type="even" r:id="rId24"/>
      <w:headerReference w:type="default" r:id="rId25"/>
      <w:footerReference w:type="even" r:id="rId26"/>
      <w:footerReference w:type="default" r:id="rId27"/>
      <w:headerReference w:type="first" r:id="rId28"/>
      <w:footerReference w:type="first" r:id="rId29"/>
      <w:pgSz w:w="11906" w:h="16838"/>
      <w:pgMar w:top="1985" w:right="1440" w:bottom="1440" w:left="1440" w:header="993" w:footer="844" w:gutter="0"/>
      <w:cols w:space="708"/>
      <w:titlePg/>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1142E" w14:textId="77777777" w:rsidR="00450430" w:rsidRDefault="00450430">
      <w:pPr>
        <w:spacing w:after="0" w:line="240" w:lineRule="auto"/>
      </w:pPr>
      <w:r>
        <w:separator/>
      </w:r>
    </w:p>
  </w:endnote>
  <w:endnote w:type="continuationSeparator" w:id="0">
    <w:p w14:paraId="4D98BD64" w14:textId="77777777" w:rsidR="00450430" w:rsidRDefault="0045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OpenSymbol">
    <w:altName w:val="Arial Unicode MS"/>
    <w:charset w:val="01"/>
    <w:family w:val="auto"/>
    <w:pitch w:val="variable"/>
  </w:font>
  <w:font w:name="ZYSong18030">
    <w:panose1 w:val="00000000000000000000"/>
    <w:charset w:val="00"/>
    <w:family w:val="roman"/>
    <w:notTrueType/>
    <w:pitch w:val="default"/>
  </w:font>
  <w:font w:name="font302">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Liberation Sans">
    <w:altName w:val="Arial"/>
    <w:charset w:val="01"/>
    <w:family w:val="roman"/>
    <w:pitch w:val="variable"/>
  </w:font>
  <w:font w:name="Lohit Devanagari">
    <w:panose1 w:val="00000000000000000000"/>
    <w:charset w:val="00"/>
    <w:family w:val="roman"/>
    <w:notTrueType/>
    <w:pitch w:val="default"/>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65CC9" w14:textId="77777777" w:rsidR="00450430" w:rsidRDefault="00450430">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450430" w14:paraId="4F9B783F" w14:textId="77777777">
      <w:trPr>
        <w:trHeight w:val="857"/>
      </w:trPr>
      <w:tc>
        <w:tcPr>
          <w:tcW w:w="3060" w:type="dxa"/>
          <w:tcBorders>
            <w:top w:val="single" w:sz="4" w:space="0" w:color="000000"/>
          </w:tcBorders>
          <w:shd w:val="clear" w:color="auto" w:fill="FFFFFF"/>
          <w:vAlign w:val="bottom"/>
        </w:tcPr>
        <w:p w14:paraId="4C0242FE" w14:textId="77777777" w:rsidR="00450430" w:rsidRDefault="00450430">
          <w:pPr>
            <w:pStyle w:val="Header"/>
            <w:jc w:val="left"/>
          </w:pPr>
          <w:r>
            <w:rPr>
              <w:noProof/>
              <w:lang w:val="en-US"/>
            </w:rPr>
            <w:drawing>
              <wp:inline distT="0" distB="0" distL="0" distR="0" wp14:anchorId="631FB643" wp14:editId="52A009AC">
                <wp:extent cx="762000" cy="428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450430" w:rsidRDefault="00450430">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450430" w:rsidRDefault="00450430">
          <w:pPr>
            <w:pStyle w:val="Header"/>
            <w:jc w:val="right"/>
          </w:pPr>
          <w:r>
            <w:rPr>
              <w:noProof/>
              <w:lang w:val="en-US"/>
            </w:rPr>
            <w:drawing>
              <wp:inline distT="0" distB="0" distL="0" distR="0" wp14:anchorId="609FE373" wp14:editId="70E5960E">
                <wp:extent cx="542925" cy="3619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450430" w:rsidRDefault="00450430">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239"/>
      <w:gridCol w:w="7999"/>
    </w:tblGrid>
    <w:tr w:rsidR="00450430" w14:paraId="5D8B2D49" w14:textId="77777777">
      <w:tc>
        <w:tcPr>
          <w:tcW w:w="1239" w:type="dxa"/>
          <w:shd w:val="clear" w:color="auto" w:fill="FFFFFF"/>
          <w:vAlign w:val="center"/>
        </w:tcPr>
        <w:p w14:paraId="6FAA5BEA" w14:textId="77777777" w:rsidR="00450430" w:rsidRDefault="00450430">
          <w:pPr>
            <w:pStyle w:val="Footer"/>
            <w:jc w:val="center"/>
            <w:rPr>
              <w:sz w:val="20"/>
            </w:rPr>
          </w:pPr>
          <w:r>
            <w:rPr>
              <w:noProof/>
              <w:lang w:val="en-US"/>
            </w:rPr>
            <w:drawing>
              <wp:inline distT="0" distB="0" distL="0" distR="0" wp14:anchorId="32BA8AC7" wp14:editId="396AB927">
                <wp:extent cx="647700" cy="4286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450430" w:rsidRDefault="00450430">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450430" w:rsidRDefault="00450430">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450430" w:rsidRDefault="0045043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76327" w14:textId="77777777" w:rsidR="00450430" w:rsidRDefault="00450430"/>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9D657" w14:textId="77777777" w:rsidR="00450430" w:rsidRDefault="00450430">
    <w:pPr>
      <w:pStyle w:val="NoSpacing"/>
    </w:pPr>
  </w:p>
  <w:tbl>
    <w:tblPr>
      <w:tblW w:w="0" w:type="auto"/>
      <w:tblInd w:w="216" w:type="dxa"/>
      <w:tblLayout w:type="fixed"/>
      <w:tblLook w:val="0000" w:firstRow="0" w:lastRow="0" w:firstColumn="0" w:lastColumn="0" w:noHBand="0" w:noVBand="0"/>
    </w:tblPr>
    <w:tblGrid>
      <w:gridCol w:w="3060"/>
    </w:tblGrid>
    <w:tr w:rsidR="00450430"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450430" w14:paraId="7443C1B4" w14:textId="77777777">
            <w:trPr>
              <w:trHeight w:val="857"/>
            </w:trPr>
            <w:tc>
              <w:tcPr>
                <w:tcW w:w="3060" w:type="dxa"/>
                <w:tcBorders>
                  <w:top w:val="single" w:sz="4" w:space="0" w:color="000000"/>
                </w:tcBorders>
                <w:shd w:val="clear" w:color="auto" w:fill="FFFFFF"/>
                <w:vAlign w:val="bottom"/>
              </w:tcPr>
              <w:p w14:paraId="7A008066" w14:textId="77777777" w:rsidR="00450430" w:rsidRDefault="00450430">
                <w:pPr>
                  <w:pStyle w:val="Header"/>
                  <w:jc w:val="left"/>
                </w:pPr>
                <w:r>
                  <w:rPr>
                    <w:noProof/>
                    <w:lang w:val="en-US"/>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450430" w:rsidRDefault="00450430">
                <w:pPr>
                  <w:pStyle w:val="Header"/>
                  <w:jc w:val="center"/>
                </w:pPr>
                <w:r>
                  <w:fldChar w:fldCharType="begin"/>
                </w:r>
                <w:r>
                  <w:instrText xml:space="preserve"> PAGE </w:instrText>
                </w:r>
                <w:r>
                  <w:fldChar w:fldCharType="separate"/>
                </w:r>
                <w:r w:rsidR="00B45797">
                  <w:rPr>
                    <w:noProof/>
                  </w:rPr>
                  <w:t>3</w:t>
                </w:r>
                <w:r>
                  <w:fldChar w:fldCharType="end"/>
                </w:r>
              </w:p>
            </w:tc>
            <w:tc>
              <w:tcPr>
                <w:tcW w:w="3061" w:type="dxa"/>
                <w:tcBorders>
                  <w:top w:val="single" w:sz="4" w:space="0" w:color="000000"/>
                </w:tcBorders>
                <w:shd w:val="clear" w:color="auto" w:fill="FFFFFF"/>
                <w:vAlign w:val="bottom"/>
              </w:tcPr>
              <w:p w14:paraId="4E46269A" w14:textId="77777777" w:rsidR="00450430" w:rsidRDefault="00450430">
                <w:pPr>
                  <w:pStyle w:val="Header"/>
                  <w:jc w:val="right"/>
                </w:pPr>
                <w:r>
                  <w:rPr>
                    <w:noProof/>
                    <w:lang w:val="en-US"/>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450430" w:rsidRDefault="00450430">
          <w:pPr>
            <w:pStyle w:val="NoSpacing"/>
          </w:pPr>
        </w:p>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6" w:type="dxa"/>
      <w:tblLayout w:type="fixed"/>
      <w:tblLook w:val="0000" w:firstRow="0" w:lastRow="0" w:firstColumn="0" w:lastColumn="0" w:noHBand="0" w:noVBand="0"/>
    </w:tblPr>
    <w:tblGrid>
      <w:gridCol w:w="3060"/>
      <w:gridCol w:w="3060"/>
      <w:gridCol w:w="3061"/>
    </w:tblGrid>
    <w:tr w:rsidR="00450430" w14:paraId="3673BB42" w14:textId="77777777">
      <w:trPr>
        <w:trHeight w:val="857"/>
      </w:trPr>
      <w:tc>
        <w:tcPr>
          <w:tcW w:w="3060" w:type="dxa"/>
          <w:tcBorders>
            <w:top w:val="single" w:sz="4" w:space="0" w:color="000000"/>
          </w:tcBorders>
          <w:shd w:val="clear" w:color="auto" w:fill="FFFFFF"/>
          <w:vAlign w:val="bottom"/>
        </w:tcPr>
        <w:p w14:paraId="1007A325" w14:textId="77777777" w:rsidR="00450430" w:rsidRDefault="00450430">
          <w:pPr>
            <w:pStyle w:val="NoSpacing"/>
          </w:pPr>
        </w:p>
        <w:p w14:paraId="100A8B5A" w14:textId="77777777" w:rsidR="00450430" w:rsidRDefault="00450430">
          <w:pPr>
            <w:pStyle w:val="Header"/>
            <w:jc w:val="left"/>
          </w:pPr>
          <w:r>
            <w:rPr>
              <w:noProof/>
              <w:lang w:val="en-US"/>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450430" w:rsidRDefault="00450430">
          <w:pPr>
            <w:pStyle w:val="Header"/>
            <w:jc w:val="center"/>
          </w:pPr>
          <w:r>
            <w:fldChar w:fldCharType="begin"/>
          </w:r>
          <w:r>
            <w:instrText xml:space="preserve"> PAGE </w:instrText>
          </w:r>
          <w:r>
            <w:fldChar w:fldCharType="separate"/>
          </w:r>
          <w:r w:rsidR="00B45797">
            <w:rPr>
              <w:noProof/>
            </w:rPr>
            <w:t>2</w:t>
          </w:r>
          <w:r>
            <w:fldChar w:fldCharType="end"/>
          </w:r>
        </w:p>
      </w:tc>
      <w:tc>
        <w:tcPr>
          <w:tcW w:w="3061" w:type="dxa"/>
          <w:tcBorders>
            <w:top w:val="single" w:sz="4" w:space="0" w:color="000000"/>
          </w:tcBorders>
          <w:shd w:val="clear" w:color="auto" w:fill="FFFFFF"/>
          <w:vAlign w:val="bottom"/>
        </w:tcPr>
        <w:p w14:paraId="6B18EE1D" w14:textId="77777777" w:rsidR="00450430" w:rsidRDefault="00450430">
          <w:pPr>
            <w:pStyle w:val="Header"/>
            <w:jc w:val="right"/>
          </w:pPr>
          <w:r>
            <w:rPr>
              <w:noProof/>
              <w:lang w:val="en-US"/>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450430" w:rsidRDefault="00450430">
    <w:pPr>
      <w:pStyle w:val="NoSpacing"/>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05B87" w14:textId="77777777" w:rsidR="00450430" w:rsidRDefault="00450430">
      <w:pPr>
        <w:spacing w:after="0" w:line="240" w:lineRule="auto"/>
      </w:pPr>
      <w:r>
        <w:separator/>
      </w:r>
    </w:p>
  </w:footnote>
  <w:footnote w:type="continuationSeparator" w:id="0">
    <w:p w14:paraId="7DAC5952" w14:textId="77777777" w:rsidR="00450430" w:rsidRDefault="00450430">
      <w:pPr>
        <w:spacing w:after="0" w:line="240" w:lineRule="auto"/>
      </w:pPr>
      <w:r>
        <w:continuationSeparator/>
      </w:r>
    </w:p>
  </w:footnote>
  <w:footnote w:id="1">
    <w:p w14:paraId="24C17DC8" w14:textId="77777777" w:rsidR="00450430" w:rsidRDefault="00450430"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450430" w:rsidRDefault="00450430"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450430" w:rsidRDefault="00450430"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450430" w:rsidRDefault="00450430"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0A4142EF" w14:textId="6936DEDE" w:rsidR="00450430" w:rsidRPr="007A5850" w:rsidRDefault="00450430">
      <w:pPr>
        <w:pStyle w:val="FootnoteText"/>
        <w:rPr>
          <w:lang w:val="en-US"/>
        </w:rPr>
      </w:pPr>
      <w:r>
        <w:rPr>
          <w:rStyle w:val="FootnoteReference"/>
        </w:rPr>
        <w:footnoteRef/>
      </w:r>
      <w:r>
        <w:t xml:space="preserve"> </w:t>
      </w:r>
      <w:hyperlink r:id="rId5" w:history="1">
        <w:r w:rsidRPr="005136E3">
          <w:rPr>
            <w:rStyle w:val="Hyperlink"/>
          </w:rPr>
          <w:t>https://documents.egi.eu/document/2675</w:t>
        </w:r>
      </w:hyperlink>
      <w:r>
        <w:t xml:space="preserve"> </w:t>
      </w:r>
    </w:p>
  </w:footnote>
  <w:footnote w:id="6">
    <w:p w14:paraId="23A7C59C" w14:textId="77777777" w:rsidR="00450430" w:rsidRDefault="00450430" w:rsidP="00431873">
      <w:pPr>
        <w:pStyle w:val="FootnoteText"/>
      </w:pPr>
      <w:r>
        <w:rPr>
          <w:rStyle w:val="FootnoteReference"/>
        </w:rPr>
        <w:footnoteRef/>
      </w:r>
      <w:r>
        <w:t xml:space="preserve"> </w:t>
      </w:r>
      <w:hyperlink r:id="rId6" w:history="1">
        <w:r w:rsidRPr="0000621C">
          <w:rPr>
            <w:rStyle w:val="Hyperlink"/>
          </w:rPr>
          <w:t>http://www.eudat.eu/</w:t>
        </w:r>
      </w:hyperlink>
      <w:r>
        <w:t xml:space="preserve"> </w:t>
      </w:r>
    </w:p>
  </w:footnote>
  <w:footnote w:id="7">
    <w:p w14:paraId="7BDF90BA" w14:textId="22CFF5C4" w:rsidR="00450430" w:rsidRDefault="00450430" w:rsidP="00A75645">
      <w:pPr>
        <w:pStyle w:val="FootnoteText"/>
      </w:pPr>
      <w:r>
        <w:rPr>
          <w:rStyle w:val="FootnoteReference"/>
        </w:rPr>
        <w:footnoteRef/>
      </w:r>
      <w:r>
        <w:t xml:space="preserve"> </w:t>
      </w:r>
      <w:r w:rsidRPr="00CE769E">
        <w:t>It is worth noting that the MONARC repor</w:t>
      </w:r>
      <w:r>
        <w:t>t is now considered out-dated</w:t>
      </w:r>
      <w:r w:rsidRPr="00CE769E">
        <w:t xml:space="preserve"> following the initial experience of running the WLCG and the advances in the capabilit</w:t>
      </w:r>
      <w:r>
        <w:t>y of the international networks. A</w:t>
      </w:r>
      <w:r w:rsidRPr="00CE769E">
        <w:t>n evolved technical architecture is now being established that is less hierarchical in its data flows.</w:t>
      </w:r>
    </w:p>
  </w:footnote>
  <w:footnote w:id="8">
    <w:p w14:paraId="620446F6" w14:textId="77777777" w:rsidR="00450430" w:rsidRDefault="00450430" w:rsidP="00A75645">
      <w:pPr>
        <w:pStyle w:val="FootnoteText"/>
        <w:jc w:val="left"/>
      </w:pPr>
      <w:r>
        <w:rPr>
          <w:rStyle w:val="FootnoteReference"/>
        </w:rPr>
        <w:footnoteRef/>
      </w:r>
      <w:r>
        <w:t xml:space="preserve"> </w:t>
      </w:r>
      <w:r w:rsidRPr="006E17D0">
        <w:t>ELIXIR AAI – Requirements and Design</w:t>
      </w:r>
      <w:r>
        <w:t xml:space="preserve">: </w:t>
      </w:r>
      <w:hyperlink r:id="rId7" w:history="1">
        <w:r w:rsidRPr="0000621C">
          <w:rPr>
            <w:rStyle w:val="Hyperlink"/>
          </w:rPr>
          <w:t>https://docs.google.com/document/d/1CMY1np3GyvPD8LcKvXljXcRO04V2zu3n_Jcg19jgNOw/edit</w:t>
        </w:r>
      </w:hyperlink>
      <w:r>
        <w:t xml:space="preserve"> </w:t>
      </w:r>
    </w:p>
  </w:footnote>
  <w:footnote w:id="9">
    <w:p w14:paraId="592325BB" w14:textId="77777777" w:rsidR="00450430" w:rsidRDefault="00450430" w:rsidP="00A75645">
      <w:pPr>
        <w:pStyle w:val="FootnoteText"/>
      </w:pPr>
      <w:r>
        <w:rPr>
          <w:rStyle w:val="FootnoteReference"/>
        </w:rPr>
        <w:footnoteRef/>
      </w:r>
      <w:r>
        <w:t xml:space="preserve"> </w:t>
      </w:r>
      <w:hyperlink r:id="rId8" w:history="1">
        <w:r w:rsidRPr="0000621C">
          <w:rPr>
            <w:rStyle w:val="Hyperlink"/>
          </w:rPr>
          <w:t>https://www.egi.eu/solutions/fed-cloud/index.html</w:t>
        </w:r>
      </w:hyperlink>
      <w:r>
        <w:t xml:space="preserve"> </w:t>
      </w:r>
    </w:p>
  </w:footnote>
  <w:footnote w:id="10">
    <w:p w14:paraId="346B5306" w14:textId="77777777" w:rsidR="00450430" w:rsidRDefault="00450430" w:rsidP="00A75645">
      <w:pPr>
        <w:pStyle w:val="FootnoteText"/>
      </w:pPr>
      <w:r>
        <w:rPr>
          <w:rStyle w:val="FootnoteReference"/>
        </w:rPr>
        <w:footnoteRef/>
      </w:r>
      <w:r>
        <w:t xml:space="preserve"> </w:t>
      </w:r>
      <w:hyperlink r:id="rId9" w:history="1">
        <w:r w:rsidRPr="0000621C">
          <w:rPr>
            <w:rStyle w:val="Hyperlink"/>
          </w:rPr>
          <w:t>https://www.egi.eu/solutions/fed-ops/index.html</w:t>
        </w:r>
      </w:hyperlink>
      <w:r>
        <w:t xml:space="preserve"> </w:t>
      </w:r>
    </w:p>
  </w:footnote>
  <w:footnote w:id="11">
    <w:p w14:paraId="021C7C5E" w14:textId="2D31F805" w:rsidR="00450430" w:rsidRPr="0058190B" w:rsidRDefault="00450430">
      <w:pPr>
        <w:pStyle w:val="FootnoteText"/>
        <w:rPr>
          <w:lang w:val="en-US"/>
        </w:rPr>
      </w:pPr>
      <w:r>
        <w:rPr>
          <w:rStyle w:val="FootnoteReference"/>
        </w:rPr>
        <w:footnoteRef/>
      </w:r>
      <w:r>
        <w:t xml:space="preserve"> </w:t>
      </w:r>
      <w:hyperlink r:id="rId10" w:history="1">
        <w:r w:rsidRPr="00B54DAF">
          <w:rPr>
            <w:rStyle w:val="Hyperlink"/>
            <w:lang w:val="en-US"/>
          </w:rPr>
          <w:t>https://appdb.egi.eu/browse/cloud</w:t>
        </w:r>
      </w:hyperlink>
      <w:r>
        <w:rPr>
          <w:lang w:val="en-US"/>
        </w:rPr>
        <w:t xml:space="preserve"> </w:t>
      </w:r>
    </w:p>
  </w:footnote>
  <w:footnote w:id="12">
    <w:p w14:paraId="015383AB" w14:textId="77777777" w:rsidR="00450430" w:rsidRPr="0058190B" w:rsidRDefault="00450430" w:rsidP="00C9780E">
      <w:pPr>
        <w:pStyle w:val="FootnoteText"/>
        <w:rPr>
          <w:lang w:val="en-US"/>
        </w:rPr>
      </w:pPr>
      <w:r>
        <w:rPr>
          <w:rStyle w:val="FootnoteReference"/>
        </w:rPr>
        <w:footnoteRef/>
      </w:r>
      <w:r>
        <w:t xml:space="preserve"> OpenStack, </w:t>
      </w:r>
      <w:proofErr w:type="spellStart"/>
      <w:r>
        <w:rPr>
          <w:lang w:val="en-US"/>
        </w:rPr>
        <w:t>OpenNebula</w:t>
      </w:r>
      <w:proofErr w:type="spellEnd"/>
      <w:r>
        <w:rPr>
          <w:lang w:val="en-US"/>
        </w:rPr>
        <w:t xml:space="preserve"> and </w:t>
      </w:r>
      <w:proofErr w:type="spellStart"/>
      <w:r>
        <w:rPr>
          <w:lang w:val="en-US"/>
        </w:rPr>
        <w:t>Synnefo</w:t>
      </w:r>
      <w:proofErr w:type="spellEnd"/>
      <w:r>
        <w:rPr>
          <w:lang w:val="en-US"/>
        </w:rPr>
        <w:t xml:space="preserve"> are those cloud management frameworks for which integration components already exists. Integrator components can be developed for additional cloud system if needed.</w:t>
      </w:r>
    </w:p>
  </w:footnote>
  <w:footnote w:id="13">
    <w:p w14:paraId="70FB4D02" w14:textId="0BBEF7E3" w:rsidR="00450430" w:rsidRPr="000506C8" w:rsidRDefault="00450430">
      <w:pPr>
        <w:pStyle w:val="FootnoteText"/>
        <w:rPr>
          <w:lang w:val="en-US"/>
        </w:rPr>
      </w:pPr>
      <w:r>
        <w:rPr>
          <w:rStyle w:val="FootnoteReference"/>
        </w:rPr>
        <w:footnoteRef/>
      </w:r>
      <w:r>
        <w:t xml:space="preserve"> </w:t>
      </w:r>
      <w:r>
        <w:rPr>
          <w:lang w:val="en-US"/>
        </w:rPr>
        <w:t xml:space="preserve">The ‘ID card’ of the ELIXIR VO in the EGI Operations Portal: </w:t>
      </w:r>
      <w:hyperlink r:id="rId11" w:history="1">
        <w:r w:rsidRPr="005136E3">
          <w:rPr>
            <w:rStyle w:val="Hyperlink"/>
            <w:lang w:val="en-US"/>
          </w:rPr>
          <w:t>http://operations-portal.egi.eu/vo/view/voname/vo.elixir-europe.org</w:t>
        </w:r>
      </w:hyperlink>
      <w:r>
        <w:rPr>
          <w:lang w:val="en-US"/>
        </w:rPr>
        <w:t xml:space="preserve"> </w:t>
      </w:r>
    </w:p>
  </w:footnote>
  <w:footnote w:id="14">
    <w:p w14:paraId="7BEEF6F5" w14:textId="77777777" w:rsidR="00450430" w:rsidRPr="00090A63" w:rsidRDefault="00450430" w:rsidP="00C9780E">
      <w:pPr>
        <w:pStyle w:val="FootnoteText"/>
        <w:rPr>
          <w:lang w:val="es-ES"/>
        </w:rPr>
      </w:pPr>
      <w:r>
        <w:rPr>
          <w:rStyle w:val="FootnoteReference"/>
        </w:rPr>
        <w:footnoteRef/>
      </w:r>
      <w:r>
        <w:t xml:space="preserve"> </w:t>
      </w:r>
      <w:r w:rsidRPr="00090A63">
        <w:t>https://wiki.egi.eu/wiki/MAN10</w:t>
      </w:r>
    </w:p>
  </w:footnote>
  <w:footnote w:id="15">
    <w:p w14:paraId="19850BEB" w14:textId="77777777" w:rsidR="00450430" w:rsidRPr="003754A8" w:rsidRDefault="00450430" w:rsidP="00C9780E">
      <w:pPr>
        <w:pStyle w:val="FootnoteText"/>
        <w:rPr>
          <w:lang w:val="es-ES"/>
        </w:rPr>
      </w:pPr>
      <w:r>
        <w:rPr>
          <w:rStyle w:val="FootnoteReference"/>
        </w:rPr>
        <w:footnoteRef/>
      </w:r>
      <w:r w:rsidRPr="00FA2573">
        <w:rPr>
          <w:lang w:val="es-ES"/>
        </w:rPr>
        <w:t xml:space="preserve"> https://wiki.egi.eu/wiki/PROC09_Resource_Centre_Registration_and_Certification</w:t>
      </w:r>
    </w:p>
  </w:footnote>
  <w:footnote w:id="16">
    <w:p w14:paraId="2026FF94" w14:textId="77777777" w:rsidR="00450430" w:rsidRPr="00BE73EF" w:rsidRDefault="00450430" w:rsidP="00C9780E">
      <w:pPr>
        <w:pStyle w:val="FootnoteText"/>
        <w:rPr>
          <w:lang w:val="es-ES"/>
        </w:rPr>
      </w:pPr>
      <w:r>
        <w:rPr>
          <w:rStyle w:val="FootnoteReference"/>
        </w:rPr>
        <w:footnoteRef/>
      </w:r>
      <w:r w:rsidRPr="00530A7D">
        <w:rPr>
          <w:lang w:val="es-ES"/>
        </w:rPr>
        <w:t xml:space="preserve"> https://wiki.egi.eu/wiki/MAN10#Integrating_OpenStack</w:t>
      </w:r>
    </w:p>
  </w:footnote>
  <w:footnote w:id="17">
    <w:p w14:paraId="13279601" w14:textId="77777777" w:rsidR="00450430" w:rsidRPr="00BE73EF" w:rsidRDefault="00450430" w:rsidP="00C9780E">
      <w:pPr>
        <w:pStyle w:val="FootnoteText"/>
        <w:rPr>
          <w:lang w:val="es-ES"/>
        </w:rPr>
      </w:pPr>
      <w:r>
        <w:rPr>
          <w:rStyle w:val="FootnoteReference"/>
        </w:rPr>
        <w:footnoteRef/>
      </w:r>
      <w:r w:rsidRPr="00530A7D">
        <w:rPr>
          <w:lang w:val="es-ES"/>
        </w:rPr>
        <w:t xml:space="preserve"> https://wiki.egi.eu/wiki/MAN10#Integrating_OpenNebula</w:t>
      </w:r>
    </w:p>
  </w:footnote>
  <w:footnote w:id="18">
    <w:p w14:paraId="70B2518B" w14:textId="77777777" w:rsidR="00450430" w:rsidRPr="004B5A11" w:rsidRDefault="00450430" w:rsidP="00C9780E">
      <w:pPr>
        <w:pStyle w:val="FootnoteText"/>
        <w:rPr>
          <w:lang w:val="es-ES"/>
        </w:rPr>
      </w:pPr>
      <w:r>
        <w:rPr>
          <w:rStyle w:val="FootnoteReference"/>
        </w:rPr>
        <w:footnoteRef/>
      </w:r>
      <w:r w:rsidRPr="00530A7D">
        <w:rPr>
          <w:lang w:val="es-ES"/>
        </w:rPr>
        <w:t xml:space="preserve"> https://perun.metacentrum.cz/</w:t>
      </w:r>
    </w:p>
  </w:footnote>
  <w:footnote w:id="19">
    <w:p w14:paraId="03EF2FA5" w14:textId="77777777" w:rsidR="00450430" w:rsidRPr="00530A7D" w:rsidRDefault="00450430" w:rsidP="00C9780E">
      <w:pPr>
        <w:pStyle w:val="FootnoteText"/>
        <w:rPr>
          <w:lang w:val="es-ES"/>
        </w:rPr>
      </w:pPr>
      <w:r>
        <w:rPr>
          <w:rStyle w:val="FootnoteReference"/>
        </w:rPr>
        <w:footnoteRef/>
      </w:r>
      <w:r w:rsidRPr="00530A7D">
        <w:rPr>
          <w:lang w:val="es-ES"/>
        </w:rPr>
        <w:t xml:space="preserve"> https://www.synnefo.org</w:t>
      </w:r>
    </w:p>
  </w:footnote>
  <w:footnote w:id="20">
    <w:p w14:paraId="0A038105" w14:textId="77777777" w:rsidR="00450430" w:rsidRPr="00530A7D" w:rsidRDefault="00450430" w:rsidP="00C9780E">
      <w:pPr>
        <w:pStyle w:val="FootnoteText"/>
        <w:rPr>
          <w:lang w:val="es-ES"/>
        </w:rPr>
      </w:pPr>
      <w:r>
        <w:rPr>
          <w:rStyle w:val="FootnoteReference"/>
        </w:rPr>
        <w:footnoteRef/>
      </w:r>
      <w:r w:rsidRPr="00530A7D">
        <w:rPr>
          <w:lang w:val="es-ES"/>
        </w:rPr>
        <w:t xml:space="preserve"> </w:t>
      </w:r>
      <w:hyperlink r:id="rId12" w:history="1">
        <w:r w:rsidRPr="00530A7D">
          <w:rPr>
            <w:rStyle w:val="Hyperlink"/>
            <w:lang w:val="es-ES"/>
          </w:rPr>
          <w:t>https://github.com/grnet/snf-occi</w:t>
        </w:r>
      </w:hyperlink>
      <w:r w:rsidRPr="00530A7D">
        <w:rPr>
          <w:lang w:val="es-ES"/>
        </w:rPr>
        <w:t xml:space="preserve"> </w:t>
      </w:r>
    </w:p>
  </w:footnote>
  <w:footnote w:id="21">
    <w:p w14:paraId="43795982" w14:textId="77777777" w:rsidR="00450430" w:rsidRPr="00530A7D" w:rsidRDefault="00450430" w:rsidP="00C9780E">
      <w:pPr>
        <w:pStyle w:val="FootnoteText"/>
        <w:rPr>
          <w:lang w:val="es-ES"/>
        </w:rPr>
      </w:pPr>
      <w:r>
        <w:rPr>
          <w:rStyle w:val="FootnoteReference"/>
        </w:rPr>
        <w:footnoteRef/>
      </w:r>
      <w:r w:rsidRPr="00530A7D">
        <w:rPr>
          <w:lang w:val="es-ES"/>
        </w:rPr>
        <w:t xml:space="preserve"> </w:t>
      </w:r>
    </w:p>
  </w:footnote>
  <w:footnote w:id="22">
    <w:p w14:paraId="216BAF03" w14:textId="77777777" w:rsidR="00450430" w:rsidRPr="00530A7D" w:rsidRDefault="00450430" w:rsidP="00C9780E">
      <w:pPr>
        <w:pStyle w:val="FootnoteText"/>
        <w:rPr>
          <w:lang w:val="es-ES"/>
        </w:rPr>
      </w:pPr>
      <w:r>
        <w:rPr>
          <w:rStyle w:val="FootnoteReference"/>
        </w:rPr>
        <w:footnoteRef/>
      </w:r>
      <w:r w:rsidRPr="00530A7D">
        <w:rPr>
          <w:lang w:val="es-ES"/>
        </w:rPr>
        <w:t xml:space="preserve"> </w:t>
      </w:r>
      <w:hyperlink r:id="rId13" w:history="1">
        <w:r w:rsidRPr="00530A7D">
          <w:rPr>
            <w:rStyle w:val="Hyperlink"/>
            <w:lang w:val="es-ES"/>
          </w:rPr>
          <w:t>https://github.com/grnet/snf-cdmi</w:t>
        </w:r>
      </w:hyperlink>
      <w:r w:rsidRPr="00530A7D">
        <w:rPr>
          <w:lang w:val="es-ES"/>
        </w:rPr>
        <w:t xml:space="preserve"> </w:t>
      </w:r>
    </w:p>
  </w:footnote>
  <w:footnote w:id="23">
    <w:p w14:paraId="3B25D750" w14:textId="77777777" w:rsidR="00450430" w:rsidRPr="00530A7D" w:rsidRDefault="00450430" w:rsidP="00C9780E">
      <w:pPr>
        <w:pStyle w:val="FootnoteText"/>
        <w:rPr>
          <w:lang w:val="es-ES"/>
        </w:rPr>
      </w:pPr>
      <w:r>
        <w:rPr>
          <w:rStyle w:val="FootnoteReference"/>
        </w:rPr>
        <w:footnoteRef/>
      </w:r>
      <w:r w:rsidRPr="00530A7D">
        <w:rPr>
          <w:lang w:val="es-ES"/>
        </w:rPr>
        <w:t xml:space="preserve"> </w:t>
      </w:r>
      <w:hyperlink r:id="rId14" w:history="1">
        <w:r w:rsidRPr="00530A7D">
          <w:rPr>
            <w:rStyle w:val="Hyperlink"/>
            <w:lang w:val="es-ES"/>
          </w:rPr>
          <w:t>https://github.com/grnet/snf-ssm</w:t>
        </w:r>
      </w:hyperlink>
      <w:r w:rsidRPr="00530A7D">
        <w:rPr>
          <w:lang w:val="es-ES"/>
        </w:rPr>
        <w:t xml:space="preserve"> </w:t>
      </w:r>
    </w:p>
  </w:footnote>
  <w:footnote w:id="24">
    <w:p w14:paraId="35C1EE02" w14:textId="77777777" w:rsidR="00450430" w:rsidRPr="00530A7D" w:rsidRDefault="00450430" w:rsidP="00C9780E">
      <w:pPr>
        <w:pStyle w:val="FootnoteText"/>
        <w:rPr>
          <w:lang w:val="es-ES"/>
        </w:rPr>
      </w:pPr>
      <w:r>
        <w:rPr>
          <w:rStyle w:val="FootnoteReference"/>
        </w:rPr>
        <w:footnoteRef/>
      </w:r>
      <w:r w:rsidRPr="00530A7D">
        <w:rPr>
          <w:lang w:val="es-ES"/>
        </w:rPr>
        <w:t xml:space="preserve"> https://github.com/grnet/snf-vmcatcher</w:t>
      </w:r>
    </w:p>
  </w:footnote>
  <w:footnote w:id="25">
    <w:p w14:paraId="5771FBB1" w14:textId="77777777" w:rsidR="00450430" w:rsidRPr="007212E9" w:rsidRDefault="00450430" w:rsidP="00EE6A59">
      <w:pPr>
        <w:pStyle w:val="FootnoteText"/>
        <w:rPr>
          <w:lang w:val="en-US"/>
        </w:rPr>
      </w:pPr>
      <w:r>
        <w:rPr>
          <w:rStyle w:val="FootnoteReference"/>
        </w:rPr>
        <w:footnoteRef/>
      </w:r>
      <w:r>
        <w:t xml:space="preserve"> </w:t>
      </w:r>
      <w:r>
        <w:rPr>
          <w:lang w:val="en-US"/>
        </w:rPr>
        <w:t xml:space="preserve">The EGI AAI Proxy service was developed by the JRA1.1 task of EGI-Engage: </w:t>
      </w:r>
      <w:hyperlink r:id="rId15" w:anchor="TASK_JRA1.1_Authentication_and_Authorisation_Infrastructure" w:history="1">
        <w:r w:rsidRPr="00B54DAF">
          <w:rPr>
            <w:rStyle w:val="Hyperlink"/>
            <w:lang w:val="en-US"/>
          </w:rPr>
          <w:t>https://wiki.egi.eu/wiki/EGI-Engage:WP3#TASK_JRA1.1_Authentication_and_Authorisation_Infrastructure</w:t>
        </w:r>
      </w:hyperlink>
      <w:r>
        <w:rPr>
          <w:lang w:val="en-US"/>
        </w:rPr>
        <w:t xml:space="preserve"> </w:t>
      </w:r>
    </w:p>
  </w:footnote>
  <w:footnote w:id="26">
    <w:p w14:paraId="373F9314" w14:textId="6A7CCB18" w:rsidR="00450430" w:rsidRPr="00376C43" w:rsidRDefault="00450430">
      <w:pPr>
        <w:pStyle w:val="FootnoteText"/>
        <w:rPr>
          <w:lang w:val="en-US"/>
        </w:rPr>
      </w:pPr>
      <w:r>
        <w:rPr>
          <w:rStyle w:val="FootnoteReference"/>
        </w:rPr>
        <w:footnoteRef/>
      </w:r>
      <w:r>
        <w:t xml:space="preserve"> The required attributes are </w:t>
      </w:r>
      <w:proofErr w:type="spellStart"/>
      <w:r>
        <w:t>eduPersonalUniqueId</w:t>
      </w:r>
      <w:proofErr w:type="spellEnd"/>
      <w:r>
        <w:t xml:space="preserve"> and the username-based </w:t>
      </w:r>
      <w:proofErr w:type="spellStart"/>
      <w:r>
        <w:t>eduPersonPrincipalName</w:t>
      </w:r>
      <w:proofErr w:type="spellEnd"/>
      <w:r>
        <w:t xml:space="preserve"> user identifier (scoped at </w:t>
      </w:r>
      <w:hyperlink r:id="rId16" w:history="1">
        <w:r>
          <w:rPr>
            <w:rStyle w:val="Hyperlink"/>
          </w:rPr>
          <w:t>elixir-europe.org</w:t>
        </w:r>
      </w:hyperlink>
      <w:r>
        <w:t xml:space="preserve"> in the case of ELIXIR).</w:t>
      </w:r>
    </w:p>
  </w:footnote>
  <w:footnote w:id="27">
    <w:p w14:paraId="48E49F1D" w14:textId="48A32686" w:rsidR="00450430" w:rsidRPr="00DD4B00" w:rsidRDefault="00450430">
      <w:pPr>
        <w:pStyle w:val="FootnoteText"/>
        <w:rPr>
          <w:lang w:val="en-US"/>
        </w:rPr>
      </w:pPr>
      <w:r>
        <w:rPr>
          <w:rStyle w:val="FootnoteReference"/>
        </w:rPr>
        <w:footnoteRef/>
      </w:r>
      <w:r>
        <w:t xml:space="preserve"> </w:t>
      </w:r>
      <w:proofErr w:type="spellStart"/>
      <w:r>
        <w:rPr>
          <w:lang w:val="en-US"/>
        </w:rPr>
        <w:t>LoA</w:t>
      </w:r>
      <w:proofErr w:type="spellEnd"/>
      <w:r>
        <w:rPr>
          <w:lang w:val="en-US"/>
        </w:rPr>
        <w:t xml:space="preserve"> expresses the </w:t>
      </w:r>
      <w:r w:rsidRPr="00DD4B00">
        <w:rPr>
          <w:lang w:val="en-US"/>
        </w:rPr>
        <w:t xml:space="preserve">ability to determine, with some level of certainty, that </w:t>
      </w:r>
      <w:r>
        <w:rPr>
          <w:lang w:val="en-US"/>
        </w:rPr>
        <w:t>the</w:t>
      </w:r>
      <w:r w:rsidRPr="00DD4B00">
        <w:rPr>
          <w:lang w:val="en-US"/>
        </w:rPr>
        <w:t xml:space="preserve"> electronic credential representing an entity (human or a machine) with which it interacts to effect a transaction, can be trusted to actually belong to the entity.</w:t>
      </w:r>
    </w:p>
  </w:footnote>
  <w:footnote w:id="28">
    <w:p w14:paraId="6B219F30" w14:textId="77777777" w:rsidR="00450430" w:rsidRPr="00914076" w:rsidRDefault="00450430" w:rsidP="00914076">
      <w:pPr>
        <w:pStyle w:val="FootnoteText"/>
        <w:rPr>
          <w:lang w:val="es-ES"/>
        </w:rPr>
      </w:pPr>
      <w:r>
        <w:rPr>
          <w:rStyle w:val="FootnoteReference"/>
        </w:rPr>
        <w:footnoteRef/>
      </w:r>
      <w:r>
        <w:t xml:space="preserve"> </w:t>
      </w:r>
      <w:hyperlink r:id="rId17" w:history="1">
        <w:r w:rsidRPr="00C876DD">
          <w:rPr>
            <w:rStyle w:val="Hyperlink"/>
          </w:rPr>
          <w:t>http://docs.openstack.org/developer/keystone/federation/federated_identity.html</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C788F" w14:textId="77777777" w:rsidR="00450430" w:rsidRDefault="00450430"/>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31CB" w14:textId="77777777" w:rsidR="00450430" w:rsidRDefault="00450430"/>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6" w:type="dxa"/>
      <w:tblLayout w:type="fixed"/>
      <w:tblLook w:val="0000" w:firstRow="0" w:lastRow="0" w:firstColumn="0" w:lastColumn="0" w:noHBand="0" w:noVBand="0"/>
    </w:tblPr>
    <w:tblGrid>
      <w:gridCol w:w="3060"/>
    </w:tblGrid>
    <w:tr w:rsidR="00450430" w14:paraId="3D12E6D2" w14:textId="77777777">
      <w:trPr>
        <w:trHeight w:val="857"/>
      </w:trPr>
      <w:tc>
        <w:tcPr>
          <w:tcW w:w="3060" w:type="dxa"/>
          <w:tcBorders>
            <w:top w:val="single" w:sz="4" w:space="0" w:color="000000"/>
          </w:tcBorders>
          <w:shd w:val="clear" w:color="auto" w:fill="FFFFFF"/>
          <w:vAlign w:val="bottom"/>
        </w:tcPr>
        <w:p w14:paraId="74F383C4" w14:textId="77777777" w:rsidR="00450430" w:rsidRDefault="00450430"/>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2AFA8A"/>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6E53C7"/>
    <w:multiLevelType w:val="hybridMultilevel"/>
    <w:tmpl w:val="416A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337784D"/>
    <w:multiLevelType w:val="multilevel"/>
    <w:tmpl w:val="CBDE7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04BA767C"/>
    <w:multiLevelType w:val="hybridMultilevel"/>
    <w:tmpl w:val="B856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2B752D"/>
    <w:multiLevelType w:val="hybridMultilevel"/>
    <w:tmpl w:val="0C4A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2E0584"/>
    <w:multiLevelType w:val="hybridMultilevel"/>
    <w:tmpl w:val="E7AA1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8D3007"/>
    <w:multiLevelType w:val="hybridMultilevel"/>
    <w:tmpl w:val="781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5E90C6A"/>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02D5B56"/>
    <w:multiLevelType w:val="hybridMultilevel"/>
    <w:tmpl w:val="7472D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DF5D31"/>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AF1659"/>
    <w:multiLevelType w:val="hybridMultilevel"/>
    <w:tmpl w:val="25302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CB4286"/>
    <w:multiLevelType w:val="multilevel"/>
    <w:tmpl w:val="BCD6D2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nsid w:val="437775C8"/>
    <w:multiLevelType w:val="hybridMultilevel"/>
    <w:tmpl w:val="AA8A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EC0657"/>
    <w:multiLevelType w:val="hybridMultilevel"/>
    <w:tmpl w:val="B89483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45CB4A69"/>
    <w:multiLevelType w:val="hybridMultilevel"/>
    <w:tmpl w:val="CEAE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D83C89"/>
    <w:multiLevelType w:val="hybridMultilevel"/>
    <w:tmpl w:val="2DD8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B12729"/>
    <w:multiLevelType w:val="hybridMultilevel"/>
    <w:tmpl w:val="EF3A05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DD2EF3"/>
    <w:multiLevelType w:val="hybridMultilevel"/>
    <w:tmpl w:val="B1463C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C1751DE"/>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4C730AD9"/>
    <w:multiLevelType w:val="hybridMultilevel"/>
    <w:tmpl w:val="9838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D248A9"/>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59DE70F9"/>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B2D19E2"/>
    <w:multiLevelType w:val="hybridMultilevel"/>
    <w:tmpl w:val="5AD4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96214A"/>
    <w:multiLevelType w:val="hybridMultilevel"/>
    <w:tmpl w:val="7E1EBB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F84BD7"/>
    <w:multiLevelType w:val="hybridMultilevel"/>
    <w:tmpl w:val="8DA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AA4586"/>
    <w:multiLevelType w:val="hybridMultilevel"/>
    <w:tmpl w:val="AC8AA3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nsid w:val="6AE05C3F"/>
    <w:multiLevelType w:val="hybridMultilevel"/>
    <w:tmpl w:val="6378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B53C48"/>
    <w:multiLevelType w:val="multilevel"/>
    <w:tmpl w:val="D0607C5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7">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nsid w:val="6F9736BA"/>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71355850"/>
    <w:multiLevelType w:val="hybridMultilevel"/>
    <w:tmpl w:val="971C9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C026AF"/>
    <w:multiLevelType w:val="hybridMultilevel"/>
    <w:tmpl w:val="8DEC1C3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nsid w:val="75965DDB"/>
    <w:multiLevelType w:val="hybridMultilevel"/>
    <w:tmpl w:val="D37E2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11382E"/>
    <w:multiLevelType w:val="hybridMultilevel"/>
    <w:tmpl w:val="F64A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C3C5F09"/>
    <w:multiLevelType w:val="hybridMultilevel"/>
    <w:tmpl w:val="DB165D7A"/>
    <w:lvl w:ilvl="0" w:tplc="9F9C8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851B98"/>
    <w:multiLevelType w:val="hybridMultilevel"/>
    <w:tmpl w:val="7518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7"/>
  </w:num>
  <w:num w:numId="5">
    <w:abstractNumId w:val="10"/>
  </w:num>
  <w:num w:numId="6">
    <w:abstractNumId w:val="4"/>
  </w:num>
  <w:num w:numId="7">
    <w:abstractNumId w:val="46"/>
  </w:num>
  <w:num w:numId="8">
    <w:abstractNumId w:val="11"/>
  </w:num>
  <w:num w:numId="9">
    <w:abstractNumId w:val="24"/>
  </w:num>
  <w:num w:numId="10">
    <w:abstractNumId w:val="15"/>
  </w:num>
  <w:num w:numId="11">
    <w:abstractNumId w:val="28"/>
  </w:num>
  <w:num w:numId="12">
    <w:abstractNumId w:val="43"/>
  </w:num>
  <w:num w:numId="13">
    <w:abstractNumId w:val="25"/>
  </w:num>
  <w:num w:numId="14">
    <w:abstractNumId w:val="23"/>
  </w:num>
  <w:num w:numId="15">
    <w:abstractNumId w:val="34"/>
  </w:num>
  <w:num w:numId="16">
    <w:abstractNumId w:val="27"/>
  </w:num>
  <w:num w:numId="17">
    <w:abstractNumId w:val="42"/>
  </w:num>
  <w:num w:numId="18">
    <w:abstractNumId w:val="6"/>
  </w:num>
  <w:num w:numId="19">
    <w:abstractNumId w:val="18"/>
  </w:num>
  <w:num w:numId="20">
    <w:abstractNumId w:val="5"/>
  </w:num>
  <w:num w:numId="21">
    <w:abstractNumId w:val="17"/>
  </w:num>
  <w:num w:numId="22">
    <w:abstractNumId w:val="36"/>
  </w:num>
  <w:num w:numId="23">
    <w:abstractNumId w:val="33"/>
  </w:num>
  <w:num w:numId="24">
    <w:abstractNumId w:val="8"/>
  </w:num>
  <w:num w:numId="25">
    <w:abstractNumId w:val="29"/>
  </w:num>
  <w:num w:numId="26">
    <w:abstractNumId w:val="9"/>
  </w:num>
  <w:num w:numId="27">
    <w:abstractNumId w:val="21"/>
  </w:num>
  <w:num w:numId="28">
    <w:abstractNumId w:val="31"/>
  </w:num>
  <w:num w:numId="29">
    <w:abstractNumId w:val="13"/>
  </w:num>
  <w:num w:numId="30">
    <w:abstractNumId w:val="39"/>
  </w:num>
  <w:num w:numId="31">
    <w:abstractNumId w:val="7"/>
  </w:num>
  <w:num w:numId="32">
    <w:abstractNumId w:val="45"/>
  </w:num>
  <w:num w:numId="33">
    <w:abstractNumId w:val="35"/>
  </w:num>
  <w:num w:numId="34">
    <w:abstractNumId w:val="3"/>
  </w:num>
  <w:num w:numId="35">
    <w:abstractNumId w:val="41"/>
  </w:num>
  <w:num w:numId="36">
    <w:abstractNumId w:val="32"/>
  </w:num>
  <w:num w:numId="37">
    <w:abstractNumId w:val="22"/>
  </w:num>
  <w:num w:numId="38">
    <w:abstractNumId w:val="20"/>
  </w:num>
  <w:num w:numId="39">
    <w:abstractNumId w:val="16"/>
  </w:num>
  <w:num w:numId="40">
    <w:abstractNumId w:val="44"/>
  </w:num>
  <w:num w:numId="41">
    <w:abstractNumId w:val="19"/>
  </w:num>
  <w:num w:numId="42">
    <w:abstractNumId w:val="40"/>
  </w:num>
  <w:num w:numId="43">
    <w:abstractNumId w:val="12"/>
  </w:num>
  <w:num w:numId="44">
    <w:abstractNumId w:val="26"/>
  </w:num>
  <w:num w:numId="45">
    <w:abstractNumId w:val="14"/>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FF"/>
    <w:rsid w:val="000034E9"/>
    <w:rsid w:val="00037DBD"/>
    <w:rsid w:val="00046E5A"/>
    <w:rsid w:val="000506C8"/>
    <w:rsid w:val="00051947"/>
    <w:rsid w:val="00054EFF"/>
    <w:rsid w:val="00057A5D"/>
    <w:rsid w:val="00073176"/>
    <w:rsid w:val="000731CD"/>
    <w:rsid w:val="00075B24"/>
    <w:rsid w:val="0008538C"/>
    <w:rsid w:val="00087A2A"/>
    <w:rsid w:val="00090A63"/>
    <w:rsid w:val="000B26BC"/>
    <w:rsid w:val="000B4507"/>
    <w:rsid w:val="000C767B"/>
    <w:rsid w:val="000D4248"/>
    <w:rsid w:val="000E493D"/>
    <w:rsid w:val="00102545"/>
    <w:rsid w:val="001041EF"/>
    <w:rsid w:val="0016261A"/>
    <w:rsid w:val="00176578"/>
    <w:rsid w:val="00187DC1"/>
    <w:rsid w:val="001A37C4"/>
    <w:rsid w:val="001A6C2E"/>
    <w:rsid w:val="001C23D3"/>
    <w:rsid w:val="001D6686"/>
    <w:rsid w:val="001E3048"/>
    <w:rsid w:val="001F05E9"/>
    <w:rsid w:val="00226D30"/>
    <w:rsid w:val="00230F58"/>
    <w:rsid w:val="00231479"/>
    <w:rsid w:val="00234E7E"/>
    <w:rsid w:val="0027355A"/>
    <w:rsid w:val="002743EA"/>
    <w:rsid w:val="00283AD3"/>
    <w:rsid w:val="0028559F"/>
    <w:rsid w:val="00296FA9"/>
    <w:rsid w:val="002A2D02"/>
    <w:rsid w:val="002B2D16"/>
    <w:rsid w:val="002B6A70"/>
    <w:rsid w:val="002E62A4"/>
    <w:rsid w:val="002E7F2E"/>
    <w:rsid w:val="002F092C"/>
    <w:rsid w:val="00304CA6"/>
    <w:rsid w:val="00325111"/>
    <w:rsid w:val="00325ABD"/>
    <w:rsid w:val="00331899"/>
    <w:rsid w:val="00334626"/>
    <w:rsid w:val="00344BCD"/>
    <w:rsid w:val="00367038"/>
    <w:rsid w:val="003754A8"/>
    <w:rsid w:val="00376C43"/>
    <w:rsid w:val="003A44A3"/>
    <w:rsid w:val="003B3B4D"/>
    <w:rsid w:val="003C5F71"/>
    <w:rsid w:val="003C6D80"/>
    <w:rsid w:val="003E2A10"/>
    <w:rsid w:val="003F187F"/>
    <w:rsid w:val="0040474B"/>
    <w:rsid w:val="0040623A"/>
    <w:rsid w:val="0042328B"/>
    <w:rsid w:val="0042359E"/>
    <w:rsid w:val="004256FD"/>
    <w:rsid w:val="00431873"/>
    <w:rsid w:val="00450430"/>
    <w:rsid w:val="00457EAF"/>
    <w:rsid w:val="00462704"/>
    <w:rsid w:val="00466D4B"/>
    <w:rsid w:val="00467C0D"/>
    <w:rsid w:val="00467F68"/>
    <w:rsid w:val="0048110F"/>
    <w:rsid w:val="00485257"/>
    <w:rsid w:val="00495F5B"/>
    <w:rsid w:val="00496AF0"/>
    <w:rsid w:val="004B1271"/>
    <w:rsid w:val="004C06CC"/>
    <w:rsid w:val="004C424A"/>
    <w:rsid w:val="004C79FC"/>
    <w:rsid w:val="004D4994"/>
    <w:rsid w:val="004E6BBF"/>
    <w:rsid w:val="004F1DA2"/>
    <w:rsid w:val="00501FF1"/>
    <w:rsid w:val="00506A20"/>
    <w:rsid w:val="00512F50"/>
    <w:rsid w:val="00521828"/>
    <w:rsid w:val="0052529C"/>
    <w:rsid w:val="0053001C"/>
    <w:rsid w:val="00530A7D"/>
    <w:rsid w:val="0053100B"/>
    <w:rsid w:val="00536BBD"/>
    <w:rsid w:val="0058190B"/>
    <w:rsid w:val="00595D98"/>
    <w:rsid w:val="005A3B56"/>
    <w:rsid w:val="005C44AB"/>
    <w:rsid w:val="005E256F"/>
    <w:rsid w:val="005E779F"/>
    <w:rsid w:val="005F058C"/>
    <w:rsid w:val="00600E17"/>
    <w:rsid w:val="0061075F"/>
    <w:rsid w:val="00623DCD"/>
    <w:rsid w:val="00634A46"/>
    <w:rsid w:val="00654D07"/>
    <w:rsid w:val="006613E2"/>
    <w:rsid w:val="006663D4"/>
    <w:rsid w:val="006C789E"/>
    <w:rsid w:val="006F4E4B"/>
    <w:rsid w:val="007212E9"/>
    <w:rsid w:val="00737359"/>
    <w:rsid w:val="007441C3"/>
    <w:rsid w:val="0077464C"/>
    <w:rsid w:val="00774676"/>
    <w:rsid w:val="00795243"/>
    <w:rsid w:val="007A5850"/>
    <w:rsid w:val="007A5A27"/>
    <w:rsid w:val="007D76F7"/>
    <w:rsid w:val="007E5949"/>
    <w:rsid w:val="00803DC1"/>
    <w:rsid w:val="008057F2"/>
    <w:rsid w:val="0082118F"/>
    <w:rsid w:val="0086452B"/>
    <w:rsid w:val="00867128"/>
    <w:rsid w:val="008A7C63"/>
    <w:rsid w:val="008F3D33"/>
    <w:rsid w:val="009014DB"/>
    <w:rsid w:val="00914076"/>
    <w:rsid w:val="009158EA"/>
    <w:rsid w:val="00922849"/>
    <w:rsid w:val="00936DE7"/>
    <w:rsid w:val="009463E1"/>
    <w:rsid w:val="0095147C"/>
    <w:rsid w:val="00957209"/>
    <w:rsid w:val="0096273D"/>
    <w:rsid w:val="00977D7F"/>
    <w:rsid w:val="009A2897"/>
    <w:rsid w:val="009B7E39"/>
    <w:rsid w:val="009F16CE"/>
    <w:rsid w:val="009F4790"/>
    <w:rsid w:val="00A00C18"/>
    <w:rsid w:val="00A0274E"/>
    <w:rsid w:val="00A1016C"/>
    <w:rsid w:val="00A10FC5"/>
    <w:rsid w:val="00A35869"/>
    <w:rsid w:val="00A502F3"/>
    <w:rsid w:val="00A639CC"/>
    <w:rsid w:val="00A75645"/>
    <w:rsid w:val="00AA2B5A"/>
    <w:rsid w:val="00AD2722"/>
    <w:rsid w:val="00AE337E"/>
    <w:rsid w:val="00AF5E1A"/>
    <w:rsid w:val="00AF7142"/>
    <w:rsid w:val="00B01CA4"/>
    <w:rsid w:val="00B0290C"/>
    <w:rsid w:val="00B07157"/>
    <w:rsid w:val="00B1157A"/>
    <w:rsid w:val="00B22E55"/>
    <w:rsid w:val="00B25883"/>
    <w:rsid w:val="00B2650F"/>
    <w:rsid w:val="00B45797"/>
    <w:rsid w:val="00B55566"/>
    <w:rsid w:val="00B6081C"/>
    <w:rsid w:val="00B62F83"/>
    <w:rsid w:val="00B65F5F"/>
    <w:rsid w:val="00BC1C3C"/>
    <w:rsid w:val="00BC6614"/>
    <w:rsid w:val="00BF6CE8"/>
    <w:rsid w:val="00BF790E"/>
    <w:rsid w:val="00C16D0B"/>
    <w:rsid w:val="00C3237F"/>
    <w:rsid w:val="00C438F5"/>
    <w:rsid w:val="00C53AD6"/>
    <w:rsid w:val="00C744E7"/>
    <w:rsid w:val="00C8258D"/>
    <w:rsid w:val="00C9780E"/>
    <w:rsid w:val="00C97FAC"/>
    <w:rsid w:val="00CD26DF"/>
    <w:rsid w:val="00CE43D5"/>
    <w:rsid w:val="00CE5FB0"/>
    <w:rsid w:val="00CF1CB2"/>
    <w:rsid w:val="00D05AE8"/>
    <w:rsid w:val="00D606DC"/>
    <w:rsid w:val="00D67468"/>
    <w:rsid w:val="00DC6217"/>
    <w:rsid w:val="00DD3BFE"/>
    <w:rsid w:val="00DD4B00"/>
    <w:rsid w:val="00DF5FFE"/>
    <w:rsid w:val="00E126F8"/>
    <w:rsid w:val="00E27073"/>
    <w:rsid w:val="00E620D8"/>
    <w:rsid w:val="00E76EF0"/>
    <w:rsid w:val="00E810DA"/>
    <w:rsid w:val="00E96459"/>
    <w:rsid w:val="00EB6FC7"/>
    <w:rsid w:val="00EC7DB2"/>
    <w:rsid w:val="00EE6A59"/>
    <w:rsid w:val="00F21603"/>
    <w:rsid w:val="00F73C4A"/>
    <w:rsid w:val="00F84E54"/>
    <w:rsid w:val="00FA2573"/>
    <w:rsid w:val="00FC6862"/>
    <w:rsid w:val="00FC7FB6"/>
    <w:rsid w:val="00FD42CE"/>
    <w:rsid w:val="00FD5D20"/>
    <w:rsid w:val="00FE0508"/>
    <w:rsid w:val="00FE77BA"/>
    <w:rsid w:val="00FF3BF3"/>
    <w:rsid w:val="00FF5160"/>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B99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387187802">
      <w:bodyDiv w:val="1"/>
      <w:marLeft w:val="0"/>
      <w:marRight w:val="0"/>
      <w:marTop w:val="0"/>
      <w:marBottom w:val="0"/>
      <w:divBdr>
        <w:top w:val="none" w:sz="0" w:space="0" w:color="auto"/>
        <w:left w:val="none" w:sz="0" w:space="0" w:color="auto"/>
        <w:bottom w:val="none" w:sz="0" w:space="0" w:color="auto"/>
        <w:right w:val="none" w:sz="0" w:space="0" w:color="auto"/>
      </w:divBdr>
    </w:div>
    <w:div w:id="472531086">
      <w:bodyDiv w:val="1"/>
      <w:marLeft w:val="0"/>
      <w:marRight w:val="0"/>
      <w:marTop w:val="0"/>
      <w:marBottom w:val="0"/>
      <w:divBdr>
        <w:top w:val="none" w:sz="0" w:space="0" w:color="auto"/>
        <w:left w:val="none" w:sz="0" w:space="0" w:color="auto"/>
        <w:bottom w:val="none" w:sz="0" w:space="0" w:color="auto"/>
        <w:right w:val="none" w:sz="0" w:space="0" w:color="auto"/>
      </w:divBdr>
    </w:div>
    <w:div w:id="574823578">
      <w:bodyDiv w:val="1"/>
      <w:marLeft w:val="0"/>
      <w:marRight w:val="0"/>
      <w:marTop w:val="0"/>
      <w:marBottom w:val="0"/>
      <w:divBdr>
        <w:top w:val="none" w:sz="0" w:space="0" w:color="auto"/>
        <w:left w:val="none" w:sz="0" w:space="0" w:color="auto"/>
        <w:bottom w:val="none" w:sz="0" w:space="0" w:color="auto"/>
        <w:right w:val="none" w:sz="0" w:space="0" w:color="auto"/>
      </w:divBdr>
    </w:div>
    <w:div w:id="605889473">
      <w:bodyDiv w:val="1"/>
      <w:marLeft w:val="0"/>
      <w:marRight w:val="0"/>
      <w:marTop w:val="0"/>
      <w:marBottom w:val="0"/>
      <w:divBdr>
        <w:top w:val="none" w:sz="0" w:space="0" w:color="auto"/>
        <w:left w:val="none" w:sz="0" w:space="0" w:color="auto"/>
        <w:bottom w:val="none" w:sz="0" w:space="0" w:color="auto"/>
        <w:right w:val="none" w:sz="0" w:space="0" w:color="auto"/>
      </w:divBdr>
    </w:div>
    <w:div w:id="751850506">
      <w:bodyDiv w:val="1"/>
      <w:marLeft w:val="0"/>
      <w:marRight w:val="0"/>
      <w:marTop w:val="0"/>
      <w:marBottom w:val="0"/>
      <w:divBdr>
        <w:top w:val="none" w:sz="0" w:space="0" w:color="auto"/>
        <w:left w:val="none" w:sz="0" w:space="0" w:color="auto"/>
        <w:bottom w:val="none" w:sz="0" w:space="0" w:color="auto"/>
        <w:right w:val="none" w:sz="0" w:space="0" w:color="auto"/>
      </w:divBdr>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02369811">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034843994">
      <w:bodyDiv w:val="1"/>
      <w:marLeft w:val="0"/>
      <w:marRight w:val="0"/>
      <w:marTop w:val="0"/>
      <w:marBottom w:val="0"/>
      <w:divBdr>
        <w:top w:val="none" w:sz="0" w:space="0" w:color="auto"/>
        <w:left w:val="none" w:sz="0" w:space="0" w:color="auto"/>
        <w:bottom w:val="none" w:sz="0" w:space="0" w:color="auto"/>
        <w:right w:val="none" w:sz="0" w:space="0" w:color="auto"/>
      </w:divBdr>
      <w:divsChild>
        <w:div w:id="748767859">
          <w:marLeft w:val="0"/>
          <w:marRight w:val="0"/>
          <w:marTop w:val="0"/>
          <w:marBottom w:val="0"/>
          <w:divBdr>
            <w:top w:val="none" w:sz="0" w:space="0" w:color="auto"/>
            <w:left w:val="none" w:sz="0" w:space="0" w:color="auto"/>
            <w:bottom w:val="none" w:sz="0" w:space="0" w:color="auto"/>
            <w:right w:val="none" w:sz="0" w:space="0" w:color="auto"/>
          </w:divBdr>
        </w:div>
        <w:div w:id="1155217836">
          <w:marLeft w:val="0"/>
          <w:marRight w:val="0"/>
          <w:marTop w:val="0"/>
          <w:marBottom w:val="0"/>
          <w:divBdr>
            <w:top w:val="none" w:sz="0" w:space="0" w:color="auto"/>
            <w:left w:val="none" w:sz="0" w:space="0" w:color="auto"/>
            <w:bottom w:val="none" w:sz="0" w:space="0" w:color="auto"/>
            <w:right w:val="none" w:sz="0" w:space="0" w:color="auto"/>
          </w:divBdr>
        </w:div>
        <w:div w:id="632713622">
          <w:marLeft w:val="0"/>
          <w:marRight w:val="0"/>
          <w:marTop w:val="0"/>
          <w:marBottom w:val="0"/>
          <w:divBdr>
            <w:top w:val="none" w:sz="0" w:space="0" w:color="auto"/>
            <w:left w:val="none" w:sz="0" w:space="0" w:color="auto"/>
            <w:bottom w:val="none" w:sz="0" w:space="0" w:color="auto"/>
            <w:right w:val="none" w:sz="0" w:space="0" w:color="auto"/>
          </w:divBdr>
        </w:div>
      </w:divsChild>
    </w:div>
    <w:div w:id="1048530645">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85448988">
      <w:bodyDiv w:val="1"/>
      <w:marLeft w:val="0"/>
      <w:marRight w:val="0"/>
      <w:marTop w:val="0"/>
      <w:marBottom w:val="0"/>
      <w:divBdr>
        <w:top w:val="none" w:sz="0" w:space="0" w:color="auto"/>
        <w:left w:val="none" w:sz="0" w:space="0" w:color="auto"/>
        <w:bottom w:val="none" w:sz="0" w:space="0" w:color="auto"/>
        <w:right w:val="none" w:sz="0" w:space="0" w:color="auto"/>
      </w:divBdr>
    </w:div>
    <w:div w:id="1387073661">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400404355">
      <w:bodyDiv w:val="1"/>
      <w:marLeft w:val="0"/>
      <w:marRight w:val="0"/>
      <w:marTop w:val="0"/>
      <w:marBottom w:val="0"/>
      <w:divBdr>
        <w:top w:val="none" w:sz="0" w:space="0" w:color="auto"/>
        <w:left w:val="none" w:sz="0" w:space="0" w:color="auto"/>
        <w:bottom w:val="none" w:sz="0" w:space="0" w:color="auto"/>
        <w:right w:val="none" w:sz="0" w:space="0" w:color="auto"/>
      </w:divBdr>
    </w:div>
    <w:div w:id="1500076181">
      <w:bodyDiv w:val="1"/>
      <w:marLeft w:val="0"/>
      <w:marRight w:val="0"/>
      <w:marTop w:val="0"/>
      <w:marBottom w:val="0"/>
      <w:divBdr>
        <w:top w:val="none" w:sz="0" w:space="0" w:color="auto"/>
        <w:left w:val="none" w:sz="0" w:space="0" w:color="auto"/>
        <w:bottom w:val="none" w:sz="0" w:space="0" w:color="auto"/>
        <w:right w:val="none" w:sz="0" w:space="0" w:color="auto"/>
      </w:divBdr>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wiki.egi.eu/wiki/EGI_AAI_integration_with_ELIXIR_AAI" TargetMode="External"/><Relationship Id="rId21" Type="http://schemas.openxmlformats.org/officeDocument/2006/relationships/hyperlink" Target="http://appdb.egi.eu" TargetMode="External"/><Relationship Id="rId22" Type="http://schemas.openxmlformats.org/officeDocument/2006/relationships/image" Target="media/image7.png"/><Relationship Id="rId23" Type="http://schemas.openxmlformats.org/officeDocument/2006/relationships/hyperlink" Target="https://goc.egi.eu/portal/index.php?Page_Type=View_Role_Action_Mappings"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3.xml"/><Relationship Id="rId27" Type="http://schemas.openxmlformats.org/officeDocument/2006/relationships/footer" Target="footer4.xml"/><Relationship Id="rId28" Type="http://schemas.openxmlformats.org/officeDocument/2006/relationships/header" Target="header3.xml"/><Relationship Id="rId29" Type="http://schemas.openxmlformats.org/officeDocument/2006/relationships/footer" Target="footer5.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4.png"/><Relationship Id="rId13" Type="http://schemas.openxmlformats.org/officeDocument/2006/relationships/hyperlink" Target="http://www.egi.eu/about/glossary/" TargetMode="External"/><Relationship Id="rId14" Type="http://schemas.openxmlformats.org/officeDocument/2006/relationships/image" Target="media/image5.emf"/><Relationship Id="rId15" Type="http://schemas.openxmlformats.org/officeDocument/2006/relationships/image" Target="media/image6.png"/><Relationship Id="rId16" Type="http://schemas.openxmlformats.org/officeDocument/2006/relationships/hyperlink" Target="https://wiki.egi.eu/wiki/HOWTO16" TargetMode="External"/><Relationship Id="rId17" Type="http://schemas.openxmlformats.org/officeDocument/2006/relationships/hyperlink" Target="https://goc.egi.eu" TargetMode="External"/><Relationship Id="rId18" Type="http://schemas.openxmlformats.org/officeDocument/2006/relationships/hyperlink" Target="https://wiki.egi.eu/wiki/EGI_AAI_integration_with_ELIXIR_AAI" TargetMode="External"/><Relationship Id="rId19" Type="http://schemas.openxmlformats.org/officeDocument/2006/relationships/hyperlink" Target="http://goc.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notes.xml.rels><?xml version="1.0" encoding="UTF-8" standalone="yes"?>
<Relationships xmlns="http://schemas.openxmlformats.org/package/2006/relationships"><Relationship Id="rId11" Type="http://schemas.openxmlformats.org/officeDocument/2006/relationships/hyperlink" Target="http://operations-portal.egi.eu/vo/view/voname/vo.elixir-europe.org" TargetMode="External"/><Relationship Id="rId12" Type="http://schemas.openxmlformats.org/officeDocument/2006/relationships/hyperlink" Target="https://github.com/grnet/snf-occi" TargetMode="External"/><Relationship Id="rId13" Type="http://schemas.openxmlformats.org/officeDocument/2006/relationships/hyperlink" Target="https://github.com/grnet/snf-cdmi" TargetMode="External"/><Relationship Id="rId14" Type="http://schemas.openxmlformats.org/officeDocument/2006/relationships/hyperlink" Target="https://github.com/grnet/snf-ssm" TargetMode="External"/><Relationship Id="rId15" Type="http://schemas.openxmlformats.org/officeDocument/2006/relationships/hyperlink" Target="https://wiki.egi.eu/wiki/EGI-Engage:WP3" TargetMode="External"/><Relationship Id="rId16" Type="http://schemas.openxmlformats.org/officeDocument/2006/relationships/hyperlink" Target="http://elixir-europe.org" TargetMode="External"/><Relationship Id="rId17" Type="http://schemas.openxmlformats.org/officeDocument/2006/relationships/hyperlink" Target="http://docs.openstack.org/developer/keystone/federation/federated_identity.html" TargetMode="External"/><Relationship Id="rId1" Type="http://schemas.openxmlformats.org/officeDocument/2006/relationships/hyperlink" Target="http://www.elixir-europe.org/" TargetMode="External"/><Relationship Id="rId2" Type="http://schemas.openxmlformats.org/officeDocument/2006/relationships/hyperlink" Target="http://www.egi.eu/" TargetMode="External"/><Relationship Id="rId3" Type="http://schemas.openxmlformats.org/officeDocument/2006/relationships/hyperlink" Target="http://www.elixir-europe.org/" TargetMode="External"/><Relationship Id="rId4" Type="http://schemas.openxmlformats.org/officeDocument/2006/relationships/hyperlink" Target="http://www.egi.eu/" TargetMode="External"/><Relationship Id="rId5" Type="http://schemas.openxmlformats.org/officeDocument/2006/relationships/hyperlink" Target="https://documents.egi.eu/document/2675" TargetMode="External"/><Relationship Id="rId6" Type="http://schemas.openxmlformats.org/officeDocument/2006/relationships/hyperlink" Target="http://www.eudat.eu/" TargetMode="External"/><Relationship Id="rId7" Type="http://schemas.openxmlformats.org/officeDocument/2006/relationships/hyperlink" Target="https://docs.google.com/document/d/1CMY1np3GyvPD8LcKvXljXcRO04V2zu3n_Jcg19jgNOw/edit" TargetMode="External"/><Relationship Id="rId8" Type="http://schemas.openxmlformats.org/officeDocument/2006/relationships/hyperlink" Target="https://www.egi.eu/solutions/fed-cloud/index.html" TargetMode="External"/><Relationship Id="rId9" Type="http://schemas.openxmlformats.org/officeDocument/2006/relationships/hyperlink" Target="https://www.egi.eu/solutions/fed-ops/index.html" TargetMode="External"/><Relationship Id="rId10" Type="http://schemas.openxmlformats.org/officeDocument/2006/relationships/hyperlink" Target="https://appdb.egi.eu/browse/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4793C-1911-1147-8038-3393FCF9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8537</Words>
  <Characters>48667</Characters>
  <Application>Microsoft Macintosh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Gergely Sipos</cp:lastModifiedBy>
  <cp:revision>7</cp:revision>
  <cp:lastPrinted>1900-12-31T23:00:00Z</cp:lastPrinted>
  <dcterms:created xsi:type="dcterms:W3CDTF">2016-06-15T13:29:00Z</dcterms:created>
  <dcterms:modified xsi:type="dcterms:W3CDTF">2016-06-15T13:32:00Z</dcterms:modified>
</cp:coreProperties>
</file>