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54B45" w14:textId="77777777" w:rsidR="004B04FF" w:rsidRDefault="000502D5" w:rsidP="00CF1E31">
      <w:pPr>
        <w:jc w:val="center"/>
      </w:pPr>
      <w:r>
        <w:rPr>
          <w:noProof/>
          <w:lang w:val="en-US"/>
        </w:rPr>
        <w:drawing>
          <wp:inline distT="0" distB="0" distL="0" distR="0" wp14:anchorId="01736DBC" wp14:editId="444566B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9557A2B" w14:textId="77777777" w:rsidR="000502D5" w:rsidRDefault="000502D5" w:rsidP="000502D5">
      <w:pPr>
        <w:jc w:val="center"/>
        <w:rPr>
          <w:b/>
          <w:color w:val="0067B1"/>
          <w:sz w:val="56"/>
        </w:rPr>
      </w:pPr>
      <w:r w:rsidRPr="00E04C11">
        <w:rPr>
          <w:b/>
          <w:color w:val="0067B1"/>
          <w:sz w:val="56"/>
        </w:rPr>
        <w:t>EGI-Engage</w:t>
      </w:r>
    </w:p>
    <w:p w14:paraId="5F3CB73C" w14:textId="77777777" w:rsidR="001C5D2E" w:rsidRPr="00E04C11" w:rsidRDefault="001C5D2E" w:rsidP="00E04C11"/>
    <w:p w14:paraId="374E5D20" w14:textId="77777777" w:rsidR="001C5D2E" w:rsidRPr="003F64DA" w:rsidRDefault="000949BC" w:rsidP="003F64DA">
      <w:pPr>
        <w:pStyle w:val="Title"/>
        <w:rPr>
          <w:i w:val="0"/>
        </w:rPr>
      </w:pPr>
      <w:r>
        <w:rPr>
          <w:i w:val="0"/>
        </w:rPr>
        <w:t>Preparation</w:t>
      </w:r>
      <w:r w:rsidR="009E6E58">
        <w:rPr>
          <w:i w:val="0"/>
        </w:rPr>
        <w:t xml:space="preserve"> </w:t>
      </w:r>
      <w:r w:rsidR="00EC62C1">
        <w:rPr>
          <w:i w:val="0"/>
        </w:rPr>
        <w:t>for the</w:t>
      </w:r>
      <w:r w:rsidR="009E6E58">
        <w:rPr>
          <w:i w:val="0"/>
        </w:rPr>
        <w:t xml:space="preserve"> Cross Border Joint P</w:t>
      </w:r>
      <w:r w:rsidR="003F64DA">
        <w:rPr>
          <w:i w:val="0"/>
        </w:rPr>
        <w:t xml:space="preserve">rocurement session at </w:t>
      </w:r>
      <w:r w:rsidR="009E6E58">
        <w:rPr>
          <w:i w:val="0"/>
        </w:rPr>
        <w:t xml:space="preserve">the </w:t>
      </w:r>
      <w:r w:rsidR="003F64DA">
        <w:rPr>
          <w:i w:val="0"/>
        </w:rPr>
        <w:t xml:space="preserve">EGI Conference </w:t>
      </w:r>
      <w:r>
        <w:rPr>
          <w:i w:val="0"/>
        </w:rPr>
        <w:t>April 2016</w:t>
      </w:r>
    </w:p>
    <w:p w14:paraId="545776C8"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85B226E" w14:textId="77777777" w:rsidTr="00835E24">
        <w:tc>
          <w:tcPr>
            <w:tcW w:w="2835" w:type="dxa"/>
          </w:tcPr>
          <w:p w14:paraId="3A74AE8C" w14:textId="77777777" w:rsidR="000502D5" w:rsidRPr="00CF1E31" w:rsidRDefault="000502D5" w:rsidP="00CF1E31">
            <w:pPr>
              <w:pStyle w:val="NoSpacing"/>
              <w:rPr>
                <w:b/>
              </w:rPr>
            </w:pPr>
            <w:r w:rsidRPr="00CF1E31">
              <w:rPr>
                <w:b/>
              </w:rPr>
              <w:t>Date</w:t>
            </w:r>
          </w:p>
        </w:tc>
        <w:tc>
          <w:tcPr>
            <w:tcW w:w="5103" w:type="dxa"/>
          </w:tcPr>
          <w:p w14:paraId="29590D2C" w14:textId="6A4EED26" w:rsidR="000502D5" w:rsidRPr="00CF1E31" w:rsidRDefault="00C40D39" w:rsidP="001D0C13">
            <w:pPr>
              <w:pStyle w:val="NoSpacing"/>
            </w:pPr>
            <w:r>
              <w:fldChar w:fldCharType="begin"/>
            </w:r>
            <w:r>
              <w:instrText xml:space="preserve"> CREATEDATE  \@ "d MMMM yyyy"  \* MERGEFORMAT </w:instrText>
            </w:r>
            <w:r>
              <w:fldChar w:fldCharType="separate"/>
            </w:r>
            <w:r w:rsidR="000652FD">
              <w:rPr>
                <w:noProof/>
              </w:rPr>
              <w:t>7</w:t>
            </w:r>
            <w:r>
              <w:rPr>
                <w:noProof/>
              </w:rPr>
              <w:t xml:space="preserve"> </w:t>
            </w:r>
            <w:r w:rsidR="001D0C13">
              <w:rPr>
                <w:noProof/>
              </w:rPr>
              <w:t>April</w:t>
            </w:r>
            <w:r>
              <w:rPr>
                <w:noProof/>
              </w:rPr>
              <w:t xml:space="preserve"> 201</w:t>
            </w:r>
            <w:r w:rsidR="000949BC">
              <w:rPr>
                <w:noProof/>
              </w:rPr>
              <w:t>6</w:t>
            </w:r>
            <w:r>
              <w:fldChar w:fldCharType="end"/>
            </w:r>
          </w:p>
        </w:tc>
      </w:tr>
      <w:tr w:rsidR="000502D5" w:rsidRPr="00CF1E31" w14:paraId="07EFD304" w14:textId="77777777" w:rsidTr="00835E24">
        <w:tc>
          <w:tcPr>
            <w:tcW w:w="2835" w:type="dxa"/>
          </w:tcPr>
          <w:p w14:paraId="3B44C0CF" w14:textId="77777777" w:rsidR="000502D5" w:rsidRPr="00CF1E31" w:rsidRDefault="000502D5" w:rsidP="00CF1E31">
            <w:pPr>
              <w:pStyle w:val="NoSpacing"/>
              <w:rPr>
                <w:b/>
              </w:rPr>
            </w:pPr>
            <w:r w:rsidRPr="00CF1E31">
              <w:rPr>
                <w:b/>
              </w:rPr>
              <w:t>Activity</w:t>
            </w:r>
          </w:p>
        </w:tc>
        <w:tc>
          <w:tcPr>
            <w:tcW w:w="5103" w:type="dxa"/>
          </w:tcPr>
          <w:p w14:paraId="57A59FC9" w14:textId="77777777" w:rsidR="000502D5" w:rsidRPr="00CF1E31" w:rsidRDefault="003F64DA" w:rsidP="003F64DA">
            <w:pPr>
              <w:pStyle w:val="NoSpacing"/>
            </w:pPr>
            <w:r>
              <w:t>NA2</w:t>
            </w:r>
          </w:p>
        </w:tc>
      </w:tr>
      <w:tr w:rsidR="000502D5" w:rsidRPr="00CF1E31" w14:paraId="6A10958D" w14:textId="77777777" w:rsidTr="00835E24">
        <w:tc>
          <w:tcPr>
            <w:tcW w:w="2835" w:type="dxa"/>
          </w:tcPr>
          <w:p w14:paraId="167EF0A3" w14:textId="77777777" w:rsidR="000502D5" w:rsidRPr="00CF1E31" w:rsidRDefault="00835E24" w:rsidP="00CF1E31">
            <w:pPr>
              <w:pStyle w:val="NoSpacing"/>
              <w:rPr>
                <w:b/>
              </w:rPr>
            </w:pPr>
            <w:r w:rsidRPr="00CF1E31">
              <w:rPr>
                <w:b/>
              </w:rPr>
              <w:t>Lead Partner</w:t>
            </w:r>
          </w:p>
        </w:tc>
        <w:tc>
          <w:tcPr>
            <w:tcW w:w="5103" w:type="dxa"/>
          </w:tcPr>
          <w:p w14:paraId="1EE248D3" w14:textId="77777777" w:rsidR="000502D5" w:rsidRPr="00CF1E31" w:rsidRDefault="003F64DA" w:rsidP="003F64DA">
            <w:pPr>
              <w:pStyle w:val="NoSpacing"/>
            </w:pPr>
            <w:r>
              <w:t>CERN</w:t>
            </w:r>
          </w:p>
        </w:tc>
      </w:tr>
      <w:tr w:rsidR="000502D5" w:rsidRPr="00CF1E31" w14:paraId="34371075" w14:textId="77777777" w:rsidTr="00835E24">
        <w:tc>
          <w:tcPr>
            <w:tcW w:w="2835" w:type="dxa"/>
          </w:tcPr>
          <w:p w14:paraId="19462654" w14:textId="77777777" w:rsidR="000502D5" w:rsidRPr="00CF1E31" w:rsidRDefault="00835E24" w:rsidP="00CF1E31">
            <w:pPr>
              <w:pStyle w:val="NoSpacing"/>
              <w:rPr>
                <w:b/>
              </w:rPr>
            </w:pPr>
            <w:r w:rsidRPr="00CF1E31">
              <w:rPr>
                <w:b/>
              </w:rPr>
              <w:t>Document Status</w:t>
            </w:r>
          </w:p>
        </w:tc>
        <w:tc>
          <w:tcPr>
            <w:tcW w:w="5103" w:type="dxa"/>
          </w:tcPr>
          <w:p w14:paraId="333931C5" w14:textId="77777777" w:rsidR="000502D5" w:rsidRPr="00CF1E31" w:rsidRDefault="00835E24" w:rsidP="00CF1E31">
            <w:pPr>
              <w:pStyle w:val="NoSpacing"/>
            </w:pPr>
            <w:r w:rsidRPr="00CF1E31">
              <w:t>DRAFT</w:t>
            </w:r>
          </w:p>
        </w:tc>
      </w:tr>
      <w:tr w:rsidR="000502D5" w:rsidRPr="00CF1E31" w14:paraId="21797E00" w14:textId="77777777" w:rsidTr="00835E24">
        <w:tc>
          <w:tcPr>
            <w:tcW w:w="2835" w:type="dxa"/>
          </w:tcPr>
          <w:p w14:paraId="3F7F33B1" w14:textId="77777777" w:rsidR="000502D5" w:rsidRPr="00CF1E31" w:rsidRDefault="00835E24" w:rsidP="00CF1E31">
            <w:pPr>
              <w:pStyle w:val="NoSpacing"/>
              <w:rPr>
                <w:b/>
              </w:rPr>
            </w:pPr>
            <w:r w:rsidRPr="00CF1E31">
              <w:rPr>
                <w:b/>
              </w:rPr>
              <w:t>Document Link</w:t>
            </w:r>
          </w:p>
        </w:tc>
        <w:tc>
          <w:tcPr>
            <w:tcW w:w="5103" w:type="dxa"/>
          </w:tcPr>
          <w:p w14:paraId="0DEEE951" w14:textId="77777777" w:rsidR="000502D5" w:rsidRPr="00CF1E31" w:rsidRDefault="008E3B74" w:rsidP="00CF1E31">
            <w:pPr>
              <w:pStyle w:val="NoSpacing"/>
            </w:pPr>
            <w:hyperlink r:id="rId10" w:history="1">
              <w:r w:rsidRPr="00C814A0">
                <w:rPr>
                  <w:rStyle w:val="Hyperlink"/>
                </w:rPr>
                <w:t>https://documents.egi.eu/document/2883</w:t>
              </w:r>
            </w:hyperlink>
          </w:p>
        </w:tc>
      </w:tr>
    </w:tbl>
    <w:p w14:paraId="4CE39AF8" w14:textId="77777777" w:rsidR="000502D5" w:rsidRDefault="000502D5" w:rsidP="000502D5"/>
    <w:p w14:paraId="52BCF52F" w14:textId="77777777" w:rsidR="00835E24" w:rsidRPr="000502D5" w:rsidRDefault="00835E24" w:rsidP="00EA73F8">
      <w:pPr>
        <w:pStyle w:val="Subtitle"/>
      </w:pPr>
      <w:r>
        <w:t>Abstract</w:t>
      </w:r>
    </w:p>
    <w:p w14:paraId="3616E4CA" w14:textId="77777777" w:rsidR="000502D5" w:rsidRDefault="003F64DA" w:rsidP="00835E24">
      <w:r>
        <w:t>This document provi</w:t>
      </w:r>
      <w:r w:rsidR="005A6926">
        <w:t>d</w:t>
      </w:r>
      <w:r w:rsidR="00F53241">
        <w:t xml:space="preserve">es an overview </w:t>
      </w:r>
      <w:r w:rsidR="009E6E58">
        <w:t>of the Cross Border Joint P</w:t>
      </w:r>
      <w:r>
        <w:t xml:space="preserve">rocurement session </w:t>
      </w:r>
      <w:r w:rsidR="00F53241">
        <w:t xml:space="preserve">to be </w:t>
      </w:r>
      <w:r>
        <w:t xml:space="preserve">held at the EGI Conference in </w:t>
      </w:r>
      <w:r w:rsidR="000949BC">
        <w:t>Amsterdam on 7</w:t>
      </w:r>
      <w:r w:rsidRPr="003F64DA">
        <w:rPr>
          <w:vertAlign w:val="superscript"/>
        </w:rPr>
        <w:t>th</w:t>
      </w:r>
      <w:r>
        <w:t xml:space="preserve"> </w:t>
      </w:r>
      <w:r w:rsidR="000949BC">
        <w:t>April 2016</w:t>
      </w:r>
      <w:r w:rsidR="009E6E58">
        <w:t xml:space="preserve"> and proposes a set of follow-up actions.</w:t>
      </w:r>
    </w:p>
    <w:p w14:paraId="2753F59F" w14:textId="77777777" w:rsidR="004A3ECF" w:rsidRDefault="004A3ECF" w:rsidP="00835E24"/>
    <w:p w14:paraId="5B029F3D" w14:textId="77777777" w:rsidR="00835E24" w:rsidRDefault="00835E24" w:rsidP="00835E24"/>
    <w:p w14:paraId="0EA3D622" w14:textId="77777777" w:rsidR="00835E24" w:rsidRDefault="00835E24">
      <w:pPr>
        <w:spacing w:after="200"/>
        <w:jc w:val="left"/>
      </w:pPr>
      <w:r>
        <w:br w:type="page"/>
      </w:r>
    </w:p>
    <w:p w14:paraId="3E5A8A3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274BB0B" w14:textId="77777777" w:rsidR="00B60F00" w:rsidRDefault="00B60F00" w:rsidP="00B60F00">
      <w:r>
        <w:rPr>
          <w:noProof/>
          <w:lang w:val="en-US"/>
        </w:rPr>
        <w:drawing>
          <wp:inline distT="0" distB="0" distL="0" distR="0" wp14:anchorId="358254C5" wp14:editId="63FAEA26">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33859C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3D91DC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19CADB35" w14:textId="77777777" w:rsidTr="00E04C11">
        <w:tc>
          <w:tcPr>
            <w:tcW w:w="2310" w:type="dxa"/>
            <w:shd w:val="clear" w:color="auto" w:fill="B8CCE4" w:themeFill="accent1" w:themeFillTint="66"/>
          </w:tcPr>
          <w:p w14:paraId="1B5755A0" w14:textId="77777777" w:rsidR="002E5F1F" w:rsidRPr="002E5F1F" w:rsidRDefault="002E5F1F" w:rsidP="002E5F1F">
            <w:pPr>
              <w:pStyle w:val="NoSpacing"/>
              <w:rPr>
                <w:b/>
              </w:rPr>
            </w:pPr>
          </w:p>
        </w:tc>
        <w:tc>
          <w:tcPr>
            <w:tcW w:w="3610" w:type="dxa"/>
            <w:shd w:val="clear" w:color="auto" w:fill="B8CCE4" w:themeFill="accent1" w:themeFillTint="66"/>
          </w:tcPr>
          <w:p w14:paraId="007C8CCF"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5327EB9"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3D34486A" w14:textId="77777777" w:rsidR="002E5F1F" w:rsidRPr="002E5F1F" w:rsidRDefault="002E5F1F" w:rsidP="002E5F1F">
            <w:pPr>
              <w:pStyle w:val="NoSpacing"/>
              <w:rPr>
                <w:b/>
                <w:i/>
              </w:rPr>
            </w:pPr>
            <w:r>
              <w:rPr>
                <w:b/>
                <w:i/>
              </w:rPr>
              <w:t>Date</w:t>
            </w:r>
          </w:p>
        </w:tc>
      </w:tr>
      <w:tr w:rsidR="002E5F1F" w14:paraId="0AAA948F" w14:textId="77777777" w:rsidTr="00E04C11">
        <w:tc>
          <w:tcPr>
            <w:tcW w:w="2310" w:type="dxa"/>
            <w:shd w:val="clear" w:color="auto" w:fill="B8CCE4" w:themeFill="accent1" w:themeFillTint="66"/>
          </w:tcPr>
          <w:p w14:paraId="16484BC9" w14:textId="77777777" w:rsidR="002E5F1F" w:rsidRPr="002E5F1F" w:rsidRDefault="002E5F1F" w:rsidP="002E5F1F">
            <w:pPr>
              <w:pStyle w:val="NoSpacing"/>
              <w:rPr>
                <w:b/>
              </w:rPr>
            </w:pPr>
            <w:r w:rsidRPr="002E5F1F">
              <w:rPr>
                <w:b/>
              </w:rPr>
              <w:t>From:</w:t>
            </w:r>
          </w:p>
        </w:tc>
        <w:tc>
          <w:tcPr>
            <w:tcW w:w="3610" w:type="dxa"/>
          </w:tcPr>
          <w:p w14:paraId="6E901517" w14:textId="77777777" w:rsidR="002E5F1F" w:rsidRDefault="003F02C6" w:rsidP="002E5F1F">
            <w:pPr>
              <w:pStyle w:val="NoSpacing"/>
            </w:pPr>
            <w:r>
              <w:t>Bob Jones</w:t>
            </w:r>
          </w:p>
        </w:tc>
        <w:tc>
          <w:tcPr>
            <w:tcW w:w="1843" w:type="dxa"/>
          </w:tcPr>
          <w:p w14:paraId="2886009A" w14:textId="77777777" w:rsidR="002E5F1F" w:rsidRDefault="003F02C6" w:rsidP="002E5F1F">
            <w:pPr>
              <w:pStyle w:val="NoSpacing"/>
            </w:pPr>
            <w:r>
              <w:t>CERN</w:t>
            </w:r>
          </w:p>
        </w:tc>
        <w:tc>
          <w:tcPr>
            <w:tcW w:w="1479" w:type="dxa"/>
          </w:tcPr>
          <w:p w14:paraId="37D1E77E" w14:textId="77777777" w:rsidR="002E5F1F" w:rsidRDefault="002E5F1F" w:rsidP="000949BC">
            <w:pPr>
              <w:pStyle w:val="NoSpacing"/>
            </w:pPr>
          </w:p>
        </w:tc>
      </w:tr>
      <w:tr w:rsidR="002E5F1F" w14:paraId="0324840E" w14:textId="77777777" w:rsidTr="00E04C11">
        <w:tc>
          <w:tcPr>
            <w:tcW w:w="2310" w:type="dxa"/>
            <w:shd w:val="clear" w:color="auto" w:fill="B8CCE4" w:themeFill="accent1" w:themeFillTint="66"/>
          </w:tcPr>
          <w:p w14:paraId="4D11E5E0" w14:textId="77777777" w:rsidR="002E5F1F" w:rsidRPr="002E5F1F" w:rsidRDefault="002E5F1F" w:rsidP="002E5F1F">
            <w:pPr>
              <w:pStyle w:val="NoSpacing"/>
              <w:rPr>
                <w:b/>
              </w:rPr>
            </w:pPr>
            <w:r w:rsidRPr="002E5F1F">
              <w:rPr>
                <w:b/>
              </w:rPr>
              <w:t>Moderated by:</w:t>
            </w:r>
          </w:p>
        </w:tc>
        <w:tc>
          <w:tcPr>
            <w:tcW w:w="3610" w:type="dxa"/>
          </w:tcPr>
          <w:p w14:paraId="42AC977E" w14:textId="77777777" w:rsidR="002E5F1F" w:rsidRDefault="002E5F1F" w:rsidP="002E5F1F">
            <w:pPr>
              <w:pStyle w:val="NoSpacing"/>
            </w:pPr>
          </w:p>
        </w:tc>
        <w:tc>
          <w:tcPr>
            <w:tcW w:w="1843" w:type="dxa"/>
          </w:tcPr>
          <w:p w14:paraId="723CA3CC" w14:textId="77777777" w:rsidR="002E5F1F" w:rsidRDefault="002E5F1F" w:rsidP="002E5F1F">
            <w:pPr>
              <w:pStyle w:val="NoSpacing"/>
            </w:pPr>
          </w:p>
        </w:tc>
        <w:tc>
          <w:tcPr>
            <w:tcW w:w="1479" w:type="dxa"/>
          </w:tcPr>
          <w:p w14:paraId="1B64BFF3" w14:textId="77777777" w:rsidR="002E5F1F" w:rsidRDefault="002E5F1F" w:rsidP="002E5F1F">
            <w:pPr>
              <w:pStyle w:val="NoSpacing"/>
            </w:pPr>
          </w:p>
        </w:tc>
      </w:tr>
      <w:tr w:rsidR="002E5F1F" w14:paraId="48E75FFF" w14:textId="77777777" w:rsidTr="00E04C11">
        <w:tc>
          <w:tcPr>
            <w:tcW w:w="2310" w:type="dxa"/>
            <w:shd w:val="clear" w:color="auto" w:fill="B8CCE4" w:themeFill="accent1" w:themeFillTint="66"/>
          </w:tcPr>
          <w:p w14:paraId="2AEAB819" w14:textId="77777777" w:rsidR="002E5F1F" w:rsidRPr="002E5F1F" w:rsidRDefault="002E5F1F" w:rsidP="002E5F1F">
            <w:pPr>
              <w:pStyle w:val="NoSpacing"/>
              <w:rPr>
                <w:b/>
              </w:rPr>
            </w:pPr>
            <w:r w:rsidRPr="002E5F1F">
              <w:rPr>
                <w:b/>
              </w:rPr>
              <w:t>Reviewed by</w:t>
            </w:r>
          </w:p>
        </w:tc>
        <w:tc>
          <w:tcPr>
            <w:tcW w:w="3610" w:type="dxa"/>
          </w:tcPr>
          <w:p w14:paraId="09A5549B" w14:textId="77777777" w:rsidR="002E5F1F" w:rsidRDefault="002E5F1F" w:rsidP="002E5F1F">
            <w:pPr>
              <w:pStyle w:val="NoSpacing"/>
            </w:pPr>
          </w:p>
        </w:tc>
        <w:tc>
          <w:tcPr>
            <w:tcW w:w="1843" w:type="dxa"/>
          </w:tcPr>
          <w:p w14:paraId="26AB674C" w14:textId="77777777" w:rsidR="002E5F1F" w:rsidRDefault="002E5F1F" w:rsidP="002E5F1F">
            <w:pPr>
              <w:pStyle w:val="NoSpacing"/>
            </w:pPr>
          </w:p>
        </w:tc>
        <w:tc>
          <w:tcPr>
            <w:tcW w:w="1479" w:type="dxa"/>
          </w:tcPr>
          <w:p w14:paraId="18A68FCD" w14:textId="77777777" w:rsidR="002E5F1F" w:rsidRDefault="002E5F1F" w:rsidP="002E5F1F">
            <w:pPr>
              <w:pStyle w:val="NoSpacing"/>
            </w:pPr>
          </w:p>
        </w:tc>
      </w:tr>
      <w:tr w:rsidR="002E5F1F" w14:paraId="6551798D" w14:textId="77777777" w:rsidTr="00E04C11">
        <w:tc>
          <w:tcPr>
            <w:tcW w:w="2310" w:type="dxa"/>
            <w:shd w:val="clear" w:color="auto" w:fill="B8CCE4" w:themeFill="accent1" w:themeFillTint="66"/>
          </w:tcPr>
          <w:p w14:paraId="6F5AA023" w14:textId="77777777" w:rsidR="002E5F1F" w:rsidRPr="002E5F1F" w:rsidRDefault="002E5F1F" w:rsidP="002E5F1F">
            <w:pPr>
              <w:pStyle w:val="NoSpacing"/>
              <w:rPr>
                <w:b/>
              </w:rPr>
            </w:pPr>
            <w:r w:rsidRPr="002E5F1F">
              <w:rPr>
                <w:b/>
              </w:rPr>
              <w:t>Approved by:</w:t>
            </w:r>
          </w:p>
        </w:tc>
        <w:tc>
          <w:tcPr>
            <w:tcW w:w="3610" w:type="dxa"/>
          </w:tcPr>
          <w:p w14:paraId="02BE4B24" w14:textId="77777777" w:rsidR="002E5F1F" w:rsidRDefault="002E5F1F" w:rsidP="002E5F1F">
            <w:pPr>
              <w:pStyle w:val="NoSpacing"/>
            </w:pPr>
          </w:p>
        </w:tc>
        <w:tc>
          <w:tcPr>
            <w:tcW w:w="1843" w:type="dxa"/>
          </w:tcPr>
          <w:p w14:paraId="59555142" w14:textId="77777777" w:rsidR="002E5F1F" w:rsidRDefault="002E5F1F" w:rsidP="002E5F1F">
            <w:pPr>
              <w:pStyle w:val="NoSpacing"/>
            </w:pPr>
          </w:p>
        </w:tc>
        <w:tc>
          <w:tcPr>
            <w:tcW w:w="1479" w:type="dxa"/>
          </w:tcPr>
          <w:p w14:paraId="391B3F20" w14:textId="77777777" w:rsidR="002E5F1F" w:rsidRDefault="002E5F1F" w:rsidP="002E5F1F">
            <w:pPr>
              <w:pStyle w:val="NoSpacing"/>
            </w:pPr>
          </w:p>
        </w:tc>
      </w:tr>
    </w:tbl>
    <w:p w14:paraId="01B108A4" w14:textId="77777777" w:rsidR="002E5F1F" w:rsidRDefault="002E5F1F" w:rsidP="002E5F1F"/>
    <w:p w14:paraId="7FA53D10"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850"/>
        <w:gridCol w:w="2188"/>
      </w:tblGrid>
      <w:tr w:rsidR="002E5F1F" w:rsidRPr="002E5F1F" w14:paraId="3A4C86CE" w14:textId="77777777" w:rsidTr="008E3B74">
        <w:tc>
          <w:tcPr>
            <w:tcW w:w="812" w:type="dxa"/>
            <w:shd w:val="clear" w:color="auto" w:fill="B8CCE4" w:themeFill="accent1" w:themeFillTint="66"/>
          </w:tcPr>
          <w:p w14:paraId="01248595" w14:textId="77777777" w:rsidR="002E5F1F" w:rsidRPr="002E5F1F" w:rsidRDefault="002E5F1F" w:rsidP="00376F03">
            <w:pPr>
              <w:pStyle w:val="NoSpacing"/>
              <w:rPr>
                <w:b/>
                <w:i/>
              </w:rPr>
            </w:pPr>
            <w:r w:rsidRPr="002E5F1F">
              <w:rPr>
                <w:b/>
                <w:i/>
              </w:rPr>
              <w:t>Issue</w:t>
            </w:r>
          </w:p>
        </w:tc>
        <w:tc>
          <w:tcPr>
            <w:tcW w:w="1392" w:type="dxa"/>
            <w:shd w:val="clear" w:color="auto" w:fill="B8CCE4" w:themeFill="accent1" w:themeFillTint="66"/>
          </w:tcPr>
          <w:p w14:paraId="7125456C" w14:textId="77777777" w:rsidR="002E5F1F" w:rsidRPr="002E5F1F" w:rsidRDefault="002E5F1F" w:rsidP="00376F03">
            <w:pPr>
              <w:pStyle w:val="NoSpacing"/>
              <w:rPr>
                <w:b/>
                <w:i/>
              </w:rPr>
            </w:pPr>
            <w:r>
              <w:rPr>
                <w:b/>
                <w:i/>
              </w:rPr>
              <w:t>Date</w:t>
            </w:r>
          </w:p>
        </w:tc>
        <w:tc>
          <w:tcPr>
            <w:tcW w:w="4850" w:type="dxa"/>
            <w:shd w:val="clear" w:color="auto" w:fill="B8CCE4" w:themeFill="accent1" w:themeFillTint="66"/>
          </w:tcPr>
          <w:p w14:paraId="3DE52517" w14:textId="77777777" w:rsidR="002E5F1F" w:rsidRPr="002E5F1F" w:rsidRDefault="002E5F1F" w:rsidP="00376F03">
            <w:pPr>
              <w:pStyle w:val="NoSpacing"/>
              <w:rPr>
                <w:b/>
                <w:i/>
              </w:rPr>
            </w:pPr>
            <w:r>
              <w:rPr>
                <w:b/>
                <w:i/>
              </w:rPr>
              <w:t>Comment</w:t>
            </w:r>
          </w:p>
        </w:tc>
        <w:tc>
          <w:tcPr>
            <w:tcW w:w="2188" w:type="dxa"/>
            <w:shd w:val="clear" w:color="auto" w:fill="B8CCE4" w:themeFill="accent1" w:themeFillTint="66"/>
          </w:tcPr>
          <w:p w14:paraId="1ACCB51B" w14:textId="77777777" w:rsidR="002E5F1F" w:rsidRPr="002E5F1F" w:rsidRDefault="002E5F1F" w:rsidP="00376F03">
            <w:pPr>
              <w:pStyle w:val="NoSpacing"/>
              <w:rPr>
                <w:b/>
                <w:i/>
              </w:rPr>
            </w:pPr>
            <w:r>
              <w:rPr>
                <w:b/>
                <w:i/>
              </w:rPr>
              <w:t>Author/Partner</w:t>
            </w:r>
          </w:p>
        </w:tc>
      </w:tr>
      <w:tr w:rsidR="002E5F1F" w14:paraId="59C31172" w14:textId="77777777" w:rsidTr="008E3B74">
        <w:tc>
          <w:tcPr>
            <w:tcW w:w="812" w:type="dxa"/>
            <w:shd w:val="clear" w:color="auto" w:fill="auto"/>
          </w:tcPr>
          <w:p w14:paraId="24DC56F1" w14:textId="77777777" w:rsidR="002E5F1F" w:rsidRPr="002E5F1F" w:rsidRDefault="002E5F1F" w:rsidP="00376F03">
            <w:pPr>
              <w:pStyle w:val="NoSpacing"/>
              <w:rPr>
                <w:b/>
              </w:rPr>
            </w:pPr>
            <w:r>
              <w:rPr>
                <w:b/>
              </w:rPr>
              <w:t>v.1</w:t>
            </w:r>
          </w:p>
        </w:tc>
        <w:tc>
          <w:tcPr>
            <w:tcW w:w="1392" w:type="dxa"/>
            <w:shd w:val="clear" w:color="auto" w:fill="auto"/>
          </w:tcPr>
          <w:p w14:paraId="340027AE" w14:textId="45ED2C24" w:rsidR="002E5F1F" w:rsidRDefault="000652FD" w:rsidP="00376F03">
            <w:pPr>
              <w:pStyle w:val="NoSpacing"/>
            </w:pPr>
            <w:r>
              <w:t>7</w:t>
            </w:r>
            <w:bookmarkStart w:id="0" w:name="_GoBack"/>
            <w:bookmarkEnd w:id="0"/>
            <w:r w:rsidR="008E3B74">
              <w:t xml:space="preserve"> April 2016</w:t>
            </w:r>
          </w:p>
        </w:tc>
        <w:tc>
          <w:tcPr>
            <w:tcW w:w="4850" w:type="dxa"/>
            <w:shd w:val="clear" w:color="auto" w:fill="auto"/>
          </w:tcPr>
          <w:p w14:paraId="04FF06AC" w14:textId="77777777" w:rsidR="002E5F1F" w:rsidRDefault="002E5F1F" w:rsidP="006C1CF2">
            <w:pPr>
              <w:pStyle w:val="NoSpacing"/>
            </w:pPr>
          </w:p>
        </w:tc>
        <w:tc>
          <w:tcPr>
            <w:tcW w:w="2188" w:type="dxa"/>
            <w:shd w:val="clear" w:color="auto" w:fill="auto"/>
          </w:tcPr>
          <w:p w14:paraId="46AF9A66" w14:textId="77777777" w:rsidR="002E5F1F" w:rsidRDefault="008E3B74" w:rsidP="00376F03">
            <w:pPr>
              <w:pStyle w:val="NoSpacing"/>
            </w:pPr>
            <w:r>
              <w:t>Bob Jones/CERN</w:t>
            </w:r>
          </w:p>
        </w:tc>
      </w:tr>
      <w:tr w:rsidR="002E5F1F" w14:paraId="10947351" w14:textId="77777777" w:rsidTr="008E3B74">
        <w:tc>
          <w:tcPr>
            <w:tcW w:w="812" w:type="dxa"/>
            <w:shd w:val="clear" w:color="auto" w:fill="auto"/>
          </w:tcPr>
          <w:p w14:paraId="2B812CD0" w14:textId="77777777" w:rsidR="002E5F1F" w:rsidRPr="002E5F1F" w:rsidRDefault="002E5F1F" w:rsidP="00376F03">
            <w:pPr>
              <w:pStyle w:val="NoSpacing"/>
              <w:rPr>
                <w:b/>
              </w:rPr>
            </w:pPr>
            <w:r>
              <w:rPr>
                <w:b/>
              </w:rPr>
              <w:t>...</w:t>
            </w:r>
          </w:p>
        </w:tc>
        <w:tc>
          <w:tcPr>
            <w:tcW w:w="1392" w:type="dxa"/>
            <w:shd w:val="clear" w:color="auto" w:fill="auto"/>
          </w:tcPr>
          <w:p w14:paraId="15A0FEB5" w14:textId="77777777" w:rsidR="002E5F1F" w:rsidRDefault="002E5F1F" w:rsidP="00376F03">
            <w:pPr>
              <w:pStyle w:val="NoSpacing"/>
            </w:pPr>
          </w:p>
        </w:tc>
        <w:tc>
          <w:tcPr>
            <w:tcW w:w="4850" w:type="dxa"/>
            <w:shd w:val="clear" w:color="auto" w:fill="auto"/>
          </w:tcPr>
          <w:p w14:paraId="5C5822BE" w14:textId="77777777" w:rsidR="002E5F1F" w:rsidRDefault="002E5F1F" w:rsidP="00376F03">
            <w:pPr>
              <w:pStyle w:val="NoSpacing"/>
            </w:pPr>
          </w:p>
        </w:tc>
        <w:tc>
          <w:tcPr>
            <w:tcW w:w="2188" w:type="dxa"/>
            <w:shd w:val="clear" w:color="auto" w:fill="auto"/>
          </w:tcPr>
          <w:p w14:paraId="3C39CDAE" w14:textId="77777777" w:rsidR="002E5F1F" w:rsidRDefault="002E5F1F" w:rsidP="00376F03">
            <w:pPr>
              <w:pStyle w:val="NoSpacing"/>
            </w:pPr>
          </w:p>
        </w:tc>
      </w:tr>
      <w:tr w:rsidR="002E5F1F" w14:paraId="6A3A3D7A" w14:textId="77777777" w:rsidTr="008E3B74">
        <w:tc>
          <w:tcPr>
            <w:tcW w:w="812" w:type="dxa"/>
            <w:shd w:val="clear" w:color="auto" w:fill="auto"/>
          </w:tcPr>
          <w:p w14:paraId="2A189B81" w14:textId="77777777" w:rsidR="002E5F1F" w:rsidRPr="002E5F1F" w:rsidRDefault="002E5F1F" w:rsidP="00376F03">
            <w:pPr>
              <w:pStyle w:val="NoSpacing"/>
              <w:rPr>
                <w:b/>
              </w:rPr>
            </w:pPr>
            <w:r>
              <w:rPr>
                <w:b/>
              </w:rPr>
              <w:t>...</w:t>
            </w:r>
          </w:p>
        </w:tc>
        <w:tc>
          <w:tcPr>
            <w:tcW w:w="1392" w:type="dxa"/>
            <w:shd w:val="clear" w:color="auto" w:fill="auto"/>
          </w:tcPr>
          <w:p w14:paraId="0D127CBB" w14:textId="77777777" w:rsidR="002E5F1F" w:rsidRDefault="002E5F1F" w:rsidP="00376F03">
            <w:pPr>
              <w:pStyle w:val="NoSpacing"/>
            </w:pPr>
          </w:p>
        </w:tc>
        <w:tc>
          <w:tcPr>
            <w:tcW w:w="4850" w:type="dxa"/>
            <w:shd w:val="clear" w:color="auto" w:fill="auto"/>
          </w:tcPr>
          <w:p w14:paraId="1947D5BF" w14:textId="77777777" w:rsidR="002E5F1F" w:rsidRDefault="002E5F1F" w:rsidP="00376F03">
            <w:pPr>
              <w:pStyle w:val="NoSpacing"/>
            </w:pPr>
          </w:p>
        </w:tc>
        <w:tc>
          <w:tcPr>
            <w:tcW w:w="2188" w:type="dxa"/>
            <w:shd w:val="clear" w:color="auto" w:fill="auto"/>
          </w:tcPr>
          <w:p w14:paraId="73DFC29F" w14:textId="77777777" w:rsidR="002E5F1F" w:rsidRDefault="002E5F1F" w:rsidP="00376F03">
            <w:pPr>
              <w:pStyle w:val="NoSpacing"/>
            </w:pPr>
          </w:p>
        </w:tc>
      </w:tr>
      <w:tr w:rsidR="002E5F1F" w14:paraId="0A38F5A2" w14:textId="77777777" w:rsidTr="008E3B74">
        <w:tc>
          <w:tcPr>
            <w:tcW w:w="812" w:type="dxa"/>
            <w:shd w:val="clear" w:color="auto" w:fill="auto"/>
          </w:tcPr>
          <w:p w14:paraId="57556AEE" w14:textId="77777777" w:rsidR="002E5F1F" w:rsidRPr="002E5F1F" w:rsidRDefault="002E5F1F" w:rsidP="00376F03">
            <w:pPr>
              <w:pStyle w:val="NoSpacing"/>
              <w:rPr>
                <w:b/>
              </w:rPr>
            </w:pPr>
          </w:p>
        </w:tc>
        <w:tc>
          <w:tcPr>
            <w:tcW w:w="1392" w:type="dxa"/>
            <w:shd w:val="clear" w:color="auto" w:fill="auto"/>
          </w:tcPr>
          <w:p w14:paraId="02F3FEBC" w14:textId="77777777" w:rsidR="002E5F1F" w:rsidRDefault="002E5F1F" w:rsidP="00376F03">
            <w:pPr>
              <w:pStyle w:val="NoSpacing"/>
            </w:pPr>
          </w:p>
        </w:tc>
        <w:tc>
          <w:tcPr>
            <w:tcW w:w="4850" w:type="dxa"/>
            <w:shd w:val="clear" w:color="auto" w:fill="auto"/>
          </w:tcPr>
          <w:p w14:paraId="658036B4" w14:textId="77777777" w:rsidR="002E5F1F" w:rsidRDefault="002E5F1F" w:rsidP="00376F03">
            <w:pPr>
              <w:pStyle w:val="NoSpacing"/>
            </w:pPr>
          </w:p>
        </w:tc>
        <w:tc>
          <w:tcPr>
            <w:tcW w:w="2188" w:type="dxa"/>
            <w:shd w:val="clear" w:color="auto" w:fill="auto"/>
          </w:tcPr>
          <w:p w14:paraId="02BF9161" w14:textId="77777777" w:rsidR="002E5F1F" w:rsidRDefault="002E5F1F" w:rsidP="00376F03">
            <w:pPr>
              <w:pStyle w:val="NoSpacing"/>
            </w:pPr>
          </w:p>
        </w:tc>
      </w:tr>
    </w:tbl>
    <w:p w14:paraId="4633EE97" w14:textId="77777777" w:rsidR="000502D5" w:rsidRDefault="000502D5" w:rsidP="002E5F1F"/>
    <w:p w14:paraId="5155042A" w14:textId="77777777" w:rsidR="005D14DF" w:rsidRPr="005D14DF" w:rsidRDefault="005D14DF" w:rsidP="005D14DF">
      <w:pPr>
        <w:rPr>
          <w:b/>
          <w:color w:val="4F81BD" w:themeColor="accent1"/>
        </w:rPr>
      </w:pPr>
      <w:r w:rsidRPr="005D14DF">
        <w:rPr>
          <w:b/>
          <w:color w:val="4F81BD" w:themeColor="accent1"/>
        </w:rPr>
        <w:t>TERMINOLOGY</w:t>
      </w:r>
    </w:p>
    <w:p w14:paraId="458DB0B3"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67C09D04"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354820F" w14:textId="77777777" w:rsidR="00227F47" w:rsidRPr="00227F47" w:rsidRDefault="00227F47" w:rsidP="00227F47">
          <w:pPr>
            <w:rPr>
              <w:b/>
              <w:color w:val="0067B1"/>
              <w:sz w:val="40"/>
            </w:rPr>
          </w:pPr>
          <w:r w:rsidRPr="00227F47">
            <w:rPr>
              <w:b/>
              <w:color w:val="0067B1"/>
              <w:sz w:val="40"/>
            </w:rPr>
            <w:t>Contents</w:t>
          </w:r>
        </w:p>
        <w:p w14:paraId="3C0E70F6" w14:textId="77777777" w:rsidR="008E3B74"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8E3B74">
            <w:rPr>
              <w:noProof/>
            </w:rPr>
            <w:t>1</w:t>
          </w:r>
          <w:r w:rsidR="008E3B74">
            <w:rPr>
              <w:rFonts w:asciiTheme="minorHAnsi" w:eastAsiaTheme="minorEastAsia" w:hAnsiTheme="minorHAnsi"/>
              <w:noProof/>
              <w:spacing w:val="0"/>
              <w:sz w:val="24"/>
              <w:szCs w:val="24"/>
              <w:lang w:val="en-US" w:eastAsia="ja-JP"/>
            </w:rPr>
            <w:tab/>
          </w:r>
          <w:r w:rsidR="008E3B74">
            <w:rPr>
              <w:noProof/>
            </w:rPr>
            <w:t>Introduction</w:t>
          </w:r>
          <w:r w:rsidR="008E3B74">
            <w:rPr>
              <w:noProof/>
            </w:rPr>
            <w:tab/>
          </w:r>
          <w:r w:rsidR="008E3B74">
            <w:rPr>
              <w:noProof/>
            </w:rPr>
            <w:fldChar w:fldCharType="begin"/>
          </w:r>
          <w:r w:rsidR="008E3B74">
            <w:rPr>
              <w:noProof/>
            </w:rPr>
            <w:instrText xml:space="preserve"> PAGEREF _Toc332963494 \h </w:instrText>
          </w:r>
          <w:r w:rsidR="008E3B74">
            <w:rPr>
              <w:noProof/>
            </w:rPr>
          </w:r>
          <w:r w:rsidR="008E3B74">
            <w:rPr>
              <w:noProof/>
            </w:rPr>
            <w:fldChar w:fldCharType="separate"/>
          </w:r>
          <w:r w:rsidR="000652FD">
            <w:rPr>
              <w:noProof/>
            </w:rPr>
            <w:t>4</w:t>
          </w:r>
          <w:r w:rsidR="008E3B74">
            <w:rPr>
              <w:noProof/>
            </w:rPr>
            <w:fldChar w:fldCharType="end"/>
          </w:r>
        </w:p>
        <w:p w14:paraId="11105C58" w14:textId="77777777" w:rsidR="008E3B74" w:rsidRDefault="008E3B74">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Progress</w:t>
          </w:r>
          <w:r>
            <w:rPr>
              <w:noProof/>
            </w:rPr>
            <w:tab/>
          </w:r>
          <w:r>
            <w:rPr>
              <w:noProof/>
            </w:rPr>
            <w:fldChar w:fldCharType="begin"/>
          </w:r>
          <w:r>
            <w:rPr>
              <w:noProof/>
            </w:rPr>
            <w:instrText xml:space="preserve"> PAGEREF _Toc332963495 \h </w:instrText>
          </w:r>
          <w:r>
            <w:rPr>
              <w:noProof/>
            </w:rPr>
          </w:r>
          <w:r>
            <w:rPr>
              <w:noProof/>
            </w:rPr>
            <w:fldChar w:fldCharType="separate"/>
          </w:r>
          <w:r w:rsidR="000652FD">
            <w:rPr>
              <w:noProof/>
            </w:rPr>
            <w:t>5</w:t>
          </w:r>
          <w:r>
            <w:rPr>
              <w:noProof/>
            </w:rPr>
            <w:fldChar w:fldCharType="end"/>
          </w:r>
        </w:p>
        <w:p w14:paraId="3BB360AE" w14:textId="77777777" w:rsidR="008E3B74" w:rsidRDefault="008E3B7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Cross-border procurement</w:t>
          </w:r>
          <w:r>
            <w:rPr>
              <w:noProof/>
            </w:rPr>
            <w:tab/>
          </w:r>
          <w:r>
            <w:rPr>
              <w:noProof/>
            </w:rPr>
            <w:fldChar w:fldCharType="begin"/>
          </w:r>
          <w:r>
            <w:rPr>
              <w:noProof/>
            </w:rPr>
            <w:instrText xml:space="preserve"> PAGEREF _Toc332963496 \h </w:instrText>
          </w:r>
          <w:r>
            <w:rPr>
              <w:noProof/>
            </w:rPr>
          </w:r>
          <w:r>
            <w:rPr>
              <w:noProof/>
            </w:rPr>
            <w:fldChar w:fldCharType="separate"/>
          </w:r>
          <w:r w:rsidR="000652FD">
            <w:rPr>
              <w:noProof/>
            </w:rPr>
            <w:t>5</w:t>
          </w:r>
          <w:r>
            <w:rPr>
              <w:noProof/>
            </w:rPr>
            <w:fldChar w:fldCharType="end"/>
          </w:r>
        </w:p>
        <w:p w14:paraId="6B90BC57" w14:textId="77777777" w:rsidR="008E3B74" w:rsidRDefault="008E3B74">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Related EGI-Engage tasks</w:t>
          </w:r>
          <w:r>
            <w:rPr>
              <w:noProof/>
            </w:rPr>
            <w:tab/>
          </w:r>
          <w:r>
            <w:rPr>
              <w:noProof/>
            </w:rPr>
            <w:fldChar w:fldCharType="begin"/>
          </w:r>
          <w:r>
            <w:rPr>
              <w:noProof/>
            </w:rPr>
            <w:instrText xml:space="preserve"> PAGEREF _Toc332963497 \h </w:instrText>
          </w:r>
          <w:r>
            <w:rPr>
              <w:noProof/>
            </w:rPr>
          </w:r>
          <w:r>
            <w:rPr>
              <w:noProof/>
            </w:rPr>
            <w:fldChar w:fldCharType="separate"/>
          </w:r>
          <w:r w:rsidR="000652FD">
            <w:rPr>
              <w:noProof/>
            </w:rPr>
            <w:t>5</w:t>
          </w:r>
          <w:r>
            <w:rPr>
              <w:noProof/>
            </w:rPr>
            <w:fldChar w:fldCharType="end"/>
          </w:r>
        </w:p>
        <w:p w14:paraId="2A963A3C" w14:textId="77777777" w:rsidR="008E3B74" w:rsidRDefault="008E3B74">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Assessment</w:t>
          </w:r>
          <w:r>
            <w:rPr>
              <w:noProof/>
            </w:rPr>
            <w:tab/>
          </w:r>
          <w:r>
            <w:rPr>
              <w:noProof/>
            </w:rPr>
            <w:fldChar w:fldCharType="begin"/>
          </w:r>
          <w:r>
            <w:rPr>
              <w:noProof/>
            </w:rPr>
            <w:instrText xml:space="preserve"> PAGEREF _Toc332963498 \h </w:instrText>
          </w:r>
          <w:r>
            <w:rPr>
              <w:noProof/>
            </w:rPr>
          </w:r>
          <w:r>
            <w:rPr>
              <w:noProof/>
            </w:rPr>
            <w:fldChar w:fldCharType="separate"/>
          </w:r>
          <w:r w:rsidR="000652FD">
            <w:rPr>
              <w:noProof/>
            </w:rPr>
            <w:t>6</w:t>
          </w:r>
          <w:r>
            <w:rPr>
              <w:noProof/>
            </w:rPr>
            <w:fldChar w:fldCharType="end"/>
          </w:r>
        </w:p>
        <w:p w14:paraId="6044E789" w14:textId="77777777" w:rsidR="008E3B74" w:rsidRDefault="008E3B74">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Next steps</w:t>
          </w:r>
          <w:r>
            <w:rPr>
              <w:noProof/>
            </w:rPr>
            <w:tab/>
          </w:r>
          <w:r>
            <w:rPr>
              <w:noProof/>
            </w:rPr>
            <w:fldChar w:fldCharType="begin"/>
          </w:r>
          <w:r>
            <w:rPr>
              <w:noProof/>
            </w:rPr>
            <w:instrText xml:space="preserve"> PAGEREF _Toc332963499 \h </w:instrText>
          </w:r>
          <w:r>
            <w:rPr>
              <w:noProof/>
            </w:rPr>
          </w:r>
          <w:r>
            <w:rPr>
              <w:noProof/>
            </w:rPr>
            <w:fldChar w:fldCharType="separate"/>
          </w:r>
          <w:r w:rsidR="000652FD">
            <w:rPr>
              <w:noProof/>
            </w:rPr>
            <w:t>8</w:t>
          </w:r>
          <w:r>
            <w:rPr>
              <w:noProof/>
            </w:rPr>
            <w:fldChar w:fldCharType="end"/>
          </w:r>
        </w:p>
        <w:p w14:paraId="4E736782" w14:textId="77777777" w:rsidR="00227F47" w:rsidRDefault="00227F47">
          <w:r>
            <w:rPr>
              <w:b/>
              <w:bCs/>
              <w:noProof/>
            </w:rPr>
            <w:fldChar w:fldCharType="end"/>
          </w:r>
        </w:p>
      </w:sdtContent>
    </w:sdt>
    <w:p w14:paraId="3C56BFEB" w14:textId="77777777" w:rsidR="002539A4" w:rsidRDefault="002539A4" w:rsidP="000502D5"/>
    <w:p w14:paraId="670D5E1B" w14:textId="77777777" w:rsidR="002539A4" w:rsidRDefault="002539A4" w:rsidP="000502D5"/>
    <w:p w14:paraId="06E01372" w14:textId="77777777" w:rsidR="00227F47" w:rsidRDefault="00227F47" w:rsidP="000502D5"/>
    <w:p w14:paraId="5D56A386" w14:textId="77777777" w:rsidR="00227F47" w:rsidRDefault="00227F47" w:rsidP="000502D5">
      <w:r>
        <w:br w:type="page"/>
      </w:r>
    </w:p>
    <w:p w14:paraId="5FCC44D6" w14:textId="77777777" w:rsidR="00227F47" w:rsidRPr="00D065EF" w:rsidRDefault="005A6926" w:rsidP="004D249B">
      <w:pPr>
        <w:pStyle w:val="Heading1"/>
      </w:pPr>
      <w:bookmarkStart w:id="1" w:name="_Toc332963494"/>
      <w:r>
        <w:lastRenderedPageBreak/>
        <w:t>Introduction</w:t>
      </w:r>
      <w:bookmarkEnd w:id="1"/>
    </w:p>
    <w:p w14:paraId="3A79BAEE" w14:textId="77777777" w:rsidR="005A6926" w:rsidRDefault="0036544C" w:rsidP="0036544C">
      <w:pPr>
        <w:jc w:val="left"/>
      </w:pPr>
      <w:r>
        <w:t xml:space="preserve">This document provides an overview </w:t>
      </w:r>
      <w:r w:rsidR="009E6E58">
        <w:t>for the Cross-Border Joint P</w:t>
      </w:r>
      <w:r w:rsidR="005A6926">
        <w:t xml:space="preserve">rocurement session at the EGI Conference in </w:t>
      </w:r>
      <w:r w:rsidR="000949BC">
        <w:t>Amsterdam on 7</w:t>
      </w:r>
      <w:r w:rsidR="005A6926" w:rsidRPr="005A6926">
        <w:rPr>
          <w:vertAlign w:val="superscript"/>
        </w:rPr>
        <w:t>th</w:t>
      </w:r>
      <w:r w:rsidR="005A6926">
        <w:t xml:space="preserve"> </w:t>
      </w:r>
      <w:r w:rsidR="000949BC">
        <w:t>April 2016</w:t>
      </w:r>
      <w:r w:rsidR="005A6926">
        <w:t>:</w:t>
      </w:r>
      <w:r w:rsidR="000949BC">
        <w:br/>
      </w:r>
      <w:hyperlink r:id="rId13" w:anchor="20160407" w:history="1">
        <w:r w:rsidR="000949BC" w:rsidRPr="0042396E">
          <w:rPr>
            <w:rStyle w:val="Hyperlink"/>
          </w:rPr>
          <w:t>https://indico.egi.eu/indico/event/2875/session/27/?slotId=0#20160407</w:t>
        </w:r>
      </w:hyperlink>
    </w:p>
    <w:p w14:paraId="6B051998" w14:textId="77777777" w:rsidR="005A6926" w:rsidRPr="005A6926" w:rsidRDefault="005A6926" w:rsidP="005A6926">
      <w:r w:rsidRPr="005A6926">
        <w:t>Cross-border procurement of e-Infrastructure services is an activity of the EGI-Engage project (NA2</w:t>
      </w:r>
      <w:r>
        <w:rPr>
          <w:rStyle w:val="FootnoteReference"/>
        </w:rPr>
        <w:footnoteReference w:id="1"/>
      </w:r>
      <w:r w:rsidRPr="005A6926">
        <w:t>)</w:t>
      </w:r>
      <w:r w:rsidR="00DD299A">
        <w:t xml:space="preserve"> involving the partners </w:t>
      </w:r>
      <w:r w:rsidR="00DD299A" w:rsidRPr="00DD299A">
        <w:t>CERN</w:t>
      </w:r>
      <w:r w:rsidR="00DD299A">
        <w:t>, BBMRI-ERIC, CSIC (LifeWatch), RBI (DARIAH), INGV (EPOS) and EGI.eu (representing EGI and liaising with the NGIs) with the following scope:</w:t>
      </w:r>
    </w:p>
    <w:p w14:paraId="3DB3D3F4" w14:textId="77777777" w:rsidR="004161B8" w:rsidRPr="005A6926" w:rsidRDefault="00B76EBE" w:rsidP="00EB4720">
      <w:pPr>
        <w:numPr>
          <w:ilvl w:val="0"/>
          <w:numId w:val="17"/>
        </w:numPr>
        <w:spacing w:line="240" w:lineRule="auto"/>
      </w:pPr>
      <w:r w:rsidRPr="005A6926">
        <w:t>e-Infrastructures are evolving towards service-oriented provision with on-demand allocation and pay-for-use capabilities</w:t>
      </w:r>
      <w:r w:rsidR="00E50F2E">
        <w:t>.</w:t>
      </w:r>
    </w:p>
    <w:p w14:paraId="36D71BAC" w14:textId="77777777" w:rsidR="004161B8" w:rsidRPr="005A6926" w:rsidRDefault="00B76EBE" w:rsidP="00EB4720">
      <w:pPr>
        <w:numPr>
          <w:ilvl w:val="0"/>
          <w:numId w:val="17"/>
        </w:numPr>
        <w:spacing w:line="240" w:lineRule="auto"/>
      </w:pPr>
      <w:r w:rsidRPr="005A6926">
        <w:t>Publicly funded resource providers and their users lack the knowledge and mechanisms to collectively bid within a public procurement process</w:t>
      </w:r>
      <w:r w:rsidR="00E50F2E">
        <w:t>.</w:t>
      </w:r>
    </w:p>
    <w:p w14:paraId="754D5BC4" w14:textId="77777777" w:rsidR="004161B8" w:rsidRPr="005A6926" w:rsidRDefault="00B76EBE" w:rsidP="00EB4720">
      <w:pPr>
        <w:numPr>
          <w:ilvl w:val="0"/>
          <w:numId w:val="17"/>
        </w:numPr>
        <w:spacing w:line="240" w:lineRule="auto"/>
      </w:pPr>
      <w:r w:rsidRPr="005A6926">
        <w:t>The goal of this activity is to analyse opportunities and barriers for cross-border procurement of e-Infrastructure services and to identify best practices</w:t>
      </w:r>
      <w:r w:rsidR="00E50F2E">
        <w:t>.</w:t>
      </w:r>
    </w:p>
    <w:p w14:paraId="33C65694" w14:textId="77777777" w:rsidR="004161B8" w:rsidRPr="005A6926" w:rsidRDefault="00B76EBE" w:rsidP="00EB4720">
      <w:pPr>
        <w:numPr>
          <w:ilvl w:val="0"/>
          <w:numId w:val="17"/>
        </w:numPr>
        <w:spacing w:line="240" w:lineRule="auto"/>
      </w:pPr>
      <w:r w:rsidRPr="005A6926">
        <w:t>A number of RIs and infrastructure providers will contribute to the analysis and documentation of use cases</w:t>
      </w:r>
      <w:r w:rsidR="00E50F2E">
        <w:t>.</w:t>
      </w:r>
    </w:p>
    <w:p w14:paraId="5AF446A7" w14:textId="77777777" w:rsidR="004161B8" w:rsidRDefault="00B76EBE" w:rsidP="00EB4720">
      <w:pPr>
        <w:numPr>
          <w:ilvl w:val="0"/>
          <w:numId w:val="17"/>
        </w:numPr>
        <w:spacing w:line="240" w:lineRule="auto"/>
      </w:pPr>
      <w:r w:rsidRPr="005A6926">
        <w:t>A final report will be produced</w:t>
      </w:r>
      <w:r w:rsidR="00E50F2E">
        <w:t xml:space="preserve"> </w:t>
      </w:r>
      <w:r w:rsidR="00E50F2E">
        <w:rPr>
          <w:rFonts w:eastAsia="Times New Roman"/>
        </w:rPr>
        <w:t>D2.11 ‘</w:t>
      </w:r>
      <w:r w:rsidR="006C1CF2">
        <w:rPr>
          <w:rFonts w:eastAsia="Times New Roman"/>
          <w:i/>
          <w:iCs/>
        </w:rPr>
        <w:t>Cross-bo</w:t>
      </w:r>
      <w:r w:rsidR="006C1CF2">
        <w:rPr>
          <w:rStyle w:val="apple-style-span"/>
          <w:rFonts w:eastAsia="Times New Roman"/>
          <w:i/>
          <w:iCs/>
        </w:rPr>
        <w:t>rder procurement of e-Infrastructure services: Opportunities, Barriers, Use cases, Best Practices</w:t>
      </w:r>
      <w:r w:rsidR="00E50F2E">
        <w:rPr>
          <w:rStyle w:val="apple-style-span"/>
          <w:rFonts w:eastAsia="Times New Roman"/>
          <w:i/>
          <w:iCs/>
        </w:rPr>
        <w:t>’</w:t>
      </w:r>
      <w:r w:rsidR="006C1CF2">
        <w:rPr>
          <w:rFonts w:eastAsia="Times New Roman"/>
          <w:i/>
          <w:iCs/>
        </w:rPr>
        <w:t xml:space="preserve"> </w:t>
      </w:r>
      <w:r w:rsidR="00E50F2E">
        <w:t>in F</w:t>
      </w:r>
      <w:r w:rsidRPr="005A6926">
        <w:t>eb</w:t>
      </w:r>
      <w:r w:rsidR="00E50F2E">
        <w:t>ruary</w:t>
      </w:r>
      <w:r w:rsidRPr="005A6926">
        <w:t xml:space="preserve"> 2017</w:t>
      </w:r>
      <w:r w:rsidR="00E50F2E">
        <w:t>.</w:t>
      </w:r>
    </w:p>
    <w:p w14:paraId="68475B2B" w14:textId="77777777" w:rsidR="000949BC" w:rsidRDefault="000949BC" w:rsidP="000949BC">
      <w:pPr>
        <w:pStyle w:val="Heading1"/>
      </w:pPr>
      <w:bookmarkStart w:id="2" w:name="_Toc332963495"/>
      <w:r>
        <w:lastRenderedPageBreak/>
        <w:t>Progress</w:t>
      </w:r>
      <w:bookmarkEnd w:id="2"/>
    </w:p>
    <w:p w14:paraId="14816D0C" w14:textId="77777777" w:rsidR="008800D4" w:rsidRDefault="008800D4" w:rsidP="008800D4">
      <w:pPr>
        <w:pStyle w:val="Heading2"/>
      </w:pPr>
      <w:bookmarkStart w:id="3" w:name="_Toc332963496"/>
      <w:r>
        <w:t>Cross-border procurement</w:t>
      </w:r>
      <w:bookmarkEnd w:id="3"/>
    </w:p>
    <w:p w14:paraId="44411277" w14:textId="77777777" w:rsidR="008800D4" w:rsidRDefault="008800D4" w:rsidP="008800D4">
      <w:r>
        <w:t xml:space="preserve">The progress of </w:t>
      </w:r>
      <w:r w:rsidR="00755A75">
        <w:t xml:space="preserve">the </w:t>
      </w:r>
      <w:r w:rsidRPr="005A6926">
        <w:t xml:space="preserve">Cross-border procurement </w:t>
      </w:r>
      <w:r>
        <w:t>task has been reviewed by the participating partners and RIs at the EGI events starting with the EGI conference in Lisbon during May 2015 and continuing with the EGI community forum in Bari during November 2015:</w:t>
      </w:r>
    </w:p>
    <w:p w14:paraId="0F6E4669" w14:textId="77777777" w:rsidR="008800D4" w:rsidRDefault="008800D4" w:rsidP="008800D4">
      <w:pPr>
        <w:pStyle w:val="ListParagraph"/>
        <w:numPr>
          <w:ilvl w:val="0"/>
          <w:numId w:val="23"/>
        </w:numPr>
      </w:pPr>
      <w:r>
        <w:t>The procurement models in use by p</w:t>
      </w:r>
      <w:r w:rsidR="00755A75">
        <w:t>ublic research organisations have</w:t>
      </w:r>
      <w:r>
        <w:t xml:space="preserve"> been analysed via the PICSE project (</w:t>
      </w:r>
      <w:hyperlink r:id="rId14" w:history="1">
        <w:r w:rsidRPr="008800D4">
          <w:rPr>
            <w:rStyle w:val="Hyperlink"/>
          </w:rPr>
          <w:t>http://www.picse.eu/</w:t>
        </w:r>
      </w:hyperlink>
      <w:r>
        <w:t>),</w:t>
      </w:r>
    </w:p>
    <w:p w14:paraId="148FE232" w14:textId="77777777" w:rsidR="008800D4" w:rsidRDefault="008800D4" w:rsidP="008800D4">
      <w:pPr>
        <w:pStyle w:val="ListParagraph"/>
        <w:numPr>
          <w:ilvl w:val="0"/>
          <w:numId w:val="23"/>
        </w:numPr>
      </w:pPr>
      <w:r>
        <w:t>The role of EGI with respect to tenders has been discussed in the context of the CERN IaaS market survey,</w:t>
      </w:r>
    </w:p>
    <w:p w14:paraId="6EE5468B" w14:textId="77777777" w:rsidR="008800D4" w:rsidRDefault="008800D4" w:rsidP="0046650A">
      <w:pPr>
        <w:pStyle w:val="ListParagraph"/>
        <w:numPr>
          <w:ilvl w:val="0"/>
          <w:numId w:val="23"/>
        </w:numPr>
      </w:pPr>
      <w:r>
        <w:t>Cross-border procurement via PCP/PPI instruments is being actively investigated via the HNSciCloud project (</w:t>
      </w:r>
      <w:hyperlink r:id="rId15" w:history="1">
        <w:r w:rsidRPr="008800D4">
          <w:rPr>
            <w:rStyle w:val="Hyperlink"/>
          </w:rPr>
          <w:t>http://hnscicloud.eu/</w:t>
        </w:r>
      </w:hyperlink>
      <w:r>
        <w:t>),</w:t>
      </w:r>
      <w:r w:rsidR="0046650A">
        <w:t xml:space="preserve"> which held an open market consultation on 17</w:t>
      </w:r>
      <w:r w:rsidR="0046650A" w:rsidRPr="0046650A">
        <w:rPr>
          <w:vertAlign w:val="superscript"/>
        </w:rPr>
        <w:t>th</w:t>
      </w:r>
      <w:r w:rsidR="0046650A">
        <w:t xml:space="preserve"> March (material available online: </w:t>
      </w:r>
      <w:hyperlink r:id="rId16" w:history="1">
        <w:r w:rsidR="0046650A" w:rsidRPr="0046650A">
          <w:rPr>
            <w:rStyle w:val="Hyperlink"/>
          </w:rPr>
          <w:t>http://www.hnscicloud.eu/events/hnscicloud-pre-commercial-procurement-open-market-consultation-omc</w:t>
        </w:r>
      </w:hyperlink>
      <w:r w:rsidR="0046650A">
        <w:t>)</w:t>
      </w:r>
    </w:p>
    <w:p w14:paraId="6CD02D0B" w14:textId="77777777" w:rsidR="005A6926" w:rsidRPr="005A6926" w:rsidRDefault="008800D4" w:rsidP="008800D4">
      <w:pPr>
        <w:pStyle w:val="ListParagraph"/>
        <w:numPr>
          <w:ilvl w:val="0"/>
          <w:numId w:val="23"/>
        </w:numPr>
        <w:jc w:val="left"/>
      </w:pPr>
      <w:r>
        <w:t>The combination of different funding streams, such as structural funds, have been investigated via a dedicated workshop organised by ELIXIR-Excelerate in Brno in October 2015</w:t>
      </w:r>
      <w:r w:rsidR="00755A75">
        <w:t xml:space="preserve"> </w:t>
      </w:r>
      <w:r>
        <w:t xml:space="preserve"> (</w:t>
      </w:r>
      <w:hyperlink r:id="rId17" w:history="1">
        <w:r w:rsidRPr="008800D4">
          <w:rPr>
            <w:rStyle w:val="Hyperlink"/>
          </w:rPr>
          <w:t>http://www.ceitec.eu/elixir-excelerate-structural-funds-workshop/t2194#tab1</w:t>
        </w:r>
      </w:hyperlink>
      <w:r>
        <w:t xml:space="preserve"> and material:  </w:t>
      </w:r>
      <w:hyperlink r:id="rId18" w:history="1">
        <w:r w:rsidRPr="008800D4">
          <w:rPr>
            <w:rStyle w:val="Hyperlink"/>
          </w:rPr>
          <w:t>http://www.ceitec.eu/elixir-excelerate-structural-funds-workshop/t2194#tab6</w:t>
        </w:r>
      </w:hyperlink>
      <w:r>
        <w:t>).</w:t>
      </w:r>
    </w:p>
    <w:p w14:paraId="095CE43A" w14:textId="77777777" w:rsidR="00755A75" w:rsidRDefault="00755A75" w:rsidP="00755A75">
      <w:pPr>
        <w:pStyle w:val="Heading2"/>
      </w:pPr>
      <w:bookmarkStart w:id="4" w:name="_Toc332963497"/>
      <w:r>
        <w:t>Related EGI-Engage tasks</w:t>
      </w:r>
      <w:bookmarkEnd w:id="4"/>
    </w:p>
    <w:p w14:paraId="4BAC47D5" w14:textId="77777777" w:rsidR="00755A75" w:rsidRDefault="00755A75" w:rsidP="00755A75">
      <w:r>
        <w:t xml:space="preserve">The work of the </w:t>
      </w:r>
      <w:r w:rsidRPr="005A6926">
        <w:t xml:space="preserve">Cross-border procurement </w:t>
      </w:r>
      <w:r>
        <w:t xml:space="preserve">task is closely related to two other </w:t>
      </w:r>
      <w:r w:rsidR="0036544C">
        <w:t xml:space="preserve">EGI-Engage </w:t>
      </w:r>
      <w:r>
        <w:t>tasks:</w:t>
      </w:r>
    </w:p>
    <w:p w14:paraId="2B4C8A26" w14:textId="77777777" w:rsidR="00755A75" w:rsidRDefault="00755A75" w:rsidP="00755A75">
      <w:pPr>
        <w:numPr>
          <w:ilvl w:val="0"/>
          <w:numId w:val="17"/>
        </w:numPr>
        <w:jc w:val="left"/>
      </w:pPr>
      <w:r>
        <w:t xml:space="preserve">‘EGI Marketplace’ led by SWING (NA2.2.7) produced a report ‘Concept of the EGI Marketplace’ </w:t>
      </w:r>
      <w:r w:rsidRPr="001315ED">
        <w:t>(D2.3) in August 2015</w:t>
      </w:r>
      <w:r w:rsidR="00EC62C1">
        <w:t>:</w:t>
      </w:r>
      <w:r w:rsidR="0036544C">
        <w:t xml:space="preserve"> </w:t>
      </w:r>
      <w:hyperlink r:id="rId19" w:history="1">
        <w:r w:rsidRPr="00386A25">
          <w:rPr>
            <w:rStyle w:val="Hyperlink"/>
          </w:rPr>
          <w:t>https://documents.egi.eu/document/2535</w:t>
        </w:r>
      </w:hyperlink>
      <w:r>
        <w:br/>
        <w:t>The</w:t>
      </w:r>
      <w:r w:rsidRPr="00386A25">
        <w:t xml:space="preserve"> document gives the rationale and planned implementation of a service marketplace</w:t>
      </w:r>
      <w:r>
        <w:t>.</w:t>
      </w:r>
      <w:r>
        <w:br/>
      </w:r>
      <w:r w:rsidRPr="00EC7515">
        <w:t xml:space="preserve">A session </w:t>
      </w:r>
      <w:r>
        <w:t xml:space="preserve">is </w:t>
      </w:r>
      <w:r w:rsidRPr="00EC7515">
        <w:t>scheduled for this task at 16:00 on 6</w:t>
      </w:r>
      <w:r w:rsidRPr="00EC7515">
        <w:rPr>
          <w:vertAlign w:val="superscript"/>
        </w:rPr>
        <w:t>th</w:t>
      </w:r>
      <w:r w:rsidRPr="00EC7515">
        <w:t xml:space="preserve"> April </w:t>
      </w:r>
      <w:r w:rsidR="00F53241">
        <w:t xml:space="preserve">at the EGI conference in Amsterdam </w:t>
      </w:r>
      <w:r w:rsidRPr="00EC7515">
        <w:t>where the prototype EGI marketplace implementation will be discussed (including service catalog, SLAs, terms of reference etc.):</w:t>
      </w:r>
      <w:r w:rsidRPr="00EC7515">
        <w:br/>
      </w:r>
      <w:hyperlink r:id="rId20" w:anchor="20160406" w:history="1">
        <w:r w:rsidRPr="00EC7515">
          <w:rPr>
            <w:rStyle w:val="Hyperlink"/>
          </w:rPr>
          <w:t>https://indico.egi.eu/indico/event/2875/session/19/?slotId=0#20160406</w:t>
        </w:r>
      </w:hyperlink>
    </w:p>
    <w:p w14:paraId="325CB07E" w14:textId="77777777" w:rsidR="00755A75" w:rsidRDefault="00755A75" w:rsidP="00755A75">
      <w:pPr>
        <w:numPr>
          <w:ilvl w:val="0"/>
          <w:numId w:val="17"/>
        </w:numPr>
        <w:jc w:val="left"/>
      </w:pPr>
      <w:r>
        <w:t>The work on the ‘Pay-for-use Implementation’ led by EGI.eu (NA2.2.6) has been reported in the ‘EGI Sustainability and Business Development Plan’ d</w:t>
      </w:r>
      <w:r w:rsidR="0036544C">
        <w:t>ocuments D2.9 in February 2016</w:t>
      </w:r>
      <w:r w:rsidRPr="00386A25">
        <w:t xml:space="preserve">: </w:t>
      </w:r>
      <w:hyperlink r:id="rId21" w:history="1">
        <w:r w:rsidRPr="00386A25">
          <w:rPr>
            <w:rStyle w:val="Hyperlink"/>
          </w:rPr>
          <w:t>https://documents.egi.eu/document/2669</w:t>
        </w:r>
      </w:hyperlink>
      <w:r>
        <w:br/>
        <w:t>The</w:t>
      </w:r>
      <w:r w:rsidRPr="00386A25">
        <w:t xml:space="preserve"> document highlight</w:t>
      </w:r>
      <w:r>
        <w:t>s</w:t>
      </w:r>
      <w:r w:rsidRPr="00386A25">
        <w:t xml:space="preserve"> a marketplace as part of the EGI service portfolio (see table 1 and section 3.5.5) and the potential future role of EGI as a broker (section 4.2)</w:t>
      </w:r>
      <w:r w:rsidR="00D643ED">
        <w:t>. The current e-GRANT resource allocation tool offers a matchmaking tool for satisfying requests for resources with available services but does not perform the transaction (with or without payment) itself.</w:t>
      </w:r>
    </w:p>
    <w:p w14:paraId="28EB9FB3" w14:textId="77777777" w:rsidR="00B93D22" w:rsidRDefault="00B93D22" w:rsidP="00B93D22">
      <w:pPr>
        <w:pStyle w:val="Heading1"/>
      </w:pPr>
      <w:bookmarkStart w:id="5" w:name="_Ref447111577"/>
      <w:bookmarkStart w:id="6" w:name="_Toc332963498"/>
      <w:r>
        <w:lastRenderedPageBreak/>
        <w:t>Assessment</w:t>
      </w:r>
      <w:bookmarkEnd w:id="5"/>
      <w:bookmarkEnd w:id="6"/>
      <w:r>
        <w:t xml:space="preserve"> </w:t>
      </w:r>
    </w:p>
    <w:p w14:paraId="725A6C44" w14:textId="77777777" w:rsidR="00F1461B" w:rsidRDefault="00F1461B" w:rsidP="00F1461B">
      <w:r w:rsidRPr="00A659B2">
        <w:t xml:space="preserve">The PICSE project has produced a call for action </w:t>
      </w:r>
      <w:r>
        <w:t xml:space="preserve">which includes a number of </w:t>
      </w:r>
      <w:r w:rsidRPr="00A659B2">
        <w:t>recommendations for public research organisations, cloud serv</w:t>
      </w:r>
      <w:r>
        <w:t xml:space="preserve">ice providers and policy makers intended to remove barriers </w:t>
      </w:r>
      <w:r w:rsidR="00755A75">
        <w:t>to cloud service procurement that</w:t>
      </w:r>
      <w:r>
        <w:t xml:space="preserve"> are based on a set of 13 use-cases with identified best practises: </w:t>
      </w:r>
      <w:hyperlink r:id="rId22" w:history="1">
        <w:r w:rsidRPr="0042396E">
          <w:rPr>
            <w:rStyle w:val="Hyperlink"/>
          </w:rPr>
          <w:t>http://picse.eu/sites/default/files/PICSE_Call_for_action_March2016_Booklet.pdf</w:t>
        </w:r>
      </w:hyperlink>
    </w:p>
    <w:p w14:paraId="11F86F88" w14:textId="77777777" w:rsidR="00F1461B" w:rsidRPr="00A659B2" w:rsidRDefault="00755A75" w:rsidP="00F1461B">
      <w:r>
        <w:t>Extract of r</w:t>
      </w:r>
      <w:r w:rsidR="00F1461B" w:rsidRPr="00A659B2">
        <w:t>ecommendations for public research organisations:</w:t>
      </w:r>
    </w:p>
    <w:p w14:paraId="02DB6D95" w14:textId="77777777" w:rsidR="00F1461B" w:rsidRPr="00A659B2" w:rsidRDefault="00F1461B" w:rsidP="00F1461B">
      <w:pPr>
        <w:ind w:left="720"/>
      </w:pPr>
      <w:r w:rsidRPr="00A659B2">
        <w:t>1. Build internal competences on cloud procurement and share requirements &amp; best practices</w:t>
      </w:r>
    </w:p>
    <w:p w14:paraId="370790F2" w14:textId="77777777" w:rsidR="00F1461B" w:rsidRPr="00A659B2" w:rsidRDefault="00F1461B" w:rsidP="00F1461B">
      <w:pPr>
        <w:ind w:left="720"/>
      </w:pPr>
      <w:r w:rsidRPr="00A659B2">
        <w:t>2. Adopt cloud-specific standards and identify these in procurements</w:t>
      </w:r>
    </w:p>
    <w:p w14:paraId="38506703" w14:textId="77777777" w:rsidR="00F1461B" w:rsidRPr="00A659B2" w:rsidRDefault="00F1461B" w:rsidP="00F1461B">
      <w:pPr>
        <w:ind w:left="720"/>
      </w:pPr>
      <w:r w:rsidRPr="00A659B2">
        <w:t>3. Validate and use standard templates for tenders with standard contract templates and SLAs</w:t>
      </w:r>
    </w:p>
    <w:p w14:paraId="7F8CB96D" w14:textId="77777777" w:rsidR="00F1461B" w:rsidRPr="00A659B2" w:rsidRDefault="00F1461B" w:rsidP="00F1461B">
      <w:pPr>
        <w:ind w:left="720"/>
      </w:pPr>
      <w:r w:rsidRPr="00A659B2">
        <w:t>6. Review internal procurement policies and make tenders SME-friendly</w:t>
      </w:r>
    </w:p>
    <w:p w14:paraId="54B2748C" w14:textId="77777777" w:rsidR="00F1461B" w:rsidRPr="00A659B2" w:rsidRDefault="00F1461B" w:rsidP="00F1461B">
      <w:pPr>
        <w:ind w:left="720"/>
      </w:pPr>
      <w:r w:rsidRPr="00A659B2">
        <w:t>7. Encourage innovation and competition</w:t>
      </w:r>
    </w:p>
    <w:p w14:paraId="5D2DF2B4" w14:textId="77777777" w:rsidR="00F1461B" w:rsidRPr="00A659B2" w:rsidRDefault="00F1461B" w:rsidP="00F1461B">
      <w:pPr>
        <w:ind w:left="720"/>
      </w:pPr>
      <w:r w:rsidRPr="00A659B2">
        <w:t>9. Engage the industry and manage relationships with multiple suppliers</w:t>
      </w:r>
    </w:p>
    <w:p w14:paraId="46C4C70C" w14:textId="77777777" w:rsidR="00F1461B" w:rsidRPr="00A659B2" w:rsidRDefault="00F1461B" w:rsidP="00F1461B">
      <w:pPr>
        <w:ind w:left="720"/>
      </w:pPr>
      <w:r w:rsidRPr="00A659B2">
        <w:t>10. Adopt standards to improve the quality, security and sustainability of products and services</w:t>
      </w:r>
    </w:p>
    <w:p w14:paraId="0614E12B" w14:textId="77777777" w:rsidR="00F1461B" w:rsidRPr="00A659B2" w:rsidRDefault="00F1461B" w:rsidP="00F1461B">
      <w:pPr>
        <w:ind w:left="720"/>
      </w:pPr>
      <w:r w:rsidRPr="00A659B2">
        <w:t>14. Implement pay-per-use procedures</w:t>
      </w:r>
    </w:p>
    <w:p w14:paraId="6A0EDEDF" w14:textId="77777777" w:rsidR="00F1461B" w:rsidRPr="00A659B2" w:rsidRDefault="00F1461B" w:rsidP="00F1461B">
      <w:pPr>
        <w:ind w:left="720"/>
      </w:pPr>
      <w:r w:rsidRPr="00A659B2">
        <w:t>17. Experiment in the cloud through free trials and small pilot</w:t>
      </w:r>
    </w:p>
    <w:p w14:paraId="57891050" w14:textId="77777777" w:rsidR="00F1461B" w:rsidRDefault="00755A75" w:rsidP="00F1461B">
      <w:r>
        <w:t>Extract of</w:t>
      </w:r>
      <w:r w:rsidR="00F1461B" w:rsidRPr="00A659B2">
        <w:t xml:space="preserve"> recommendations for </w:t>
      </w:r>
      <w:r w:rsidR="00F1461B">
        <w:t>cloud service providers</w:t>
      </w:r>
      <w:r w:rsidR="00B44B98">
        <w:t xml:space="preserve"> (public and private sector)</w:t>
      </w:r>
      <w:r w:rsidR="00F1461B" w:rsidRPr="00A659B2">
        <w:t>:</w:t>
      </w:r>
    </w:p>
    <w:p w14:paraId="4043BE34" w14:textId="77777777" w:rsidR="00F1461B" w:rsidRDefault="00F1461B" w:rsidP="00F1461B">
      <w:pPr>
        <w:ind w:left="720"/>
      </w:pPr>
      <w:r>
        <w:t>4. Invest in the end-user facing services and in training next generation of researchers</w:t>
      </w:r>
    </w:p>
    <w:p w14:paraId="01E4B560" w14:textId="77777777" w:rsidR="00F1461B" w:rsidRPr="00A659B2" w:rsidRDefault="00F1461B" w:rsidP="00F1461B">
      <w:pPr>
        <w:ind w:left="720"/>
      </w:pPr>
      <w:r w:rsidRPr="00A659B2">
        <w:t>11. Engage with demand side to understand the</w:t>
      </w:r>
      <w:r>
        <w:t xml:space="preserve"> </w:t>
      </w:r>
      <w:r w:rsidRPr="00A659B2">
        <w:t>needs of the market.</w:t>
      </w:r>
    </w:p>
    <w:p w14:paraId="3E0EC73E" w14:textId="77777777" w:rsidR="00F1461B" w:rsidRDefault="00F1461B" w:rsidP="00F1461B">
      <w:pPr>
        <w:ind w:left="720"/>
      </w:pPr>
      <w:r w:rsidRPr="00A659B2">
        <w:t>12. Create a working economy between suppliers</w:t>
      </w:r>
      <w:r>
        <w:t xml:space="preserve"> </w:t>
      </w:r>
      <w:r w:rsidRPr="00A659B2">
        <w:t>rather than always competing</w:t>
      </w:r>
    </w:p>
    <w:p w14:paraId="57FE652C" w14:textId="77777777" w:rsidR="00F1461B" w:rsidRDefault="00F1461B" w:rsidP="00F1461B">
      <w:pPr>
        <w:ind w:left="720"/>
      </w:pPr>
      <w:r>
        <w:t>15. Establish transparent cloud pricing within clear and publicly available service descriptions</w:t>
      </w:r>
    </w:p>
    <w:p w14:paraId="557C3D0C" w14:textId="77777777" w:rsidR="00F1461B" w:rsidRDefault="00F1461B" w:rsidP="00F1461B">
      <w:pPr>
        <w:ind w:left="720"/>
      </w:pPr>
      <w:r w:rsidRPr="00803021">
        <w:t>18. Offer free, standalone tests</w:t>
      </w:r>
    </w:p>
    <w:p w14:paraId="1A3EDD10" w14:textId="77777777" w:rsidR="00755A75" w:rsidRDefault="00755A75" w:rsidP="004B4150"/>
    <w:p w14:paraId="78B37145" w14:textId="77777777" w:rsidR="004B4150" w:rsidRDefault="004B4150" w:rsidP="004B4150">
      <w:r>
        <w:t>Based on the information gathered as part of the cross-border procurement task</w:t>
      </w:r>
      <w:r w:rsidR="00F1461B">
        <w:t xml:space="preserve"> in EGI-Engage</w:t>
      </w:r>
      <w:r>
        <w:t xml:space="preserve">, the following potential barriers to procurement involving Research Infrastructures and public funded e-infrastructures </w:t>
      </w:r>
      <w:r w:rsidR="00F53241">
        <w:t xml:space="preserve">as service providers </w:t>
      </w:r>
      <w:r>
        <w:t xml:space="preserve">have been </w:t>
      </w:r>
      <w:r w:rsidR="0036544C">
        <w:t>highlighted</w:t>
      </w:r>
      <w:r>
        <w:t>:</w:t>
      </w:r>
    </w:p>
    <w:p w14:paraId="170D68B1" w14:textId="77777777" w:rsidR="004B4150" w:rsidRDefault="004B4150" w:rsidP="004B4150">
      <w:pPr>
        <w:pStyle w:val="ListParagraph"/>
        <w:numPr>
          <w:ilvl w:val="0"/>
          <w:numId w:val="26"/>
        </w:numPr>
      </w:pPr>
      <w:r>
        <w:t>Some publicly funded</w:t>
      </w:r>
      <w:r w:rsidRPr="001B3AEB">
        <w:t xml:space="preserve"> </w:t>
      </w:r>
      <w:r>
        <w:t xml:space="preserve">resource providers have restrictions which can limit their ability to sell their services. This </w:t>
      </w:r>
      <w:r w:rsidR="00A55A06">
        <w:t>may impact</w:t>
      </w:r>
      <w:r>
        <w:t xml:space="preserve"> the </w:t>
      </w:r>
      <w:r w:rsidR="00FB4A3E">
        <w:t>focus</w:t>
      </w:r>
      <w:r>
        <w:t xml:space="preserve"> (</w:t>
      </w:r>
      <w:r w:rsidR="00A55A06">
        <w:t xml:space="preserve">e.g. </w:t>
      </w:r>
      <w:r w:rsidR="0036544C">
        <w:t xml:space="preserve">for </w:t>
      </w:r>
      <w:r w:rsidR="00A55A06">
        <w:t xml:space="preserve">research/innovation </w:t>
      </w:r>
      <w:r w:rsidR="00FB4A3E">
        <w:t xml:space="preserve">rather than </w:t>
      </w:r>
      <w:r w:rsidR="00FB4A3E">
        <w:lastRenderedPageBreak/>
        <w:t xml:space="preserve">commercial </w:t>
      </w:r>
      <w:r w:rsidR="0036544C">
        <w:t>use</w:t>
      </w:r>
      <w:r>
        <w:t xml:space="preserve">) and geographical scope (i.e. may be limited to </w:t>
      </w:r>
      <w:r w:rsidR="00755A75">
        <w:t>customers</w:t>
      </w:r>
      <w:r>
        <w:t xml:space="preserve"> </w:t>
      </w:r>
      <w:r w:rsidR="00755A75">
        <w:t xml:space="preserve">from </w:t>
      </w:r>
      <w:r>
        <w:t xml:space="preserve">the host member state) of their potential market and sale price (i.e. cost recuperation </w:t>
      </w:r>
      <w:r w:rsidR="00755A75">
        <w:t>or for-</w:t>
      </w:r>
      <w:r>
        <w:t>profi</w:t>
      </w:r>
      <w:r w:rsidR="00755A75">
        <w:t>t</w:t>
      </w:r>
      <w:r>
        <w:t>)</w:t>
      </w:r>
      <w:r w:rsidR="00755A75">
        <w:t>.</w:t>
      </w:r>
      <w:r w:rsidR="00FB4A3E">
        <w:t xml:space="preserve"> The majority of publicly funded</w:t>
      </w:r>
      <w:r w:rsidR="00FB4A3E" w:rsidRPr="001B3AEB">
        <w:t xml:space="preserve"> </w:t>
      </w:r>
      <w:r w:rsidR="00FB4A3E">
        <w:t>resource providers are</w:t>
      </w:r>
      <w:r w:rsidR="001D0C13">
        <w:t xml:space="preserve"> more</w:t>
      </w:r>
      <w:r w:rsidR="00FB4A3E">
        <w:t xml:space="preserve"> interested in actively participating in the research and development of innovative services than selling commodity computing services. </w:t>
      </w:r>
    </w:p>
    <w:p w14:paraId="78761541" w14:textId="77777777" w:rsidR="004B4150" w:rsidRDefault="004B4150" w:rsidP="004B4150">
      <w:pPr>
        <w:pStyle w:val="ListParagraph"/>
        <w:numPr>
          <w:ilvl w:val="0"/>
          <w:numId w:val="26"/>
        </w:numPr>
      </w:pPr>
      <w:r>
        <w:t xml:space="preserve">The role of a service broker </w:t>
      </w:r>
      <w:r w:rsidR="00F1461B">
        <w:t xml:space="preserve">adds value by simplifying the procurement process, offering economies of scale and de-fragmenting the market, but raises a number of questions about </w:t>
      </w:r>
      <w:r w:rsidR="00F53241">
        <w:t xml:space="preserve">associated costs, </w:t>
      </w:r>
      <w:r w:rsidR="00F1461B">
        <w:t>governance, liability and risk for the brokering organisation.</w:t>
      </w:r>
    </w:p>
    <w:p w14:paraId="651A5F57" w14:textId="77777777" w:rsidR="004B4150" w:rsidRDefault="004B4150" w:rsidP="00E921EF">
      <w:pPr>
        <w:pStyle w:val="ListParagraph"/>
        <w:numPr>
          <w:ilvl w:val="0"/>
          <w:numId w:val="26"/>
        </w:numPr>
      </w:pPr>
      <w:r>
        <w:t>ERICs, as coordinating bodies for RIs, frequently rely on in-kind contributions for ICT services to be provided by member states. The IT services to be acquired and operated by the central ERICs are limited with the majority of services and resources distributed in the member states. The ERIC legal structure includes provisions for public procurement procedures and exemption from</w:t>
      </w:r>
      <w:r w:rsidRPr="00134597">
        <w:t xml:space="preserve"> VAT and excise duty</w:t>
      </w:r>
      <w:r>
        <w:t xml:space="preserve">. </w:t>
      </w:r>
      <w:r w:rsidR="00E921EF">
        <w:t xml:space="preserve">ERICs are relatively young organisations and many are still in the process of determining the role that they </w:t>
      </w:r>
      <w:r w:rsidR="001D0C13">
        <w:t xml:space="preserve">could potentially </w:t>
      </w:r>
      <w:r w:rsidR="00E921EF">
        <w:t>fulfil in procurement of IT services to support research activities across their member states. I</w:t>
      </w:r>
      <w:r>
        <w:t>f ERICs were to perform cross border procurement it would need to be negotiated with the</w:t>
      </w:r>
      <w:r w:rsidR="00E921EF">
        <w:t>ir</w:t>
      </w:r>
      <w:r>
        <w:t xml:space="preserve"> member states to avoid the </w:t>
      </w:r>
      <w:r w:rsidR="00F53241">
        <w:t>perception</w:t>
      </w:r>
      <w:r>
        <w:t xml:space="preserve"> of double funding </w:t>
      </w:r>
      <w:r w:rsidR="00F53241">
        <w:t>(i.e. member states paying for the installed capacity in their countries and then also paying for the procurement via the ERIC)</w:t>
      </w:r>
      <w:r>
        <w:t>.</w:t>
      </w:r>
      <w:r w:rsidRPr="002D5EC5">
        <w:t xml:space="preserve"> </w:t>
      </w:r>
    </w:p>
    <w:p w14:paraId="3FC868D8" w14:textId="77777777" w:rsidR="004B4150" w:rsidRPr="005A6926" w:rsidRDefault="004B4150" w:rsidP="004B4150">
      <w:pPr>
        <w:pStyle w:val="ListParagraph"/>
        <w:numPr>
          <w:ilvl w:val="0"/>
          <w:numId w:val="26"/>
        </w:numPr>
      </w:pPr>
      <w:r>
        <w:t xml:space="preserve">Attention must be paid to the potential impact of cross-border </w:t>
      </w:r>
      <w:r w:rsidR="00593B51">
        <w:t xml:space="preserve">joint </w:t>
      </w:r>
      <w:r>
        <w:t xml:space="preserve">procurement via instruments such as </w:t>
      </w:r>
      <w:r w:rsidRPr="0090327C">
        <w:t>Public Procurement of Innovative solutions (PPI)</w:t>
      </w:r>
      <w:r>
        <w:t xml:space="preserve"> and </w:t>
      </w:r>
      <w:r w:rsidRPr="0090327C">
        <w:t>Pre-Commercial Procurement</w:t>
      </w:r>
      <w:r>
        <w:t xml:space="preserve"> (PCP) on the use of the other funding streams such as </w:t>
      </w:r>
      <w:r w:rsidRPr="00E7723A">
        <w:t>European Structural and Investment Funds (ESIF)</w:t>
      </w:r>
      <w:r>
        <w:t>. ESIF funding is allocated by member states in agreement with the EC for projects in thematic areas including Research and Development, innovation and ICT. Cumulative funding between H2020 and ESIF for a single action is possible but excludes the beneficiary from using EC funds</w:t>
      </w:r>
      <w:r w:rsidR="00C451C7">
        <w:t xml:space="preserve"> to cover their </w:t>
      </w:r>
      <w:r w:rsidR="00F53241">
        <w:t>required contributions</w:t>
      </w:r>
      <w:r w:rsidR="00C451C7">
        <w:t xml:space="preserve"> (i.e. canno</w:t>
      </w:r>
      <w:r>
        <w:t>t use ESIF to cover co-fund share of H2020 project).</w:t>
      </w:r>
    </w:p>
    <w:p w14:paraId="066AF0F4" w14:textId="77777777" w:rsidR="004B4150" w:rsidRDefault="004B4150" w:rsidP="00A659B2"/>
    <w:p w14:paraId="4FAA62E2" w14:textId="77777777" w:rsidR="00A659B2" w:rsidRDefault="00A659B2" w:rsidP="005A6926"/>
    <w:p w14:paraId="56A05250" w14:textId="77777777" w:rsidR="00B93D22" w:rsidRDefault="00495526" w:rsidP="006030FE">
      <w:pPr>
        <w:pStyle w:val="Heading1"/>
      </w:pPr>
      <w:bookmarkStart w:id="7" w:name="_Toc332963499"/>
      <w:r>
        <w:lastRenderedPageBreak/>
        <w:t>Next steps</w:t>
      </w:r>
      <w:bookmarkEnd w:id="7"/>
    </w:p>
    <w:p w14:paraId="5F82BB93" w14:textId="77777777" w:rsidR="00A445B5" w:rsidRDefault="00A445B5" w:rsidP="005A6926">
      <w:r>
        <w:t>There are two potential opportunities to be examined for cross-border procurement:</w:t>
      </w:r>
    </w:p>
    <w:p w14:paraId="3562E18D" w14:textId="77777777" w:rsidR="00A445B5" w:rsidRDefault="00A445B5" w:rsidP="00A445B5">
      <w:pPr>
        <w:pStyle w:val="ListParagraph"/>
        <w:numPr>
          <w:ilvl w:val="0"/>
          <w:numId w:val="25"/>
        </w:numPr>
      </w:pPr>
      <w:r>
        <w:t>As a ICT resource provisioning model for Research Infrastructures</w:t>
      </w:r>
    </w:p>
    <w:p w14:paraId="2D73AE53" w14:textId="77777777" w:rsidR="00A445B5" w:rsidRDefault="00A445B5" w:rsidP="005A6926">
      <w:pPr>
        <w:pStyle w:val="ListParagraph"/>
        <w:numPr>
          <w:ilvl w:val="0"/>
          <w:numId w:val="25"/>
        </w:numPr>
      </w:pPr>
      <w:r>
        <w:t>As a means of matching supply and demand in the context of the EGI service marketplace by which RIs and large research collaborations acquire services to support their research agenda.</w:t>
      </w:r>
    </w:p>
    <w:p w14:paraId="49F3604C" w14:textId="77777777" w:rsidR="00495526" w:rsidRDefault="006030FE" w:rsidP="005A6926">
      <w:r>
        <w:t xml:space="preserve">A goal of this third cross-border procurement session </w:t>
      </w:r>
      <w:r w:rsidR="00755A75">
        <w:t>(Amsterdam, 7 April 2016) will be</w:t>
      </w:r>
      <w:r>
        <w:t xml:space="preserve"> to assess the status of the EGI support </w:t>
      </w:r>
      <w:r w:rsidR="00767115">
        <w:t xml:space="preserve">for </w:t>
      </w:r>
      <w:r>
        <w:t xml:space="preserve">procurement. The progress of the HNSciCloud project will also be reviewed to understand what opportunities the PCP/PPI joint procurement model could offer to ERICs.  </w:t>
      </w:r>
      <w:r w:rsidR="00495526">
        <w:t xml:space="preserve">In order to determine these opportunities the following questions will be </w:t>
      </w:r>
      <w:r w:rsidR="00755A75">
        <w:t>used to drive</w:t>
      </w:r>
      <w:r w:rsidR="00495526">
        <w:t xml:space="preserve"> the cross-border procurement session</w:t>
      </w:r>
      <w:r w:rsidR="00FB4A3E">
        <w:t xml:space="preserve"> which will be organised as a panel involving the ERICs, EGI resource providers and EGI.eu</w:t>
      </w:r>
      <w:r w:rsidR="00495526">
        <w:t>:</w:t>
      </w:r>
    </w:p>
    <w:p w14:paraId="18C21BA7" w14:textId="77777777" w:rsidR="00755A75" w:rsidRDefault="00755A75" w:rsidP="00495526">
      <w:pPr>
        <w:pStyle w:val="ListParagraph"/>
        <w:numPr>
          <w:ilvl w:val="0"/>
          <w:numId w:val="28"/>
        </w:numPr>
      </w:pPr>
      <w:r>
        <w:t>Do the participants agreement with the PICSE recommendations and procurement roadmap</w:t>
      </w:r>
      <w:r w:rsidR="00884CAD">
        <w:t xml:space="preserve"> (see section </w:t>
      </w:r>
      <w:r w:rsidR="00884CAD">
        <w:fldChar w:fldCharType="begin"/>
      </w:r>
      <w:r w:rsidR="00884CAD">
        <w:instrText xml:space="preserve"> REF _Ref447111577 \r \p \h </w:instrText>
      </w:r>
      <w:r w:rsidR="00884CAD">
        <w:fldChar w:fldCharType="separate"/>
      </w:r>
      <w:r w:rsidR="000652FD">
        <w:t>3 above</w:t>
      </w:r>
      <w:r w:rsidR="00884CAD">
        <w:fldChar w:fldCharType="end"/>
      </w:r>
      <w:r w:rsidR="00884CAD">
        <w:t>)</w:t>
      </w:r>
      <w:r>
        <w:t>?</w:t>
      </w:r>
    </w:p>
    <w:p w14:paraId="69AB998D" w14:textId="77777777" w:rsidR="00495526" w:rsidRDefault="00495526" w:rsidP="00495526">
      <w:pPr>
        <w:pStyle w:val="ListParagraph"/>
        <w:numPr>
          <w:ilvl w:val="0"/>
          <w:numId w:val="28"/>
        </w:numPr>
      </w:pPr>
      <w:r>
        <w:t xml:space="preserve">Will EGI be in a position to respond </w:t>
      </w:r>
      <w:r w:rsidR="006030FE">
        <w:t xml:space="preserve">in a coordinated fashion </w:t>
      </w:r>
      <w:r>
        <w:t>to public tenders in 2016?</w:t>
      </w:r>
    </w:p>
    <w:p w14:paraId="772EA5CA" w14:textId="77777777" w:rsidR="00495526" w:rsidRDefault="00495526" w:rsidP="006030FE">
      <w:pPr>
        <w:pStyle w:val="ListParagraph"/>
        <w:numPr>
          <w:ilvl w:val="0"/>
          <w:numId w:val="28"/>
        </w:numPr>
      </w:pPr>
      <w:r>
        <w:t xml:space="preserve">The HNSciCloud group of procurers </w:t>
      </w:r>
      <w:r w:rsidR="006030FE">
        <w:t>includes</w:t>
      </w:r>
      <w:r>
        <w:t xml:space="preserve"> 3 inter-governmental research organisations (CERN, EMBL, ESRF) and 7 national organisations (</w:t>
      </w:r>
      <w:r w:rsidRPr="00495526">
        <w:t>CNRS, DESY, IFAE, INFN, KIT, SURFSara, STFC</w:t>
      </w:r>
      <w:r w:rsidR="006030FE">
        <w:t>)</w:t>
      </w:r>
      <w:r w:rsidR="00755A75">
        <w:t xml:space="preserve"> to procure innovative cloud services that will support user groups linked to 7 RIs listed in the 2016 ESFRI roadmap document</w:t>
      </w:r>
      <w:r w:rsidR="006030FE">
        <w:t xml:space="preserve">. </w:t>
      </w:r>
      <w:r w:rsidR="00755A75">
        <w:t xml:space="preserve">Could an ERIC coordinate a similar PCP/PPI action that would </w:t>
      </w:r>
      <w:r w:rsidR="0036544C">
        <w:t>engage</w:t>
      </w:r>
      <w:r w:rsidR="00E441FA">
        <w:t xml:space="preserve"> a</w:t>
      </w:r>
      <w:r w:rsidR="00755A75">
        <w:t xml:space="preserve"> procurement group</w:t>
      </w:r>
      <w:r w:rsidR="00E441FA">
        <w:t xml:space="preserve"> drawn from</w:t>
      </w:r>
      <w:r w:rsidR="00755A75">
        <w:t xml:space="preserve"> its member state organisations?</w:t>
      </w:r>
    </w:p>
    <w:p w14:paraId="539B21FB" w14:textId="77777777" w:rsidR="006030FE" w:rsidRDefault="006030FE" w:rsidP="006030FE"/>
    <w:sectPr w:rsidR="006030FE" w:rsidSect="00D065EF">
      <w:headerReference w:type="default" r:id="rId23"/>
      <w:footerReference w:type="default" r:id="rId24"/>
      <w:footerReference w:type="first" r:id="rId2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461DE" w14:textId="77777777" w:rsidR="00283160" w:rsidRDefault="00283160" w:rsidP="00835E24">
      <w:pPr>
        <w:spacing w:after="0" w:line="240" w:lineRule="auto"/>
      </w:pPr>
      <w:r>
        <w:separator/>
      </w:r>
    </w:p>
  </w:endnote>
  <w:endnote w:type="continuationSeparator" w:id="0">
    <w:p w14:paraId="3934B804" w14:textId="77777777" w:rsidR="00283160" w:rsidRDefault="0028316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3E1B4"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11212A72" w14:textId="77777777" w:rsidTr="00D065EF">
      <w:trPr>
        <w:trHeight w:val="857"/>
      </w:trPr>
      <w:tc>
        <w:tcPr>
          <w:tcW w:w="3060" w:type="dxa"/>
          <w:vAlign w:val="bottom"/>
        </w:tcPr>
        <w:p w14:paraId="0A86B21A" w14:textId="77777777" w:rsidR="00D065EF" w:rsidRDefault="00D065EF" w:rsidP="00D065EF">
          <w:pPr>
            <w:pStyle w:val="Header"/>
            <w:jc w:val="left"/>
          </w:pPr>
          <w:r>
            <w:rPr>
              <w:noProof/>
              <w:lang w:val="en-US"/>
            </w:rPr>
            <w:drawing>
              <wp:inline distT="0" distB="0" distL="0" distR="0" wp14:anchorId="74041709" wp14:editId="5BF49F0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C6B3EB9" w14:textId="77777777" w:rsidR="00D065EF" w:rsidRDefault="000652FD"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2</w:t>
              </w:r>
              <w:r w:rsidR="00D065EF">
                <w:rPr>
                  <w:noProof/>
                </w:rPr>
                <w:fldChar w:fldCharType="end"/>
              </w:r>
            </w:sdtContent>
          </w:sdt>
        </w:p>
      </w:tc>
      <w:tc>
        <w:tcPr>
          <w:tcW w:w="3060" w:type="dxa"/>
          <w:vAlign w:val="bottom"/>
        </w:tcPr>
        <w:p w14:paraId="695230A5" w14:textId="77777777" w:rsidR="00D065EF" w:rsidRDefault="00D065EF" w:rsidP="00675273">
          <w:pPr>
            <w:pStyle w:val="Header"/>
            <w:jc w:val="right"/>
          </w:pPr>
          <w:r>
            <w:rPr>
              <w:noProof/>
              <w:lang w:val="en-US"/>
            </w:rPr>
            <w:drawing>
              <wp:inline distT="0" distB="0" distL="0" distR="0" wp14:anchorId="52863CB1" wp14:editId="02D3280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0661E99" w14:textId="77777777" w:rsidR="00D065EF" w:rsidRDefault="00D065E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17DA367B" w14:textId="77777777" w:rsidTr="0010672E">
      <w:tc>
        <w:tcPr>
          <w:tcW w:w="1242" w:type="dxa"/>
          <w:vAlign w:val="center"/>
        </w:tcPr>
        <w:p w14:paraId="1A703723" w14:textId="77777777" w:rsidR="0010672E" w:rsidRDefault="0010672E" w:rsidP="0010672E">
          <w:pPr>
            <w:pStyle w:val="Footer"/>
            <w:jc w:val="center"/>
          </w:pPr>
          <w:r>
            <w:rPr>
              <w:noProof/>
              <w:lang w:val="en-US"/>
            </w:rPr>
            <w:drawing>
              <wp:inline distT="0" distB="0" distL="0" distR="0" wp14:anchorId="79B319DC" wp14:editId="66F4092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DFFF761" w14:textId="77777777"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FC230E2" w14:textId="77777777"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68C123" w14:textId="77777777" w:rsidR="002539A4" w:rsidRDefault="002539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592D1" w14:textId="77777777" w:rsidR="00283160" w:rsidRDefault="00283160" w:rsidP="00835E24">
      <w:pPr>
        <w:spacing w:after="0" w:line="240" w:lineRule="auto"/>
      </w:pPr>
      <w:r>
        <w:separator/>
      </w:r>
    </w:p>
  </w:footnote>
  <w:footnote w:type="continuationSeparator" w:id="0">
    <w:p w14:paraId="43491EE1" w14:textId="77777777" w:rsidR="00283160" w:rsidRDefault="00283160" w:rsidP="00835E24">
      <w:pPr>
        <w:spacing w:after="0" w:line="240" w:lineRule="auto"/>
      </w:pPr>
      <w:r>
        <w:continuationSeparator/>
      </w:r>
    </w:p>
  </w:footnote>
  <w:footnote w:id="1">
    <w:p w14:paraId="3B10143B" w14:textId="77777777" w:rsidR="005A6926" w:rsidRDefault="005A6926">
      <w:pPr>
        <w:pStyle w:val="FootnoteText"/>
      </w:pPr>
      <w:r>
        <w:rPr>
          <w:rStyle w:val="FootnoteReference"/>
        </w:rPr>
        <w:footnoteRef/>
      </w:r>
      <w:r w:rsidR="00B26A67">
        <w:t xml:space="preserve"> </w:t>
      </w:r>
      <w:r w:rsidR="00B26A67" w:rsidRPr="00B26A67">
        <w:t>https://wiki.egi.eu/wiki/EGI-Engage:WP2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179CFFF0" w14:textId="77777777" w:rsidTr="00D065EF">
      <w:tc>
        <w:tcPr>
          <w:tcW w:w="4621" w:type="dxa"/>
        </w:tcPr>
        <w:p w14:paraId="0D63013F" w14:textId="77777777" w:rsidR="00B80FB4" w:rsidRDefault="00B80FB4" w:rsidP="00163455"/>
      </w:tc>
      <w:tc>
        <w:tcPr>
          <w:tcW w:w="4621" w:type="dxa"/>
        </w:tcPr>
        <w:p w14:paraId="2A33930C" w14:textId="77777777" w:rsidR="00B80FB4" w:rsidRDefault="00B80FB4" w:rsidP="00D065EF">
          <w:pPr>
            <w:jc w:val="right"/>
          </w:pPr>
          <w:r>
            <w:t>EGI-Engage</w:t>
          </w:r>
        </w:p>
      </w:tc>
    </w:tr>
  </w:tbl>
  <w:p w14:paraId="7D136616" w14:textId="77777777" w:rsidR="000852E1" w:rsidRDefault="008E3B74" w:rsidP="008E3B74">
    <w:pPr>
      <w:pStyle w:val="Header"/>
    </w:pPr>
    <w:r w:rsidRPr="008E3B74">
      <w:t>Preparation for the Cross Border Joint Procurement session at the EGI Conference April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E14"/>
    <w:multiLevelType w:val="hybridMultilevel"/>
    <w:tmpl w:val="F9C2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992BFF"/>
    <w:multiLevelType w:val="hybridMultilevel"/>
    <w:tmpl w:val="31B4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6F0895"/>
    <w:multiLevelType w:val="hybridMultilevel"/>
    <w:tmpl w:val="C5DA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67125E"/>
    <w:multiLevelType w:val="hybridMultilevel"/>
    <w:tmpl w:val="B6509F10"/>
    <w:lvl w:ilvl="0" w:tplc="BE401BC4">
      <w:start w:val="1"/>
      <w:numFmt w:val="bullet"/>
      <w:lvlText w:val="•"/>
      <w:lvlJc w:val="left"/>
      <w:pPr>
        <w:tabs>
          <w:tab w:val="num" w:pos="720"/>
        </w:tabs>
        <w:ind w:left="720" w:hanging="360"/>
      </w:pPr>
      <w:rPr>
        <w:rFonts w:ascii="Arial" w:hAnsi="Arial" w:hint="default"/>
      </w:rPr>
    </w:lvl>
    <w:lvl w:ilvl="1" w:tplc="70CE2176" w:tentative="1">
      <w:start w:val="1"/>
      <w:numFmt w:val="bullet"/>
      <w:lvlText w:val="•"/>
      <w:lvlJc w:val="left"/>
      <w:pPr>
        <w:tabs>
          <w:tab w:val="num" w:pos="1440"/>
        </w:tabs>
        <w:ind w:left="1440" w:hanging="360"/>
      </w:pPr>
      <w:rPr>
        <w:rFonts w:ascii="Arial" w:hAnsi="Arial" w:hint="default"/>
      </w:rPr>
    </w:lvl>
    <w:lvl w:ilvl="2" w:tplc="F07670F8" w:tentative="1">
      <w:start w:val="1"/>
      <w:numFmt w:val="bullet"/>
      <w:lvlText w:val="•"/>
      <w:lvlJc w:val="left"/>
      <w:pPr>
        <w:tabs>
          <w:tab w:val="num" w:pos="2160"/>
        </w:tabs>
        <w:ind w:left="2160" w:hanging="360"/>
      </w:pPr>
      <w:rPr>
        <w:rFonts w:ascii="Arial" w:hAnsi="Arial" w:hint="default"/>
      </w:rPr>
    </w:lvl>
    <w:lvl w:ilvl="3" w:tplc="4F40A6A4" w:tentative="1">
      <w:start w:val="1"/>
      <w:numFmt w:val="bullet"/>
      <w:lvlText w:val="•"/>
      <w:lvlJc w:val="left"/>
      <w:pPr>
        <w:tabs>
          <w:tab w:val="num" w:pos="2880"/>
        </w:tabs>
        <w:ind w:left="2880" w:hanging="360"/>
      </w:pPr>
      <w:rPr>
        <w:rFonts w:ascii="Arial" w:hAnsi="Arial" w:hint="default"/>
      </w:rPr>
    </w:lvl>
    <w:lvl w:ilvl="4" w:tplc="50B45A7E" w:tentative="1">
      <w:start w:val="1"/>
      <w:numFmt w:val="bullet"/>
      <w:lvlText w:val="•"/>
      <w:lvlJc w:val="left"/>
      <w:pPr>
        <w:tabs>
          <w:tab w:val="num" w:pos="3600"/>
        </w:tabs>
        <w:ind w:left="3600" w:hanging="360"/>
      </w:pPr>
      <w:rPr>
        <w:rFonts w:ascii="Arial" w:hAnsi="Arial" w:hint="default"/>
      </w:rPr>
    </w:lvl>
    <w:lvl w:ilvl="5" w:tplc="27229450" w:tentative="1">
      <w:start w:val="1"/>
      <w:numFmt w:val="bullet"/>
      <w:lvlText w:val="•"/>
      <w:lvlJc w:val="left"/>
      <w:pPr>
        <w:tabs>
          <w:tab w:val="num" w:pos="4320"/>
        </w:tabs>
        <w:ind w:left="4320" w:hanging="360"/>
      </w:pPr>
      <w:rPr>
        <w:rFonts w:ascii="Arial" w:hAnsi="Arial" w:hint="default"/>
      </w:rPr>
    </w:lvl>
    <w:lvl w:ilvl="6" w:tplc="34BA3D42" w:tentative="1">
      <w:start w:val="1"/>
      <w:numFmt w:val="bullet"/>
      <w:lvlText w:val="•"/>
      <w:lvlJc w:val="left"/>
      <w:pPr>
        <w:tabs>
          <w:tab w:val="num" w:pos="5040"/>
        </w:tabs>
        <w:ind w:left="5040" w:hanging="360"/>
      </w:pPr>
      <w:rPr>
        <w:rFonts w:ascii="Arial" w:hAnsi="Arial" w:hint="default"/>
      </w:rPr>
    </w:lvl>
    <w:lvl w:ilvl="7" w:tplc="8FBED61C" w:tentative="1">
      <w:start w:val="1"/>
      <w:numFmt w:val="bullet"/>
      <w:lvlText w:val="•"/>
      <w:lvlJc w:val="left"/>
      <w:pPr>
        <w:tabs>
          <w:tab w:val="num" w:pos="5760"/>
        </w:tabs>
        <w:ind w:left="5760" w:hanging="360"/>
      </w:pPr>
      <w:rPr>
        <w:rFonts w:ascii="Arial" w:hAnsi="Arial" w:hint="default"/>
      </w:rPr>
    </w:lvl>
    <w:lvl w:ilvl="8" w:tplc="ACA0F48A" w:tentative="1">
      <w:start w:val="1"/>
      <w:numFmt w:val="bullet"/>
      <w:lvlText w:val="•"/>
      <w:lvlJc w:val="left"/>
      <w:pPr>
        <w:tabs>
          <w:tab w:val="num" w:pos="6480"/>
        </w:tabs>
        <w:ind w:left="6480" w:hanging="360"/>
      </w:pPr>
      <w:rPr>
        <w:rFonts w:ascii="Arial" w:hAnsi="Arial" w:hint="default"/>
      </w:rPr>
    </w:lvl>
  </w:abstractNum>
  <w:abstractNum w:abstractNumId="9">
    <w:nsid w:val="29136E0F"/>
    <w:multiLevelType w:val="hybridMultilevel"/>
    <w:tmpl w:val="04F45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7B012F1"/>
    <w:multiLevelType w:val="hybridMultilevel"/>
    <w:tmpl w:val="D552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AC264B7"/>
    <w:multiLevelType w:val="hybridMultilevel"/>
    <w:tmpl w:val="1922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852E01"/>
    <w:multiLevelType w:val="hybridMultilevel"/>
    <w:tmpl w:val="53C0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0E54E4A"/>
    <w:multiLevelType w:val="hybridMultilevel"/>
    <w:tmpl w:val="87042F68"/>
    <w:lvl w:ilvl="0" w:tplc="2F6489D4">
      <w:start w:val="1"/>
      <w:numFmt w:val="bullet"/>
      <w:lvlText w:val="•"/>
      <w:lvlJc w:val="left"/>
      <w:pPr>
        <w:tabs>
          <w:tab w:val="num" w:pos="720"/>
        </w:tabs>
        <w:ind w:left="720" w:hanging="360"/>
      </w:pPr>
      <w:rPr>
        <w:rFonts w:ascii="Arial" w:hAnsi="Arial" w:hint="default"/>
      </w:rPr>
    </w:lvl>
    <w:lvl w:ilvl="1" w:tplc="086A3BDE" w:tentative="1">
      <w:start w:val="1"/>
      <w:numFmt w:val="bullet"/>
      <w:lvlText w:val="•"/>
      <w:lvlJc w:val="left"/>
      <w:pPr>
        <w:tabs>
          <w:tab w:val="num" w:pos="1440"/>
        </w:tabs>
        <w:ind w:left="1440" w:hanging="360"/>
      </w:pPr>
      <w:rPr>
        <w:rFonts w:ascii="Arial" w:hAnsi="Arial" w:hint="default"/>
      </w:rPr>
    </w:lvl>
    <w:lvl w:ilvl="2" w:tplc="3042D50A" w:tentative="1">
      <w:start w:val="1"/>
      <w:numFmt w:val="bullet"/>
      <w:lvlText w:val="•"/>
      <w:lvlJc w:val="left"/>
      <w:pPr>
        <w:tabs>
          <w:tab w:val="num" w:pos="2160"/>
        </w:tabs>
        <w:ind w:left="2160" w:hanging="360"/>
      </w:pPr>
      <w:rPr>
        <w:rFonts w:ascii="Arial" w:hAnsi="Arial" w:hint="default"/>
      </w:rPr>
    </w:lvl>
    <w:lvl w:ilvl="3" w:tplc="8F14905A" w:tentative="1">
      <w:start w:val="1"/>
      <w:numFmt w:val="bullet"/>
      <w:lvlText w:val="•"/>
      <w:lvlJc w:val="left"/>
      <w:pPr>
        <w:tabs>
          <w:tab w:val="num" w:pos="2880"/>
        </w:tabs>
        <w:ind w:left="2880" w:hanging="360"/>
      </w:pPr>
      <w:rPr>
        <w:rFonts w:ascii="Arial" w:hAnsi="Arial" w:hint="default"/>
      </w:rPr>
    </w:lvl>
    <w:lvl w:ilvl="4" w:tplc="79123074" w:tentative="1">
      <w:start w:val="1"/>
      <w:numFmt w:val="bullet"/>
      <w:lvlText w:val="•"/>
      <w:lvlJc w:val="left"/>
      <w:pPr>
        <w:tabs>
          <w:tab w:val="num" w:pos="3600"/>
        </w:tabs>
        <w:ind w:left="3600" w:hanging="360"/>
      </w:pPr>
      <w:rPr>
        <w:rFonts w:ascii="Arial" w:hAnsi="Arial" w:hint="default"/>
      </w:rPr>
    </w:lvl>
    <w:lvl w:ilvl="5" w:tplc="60FC21DA" w:tentative="1">
      <w:start w:val="1"/>
      <w:numFmt w:val="bullet"/>
      <w:lvlText w:val="•"/>
      <w:lvlJc w:val="left"/>
      <w:pPr>
        <w:tabs>
          <w:tab w:val="num" w:pos="4320"/>
        </w:tabs>
        <w:ind w:left="4320" w:hanging="360"/>
      </w:pPr>
      <w:rPr>
        <w:rFonts w:ascii="Arial" w:hAnsi="Arial" w:hint="default"/>
      </w:rPr>
    </w:lvl>
    <w:lvl w:ilvl="6" w:tplc="FD9290CA" w:tentative="1">
      <w:start w:val="1"/>
      <w:numFmt w:val="bullet"/>
      <w:lvlText w:val="•"/>
      <w:lvlJc w:val="left"/>
      <w:pPr>
        <w:tabs>
          <w:tab w:val="num" w:pos="5040"/>
        </w:tabs>
        <w:ind w:left="5040" w:hanging="360"/>
      </w:pPr>
      <w:rPr>
        <w:rFonts w:ascii="Arial" w:hAnsi="Arial" w:hint="default"/>
      </w:rPr>
    </w:lvl>
    <w:lvl w:ilvl="7" w:tplc="14568734" w:tentative="1">
      <w:start w:val="1"/>
      <w:numFmt w:val="bullet"/>
      <w:lvlText w:val="•"/>
      <w:lvlJc w:val="left"/>
      <w:pPr>
        <w:tabs>
          <w:tab w:val="num" w:pos="5760"/>
        </w:tabs>
        <w:ind w:left="5760" w:hanging="360"/>
      </w:pPr>
      <w:rPr>
        <w:rFonts w:ascii="Arial" w:hAnsi="Arial" w:hint="default"/>
      </w:rPr>
    </w:lvl>
    <w:lvl w:ilvl="8" w:tplc="6D06E8D6" w:tentative="1">
      <w:start w:val="1"/>
      <w:numFmt w:val="bullet"/>
      <w:lvlText w:val="•"/>
      <w:lvlJc w:val="left"/>
      <w:pPr>
        <w:tabs>
          <w:tab w:val="num" w:pos="6480"/>
        </w:tabs>
        <w:ind w:left="6480" w:hanging="360"/>
      </w:pPr>
      <w:rPr>
        <w:rFonts w:ascii="Arial" w:hAnsi="Arial"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D8369E"/>
    <w:multiLevelType w:val="hybridMultilevel"/>
    <w:tmpl w:val="1BB8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1D0B9A"/>
    <w:multiLevelType w:val="hybridMultilevel"/>
    <w:tmpl w:val="974CA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7B257E85"/>
    <w:multiLevelType w:val="hybridMultilevel"/>
    <w:tmpl w:val="1D7C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0"/>
  </w:num>
  <w:num w:numId="4">
    <w:abstractNumId w:val="1"/>
  </w:num>
  <w:num w:numId="5">
    <w:abstractNumId w:val="5"/>
  </w:num>
  <w:num w:numId="6">
    <w:abstractNumId w:val="12"/>
  </w:num>
  <w:num w:numId="7">
    <w:abstractNumId w:val="12"/>
    <w:lvlOverride w:ilvl="0">
      <w:startOverride w:val="1"/>
    </w:lvlOverride>
  </w:num>
  <w:num w:numId="8">
    <w:abstractNumId w:val="10"/>
  </w:num>
  <w:num w:numId="9">
    <w:abstractNumId w:val="6"/>
  </w:num>
  <w:num w:numId="10">
    <w:abstractNumId w:val="7"/>
  </w:num>
  <w:num w:numId="11">
    <w:abstractNumId w:val="4"/>
  </w:num>
  <w:num w:numId="12">
    <w:abstractNumId w:val="24"/>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num>
  <w:num w:numId="18">
    <w:abstractNumId w:val="19"/>
  </w:num>
  <w:num w:numId="19">
    <w:abstractNumId w:val="2"/>
  </w:num>
  <w:num w:numId="20">
    <w:abstractNumId w:val="21"/>
  </w:num>
  <w:num w:numId="21">
    <w:abstractNumId w:val="14"/>
  </w:num>
  <w:num w:numId="22">
    <w:abstractNumId w:val="22"/>
  </w:num>
  <w:num w:numId="23">
    <w:abstractNumId w:val="0"/>
  </w:num>
  <w:num w:numId="24">
    <w:abstractNumId w:val="9"/>
  </w:num>
  <w:num w:numId="25">
    <w:abstractNumId w:val="11"/>
  </w:num>
  <w:num w:numId="26">
    <w:abstractNumId w:val="23"/>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38E1"/>
    <w:rsid w:val="000502D5"/>
    <w:rsid w:val="00062C7D"/>
    <w:rsid w:val="000652FD"/>
    <w:rsid w:val="00065B02"/>
    <w:rsid w:val="000852E1"/>
    <w:rsid w:val="000949BC"/>
    <w:rsid w:val="00095F56"/>
    <w:rsid w:val="000E00D2"/>
    <w:rsid w:val="000E17FC"/>
    <w:rsid w:val="001013F4"/>
    <w:rsid w:val="0010672E"/>
    <w:rsid w:val="00126688"/>
    <w:rsid w:val="00130F8B"/>
    <w:rsid w:val="001315ED"/>
    <w:rsid w:val="00134597"/>
    <w:rsid w:val="001624FB"/>
    <w:rsid w:val="00163455"/>
    <w:rsid w:val="001B3AEB"/>
    <w:rsid w:val="001C5D2E"/>
    <w:rsid w:val="001C68FD"/>
    <w:rsid w:val="001D0C13"/>
    <w:rsid w:val="00221D0C"/>
    <w:rsid w:val="00227F47"/>
    <w:rsid w:val="002539A4"/>
    <w:rsid w:val="002829A6"/>
    <w:rsid w:val="00283160"/>
    <w:rsid w:val="002A3C5A"/>
    <w:rsid w:val="002A7241"/>
    <w:rsid w:val="002D5EC5"/>
    <w:rsid w:val="002E3091"/>
    <w:rsid w:val="002E5F1F"/>
    <w:rsid w:val="00337DFA"/>
    <w:rsid w:val="0035124F"/>
    <w:rsid w:val="0036544C"/>
    <w:rsid w:val="00371CBD"/>
    <w:rsid w:val="00386A25"/>
    <w:rsid w:val="003F02C6"/>
    <w:rsid w:val="003F64DA"/>
    <w:rsid w:val="004161B8"/>
    <w:rsid w:val="004161FD"/>
    <w:rsid w:val="004338C6"/>
    <w:rsid w:val="00454D75"/>
    <w:rsid w:val="0046650A"/>
    <w:rsid w:val="00474C6D"/>
    <w:rsid w:val="0049232C"/>
    <w:rsid w:val="00495526"/>
    <w:rsid w:val="004A3ECF"/>
    <w:rsid w:val="004B04FF"/>
    <w:rsid w:val="004B4150"/>
    <w:rsid w:val="004D249B"/>
    <w:rsid w:val="004E24E2"/>
    <w:rsid w:val="00501E2A"/>
    <w:rsid w:val="00531A0C"/>
    <w:rsid w:val="00551BFA"/>
    <w:rsid w:val="0056751B"/>
    <w:rsid w:val="00593B51"/>
    <w:rsid w:val="005962E0"/>
    <w:rsid w:val="005A01DF"/>
    <w:rsid w:val="005A339C"/>
    <w:rsid w:val="005A6926"/>
    <w:rsid w:val="005D14DF"/>
    <w:rsid w:val="005E5D31"/>
    <w:rsid w:val="006030FE"/>
    <w:rsid w:val="006118DD"/>
    <w:rsid w:val="00663B42"/>
    <w:rsid w:val="006669E7"/>
    <w:rsid w:val="006971E0"/>
    <w:rsid w:val="006C1CF2"/>
    <w:rsid w:val="006D527C"/>
    <w:rsid w:val="006F7556"/>
    <w:rsid w:val="0072045A"/>
    <w:rsid w:val="00733386"/>
    <w:rsid w:val="00755A75"/>
    <w:rsid w:val="007670BE"/>
    <w:rsid w:val="00767115"/>
    <w:rsid w:val="007756D0"/>
    <w:rsid w:val="00782A92"/>
    <w:rsid w:val="007A1C4E"/>
    <w:rsid w:val="007C78CA"/>
    <w:rsid w:val="00803021"/>
    <w:rsid w:val="00813ED4"/>
    <w:rsid w:val="00835E24"/>
    <w:rsid w:val="00840515"/>
    <w:rsid w:val="008800D4"/>
    <w:rsid w:val="00884CAD"/>
    <w:rsid w:val="008B1E35"/>
    <w:rsid w:val="008B2F11"/>
    <w:rsid w:val="008D1EC3"/>
    <w:rsid w:val="008E3B74"/>
    <w:rsid w:val="0090327C"/>
    <w:rsid w:val="009138D4"/>
    <w:rsid w:val="00931656"/>
    <w:rsid w:val="00947A45"/>
    <w:rsid w:val="00976A73"/>
    <w:rsid w:val="009D338B"/>
    <w:rsid w:val="009D3B45"/>
    <w:rsid w:val="009E6E58"/>
    <w:rsid w:val="009F1E23"/>
    <w:rsid w:val="00A312B2"/>
    <w:rsid w:val="00A445B5"/>
    <w:rsid w:val="00A5267D"/>
    <w:rsid w:val="00A53F7F"/>
    <w:rsid w:val="00A55A06"/>
    <w:rsid w:val="00A659B2"/>
    <w:rsid w:val="00A67816"/>
    <w:rsid w:val="00AD0F45"/>
    <w:rsid w:val="00B107DD"/>
    <w:rsid w:val="00B26A67"/>
    <w:rsid w:val="00B44B98"/>
    <w:rsid w:val="00B60F00"/>
    <w:rsid w:val="00B76EBE"/>
    <w:rsid w:val="00B80FB4"/>
    <w:rsid w:val="00B85B70"/>
    <w:rsid w:val="00B93D22"/>
    <w:rsid w:val="00C40D39"/>
    <w:rsid w:val="00C451C7"/>
    <w:rsid w:val="00C82428"/>
    <w:rsid w:val="00C96C8F"/>
    <w:rsid w:val="00C970F9"/>
    <w:rsid w:val="00CD57DB"/>
    <w:rsid w:val="00CE29BA"/>
    <w:rsid w:val="00CF1E31"/>
    <w:rsid w:val="00D04EA5"/>
    <w:rsid w:val="00D065EF"/>
    <w:rsid w:val="00D0749D"/>
    <w:rsid w:val="00D075E1"/>
    <w:rsid w:val="00D26F29"/>
    <w:rsid w:val="00D33A9D"/>
    <w:rsid w:val="00D42568"/>
    <w:rsid w:val="00D4617A"/>
    <w:rsid w:val="00D643ED"/>
    <w:rsid w:val="00D9315C"/>
    <w:rsid w:val="00D95F48"/>
    <w:rsid w:val="00DC0F20"/>
    <w:rsid w:val="00DC3BB4"/>
    <w:rsid w:val="00DC5D9C"/>
    <w:rsid w:val="00DD299A"/>
    <w:rsid w:val="00DD3C10"/>
    <w:rsid w:val="00E04C11"/>
    <w:rsid w:val="00E06D2A"/>
    <w:rsid w:val="00E208DA"/>
    <w:rsid w:val="00E24F32"/>
    <w:rsid w:val="00E441FA"/>
    <w:rsid w:val="00E50F2E"/>
    <w:rsid w:val="00E7723A"/>
    <w:rsid w:val="00E8128D"/>
    <w:rsid w:val="00E921EF"/>
    <w:rsid w:val="00EA73F8"/>
    <w:rsid w:val="00EB4720"/>
    <w:rsid w:val="00EC24AE"/>
    <w:rsid w:val="00EC62C1"/>
    <w:rsid w:val="00EC7515"/>
    <w:rsid w:val="00EC75A5"/>
    <w:rsid w:val="00F1461B"/>
    <w:rsid w:val="00F26B77"/>
    <w:rsid w:val="00F337DD"/>
    <w:rsid w:val="00F42F91"/>
    <w:rsid w:val="00F53241"/>
    <w:rsid w:val="00F81A6C"/>
    <w:rsid w:val="00FB4A3E"/>
    <w:rsid w:val="00FB5C97"/>
    <w:rsid w:val="00FD56BF"/>
    <w:rsid w:val="00FF7B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5E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5A69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926"/>
    <w:rPr>
      <w:rFonts w:ascii="Calibri" w:hAnsi="Calibri"/>
      <w:spacing w:val="2"/>
      <w:sz w:val="20"/>
      <w:szCs w:val="20"/>
    </w:rPr>
  </w:style>
  <w:style w:type="character" w:styleId="FootnoteReference">
    <w:name w:val="footnote reference"/>
    <w:basedOn w:val="DefaultParagraphFont"/>
    <w:uiPriority w:val="99"/>
    <w:semiHidden/>
    <w:unhideWhenUsed/>
    <w:rsid w:val="005A6926"/>
    <w:rPr>
      <w:vertAlign w:val="superscript"/>
    </w:rPr>
  </w:style>
  <w:style w:type="character" w:customStyle="1" w:styleId="apple-style-span">
    <w:name w:val="apple-style-span"/>
    <w:basedOn w:val="DefaultParagraphFont"/>
    <w:rsid w:val="006C1CF2"/>
  </w:style>
  <w:style w:type="character" w:styleId="FollowedHyperlink">
    <w:name w:val="FollowedHyperlink"/>
    <w:basedOn w:val="DefaultParagraphFont"/>
    <w:uiPriority w:val="99"/>
    <w:semiHidden/>
    <w:unhideWhenUsed/>
    <w:rsid w:val="00A445B5"/>
    <w:rPr>
      <w:color w:val="800080" w:themeColor="followedHyperlink"/>
      <w:u w:val="single"/>
    </w:rPr>
  </w:style>
  <w:style w:type="paragraph" w:styleId="NormalWeb">
    <w:name w:val="Normal (Web)"/>
    <w:basedOn w:val="Normal"/>
    <w:uiPriority w:val="99"/>
    <w:semiHidden/>
    <w:unhideWhenUsed/>
    <w:rsid w:val="00495526"/>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5A69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926"/>
    <w:rPr>
      <w:rFonts w:ascii="Calibri" w:hAnsi="Calibri"/>
      <w:spacing w:val="2"/>
      <w:sz w:val="20"/>
      <w:szCs w:val="20"/>
    </w:rPr>
  </w:style>
  <w:style w:type="character" w:styleId="FootnoteReference">
    <w:name w:val="footnote reference"/>
    <w:basedOn w:val="DefaultParagraphFont"/>
    <w:uiPriority w:val="99"/>
    <w:semiHidden/>
    <w:unhideWhenUsed/>
    <w:rsid w:val="005A6926"/>
    <w:rPr>
      <w:vertAlign w:val="superscript"/>
    </w:rPr>
  </w:style>
  <w:style w:type="character" w:customStyle="1" w:styleId="apple-style-span">
    <w:name w:val="apple-style-span"/>
    <w:basedOn w:val="DefaultParagraphFont"/>
    <w:rsid w:val="006C1CF2"/>
  </w:style>
  <w:style w:type="character" w:styleId="FollowedHyperlink">
    <w:name w:val="FollowedHyperlink"/>
    <w:basedOn w:val="DefaultParagraphFont"/>
    <w:uiPriority w:val="99"/>
    <w:semiHidden/>
    <w:unhideWhenUsed/>
    <w:rsid w:val="00A445B5"/>
    <w:rPr>
      <w:color w:val="800080" w:themeColor="followedHyperlink"/>
      <w:u w:val="single"/>
    </w:rPr>
  </w:style>
  <w:style w:type="paragraph" w:styleId="NormalWeb">
    <w:name w:val="Normal (Web)"/>
    <w:basedOn w:val="Normal"/>
    <w:uiPriority w:val="99"/>
    <w:semiHidden/>
    <w:unhideWhenUsed/>
    <w:rsid w:val="004955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140">
      <w:bodyDiv w:val="1"/>
      <w:marLeft w:val="0"/>
      <w:marRight w:val="0"/>
      <w:marTop w:val="0"/>
      <w:marBottom w:val="0"/>
      <w:divBdr>
        <w:top w:val="none" w:sz="0" w:space="0" w:color="auto"/>
        <w:left w:val="none" w:sz="0" w:space="0" w:color="auto"/>
        <w:bottom w:val="none" w:sz="0" w:space="0" w:color="auto"/>
        <w:right w:val="none" w:sz="0" w:space="0" w:color="auto"/>
      </w:divBdr>
    </w:div>
    <w:div w:id="135994024">
      <w:bodyDiv w:val="1"/>
      <w:marLeft w:val="0"/>
      <w:marRight w:val="0"/>
      <w:marTop w:val="0"/>
      <w:marBottom w:val="0"/>
      <w:divBdr>
        <w:top w:val="none" w:sz="0" w:space="0" w:color="auto"/>
        <w:left w:val="none" w:sz="0" w:space="0" w:color="auto"/>
        <w:bottom w:val="none" w:sz="0" w:space="0" w:color="auto"/>
        <w:right w:val="none" w:sz="0" w:space="0" w:color="auto"/>
      </w:divBdr>
    </w:div>
    <w:div w:id="150609575">
      <w:bodyDiv w:val="1"/>
      <w:marLeft w:val="0"/>
      <w:marRight w:val="0"/>
      <w:marTop w:val="0"/>
      <w:marBottom w:val="0"/>
      <w:divBdr>
        <w:top w:val="none" w:sz="0" w:space="0" w:color="auto"/>
        <w:left w:val="none" w:sz="0" w:space="0" w:color="auto"/>
        <w:bottom w:val="none" w:sz="0" w:space="0" w:color="auto"/>
        <w:right w:val="none" w:sz="0" w:space="0" w:color="auto"/>
      </w:divBdr>
    </w:div>
    <w:div w:id="176163397">
      <w:bodyDiv w:val="1"/>
      <w:marLeft w:val="0"/>
      <w:marRight w:val="0"/>
      <w:marTop w:val="0"/>
      <w:marBottom w:val="0"/>
      <w:divBdr>
        <w:top w:val="none" w:sz="0" w:space="0" w:color="auto"/>
        <w:left w:val="none" w:sz="0" w:space="0" w:color="auto"/>
        <w:bottom w:val="none" w:sz="0" w:space="0" w:color="auto"/>
        <w:right w:val="none" w:sz="0" w:space="0" w:color="auto"/>
      </w:divBdr>
    </w:div>
    <w:div w:id="181364139">
      <w:bodyDiv w:val="1"/>
      <w:marLeft w:val="0"/>
      <w:marRight w:val="0"/>
      <w:marTop w:val="0"/>
      <w:marBottom w:val="0"/>
      <w:divBdr>
        <w:top w:val="none" w:sz="0" w:space="0" w:color="auto"/>
        <w:left w:val="none" w:sz="0" w:space="0" w:color="auto"/>
        <w:bottom w:val="none" w:sz="0" w:space="0" w:color="auto"/>
        <w:right w:val="none" w:sz="0" w:space="0" w:color="auto"/>
      </w:divBdr>
    </w:div>
    <w:div w:id="186023922">
      <w:bodyDiv w:val="1"/>
      <w:marLeft w:val="0"/>
      <w:marRight w:val="0"/>
      <w:marTop w:val="0"/>
      <w:marBottom w:val="0"/>
      <w:divBdr>
        <w:top w:val="none" w:sz="0" w:space="0" w:color="auto"/>
        <w:left w:val="none" w:sz="0" w:space="0" w:color="auto"/>
        <w:bottom w:val="none" w:sz="0" w:space="0" w:color="auto"/>
        <w:right w:val="none" w:sz="0" w:space="0" w:color="auto"/>
      </w:divBdr>
    </w:div>
    <w:div w:id="231240042">
      <w:bodyDiv w:val="1"/>
      <w:marLeft w:val="0"/>
      <w:marRight w:val="0"/>
      <w:marTop w:val="0"/>
      <w:marBottom w:val="0"/>
      <w:divBdr>
        <w:top w:val="none" w:sz="0" w:space="0" w:color="auto"/>
        <w:left w:val="none" w:sz="0" w:space="0" w:color="auto"/>
        <w:bottom w:val="none" w:sz="0" w:space="0" w:color="auto"/>
        <w:right w:val="none" w:sz="0" w:space="0" w:color="auto"/>
      </w:divBdr>
    </w:div>
    <w:div w:id="332683286">
      <w:bodyDiv w:val="1"/>
      <w:marLeft w:val="0"/>
      <w:marRight w:val="0"/>
      <w:marTop w:val="0"/>
      <w:marBottom w:val="0"/>
      <w:divBdr>
        <w:top w:val="none" w:sz="0" w:space="0" w:color="auto"/>
        <w:left w:val="none" w:sz="0" w:space="0" w:color="auto"/>
        <w:bottom w:val="none" w:sz="0" w:space="0" w:color="auto"/>
        <w:right w:val="none" w:sz="0" w:space="0" w:color="auto"/>
      </w:divBdr>
    </w:div>
    <w:div w:id="511145566">
      <w:bodyDiv w:val="1"/>
      <w:marLeft w:val="0"/>
      <w:marRight w:val="0"/>
      <w:marTop w:val="0"/>
      <w:marBottom w:val="0"/>
      <w:divBdr>
        <w:top w:val="none" w:sz="0" w:space="0" w:color="auto"/>
        <w:left w:val="none" w:sz="0" w:space="0" w:color="auto"/>
        <w:bottom w:val="none" w:sz="0" w:space="0" w:color="auto"/>
        <w:right w:val="none" w:sz="0" w:space="0" w:color="auto"/>
      </w:divBdr>
      <w:divsChild>
        <w:div w:id="1494569225">
          <w:marLeft w:val="547"/>
          <w:marRight w:val="0"/>
          <w:marTop w:val="134"/>
          <w:marBottom w:val="0"/>
          <w:divBdr>
            <w:top w:val="none" w:sz="0" w:space="0" w:color="auto"/>
            <w:left w:val="none" w:sz="0" w:space="0" w:color="auto"/>
            <w:bottom w:val="none" w:sz="0" w:space="0" w:color="auto"/>
            <w:right w:val="none" w:sz="0" w:space="0" w:color="auto"/>
          </w:divBdr>
        </w:div>
        <w:div w:id="233781476">
          <w:marLeft w:val="547"/>
          <w:marRight w:val="0"/>
          <w:marTop w:val="134"/>
          <w:marBottom w:val="0"/>
          <w:divBdr>
            <w:top w:val="none" w:sz="0" w:space="0" w:color="auto"/>
            <w:left w:val="none" w:sz="0" w:space="0" w:color="auto"/>
            <w:bottom w:val="none" w:sz="0" w:space="0" w:color="auto"/>
            <w:right w:val="none" w:sz="0" w:space="0" w:color="auto"/>
          </w:divBdr>
        </w:div>
      </w:divsChild>
    </w:div>
    <w:div w:id="589972813">
      <w:bodyDiv w:val="1"/>
      <w:marLeft w:val="0"/>
      <w:marRight w:val="0"/>
      <w:marTop w:val="0"/>
      <w:marBottom w:val="0"/>
      <w:divBdr>
        <w:top w:val="none" w:sz="0" w:space="0" w:color="auto"/>
        <w:left w:val="none" w:sz="0" w:space="0" w:color="auto"/>
        <w:bottom w:val="none" w:sz="0" w:space="0" w:color="auto"/>
        <w:right w:val="none" w:sz="0" w:space="0" w:color="auto"/>
      </w:divBdr>
      <w:divsChild>
        <w:div w:id="200703495">
          <w:marLeft w:val="547"/>
          <w:marRight w:val="0"/>
          <w:marTop w:val="86"/>
          <w:marBottom w:val="0"/>
          <w:divBdr>
            <w:top w:val="none" w:sz="0" w:space="0" w:color="auto"/>
            <w:left w:val="none" w:sz="0" w:space="0" w:color="auto"/>
            <w:bottom w:val="none" w:sz="0" w:space="0" w:color="auto"/>
            <w:right w:val="none" w:sz="0" w:space="0" w:color="auto"/>
          </w:divBdr>
        </w:div>
        <w:div w:id="185481685">
          <w:marLeft w:val="547"/>
          <w:marRight w:val="0"/>
          <w:marTop w:val="86"/>
          <w:marBottom w:val="0"/>
          <w:divBdr>
            <w:top w:val="none" w:sz="0" w:space="0" w:color="auto"/>
            <w:left w:val="none" w:sz="0" w:space="0" w:color="auto"/>
            <w:bottom w:val="none" w:sz="0" w:space="0" w:color="auto"/>
            <w:right w:val="none" w:sz="0" w:space="0" w:color="auto"/>
          </w:divBdr>
        </w:div>
        <w:div w:id="1835677935">
          <w:marLeft w:val="547"/>
          <w:marRight w:val="0"/>
          <w:marTop w:val="86"/>
          <w:marBottom w:val="0"/>
          <w:divBdr>
            <w:top w:val="none" w:sz="0" w:space="0" w:color="auto"/>
            <w:left w:val="none" w:sz="0" w:space="0" w:color="auto"/>
            <w:bottom w:val="none" w:sz="0" w:space="0" w:color="auto"/>
            <w:right w:val="none" w:sz="0" w:space="0" w:color="auto"/>
          </w:divBdr>
        </w:div>
        <w:div w:id="658925428">
          <w:marLeft w:val="547"/>
          <w:marRight w:val="0"/>
          <w:marTop w:val="86"/>
          <w:marBottom w:val="0"/>
          <w:divBdr>
            <w:top w:val="none" w:sz="0" w:space="0" w:color="auto"/>
            <w:left w:val="none" w:sz="0" w:space="0" w:color="auto"/>
            <w:bottom w:val="none" w:sz="0" w:space="0" w:color="auto"/>
            <w:right w:val="none" w:sz="0" w:space="0" w:color="auto"/>
          </w:divBdr>
        </w:div>
        <w:div w:id="2130388982">
          <w:marLeft w:val="547"/>
          <w:marRight w:val="0"/>
          <w:marTop w:val="86"/>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08644366">
      <w:bodyDiv w:val="1"/>
      <w:marLeft w:val="0"/>
      <w:marRight w:val="0"/>
      <w:marTop w:val="0"/>
      <w:marBottom w:val="0"/>
      <w:divBdr>
        <w:top w:val="none" w:sz="0" w:space="0" w:color="auto"/>
        <w:left w:val="none" w:sz="0" w:space="0" w:color="auto"/>
        <w:bottom w:val="none" w:sz="0" w:space="0" w:color="auto"/>
        <w:right w:val="none" w:sz="0" w:space="0" w:color="auto"/>
      </w:divBdr>
    </w:div>
    <w:div w:id="1377854418">
      <w:bodyDiv w:val="1"/>
      <w:marLeft w:val="0"/>
      <w:marRight w:val="0"/>
      <w:marTop w:val="0"/>
      <w:marBottom w:val="0"/>
      <w:divBdr>
        <w:top w:val="none" w:sz="0" w:space="0" w:color="auto"/>
        <w:left w:val="none" w:sz="0" w:space="0" w:color="auto"/>
        <w:bottom w:val="none" w:sz="0" w:space="0" w:color="auto"/>
        <w:right w:val="none" w:sz="0" w:space="0" w:color="auto"/>
      </w:divBdr>
    </w:div>
    <w:div w:id="1823038519">
      <w:bodyDiv w:val="1"/>
      <w:marLeft w:val="0"/>
      <w:marRight w:val="0"/>
      <w:marTop w:val="0"/>
      <w:marBottom w:val="0"/>
      <w:divBdr>
        <w:top w:val="none" w:sz="0" w:space="0" w:color="auto"/>
        <w:left w:val="none" w:sz="0" w:space="0" w:color="auto"/>
        <w:bottom w:val="none" w:sz="0" w:space="0" w:color="auto"/>
        <w:right w:val="none" w:sz="0" w:space="0" w:color="auto"/>
      </w:divBdr>
    </w:div>
    <w:div w:id="1827816804">
      <w:bodyDiv w:val="1"/>
      <w:marLeft w:val="0"/>
      <w:marRight w:val="0"/>
      <w:marTop w:val="0"/>
      <w:marBottom w:val="0"/>
      <w:divBdr>
        <w:top w:val="none" w:sz="0" w:space="0" w:color="auto"/>
        <w:left w:val="none" w:sz="0" w:space="0" w:color="auto"/>
        <w:bottom w:val="none" w:sz="0" w:space="0" w:color="auto"/>
        <w:right w:val="none" w:sz="0" w:space="0" w:color="auto"/>
      </w:divBdr>
    </w:div>
    <w:div w:id="19387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indico.egi.eu/indico/event/2875/session/19/?slotId=0" TargetMode="External"/><Relationship Id="rId21" Type="http://schemas.openxmlformats.org/officeDocument/2006/relationships/hyperlink" Target="https://documents.egi.eu/document/2669" TargetMode="External"/><Relationship Id="rId22" Type="http://schemas.openxmlformats.org/officeDocument/2006/relationships/hyperlink" Target="http://picse.eu/sites/default/files/PICSE_Call_for_action_March2016_Booklet.pdf"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documents.egi.eu/document/2883"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s://indico.egi.eu/indico/event/2875/session/27/?slotId=0" TargetMode="External"/><Relationship Id="rId14" Type="http://schemas.openxmlformats.org/officeDocument/2006/relationships/hyperlink" Target="http://www.picse.eu/" TargetMode="External"/><Relationship Id="rId15" Type="http://schemas.openxmlformats.org/officeDocument/2006/relationships/hyperlink" Target="http://hnscicloud.eu/" TargetMode="External"/><Relationship Id="rId16" Type="http://schemas.openxmlformats.org/officeDocument/2006/relationships/hyperlink" Target="http://www.hnscicloud.eu/events/hnscicloud-pre-commercial-procurement-open-market-consultation-omc" TargetMode="External"/><Relationship Id="rId17" Type="http://schemas.openxmlformats.org/officeDocument/2006/relationships/hyperlink" Target="http://www.ceitec.eu/elixir-excelerate-structural-funds-workshop/t2194%23tab1" TargetMode="External"/><Relationship Id="rId18" Type="http://schemas.openxmlformats.org/officeDocument/2006/relationships/hyperlink" Target="http://www.ceitec.eu/elixir-excelerate-structural-funds-workshop/t2194%23tab6" TargetMode="External"/><Relationship Id="rId19" Type="http://schemas.openxmlformats.org/officeDocument/2006/relationships/hyperlink" Target="https://documents.egi.eu/document/253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9DB8-BE06-DB40-8208-ECBE9857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8</Pages>
  <Words>1740</Words>
  <Characters>9920</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27</cp:revision>
  <cp:lastPrinted>2016-08-16T08:43:00Z</cp:lastPrinted>
  <dcterms:created xsi:type="dcterms:W3CDTF">2016-03-22T12:55:00Z</dcterms:created>
  <dcterms:modified xsi:type="dcterms:W3CDTF">2016-08-16T08:43:00Z</dcterms:modified>
</cp:coreProperties>
</file>