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48E4705" w14:textId="77777777" w:rsidR="00201186" w:rsidRPr="00600846" w:rsidRDefault="00017C1C" w:rsidP="002940E4">
      <w:pPr>
        <w:pStyle w:val="Caption"/>
      </w:pPr>
      <w:r w:rsidRPr="00600846">
        <w:rPr>
          <w:noProof/>
          <w:lang w:val="en-US" w:eastAsia="en-US"/>
        </w:rPr>
        <w:drawing>
          <wp:anchor distT="0" distB="0" distL="114300" distR="114300" simplePos="0" relativeHeight="251657728" behindDoc="0" locked="1" layoutInCell="0" allowOverlap="0" wp14:anchorId="75A86F48" wp14:editId="59C22081">
            <wp:simplePos x="0" y="0"/>
            <wp:positionH relativeFrom="page">
              <wp:posOffset>-8255</wp:posOffset>
            </wp:positionH>
            <wp:positionV relativeFrom="page">
              <wp:posOffset>0</wp:posOffset>
            </wp:positionV>
            <wp:extent cx="7576820" cy="14243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6820" cy="1424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C7F6BB" w14:textId="77777777" w:rsidR="00AF4A89" w:rsidRPr="00600846" w:rsidRDefault="00AF4A89" w:rsidP="002940E4">
      <w:r w:rsidRPr="00600846">
        <w:t xml:space="preserve">EGI.eu Core services performance report </w:t>
      </w:r>
    </w:p>
    <w:p w14:paraId="7E4C4A6A" w14:textId="77777777" w:rsidR="004538FB" w:rsidRPr="00600846" w:rsidRDefault="004538FB" w:rsidP="002940E4"/>
    <w:tbl>
      <w:tblPr>
        <w:tblW w:w="0" w:type="auto"/>
        <w:jc w:val="center"/>
        <w:tblLayout w:type="fixed"/>
        <w:tblCellMar>
          <w:left w:w="70" w:type="dxa"/>
          <w:right w:w="70" w:type="dxa"/>
        </w:tblCellMar>
        <w:tblLook w:val="0000" w:firstRow="0" w:lastRow="0" w:firstColumn="0" w:lastColumn="0" w:noHBand="0" w:noVBand="0"/>
      </w:tblPr>
      <w:tblGrid>
        <w:gridCol w:w="1818"/>
        <w:gridCol w:w="4795"/>
      </w:tblGrid>
      <w:tr w:rsidR="002353FC" w:rsidRPr="00600846" w14:paraId="1C9B98CF" w14:textId="77777777" w:rsidTr="00CF4F27">
        <w:trPr>
          <w:cantSplit/>
          <w:trHeight w:val="526"/>
          <w:jc w:val="center"/>
        </w:trPr>
        <w:tc>
          <w:tcPr>
            <w:tcW w:w="1818" w:type="dxa"/>
            <w:tcBorders>
              <w:top w:val="single" w:sz="20" w:space="0" w:color="000080"/>
            </w:tcBorders>
            <w:shd w:val="clear" w:color="auto" w:fill="auto"/>
            <w:vAlign w:val="center"/>
          </w:tcPr>
          <w:p w14:paraId="2D69E695" w14:textId="070E2429" w:rsidR="002353FC" w:rsidRPr="00600846" w:rsidRDefault="00AF327D" w:rsidP="002940E4">
            <w:r w:rsidRPr="00600846">
              <w:t>Purpose</w:t>
            </w:r>
            <w:r w:rsidR="002353FC" w:rsidRPr="00600846">
              <w:t>:</w:t>
            </w:r>
          </w:p>
        </w:tc>
        <w:tc>
          <w:tcPr>
            <w:tcW w:w="4795" w:type="dxa"/>
            <w:tcBorders>
              <w:top w:val="single" w:sz="20" w:space="0" w:color="000080"/>
            </w:tcBorders>
            <w:shd w:val="clear" w:color="auto" w:fill="auto"/>
            <w:vAlign w:val="center"/>
          </w:tcPr>
          <w:p w14:paraId="52BFA14B" w14:textId="6DD17E7B" w:rsidR="002353FC" w:rsidRPr="00600846" w:rsidRDefault="00145221" w:rsidP="002940E4">
            <w:r w:rsidRPr="00600846">
              <w:t>Overall assessment of Core services’ performance</w:t>
            </w:r>
          </w:p>
        </w:tc>
      </w:tr>
      <w:tr w:rsidR="002353FC" w:rsidRPr="00600846" w14:paraId="56D20CCE" w14:textId="77777777" w:rsidTr="00CF4F27">
        <w:trPr>
          <w:cantSplit/>
          <w:trHeight w:val="508"/>
          <w:jc w:val="center"/>
        </w:trPr>
        <w:tc>
          <w:tcPr>
            <w:tcW w:w="1818" w:type="dxa"/>
            <w:shd w:val="clear" w:color="auto" w:fill="auto"/>
            <w:vAlign w:val="center"/>
          </w:tcPr>
          <w:p w14:paraId="1841F985" w14:textId="11A98198" w:rsidR="002353FC" w:rsidRPr="00600846" w:rsidRDefault="00AF327D" w:rsidP="002940E4">
            <w:r w:rsidRPr="00600846">
              <w:t>Author</w:t>
            </w:r>
            <w:r w:rsidR="002353FC" w:rsidRPr="00600846">
              <w:t>:</w:t>
            </w:r>
          </w:p>
        </w:tc>
        <w:tc>
          <w:tcPr>
            <w:tcW w:w="4795" w:type="dxa"/>
            <w:shd w:val="clear" w:color="auto" w:fill="auto"/>
            <w:vAlign w:val="center"/>
          </w:tcPr>
          <w:p w14:paraId="360E1F43" w14:textId="7D440AEF" w:rsidR="002353FC" w:rsidRPr="00600846" w:rsidRDefault="00BA2325" w:rsidP="002940E4">
            <w:pPr>
              <w:pStyle w:val="DocDate"/>
            </w:pPr>
            <w:r>
              <w:t xml:space="preserve">Alessandro </w:t>
            </w:r>
            <w:proofErr w:type="spellStart"/>
            <w:r>
              <w:t>Paolini</w:t>
            </w:r>
            <w:proofErr w:type="spellEnd"/>
            <w:r w:rsidR="00F6199D">
              <w:t>, Peter Solagna</w:t>
            </w:r>
          </w:p>
        </w:tc>
      </w:tr>
      <w:tr w:rsidR="002353FC" w:rsidRPr="00600846" w14:paraId="20DFA821" w14:textId="77777777" w:rsidTr="00CF4F27">
        <w:trPr>
          <w:cantSplit/>
          <w:trHeight w:val="508"/>
          <w:jc w:val="center"/>
        </w:trPr>
        <w:tc>
          <w:tcPr>
            <w:tcW w:w="1818" w:type="dxa"/>
            <w:shd w:val="clear" w:color="auto" w:fill="auto"/>
            <w:vAlign w:val="center"/>
          </w:tcPr>
          <w:p w14:paraId="53420EE8" w14:textId="77777777" w:rsidR="002353FC" w:rsidRPr="00600846" w:rsidRDefault="002353FC" w:rsidP="002940E4">
            <w:r w:rsidRPr="00600846">
              <w:t>Audience:</w:t>
            </w:r>
          </w:p>
        </w:tc>
        <w:tc>
          <w:tcPr>
            <w:tcW w:w="4795" w:type="dxa"/>
            <w:shd w:val="clear" w:color="auto" w:fill="auto"/>
            <w:vAlign w:val="center"/>
          </w:tcPr>
          <w:p w14:paraId="2842AC7B" w14:textId="4F880CD3" w:rsidR="002353FC" w:rsidRPr="00600846" w:rsidRDefault="00CF4F27" w:rsidP="002940E4">
            <w:pPr>
              <w:pStyle w:val="DocDate"/>
            </w:pPr>
            <w:r w:rsidRPr="00600846">
              <w:t>EGI Executive Board</w:t>
            </w:r>
          </w:p>
        </w:tc>
      </w:tr>
      <w:tr w:rsidR="002353FC" w:rsidRPr="00600846" w14:paraId="2C8C055F" w14:textId="77777777" w:rsidTr="00CF4F27">
        <w:trPr>
          <w:cantSplit/>
          <w:trHeight w:val="508"/>
          <w:jc w:val="center"/>
        </w:trPr>
        <w:tc>
          <w:tcPr>
            <w:tcW w:w="1818" w:type="dxa"/>
            <w:shd w:val="clear" w:color="auto" w:fill="auto"/>
            <w:vAlign w:val="center"/>
          </w:tcPr>
          <w:p w14:paraId="3F41AB5E" w14:textId="3C517CB1" w:rsidR="002353FC" w:rsidRPr="00600846" w:rsidRDefault="00AF327D" w:rsidP="002940E4">
            <w:r w:rsidRPr="00600846">
              <w:t>Period</w:t>
            </w:r>
            <w:r w:rsidR="002353FC" w:rsidRPr="00600846">
              <w:t>:</w:t>
            </w:r>
          </w:p>
        </w:tc>
        <w:tc>
          <w:tcPr>
            <w:tcW w:w="4795" w:type="dxa"/>
            <w:shd w:val="clear" w:color="auto" w:fill="auto"/>
            <w:vAlign w:val="center"/>
          </w:tcPr>
          <w:p w14:paraId="55580386" w14:textId="68B58926" w:rsidR="002353FC" w:rsidRPr="00600846" w:rsidRDefault="00BA2325" w:rsidP="002940E4">
            <w:pPr>
              <w:pStyle w:val="DocDate"/>
            </w:pPr>
            <w:r>
              <w:t>September</w:t>
            </w:r>
            <w:r w:rsidR="00CF4F27" w:rsidRPr="00600846">
              <w:t xml:space="preserve"> 201</w:t>
            </w:r>
            <w:r w:rsidR="00776416" w:rsidRPr="00600846">
              <w:t>6</w:t>
            </w:r>
            <w:r w:rsidR="00CF4F27" w:rsidRPr="00600846">
              <w:t xml:space="preserve"> </w:t>
            </w:r>
            <w:r w:rsidR="00776416" w:rsidRPr="00600846">
              <w:t>–</w:t>
            </w:r>
            <w:r w:rsidR="00CF4F27" w:rsidRPr="00600846">
              <w:t xml:space="preserve"> </w:t>
            </w:r>
            <w:r>
              <w:t>December</w:t>
            </w:r>
            <w:r w:rsidR="00776416" w:rsidRPr="00600846">
              <w:t xml:space="preserve"> </w:t>
            </w:r>
            <w:r w:rsidR="00CF4F27" w:rsidRPr="00600846">
              <w:t>2016</w:t>
            </w:r>
          </w:p>
        </w:tc>
      </w:tr>
      <w:tr w:rsidR="002353FC" w:rsidRPr="00600846" w14:paraId="5B3F9ECA" w14:textId="77777777" w:rsidTr="00CF4F27">
        <w:trPr>
          <w:cantSplit/>
          <w:trHeight w:val="508"/>
          <w:jc w:val="center"/>
        </w:trPr>
        <w:tc>
          <w:tcPr>
            <w:tcW w:w="1818" w:type="dxa"/>
            <w:shd w:val="clear" w:color="auto" w:fill="auto"/>
            <w:vAlign w:val="center"/>
          </w:tcPr>
          <w:p w14:paraId="12B6D140" w14:textId="27B09504" w:rsidR="002353FC" w:rsidRPr="00600846" w:rsidRDefault="00AF327D" w:rsidP="002940E4">
            <w:r w:rsidRPr="00600846">
              <w:t>Date</w:t>
            </w:r>
            <w:r w:rsidR="002353FC" w:rsidRPr="00600846">
              <w:t>:</w:t>
            </w:r>
          </w:p>
        </w:tc>
        <w:tc>
          <w:tcPr>
            <w:tcW w:w="4795" w:type="dxa"/>
            <w:shd w:val="clear" w:color="auto" w:fill="auto"/>
            <w:vAlign w:val="center"/>
          </w:tcPr>
          <w:p w14:paraId="0A863F86" w14:textId="1CCF0433" w:rsidR="002353FC" w:rsidRPr="00600846" w:rsidRDefault="00DE134D" w:rsidP="002940E4">
            <w:pPr>
              <w:pStyle w:val="DocDate"/>
            </w:pPr>
            <w:r>
              <w:t>10/03/2017</w:t>
            </w:r>
          </w:p>
        </w:tc>
      </w:tr>
      <w:tr w:rsidR="002353FC" w:rsidRPr="00600846" w14:paraId="2DEB21ED" w14:textId="77777777" w:rsidTr="00CF4F27">
        <w:trPr>
          <w:cantSplit/>
          <w:trHeight w:val="508"/>
          <w:jc w:val="center"/>
        </w:trPr>
        <w:tc>
          <w:tcPr>
            <w:tcW w:w="1818" w:type="dxa"/>
            <w:shd w:val="clear" w:color="auto" w:fill="auto"/>
            <w:vAlign w:val="center"/>
          </w:tcPr>
          <w:p w14:paraId="32BBA48B" w14:textId="259A3EE4" w:rsidR="002353FC" w:rsidRPr="00600846" w:rsidRDefault="00AF327D" w:rsidP="002940E4">
            <w:r w:rsidRPr="00600846">
              <w:t>Next report</w:t>
            </w:r>
            <w:r w:rsidR="002353FC" w:rsidRPr="00600846">
              <w:t>:</w:t>
            </w:r>
          </w:p>
        </w:tc>
        <w:tc>
          <w:tcPr>
            <w:tcW w:w="4795" w:type="dxa"/>
            <w:shd w:val="clear" w:color="auto" w:fill="auto"/>
            <w:vAlign w:val="center"/>
          </w:tcPr>
          <w:p w14:paraId="63A43752" w14:textId="21588A69" w:rsidR="002353FC" w:rsidRPr="00600846" w:rsidRDefault="00775668" w:rsidP="002940E4">
            <w:pPr>
              <w:pStyle w:val="DocDate"/>
            </w:pPr>
            <w:r>
              <w:t>2</w:t>
            </w:r>
            <w:r w:rsidRPr="00775668">
              <w:rPr>
                <w:vertAlign w:val="superscript"/>
              </w:rPr>
              <w:t>nd</w:t>
            </w:r>
            <w:r>
              <w:t xml:space="preserve"> quarter</w:t>
            </w:r>
            <w:r w:rsidR="00BA2325">
              <w:t xml:space="preserve"> 2017</w:t>
            </w:r>
          </w:p>
        </w:tc>
      </w:tr>
      <w:tr w:rsidR="002353FC" w:rsidRPr="00600846" w14:paraId="478365AB" w14:textId="77777777" w:rsidTr="00CF4F27">
        <w:trPr>
          <w:cantSplit/>
          <w:trHeight w:val="526"/>
          <w:jc w:val="center"/>
        </w:trPr>
        <w:tc>
          <w:tcPr>
            <w:tcW w:w="1818" w:type="dxa"/>
            <w:tcBorders>
              <w:bottom w:val="single" w:sz="20" w:space="0" w:color="000080"/>
            </w:tcBorders>
            <w:shd w:val="clear" w:color="auto" w:fill="auto"/>
            <w:vAlign w:val="center"/>
          </w:tcPr>
          <w:p w14:paraId="30815279" w14:textId="77777777" w:rsidR="002353FC" w:rsidRPr="00600846" w:rsidRDefault="002353FC" w:rsidP="002940E4">
            <w:pPr>
              <w:pStyle w:val="Header"/>
            </w:pPr>
            <w:r w:rsidRPr="00600846">
              <w:t>Link:</w:t>
            </w:r>
          </w:p>
        </w:tc>
        <w:tc>
          <w:tcPr>
            <w:tcW w:w="4795" w:type="dxa"/>
            <w:tcBorders>
              <w:bottom w:val="single" w:sz="20" w:space="0" w:color="000080"/>
            </w:tcBorders>
            <w:shd w:val="clear" w:color="auto" w:fill="auto"/>
            <w:vAlign w:val="center"/>
          </w:tcPr>
          <w:p w14:paraId="6C45A979" w14:textId="19985C39" w:rsidR="002353FC" w:rsidRPr="00600846" w:rsidRDefault="002353FC" w:rsidP="002940E4"/>
        </w:tc>
      </w:tr>
    </w:tbl>
    <w:p w14:paraId="2A06E5AF" w14:textId="77777777" w:rsidR="002353FC" w:rsidRPr="00600846" w:rsidRDefault="002353FC" w:rsidP="002940E4"/>
    <w:p w14:paraId="6F7418F2" w14:textId="77777777" w:rsidR="002353FC" w:rsidRPr="00600846" w:rsidRDefault="002353FC" w:rsidP="002940E4"/>
    <w:sdt>
      <w:sdtPr>
        <w:rPr>
          <w:rFonts w:eastAsia="Times New Roman" w:cs="Times New Roman"/>
          <w:b w:val="0"/>
          <w:bCs w:val="0"/>
          <w:color w:val="auto"/>
          <w:sz w:val="20"/>
          <w:szCs w:val="24"/>
          <w:lang w:val="en-GB" w:eastAsia="de-DE"/>
        </w:rPr>
        <w:id w:val="300968474"/>
        <w:docPartObj>
          <w:docPartGallery w:val="Table of Contents"/>
          <w:docPartUnique/>
        </w:docPartObj>
      </w:sdtPr>
      <w:sdtEndPr>
        <w:rPr>
          <w:noProof/>
        </w:rPr>
      </w:sdtEndPr>
      <w:sdtContent>
        <w:p w14:paraId="77B4014E" w14:textId="2A19C671" w:rsidR="00954E67" w:rsidRPr="00600846" w:rsidRDefault="00954E67" w:rsidP="002940E4">
          <w:pPr>
            <w:pStyle w:val="TOCHeading"/>
          </w:pPr>
          <w:r w:rsidRPr="00600846">
            <w:t>Table of Contents</w:t>
          </w:r>
        </w:p>
        <w:p w14:paraId="7B057CEC" w14:textId="77777777" w:rsidR="002A2DB4" w:rsidRDefault="00954E67">
          <w:pPr>
            <w:pStyle w:val="TOC1"/>
            <w:tabs>
              <w:tab w:val="left" w:pos="440"/>
              <w:tab w:val="right" w:leader="dot" w:pos="9771"/>
            </w:tabs>
            <w:rPr>
              <w:rFonts w:eastAsiaTheme="minorEastAsia" w:cstheme="minorBidi"/>
              <w:b w:val="0"/>
              <w:noProof/>
              <w:sz w:val="22"/>
              <w:szCs w:val="22"/>
              <w:lang w:val="nl-NL" w:eastAsia="nl-NL"/>
            </w:rPr>
          </w:pPr>
          <w:r w:rsidRPr="00600846">
            <w:fldChar w:fldCharType="begin"/>
          </w:r>
          <w:r w:rsidRPr="00600846">
            <w:instrText xml:space="preserve"> TOC \o "1-3" \h \z \u </w:instrText>
          </w:r>
          <w:r w:rsidRPr="00600846">
            <w:fldChar w:fldCharType="separate"/>
          </w:r>
          <w:hyperlink w:anchor="_Toc476912068" w:history="1">
            <w:r w:rsidR="002A2DB4" w:rsidRPr="00FB3803">
              <w:rPr>
                <w:rStyle w:val="Hyperlink"/>
                <w:noProof/>
              </w:rPr>
              <w:t>1</w:t>
            </w:r>
            <w:r w:rsidR="002A2DB4">
              <w:rPr>
                <w:rFonts w:eastAsiaTheme="minorEastAsia" w:cstheme="minorBidi"/>
                <w:b w:val="0"/>
                <w:noProof/>
                <w:sz w:val="22"/>
                <w:szCs w:val="22"/>
                <w:lang w:val="nl-NL" w:eastAsia="nl-NL"/>
              </w:rPr>
              <w:tab/>
            </w:r>
            <w:r w:rsidR="002A2DB4" w:rsidRPr="00FB3803">
              <w:rPr>
                <w:rStyle w:val="Hyperlink"/>
                <w:noProof/>
              </w:rPr>
              <w:t>EGI.eu Core Services/Activities</w:t>
            </w:r>
            <w:r w:rsidR="002A2DB4">
              <w:rPr>
                <w:noProof/>
                <w:webHidden/>
              </w:rPr>
              <w:tab/>
            </w:r>
            <w:r w:rsidR="002A2DB4">
              <w:rPr>
                <w:noProof/>
                <w:webHidden/>
              </w:rPr>
              <w:fldChar w:fldCharType="begin"/>
            </w:r>
            <w:r w:rsidR="002A2DB4">
              <w:rPr>
                <w:noProof/>
                <w:webHidden/>
              </w:rPr>
              <w:instrText xml:space="preserve"> PAGEREF _Toc476912068 \h </w:instrText>
            </w:r>
            <w:r w:rsidR="002A2DB4">
              <w:rPr>
                <w:noProof/>
                <w:webHidden/>
              </w:rPr>
            </w:r>
            <w:r w:rsidR="002A2DB4">
              <w:rPr>
                <w:noProof/>
                <w:webHidden/>
              </w:rPr>
              <w:fldChar w:fldCharType="separate"/>
            </w:r>
            <w:r w:rsidR="002A2DB4">
              <w:rPr>
                <w:noProof/>
                <w:webHidden/>
              </w:rPr>
              <w:t>1</w:t>
            </w:r>
            <w:r w:rsidR="002A2DB4">
              <w:rPr>
                <w:noProof/>
                <w:webHidden/>
              </w:rPr>
              <w:fldChar w:fldCharType="end"/>
            </w:r>
          </w:hyperlink>
        </w:p>
        <w:p w14:paraId="1C966BAA" w14:textId="77777777" w:rsidR="002A2DB4" w:rsidRDefault="00902AA0">
          <w:pPr>
            <w:pStyle w:val="TOC1"/>
            <w:tabs>
              <w:tab w:val="left" w:pos="440"/>
              <w:tab w:val="right" w:leader="dot" w:pos="9771"/>
            </w:tabs>
            <w:rPr>
              <w:rFonts w:eastAsiaTheme="minorEastAsia" w:cstheme="minorBidi"/>
              <w:b w:val="0"/>
              <w:noProof/>
              <w:sz w:val="22"/>
              <w:szCs w:val="22"/>
              <w:lang w:val="nl-NL" w:eastAsia="nl-NL"/>
            </w:rPr>
          </w:pPr>
          <w:hyperlink w:anchor="_Toc476912069" w:history="1">
            <w:r w:rsidR="002A2DB4" w:rsidRPr="00FB3803">
              <w:rPr>
                <w:rStyle w:val="Hyperlink"/>
                <w:noProof/>
              </w:rPr>
              <w:t>2</w:t>
            </w:r>
            <w:r w:rsidR="002A2DB4">
              <w:rPr>
                <w:rFonts w:eastAsiaTheme="minorEastAsia" w:cstheme="minorBidi"/>
                <w:b w:val="0"/>
                <w:noProof/>
                <w:sz w:val="22"/>
                <w:szCs w:val="22"/>
                <w:lang w:val="nl-NL" w:eastAsia="nl-NL"/>
              </w:rPr>
              <w:tab/>
            </w:r>
            <w:r w:rsidR="002A2DB4" w:rsidRPr="00FB3803">
              <w:rPr>
                <w:rStyle w:val="Hyperlink"/>
                <w:noProof/>
              </w:rPr>
              <w:t>Performance report summary TO CHANGE</w:t>
            </w:r>
            <w:r w:rsidR="002A2DB4">
              <w:rPr>
                <w:noProof/>
                <w:webHidden/>
              </w:rPr>
              <w:tab/>
            </w:r>
            <w:r w:rsidR="002A2DB4">
              <w:rPr>
                <w:noProof/>
                <w:webHidden/>
              </w:rPr>
              <w:fldChar w:fldCharType="begin"/>
            </w:r>
            <w:r w:rsidR="002A2DB4">
              <w:rPr>
                <w:noProof/>
                <w:webHidden/>
              </w:rPr>
              <w:instrText xml:space="preserve"> PAGEREF _Toc476912069 \h </w:instrText>
            </w:r>
            <w:r w:rsidR="002A2DB4">
              <w:rPr>
                <w:noProof/>
                <w:webHidden/>
              </w:rPr>
            </w:r>
            <w:r w:rsidR="002A2DB4">
              <w:rPr>
                <w:noProof/>
                <w:webHidden/>
              </w:rPr>
              <w:fldChar w:fldCharType="separate"/>
            </w:r>
            <w:r w:rsidR="002A2DB4">
              <w:rPr>
                <w:noProof/>
                <w:webHidden/>
              </w:rPr>
              <w:t>2</w:t>
            </w:r>
            <w:r w:rsidR="002A2DB4">
              <w:rPr>
                <w:noProof/>
                <w:webHidden/>
              </w:rPr>
              <w:fldChar w:fldCharType="end"/>
            </w:r>
          </w:hyperlink>
        </w:p>
        <w:p w14:paraId="51AD0B09" w14:textId="77777777" w:rsidR="002A2DB4" w:rsidRDefault="00902AA0">
          <w:pPr>
            <w:pStyle w:val="TOC2"/>
            <w:tabs>
              <w:tab w:val="left" w:pos="880"/>
              <w:tab w:val="right" w:leader="dot" w:pos="9771"/>
            </w:tabs>
            <w:rPr>
              <w:rFonts w:eastAsiaTheme="minorEastAsia" w:cstheme="minorBidi"/>
              <w:i w:val="0"/>
              <w:noProof/>
              <w:sz w:val="22"/>
              <w:szCs w:val="22"/>
              <w:lang w:val="nl-NL" w:eastAsia="nl-NL"/>
            </w:rPr>
          </w:pPr>
          <w:hyperlink w:anchor="_Toc476912070" w:history="1">
            <w:r w:rsidR="002A2DB4" w:rsidRPr="00FB3803">
              <w:rPr>
                <w:rStyle w:val="Hyperlink"/>
                <w:noProof/>
              </w:rPr>
              <w:t>2.1</w:t>
            </w:r>
            <w:r w:rsidR="002A2DB4">
              <w:rPr>
                <w:rFonts w:eastAsiaTheme="minorEastAsia" w:cstheme="minorBidi"/>
                <w:i w:val="0"/>
                <w:noProof/>
                <w:sz w:val="22"/>
                <w:szCs w:val="22"/>
                <w:lang w:val="nl-NL" w:eastAsia="nl-NL"/>
              </w:rPr>
              <w:tab/>
            </w:r>
            <w:r w:rsidR="002A2DB4" w:rsidRPr="00FB3803">
              <w:rPr>
                <w:rStyle w:val="Hyperlink"/>
                <w:noProof/>
              </w:rPr>
              <w:t>Helpdesk human support</w:t>
            </w:r>
            <w:r w:rsidR="002A2DB4">
              <w:rPr>
                <w:noProof/>
                <w:webHidden/>
              </w:rPr>
              <w:tab/>
            </w:r>
            <w:r w:rsidR="002A2DB4">
              <w:rPr>
                <w:noProof/>
                <w:webHidden/>
              </w:rPr>
              <w:fldChar w:fldCharType="begin"/>
            </w:r>
            <w:r w:rsidR="002A2DB4">
              <w:rPr>
                <w:noProof/>
                <w:webHidden/>
              </w:rPr>
              <w:instrText xml:space="preserve"> PAGEREF _Toc476912070 \h </w:instrText>
            </w:r>
            <w:r w:rsidR="002A2DB4">
              <w:rPr>
                <w:noProof/>
                <w:webHidden/>
              </w:rPr>
            </w:r>
            <w:r w:rsidR="002A2DB4">
              <w:rPr>
                <w:noProof/>
                <w:webHidden/>
              </w:rPr>
              <w:fldChar w:fldCharType="separate"/>
            </w:r>
            <w:r w:rsidR="002A2DB4">
              <w:rPr>
                <w:noProof/>
                <w:webHidden/>
              </w:rPr>
              <w:t>2</w:t>
            </w:r>
            <w:r w:rsidR="002A2DB4">
              <w:rPr>
                <w:noProof/>
                <w:webHidden/>
              </w:rPr>
              <w:fldChar w:fldCharType="end"/>
            </w:r>
          </w:hyperlink>
        </w:p>
        <w:p w14:paraId="768D2D89" w14:textId="77777777" w:rsidR="002A2DB4" w:rsidRDefault="00902AA0">
          <w:pPr>
            <w:pStyle w:val="TOC2"/>
            <w:tabs>
              <w:tab w:val="left" w:pos="880"/>
              <w:tab w:val="right" w:leader="dot" w:pos="9771"/>
            </w:tabs>
            <w:rPr>
              <w:rFonts w:eastAsiaTheme="minorEastAsia" w:cstheme="minorBidi"/>
              <w:i w:val="0"/>
              <w:noProof/>
              <w:sz w:val="22"/>
              <w:szCs w:val="22"/>
              <w:lang w:val="nl-NL" w:eastAsia="nl-NL"/>
            </w:rPr>
          </w:pPr>
          <w:hyperlink w:anchor="_Toc476912071" w:history="1">
            <w:r w:rsidR="002A2DB4" w:rsidRPr="00FB3803">
              <w:rPr>
                <w:rStyle w:val="Hyperlink"/>
                <w:noProof/>
              </w:rPr>
              <w:t>2.2</w:t>
            </w:r>
            <w:r w:rsidR="002A2DB4">
              <w:rPr>
                <w:rFonts w:eastAsiaTheme="minorEastAsia" w:cstheme="minorBidi"/>
                <w:i w:val="0"/>
                <w:noProof/>
                <w:sz w:val="22"/>
                <w:szCs w:val="22"/>
                <w:lang w:val="nl-NL" w:eastAsia="nl-NL"/>
              </w:rPr>
              <w:tab/>
            </w:r>
            <w:r w:rsidR="002A2DB4" w:rsidRPr="00FB3803">
              <w:rPr>
                <w:rStyle w:val="Hyperlink"/>
                <w:noProof/>
              </w:rPr>
              <w:t>UMD quality assurance</w:t>
            </w:r>
            <w:r w:rsidR="002A2DB4">
              <w:rPr>
                <w:noProof/>
                <w:webHidden/>
              </w:rPr>
              <w:tab/>
            </w:r>
            <w:r w:rsidR="002A2DB4">
              <w:rPr>
                <w:noProof/>
                <w:webHidden/>
              </w:rPr>
              <w:fldChar w:fldCharType="begin"/>
            </w:r>
            <w:r w:rsidR="002A2DB4">
              <w:rPr>
                <w:noProof/>
                <w:webHidden/>
              </w:rPr>
              <w:instrText xml:space="preserve"> PAGEREF _Toc476912071 \h </w:instrText>
            </w:r>
            <w:r w:rsidR="002A2DB4">
              <w:rPr>
                <w:noProof/>
                <w:webHidden/>
              </w:rPr>
            </w:r>
            <w:r w:rsidR="002A2DB4">
              <w:rPr>
                <w:noProof/>
                <w:webHidden/>
              </w:rPr>
              <w:fldChar w:fldCharType="separate"/>
            </w:r>
            <w:r w:rsidR="002A2DB4">
              <w:rPr>
                <w:noProof/>
                <w:webHidden/>
              </w:rPr>
              <w:t>2</w:t>
            </w:r>
            <w:r w:rsidR="002A2DB4">
              <w:rPr>
                <w:noProof/>
                <w:webHidden/>
              </w:rPr>
              <w:fldChar w:fldCharType="end"/>
            </w:r>
          </w:hyperlink>
        </w:p>
        <w:p w14:paraId="2118D5BC" w14:textId="77777777" w:rsidR="002A2DB4" w:rsidRDefault="00902AA0">
          <w:pPr>
            <w:pStyle w:val="TOC2"/>
            <w:tabs>
              <w:tab w:val="left" w:pos="880"/>
              <w:tab w:val="right" w:leader="dot" w:pos="9771"/>
            </w:tabs>
            <w:rPr>
              <w:rFonts w:eastAsiaTheme="minorEastAsia" w:cstheme="minorBidi"/>
              <w:i w:val="0"/>
              <w:noProof/>
              <w:sz w:val="22"/>
              <w:szCs w:val="22"/>
              <w:lang w:val="nl-NL" w:eastAsia="nl-NL"/>
            </w:rPr>
          </w:pPr>
          <w:hyperlink w:anchor="_Toc476912072" w:history="1">
            <w:r w:rsidR="002A2DB4" w:rsidRPr="00FB3803">
              <w:rPr>
                <w:rStyle w:val="Hyperlink"/>
                <w:noProof/>
              </w:rPr>
              <w:t>2.3</w:t>
            </w:r>
            <w:r w:rsidR="002A2DB4">
              <w:rPr>
                <w:rFonts w:eastAsiaTheme="minorEastAsia" w:cstheme="minorBidi"/>
                <w:i w:val="0"/>
                <w:noProof/>
                <w:sz w:val="22"/>
                <w:szCs w:val="22"/>
                <w:lang w:val="nl-NL" w:eastAsia="nl-NL"/>
              </w:rPr>
              <w:tab/>
            </w:r>
            <w:r w:rsidR="002A2DB4" w:rsidRPr="00FB3803">
              <w:rPr>
                <w:rStyle w:val="Hyperlink"/>
                <w:noProof/>
              </w:rPr>
              <w:t>Accounting portal</w:t>
            </w:r>
            <w:r w:rsidR="002A2DB4">
              <w:rPr>
                <w:noProof/>
                <w:webHidden/>
              </w:rPr>
              <w:tab/>
            </w:r>
            <w:r w:rsidR="002A2DB4">
              <w:rPr>
                <w:noProof/>
                <w:webHidden/>
              </w:rPr>
              <w:fldChar w:fldCharType="begin"/>
            </w:r>
            <w:r w:rsidR="002A2DB4">
              <w:rPr>
                <w:noProof/>
                <w:webHidden/>
              </w:rPr>
              <w:instrText xml:space="preserve"> PAGEREF _Toc476912072 \h </w:instrText>
            </w:r>
            <w:r w:rsidR="002A2DB4">
              <w:rPr>
                <w:noProof/>
                <w:webHidden/>
              </w:rPr>
            </w:r>
            <w:r w:rsidR="002A2DB4">
              <w:rPr>
                <w:noProof/>
                <w:webHidden/>
              </w:rPr>
              <w:fldChar w:fldCharType="separate"/>
            </w:r>
            <w:r w:rsidR="002A2DB4">
              <w:rPr>
                <w:noProof/>
                <w:webHidden/>
              </w:rPr>
              <w:t>3</w:t>
            </w:r>
            <w:r w:rsidR="002A2DB4">
              <w:rPr>
                <w:noProof/>
                <w:webHidden/>
              </w:rPr>
              <w:fldChar w:fldCharType="end"/>
            </w:r>
          </w:hyperlink>
        </w:p>
        <w:p w14:paraId="50CC559A" w14:textId="77777777" w:rsidR="002A2DB4" w:rsidRDefault="00902AA0">
          <w:pPr>
            <w:pStyle w:val="TOC2"/>
            <w:tabs>
              <w:tab w:val="left" w:pos="880"/>
              <w:tab w:val="right" w:leader="dot" w:pos="9771"/>
            </w:tabs>
            <w:rPr>
              <w:rFonts w:eastAsiaTheme="minorEastAsia" w:cstheme="minorBidi"/>
              <w:i w:val="0"/>
              <w:noProof/>
              <w:sz w:val="22"/>
              <w:szCs w:val="22"/>
              <w:lang w:val="nl-NL" w:eastAsia="nl-NL"/>
            </w:rPr>
          </w:pPr>
          <w:hyperlink w:anchor="_Toc476912073" w:history="1">
            <w:r w:rsidR="002A2DB4" w:rsidRPr="00FB3803">
              <w:rPr>
                <w:rStyle w:val="Hyperlink"/>
                <w:noProof/>
              </w:rPr>
              <w:t>2.4</w:t>
            </w:r>
            <w:r w:rsidR="002A2DB4">
              <w:rPr>
                <w:rFonts w:eastAsiaTheme="minorEastAsia" w:cstheme="minorBidi"/>
                <w:i w:val="0"/>
                <w:noProof/>
                <w:sz w:val="22"/>
                <w:szCs w:val="22"/>
                <w:lang w:val="nl-NL" w:eastAsia="nl-NL"/>
              </w:rPr>
              <w:tab/>
            </w:r>
            <w:r w:rsidR="002A2DB4" w:rsidRPr="00FB3803">
              <w:rPr>
                <w:rStyle w:val="Hyperlink"/>
                <w:noProof/>
              </w:rPr>
              <w:t>Services for the AAI</w:t>
            </w:r>
            <w:r w:rsidR="002A2DB4">
              <w:rPr>
                <w:noProof/>
                <w:webHidden/>
              </w:rPr>
              <w:tab/>
            </w:r>
            <w:r w:rsidR="002A2DB4">
              <w:rPr>
                <w:noProof/>
                <w:webHidden/>
              </w:rPr>
              <w:fldChar w:fldCharType="begin"/>
            </w:r>
            <w:r w:rsidR="002A2DB4">
              <w:rPr>
                <w:noProof/>
                <w:webHidden/>
              </w:rPr>
              <w:instrText xml:space="preserve"> PAGEREF _Toc476912073 \h </w:instrText>
            </w:r>
            <w:r w:rsidR="002A2DB4">
              <w:rPr>
                <w:noProof/>
                <w:webHidden/>
              </w:rPr>
            </w:r>
            <w:r w:rsidR="002A2DB4">
              <w:rPr>
                <w:noProof/>
                <w:webHidden/>
              </w:rPr>
              <w:fldChar w:fldCharType="separate"/>
            </w:r>
            <w:r w:rsidR="002A2DB4">
              <w:rPr>
                <w:noProof/>
                <w:webHidden/>
              </w:rPr>
              <w:t>3</w:t>
            </w:r>
            <w:r w:rsidR="002A2DB4">
              <w:rPr>
                <w:noProof/>
                <w:webHidden/>
              </w:rPr>
              <w:fldChar w:fldCharType="end"/>
            </w:r>
          </w:hyperlink>
        </w:p>
        <w:p w14:paraId="49FCD9A6" w14:textId="77777777" w:rsidR="002A2DB4" w:rsidRDefault="00902AA0">
          <w:pPr>
            <w:pStyle w:val="TOC2"/>
            <w:tabs>
              <w:tab w:val="left" w:pos="880"/>
              <w:tab w:val="right" w:leader="dot" w:pos="9771"/>
            </w:tabs>
            <w:rPr>
              <w:rFonts w:eastAsiaTheme="minorEastAsia" w:cstheme="minorBidi"/>
              <w:i w:val="0"/>
              <w:noProof/>
              <w:sz w:val="22"/>
              <w:szCs w:val="22"/>
              <w:lang w:val="nl-NL" w:eastAsia="nl-NL"/>
            </w:rPr>
          </w:pPr>
          <w:hyperlink w:anchor="_Toc476912074" w:history="1">
            <w:r w:rsidR="002A2DB4" w:rsidRPr="00FB3803">
              <w:rPr>
                <w:rStyle w:val="Hyperlink"/>
                <w:noProof/>
              </w:rPr>
              <w:t>2.5</w:t>
            </w:r>
            <w:r w:rsidR="002A2DB4">
              <w:rPr>
                <w:rFonts w:eastAsiaTheme="minorEastAsia" w:cstheme="minorBidi"/>
                <w:i w:val="0"/>
                <w:noProof/>
                <w:sz w:val="22"/>
                <w:szCs w:val="22"/>
                <w:lang w:val="nl-NL" w:eastAsia="nl-NL"/>
              </w:rPr>
              <w:tab/>
            </w:r>
            <w:r w:rsidR="002A2DB4" w:rsidRPr="00FB3803">
              <w:rPr>
                <w:rStyle w:val="Hyperlink"/>
                <w:noProof/>
              </w:rPr>
              <w:t>Collaboration tools</w:t>
            </w:r>
            <w:r w:rsidR="002A2DB4">
              <w:rPr>
                <w:noProof/>
                <w:webHidden/>
              </w:rPr>
              <w:tab/>
            </w:r>
            <w:r w:rsidR="002A2DB4">
              <w:rPr>
                <w:noProof/>
                <w:webHidden/>
              </w:rPr>
              <w:fldChar w:fldCharType="begin"/>
            </w:r>
            <w:r w:rsidR="002A2DB4">
              <w:rPr>
                <w:noProof/>
                <w:webHidden/>
              </w:rPr>
              <w:instrText xml:space="preserve"> PAGEREF _Toc476912074 \h </w:instrText>
            </w:r>
            <w:r w:rsidR="002A2DB4">
              <w:rPr>
                <w:noProof/>
                <w:webHidden/>
              </w:rPr>
            </w:r>
            <w:r w:rsidR="002A2DB4">
              <w:rPr>
                <w:noProof/>
                <w:webHidden/>
              </w:rPr>
              <w:fldChar w:fldCharType="separate"/>
            </w:r>
            <w:r w:rsidR="002A2DB4">
              <w:rPr>
                <w:noProof/>
                <w:webHidden/>
              </w:rPr>
              <w:t>3</w:t>
            </w:r>
            <w:r w:rsidR="002A2DB4">
              <w:rPr>
                <w:noProof/>
                <w:webHidden/>
              </w:rPr>
              <w:fldChar w:fldCharType="end"/>
            </w:r>
          </w:hyperlink>
        </w:p>
        <w:p w14:paraId="043693F1" w14:textId="77777777" w:rsidR="002A2DB4" w:rsidRDefault="00902AA0">
          <w:pPr>
            <w:pStyle w:val="TOC2"/>
            <w:tabs>
              <w:tab w:val="left" w:pos="880"/>
              <w:tab w:val="right" w:leader="dot" w:pos="9771"/>
            </w:tabs>
            <w:rPr>
              <w:rFonts w:eastAsiaTheme="minorEastAsia" w:cstheme="minorBidi"/>
              <w:i w:val="0"/>
              <w:noProof/>
              <w:sz w:val="22"/>
              <w:szCs w:val="22"/>
              <w:lang w:val="nl-NL" w:eastAsia="nl-NL"/>
            </w:rPr>
          </w:pPr>
          <w:hyperlink w:anchor="_Toc476912075" w:history="1">
            <w:r w:rsidR="002A2DB4" w:rsidRPr="00FB3803">
              <w:rPr>
                <w:rStyle w:val="Hyperlink"/>
                <w:noProof/>
              </w:rPr>
              <w:t>2.6</w:t>
            </w:r>
            <w:r w:rsidR="002A2DB4">
              <w:rPr>
                <w:rFonts w:eastAsiaTheme="minorEastAsia" w:cstheme="minorBidi"/>
                <w:i w:val="0"/>
                <w:noProof/>
                <w:sz w:val="22"/>
                <w:szCs w:val="22"/>
                <w:lang w:val="nl-NL" w:eastAsia="nl-NL"/>
              </w:rPr>
              <w:tab/>
            </w:r>
            <w:r w:rsidR="002A2DB4" w:rsidRPr="00FB3803">
              <w:rPr>
                <w:rStyle w:val="Hyperlink"/>
                <w:noProof/>
              </w:rPr>
              <w:t>Incident management helpdesk</w:t>
            </w:r>
            <w:r w:rsidR="002A2DB4">
              <w:rPr>
                <w:noProof/>
                <w:webHidden/>
              </w:rPr>
              <w:tab/>
            </w:r>
            <w:r w:rsidR="002A2DB4">
              <w:rPr>
                <w:noProof/>
                <w:webHidden/>
              </w:rPr>
              <w:fldChar w:fldCharType="begin"/>
            </w:r>
            <w:r w:rsidR="002A2DB4">
              <w:rPr>
                <w:noProof/>
                <w:webHidden/>
              </w:rPr>
              <w:instrText xml:space="preserve"> PAGEREF _Toc476912075 \h </w:instrText>
            </w:r>
            <w:r w:rsidR="002A2DB4">
              <w:rPr>
                <w:noProof/>
                <w:webHidden/>
              </w:rPr>
            </w:r>
            <w:r w:rsidR="002A2DB4">
              <w:rPr>
                <w:noProof/>
                <w:webHidden/>
              </w:rPr>
              <w:fldChar w:fldCharType="separate"/>
            </w:r>
            <w:r w:rsidR="002A2DB4">
              <w:rPr>
                <w:noProof/>
                <w:webHidden/>
              </w:rPr>
              <w:t>3</w:t>
            </w:r>
            <w:r w:rsidR="002A2DB4">
              <w:rPr>
                <w:noProof/>
                <w:webHidden/>
              </w:rPr>
              <w:fldChar w:fldCharType="end"/>
            </w:r>
          </w:hyperlink>
        </w:p>
        <w:p w14:paraId="3CD647D6" w14:textId="77777777" w:rsidR="002A2DB4" w:rsidRDefault="00902AA0">
          <w:pPr>
            <w:pStyle w:val="TOC2"/>
            <w:tabs>
              <w:tab w:val="left" w:pos="880"/>
              <w:tab w:val="right" w:leader="dot" w:pos="9771"/>
            </w:tabs>
            <w:rPr>
              <w:rFonts w:eastAsiaTheme="minorEastAsia" w:cstheme="minorBidi"/>
              <w:i w:val="0"/>
              <w:noProof/>
              <w:sz w:val="22"/>
              <w:szCs w:val="22"/>
              <w:lang w:val="nl-NL" w:eastAsia="nl-NL"/>
            </w:rPr>
          </w:pPr>
          <w:hyperlink w:anchor="_Toc476912076" w:history="1">
            <w:r w:rsidR="002A2DB4" w:rsidRPr="00FB3803">
              <w:rPr>
                <w:rStyle w:val="Hyperlink"/>
                <w:noProof/>
              </w:rPr>
              <w:t>2.7</w:t>
            </w:r>
            <w:r w:rsidR="002A2DB4">
              <w:rPr>
                <w:rFonts w:eastAsiaTheme="minorEastAsia" w:cstheme="minorBidi"/>
                <w:i w:val="0"/>
                <w:noProof/>
                <w:sz w:val="22"/>
                <w:szCs w:val="22"/>
                <w:lang w:val="nl-NL" w:eastAsia="nl-NL"/>
              </w:rPr>
              <w:tab/>
            </w:r>
            <w:r w:rsidR="002A2DB4" w:rsidRPr="00FB3803">
              <w:rPr>
                <w:rStyle w:val="Hyperlink"/>
                <w:noProof/>
              </w:rPr>
              <w:t>Message brokers network</w:t>
            </w:r>
            <w:r w:rsidR="002A2DB4">
              <w:rPr>
                <w:noProof/>
                <w:webHidden/>
              </w:rPr>
              <w:tab/>
            </w:r>
            <w:r w:rsidR="002A2DB4">
              <w:rPr>
                <w:noProof/>
                <w:webHidden/>
              </w:rPr>
              <w:fldChar w:fldCharType="begin"/>
            </w:r>
            <w:r w:rsidR="002A2DB4">
              <w:rPr>
                <w:noProof/>
                <w:webHidden/>
              </w:rPr>
              <w:instrText xml:space="preserve"> PAGEREF _Toc476912076 \h </w:instrText>
            </w:r>
            <w:r w:rsidR="002A2DB4">
              <w:rPr>
                <w:noProof/>
                <w:webHidden/>
              </w:rPr>
            </w:r>
            <w:r w:rsidR="002A2DB4">
              <w:rPr>
                <w:noProof/>
                <w:webHidden/>
              </w:rPr>
              <w:fldChar w:fldCharType="separate"/>
            </w:r>
            <w:r w:rsidR="002A2DB4">
              <w:rPr>
                <w:noProof/>
                <w:webHidden/>
              </w:rPr>
              <w:t>3</w:t>
            </w:r>
            <w:r w:rsidR="002A2DB4">
              <w:rPr>
                <w:noProof/>
                <w:webHidden/>
              </w:rPr>
              <w:fldChar w:fldCharType="end"/>
            </w:r>
          </w:hyperlink>
        </w:p>
        <w:p w14:paraId="038EBAEE" w14:textId="77777777" w:rsidR="002A2DB4" w:rsidRDefault="00902AA0">
          <w:pPr>
            <w:pStyle w:val="TOC2"/>
            <w:tabs>
              <w:tab w:val="left" w:pos="880"/>
              <w:tab w:val="right" w:leader="dot" w:pos="9771"/>
            </w:tabs>
            <w:rPr>
              <w:rFonts w:eastAsiaTheme="minorEastAsia" w:cstheme="minorBidi"/>
              <w:i w:val="0"/>
              <w:noProof/>
              <w:sz w:val="22"/>
              <w:szCs w:val="22"/>
              <w:lang w:val="nl-NL" w:eastAsia="nl-NL"/>
            </w:rPr>
          </w:pPr>
          <w:hyperlink w:anchor="_Toc476912077" w:history="1">
            <w:r w:rsidR="002A2DB4" w:rsidRPr="00FB3803">
              <w:rPr>
                <w:rStyle w:val="Hyperlink"/>
                <w:noProof/>
              </w:rPr>
              <w:t>2.8</w:t>
            </w:r>
            <w:r w:rsidR="002A2DB4">
              <w:rPr>
                <w:rFonts w:eastAsiaTheme="minorEastAsia" w:cstheme="minorBidi"/>
                <w:i w:val="0"/>
                <w:noProof/>
                <w:sz w:val="22"/>
                <w:szCs w:val="22"/>
                <w:lang w:val="nl-NL" w:eastAsia="nl-NL"/>
              </w:rPr>
              <w:tab/>
            </w:r>
            <w:r w:rsidR="002A2DB4" w:rsidRPr="00FB3803">
              <w:rPr>
                <w:rStyle w:val="Hyperlink"/>
                <w:noProof/>
              </w:rPr>
              <w:t>Monitoring central services</w:t>
            </w:r>
            <w:r w:rsidR="002A2DB4">
              <w:rPr>
                <w:noProof/>
                <w:webHidden/>
              </w:rPr>
              <w:tab/>
            </w:r>
            <w:r w:rsidR="002A2DB4">
              <w:rPr>
                <w:noProof/>
                <w:webHidden/>
              </w:rPr>
              <w:fldChar w:fldCharType="begin"/>
            </w:r>
            <w:r w:rsidR="002A2DB4">
              <w:rPr>
                <w:noProof/>
                <w:webHidden/>
              </w:rPr>
              <w:instrText xml:space="preserve"> PAGEREF _Toc476912077 \h </w:instrText>
            </w:r>
            <w:r w:rsidR="002A2DB4">
              <w:rPr>
                <w:noProof/>
                <w:webHidden/>
              </w:rPr>
            </w:r>
            <w:r w:rsidR="002A2DB4">
              <w:rPr>
                <w:noProof/>
                <w:webHidden/>
              </w:rPr>
              <w:fldChar w:fldCharType="separate"/>
            </w:r>
            <w:r w:rsidR="002A2DB4">
              <w:rPr>
                <w:noProof/>
                <w:webHidden/>
              </w:rPr>
              <w:t>3</w:t>
            </w:r>
            <w:r w:rsidR="002A2DB4">
              <w:rPr>
                <w:noProof/>
                <w:webHidden/>
              </w:rPr>
              <w:fldChar w:fldCharType="end"/>
            </w:r>
          </w:hyperlink>
        </w:p>
        <w:p w14:paraId="15A5FC4E" w14:textId="77777777" w:rsidR="002A2DB4" w:rsidRDefault="00902AA0">
          <w:pPr>
            <w:pStyle w:val="TOC2"/>
            <w:tabs>
              <w:tab w:val="left" w:pos="880"/>
              <w:tab w:val="right" w:leader="dot" w:pos="9771"/>
            </w:tabs>
            <w:rPr>
              <w:rFonts w:eastAsiaTheme="minorEastAsia" w:cstheme="minorBidi"/>
              <w:i w:val="0"/>
              <w:noProof/>
              <w:sz w:val="22"/>
              <w:szCs w:val="22"/>
              <w:lang w:val="nl-NL" w:eastAsia="nl-NL"/>
            </w:rPr>
          </w:pPr>
          <w:hyperlink w:anchor="_Toc476912078" w:history="1">
            <w:r w:rsidR="002A2DB4" w:rsidRPr="00FB3803">
              <w:rPr>
                <w:rStyle w:val="Hyperlink"/>
                <w:noProof/>
              </w:rPr>
              <w:t>2.9</w:t>
            </w:r>
            <w:r w:rsidR="002A2DB4">
              <w:rPr>
                <w:rFonts w:eastAsiaTheme="minorEastAsia" w:cstheme="minorBidi"/>
                <w:i w:val="0"/>
                <w:noProof/>
                <w:sz w:val="22"/>
                <w:szCs w:val="22"/>
                <w:lang w:val="nl-NL" w:eastAsia="nl-NL"/>
              </w:rPr>
              <w:tab/>
            </w:r>
            <w:r w:rsidR="002A2DB4" w:rsidRPr="00FB3803">
              <w:rPr>
                <w:rStyle w:val="Hyperlink"/>
                <w:noProof/>
              </w:rPr>
              <w:t>Operations portal</w:t>
            </w:r>
            <w:r w:rsidR="002A2DB4">
              <w:rPr>
                <w:noProof/>
                <w:webHidden/>
              </w:rPr>
              <w:tab/>
            </w:r>
            <w:r w:rsidR="002A2DB4">
              <w:rPr>
                <w:noProof/>
                <w:webHidden/>
              </w:rPr>
              <w:fldChar w:fldCharType="begin"/>
            </w:r>
            <w:r w:rsidR="002A2DB4">
              <w:rPr>
                <w:noProof/>
                <w:webHidden/>
              </w:rPr>
              <w:instrText xml:space="preserve"> PAGEREF _Toc476912078 \h </w:instrText>
            </w:r>
            <w:r w:rsidR="002A2DB4">
              <w:rPr>
                <w:noProof/>
                <w:webHidden/>
              </w:rPr>
            </w:r>
            <w:r w:rsidR="002A2DB4">
              <w:rPr>
                <w:noProof/>
                <w:webHidden/>
              </w:rPr>
              <w:fldChar w:fldCharType="separate"/>
            </w:r>
            <w:r w:rsidR="002A2DB4">
              <w:rPr>
                <w:noProof/>
                <w:webHidden/>
              </w:rPr>
              <w:t>4</w:t>
            </w:r>
            <w:r w:rsidR="002A2DB4">
              <w:rPr>
                <w:noProof/>
                <w:webHidden/>
              </w:rPr>
              <w:fldChar w:fldCharType="end"/>
            </w:r>
          </w:hyperlink>
        </w:p>
        <w:p w14:paraId="1BCCE686" w14:textId="77777777" w:rsidR="002A2DB4" w:rsidRDefault="00902AA0">
          <w:pPr>
            <w:pStyle w:val="TOC2"/>
            <w:tabs>
              <w:tab w:val="left" w:pos="880"/>
              <w:tab w:val="right" w:leader="dot" w:pos="9771"/>
            </w:tabs>
            <w:rPr>
              <w:rFonts w:eastAsiaTheme="minorEastAsia" w:cstheme="minorBidi"/>
              <w:i w:val="0"/>
              <w:noProof/>
              <w:sz w:val="22"/>
              <w:szCs w:val="22"/>
              <w:lang w:val="nl-NL" w:eastAsia="nl-NL"/>
            </w:rPr>
          </w:pPr>
          <w:hyperlink w:anchor="_Toc476912079" w:history="1">
            <w:r w:rsidR="002A2DB4" w:rsidRPr="00FB3803">
              <w:rPr>
                <w:rStyle w:val="Hyperlink"/>
                <w:noProof/>
              </w:rPr>
              <w:t>2.10</w:t>
            </w:r>
            <w:r w:rsidR="002A2DB4">
              <w:rPr>
                <w:rFonts w:eastAsiaTheme="minorEastAsia" w:cstheme="minorBidi"/>
                <w:i w:val="0"/>
                <w:noProof/>
                <w:sz w:val="22"/>
                <w:szCs w:val="22"/>
                <w:lang w:val="nl-NL" w:eastAsia="nl-NL"/>
              </w:rPr>
              <w:tab/>
            </w:r>
            <w:r w:rsidR="002A2DB4" w:rsidRPr="00FB3803">
              <w:rPr>
                <w:rStyle w:val="Hyperlink"/>
                <w:noProof/>
              </w:rPr>
              <w:t>Activities and services for the long tail of science</w:t>
            </w:r>
            <w:r w:rsidR="002A2DB4">
              <w:rPr>
                <w:noProof/>
                <w:webHidden/>
              </w:rPr>
              <w:tab/>
            </w:r>
            <w:r w:rsidR="002A2DB4">
              <w:rPr>
                <w:noProof/>
                <w:webHidden/>
              </w:rPr>
              <w:fldChar w:fldCharType="begin"/>
            </w:r>
            <w:r w:rsidR="002A2DB4">
              <w:rPr>
                <w:noProof/>
                <w:webHidden/>
              </w:rPr>
              <w:instrText xml:space="preserve"> PAGEREF _Toc476912079 \h </w:instrText>
            </w:r>
            <w:r w:rsidR="002A2DB4">
              <w:rPr>
                <w:noProof/>
                <w:webHidden/>
              </w:rPr>
            </w:r>
            <w:r w:rsidR="002A2DB4">
              <w:rPr>
                <w:noProof/>
                <w:webHidden/>
              </w:rPr>
              <w:fldChar w:fldCharType="separate"/>
            </w:r>
            <w:r w:rsidR="002A2DB4">
              <w:rPr>
                <w:noProof/>
                <w:webHidden/>
              </w:rPr>
              <w:t>4</w:t>
            </w:r>
            <w:r w:rsidR="002A2DB4">
              <w:rPr>
                <w:noProof/>
                <w:webHidden/>
              </w:rPr>
              <w:fldChar w:fldCharType="end"/>
            </w:r>
          </w:hyperlink>
        </w:p>
        <w:p w14:paraId="1EB46046" w14:textId="77777777" w:rsidR="002A2DB4" w:rsidRDefault="00902AA0">
          <w:pPr>
            <w:pStyle w:val="TOC2"/>
            <w:tabs>
              <w:tab w:val="left" w:pos="880"/>
              <w:tab w:val="right" w:leader="dot" w:pos="9771"/>
            </w:tabs>
            <w:rPr>
              <w:rFonts w:eastAsiaTheme="minorEastAsia" w:cstheme="minorBidi"/>
              <w:i w:val="0"/>
              <w:noProof/>
              <w:sz w:val="22"/>
              <w:szCs w:val="22"/>
              <w:lang w:val="nl-NL" w:eastAsia="nl-NL"/>
            </w:rPr>
          </w:pPr>
          <w:hyperlink w:anchor="_Toc476912080" w:history="1">
            <w:r w:rsidR="002A2DB4" w:rsidRPr="00FB3803">
              <w:rPr>
                <w:rStyle w:val="Hyperlink"/>
                <w:noProof/>
              </w:rPr>
              <w:t>2.11</w:t>
            </w:r>
            <w:r w:rsidR="002A2DB4">
              <w:rPr>
                <w:rFonts w:eastAsiaTheme="minorEastAsia" w:cstheme="minorBidi"/>
                <w:i w:val="0"/>
                <w:noProof/>
                <w:sz w:val="22"/>
                <w:szCs w:val="22"/>
                <w:lang w:val="nl-NL" w:eastAsia="nl-NL"/>
              </w:rPr>
              <w:tab/>
            </w:r>
            <w:r w:rsidR="002A2DB4" w:rsidRPr="00FB3803">
              <w:rPr>
                <w:rStyle w:val="Hyperlink"/>
                <w:noProof/>
              </w:rPr>
              <w:t>Security coordination</w:t>
            </w:r>
            <w:r w:rsidR="002A2DB4">
              <w:rPr>
                <w:noProof/>
                <w:webHidden/>
              </w:rPr>
              <w:tab/>
            </w:r>
            <w:r w:rsidR="002A2DB4">
              <w:rPr>
                <w:noProof/>
                <w:webHidden/>
              </w:rPr>
              <w:fldChar w:fldCharType="begin"/>
            </w:r>
            <w:r w:rsidR="002A2DB4">
              <w:rPr>
                <w:noProof/>
                <w:webHidden/>
              </w:rPr>
              <w:instrText xml:space="preserve"> PAGEREF _Toc476912080 \h </w:instrText>
            </w:r>
            <w:r w:rsidR="002A2DB4">
              <w:rPr>
                <w:noProof/>
                <w:webHidden/>
              </w:rPr>
            </w:r>
            <w:r w:rsidR="002A2DB4">
              <w:rPr>
                <w:noProof/>
                <w:webHidden/>
              </w:rPr>
              <w:fldChar w:fldCharType="separate"/>
            </w:r>
            <w:r w:rsidR="002A2DB4">
              <w:rPr>
                <w:noProof/>
                <w:webHidden/>
              </w:rPr>
              <w:t>4</w:t>
            </w:r>
            <w:r w:rsidR="002A2DB4">
              <w:rPr>
                <w:noProof/>
                <w:webHidden/>
              </w:rPr>
              <w:fldChar w:fldCharType="end"/>
            </w:r>
          </w:hyperlink>
        </w:p>
        <w:p w14:paraId="08DE1CBF" w14:textId="77777777" w:rsidR="002A2DB4" w:rsidRDefault="00902AA0">
          <w:pPr>
            <w:pStyle w:val="TOC2"/>
            <w:tabs>
              <w:tab w:val="left" w:pos="880"/>
              <w:tab w:val="right" w:leader="dot" w:pos="9771"/>
            </w:tabs>
            <w:rPr>
              <w:rFonts w:eastAsiaTheme="minorEastAsia" w:cstheme="minorBidi"/>
              <w:i w:val="0"/>
              <w:noProof/>
              <w:sz w:val="22"/>
              <w:szCs w:val="22"/>
              <w:lang w:val="nl-NL" w:eastAsia="nl-NL"/>
            </w:rPr>
          </w:pPr>
          <w:hyperlink w:anchor="_Toc476912081" w:history="1">
            <w:r w:rsidR="002A2DB4" w:rsidRPr="00FB3803">
              <w:rPr>
                <w:rStyle w:val="Hyperlink"/>
                <w:noProof/>
              </w:rPr>
              <w:t>2.12</w:t>
            </w:r>
            <w:r w:rsidR="002A2DB4">
              <w:rPr>
                <w:rFonts w:eastAsiaTheme="minorEastAsia" w:cstheme="minorBidi"/>
                <w:i w:val="0"/>
                <w:noProof/>
                <w:sz w:val="22"/>
                <w:szCs w:val="22"/>
                <w:lang w:val="nl-NL" w:eastAsia="nl-NL"/>
              </w:rPr>
              <w:tab/>
            </w:r>
            <w:r w:rsidR="002A2DB4" w:rsidRPr="00FB3803">
              <w:rPr>
                <w:rStyle w:val="Hyperlink"/>
                <w:noProof/>
              </w:rPr>
              <w:t>Software provisioning infrastructure performance report</w:t>
            </w:r>
            <w:r w:rsidR="002A2DB4">
              <w:rPr>
                <w:noProof/>
                <w:webHidden/>
              </w:rPr>
              <w:tab/>
            </w:r>
            <w:r w:rsidR="002A2DB4">
              <w:rPr>
                <w:noProof/>
                <w:webHidden/>
              </w:rPr>
              <w:fldChar w:fldCharType="begin"/>
            </w:r>
            <w:r w:rsidR="002A2DB4">
              <w:rPr>
                <w:noProof/>
                <w:webHidden/>
              </w:rPr>
              <w:instrText xml:space="preserve"> PAGEREF _Toc476912081 \h </w:instrText>
            </w:r>
            <w:r w:rsidR="002A2DB4">
              <w:rPr>
                <w:noProof/>
                <w:webHidden/>
              </w:rPr>
            </w:r>
            <w:r w:rsidR="002A2DB4">
              <w:rPr>
                <w:noProof/>
                <w:webHidden/>
              </w:rPr>
              <w:fldChar w:fldCharType="separate"/>
            </w:r>
            <w:r w:rsidR="002A2DB4">
              <w:rPr>
                <w:noProof/>
                <w:webHidden/>
              </w:rPr>
              <w:t>4</w:t>
            </w:r>
            <w:r w:rsidR="002A2DB4">
              <w:rPr>
                <w:noProof/>
                <w:webHidden/>
              </w:rPr>
              <w:fldChar w:fldCharType="end"/>
            </w:r>
          </w:hyperlink>
        </w:p>
        <w:p w14:paraId="4C019185" w14:textId="77777777" w:rsidR="002A2DB4" w:rsidRDefault="00902AA0">
          <w:pPr>
            <w:pStyle w:val="TOC2"/>
            <w:tabs>
              <w:tab w:val="left" w:pos="880"/>
              <w:tab w:val="right" w:leader="dot" w:pos="9771"/>
            </w:tabs>
            <w:rPr>
              <w:rFonts w:eastAsiaTheme="minorEastAsia" w:cstheme="minorBidi"/>
              <w:i w:val="0"/>
              <w:noProof/>
              <w:sz w:val="22"/>
              <w:szCs w:val="22"/>
              <w:lang w:val="nl-NL" w:eastAsia="nl-NL"/>
            </w:rPr>
          </w:pPr>
          <w:hyperlink w:anchor="_Toc476912082" w:history="1">
            <w:r w:rsidR="002A2DB4" w:rsidRPr="00FB3803">
              <w:rPr>
                <w:rStyle w:val="Hyperlink"/>
                <w:noProof/>
              </w:rPr>
              <w:t>2.13</w:t>
            </w:r>
            <w:r w:rsidR="002A2DB4">
              <w:rPr>
                <w:rFonts w:eastAsiaTheme="minorEastAsia" w:cstheme="minorBidi"/>
                <w:i w:val="0"/>
                <w:noProof/>
                <w:sz w:val="22"/>
                <w:szCs w:val="22"/>
                <w:lang w:val="nl-NL" w:eastAsia="nl-NL"/>
              </w:rPr>
              <w:tab/>
            </w:r>
            <w:r w:rsidR="002A2DB4" w:rsidRPr="00FB3803">
              <w:rPr>
                <w:rStyle w:val="Hyperlink"/>
                <w:noProof/>
              </w:rPr>
              <w:t>Accounting repository</w:t>
            </w:r>
            <w:r w:rsidR="002A2DB4">
              <w:rPr>
                <w:noProof/>
                <w:webHidden/>
              </w:rPr>
              <w:tab/>
            </w:r>
            <w:r w:rsidR="002A2DB4">
              <w:rPr>
                <w:noProof/>
                <w:webHidden/>
              </w:rPr>
              <w:fldChar w:fldCharType="begin"/>
            </w:r>
            <w:r w:rsidR="002A2DB4">
              <w:rPr>
                <w:noProof/>
                <w:webHidden/>
              </w:rPr>
              <w:instrText xml:space="preserve"> PAGEREF _Toc476912082 \h </w:instrText>
            </w:r>
            <w:r w:rsidR="002A2DB4">
              <w:rPr>
                <w:noProof/>
                <w:webHidden/>
              </w:rPr>
            </w:r>
            <w:r w:rsidR="002A2DB4">
              <w:rPr>
                <w:noProof/>
                <w:webHidden/>
              </w:rPr>
              <w:fldChar w:fldCharType="separate"/>
            </w:r>
            <w:r w:rsidR="002A2DB4">
              <w:rPr>
                <w:noProof/>
                <w:webHidden/>
              </w:rPr>
              <w:t>5</w:t>
            </w:r>
            <w:r w:rsidR="002A2DB4">
              <w:rPr>
                <w:noProof/>
                <w:webHidden/>
              </w:rPr>
              <w:fldChar w:fldCharType="end"/>
            </w:r>
          </w:hyperlink>
        </w:p>
        <w:p w14:paraId="733875C1" w14:textId="77777777" w:rsidR="002A2DB4" w:rsidRDefault="00902AA0">
          <w:pPr>
            <w:pStyle w:val="TOC2"/>
            <w:tabs>
              <w:tab w:val="left" w:pos="880"/>
              <w:tab w:val="right" w:leader="dot" w:pos="9771"/>
            </w:tabs>
            <w:rPr>
              <w:rFonts w:eastAsiaTheme="minorEastAsia" w:cstheme="minorBidi"/>
              <w:i w:val="0"/>
              <w:noProof/>
              <w:sz w:val="22"/>
              <w:szCs w:val="22"/>
              <w:lang w:val="nl-NL" w:eastAsia="nl-NL"/>
            </w:rPr>
          </w:pPr>
          <w:hyperlink w:anchor="_Toc476912083" w:history="1">
            <w:r w:rsidR="002A2DB4" w:rsidRPr="00FB3803">
              <w:rPr>
                <w:rStyle w:val="Hyperlink"/>
                <w:noProof/>
              </w:rPr>
              <w:t>2.14</w:t>
            </w:r>
            <w:r w:rsidR="002A2DB4">
              <w:rPr>
                <w:rFonts w:eastAsiaTheme="minorEastAsia" w:cstheme="minorBidi"/>
                <w:i w:val="0"/>
                <w:noProof/>
                <w:sz w:val="22"/>
                <w:szCs w:val="22"/>
                <w:lang w:val="nl-NL" w:eastAsia="nl-NL"/>
              </w:rPr>
              <w:tab/>
            </w:r>
            <w:r w:rsidR="002A2DB4" w:rsidRPr="00FB3803">
              <w:rPr>
                <w:rStyle w:val="Hyperlink"/>
                <w:noProof/>
              </w:rPr>
              <w:t>Service registry (GOCDB)</w:t>
            </w:r>
            <w:r w:rsidR="002A2DB4">
              <w:rPr>
                <w:noProof/>
                <w:webHidden/>
              </w:rPr>
              <w:tab/>
            </w:r>
            <w:r w:rsidR="002A2DB4">
              <w:rPr>
                <w:noProof/>
                <w:webHidden/>
              </w:rPr>
              <w:fldChar w:fldCharType="begin"/>
            </w:r>
            <w:r w:rsidR="002A2DB4">
              <w:rPr>
                <w:noProof/>
                <w:webHidden/>
              </w:rPr>
              <w:instrText xml:space="preserve"> PAGEREF _Toc476912083 \h </w:instrText>
            </w:r>
            <w:r w:rsidR="002A2DB4">
              <w:rPr>
                <w:noProof/>
                <w:webHidden/>
              </w:rPr>
            </w:r>
            <w:r w:rsidR="002A2DB4">
              <w:rPr>
                <w:noProof/>
                <w:webHidden/>
              </w:rPr>
              <w:fldChar w:fldCharType="separate"/>
            </w:r>
            <w:r w:rsidR="002A2DB4">
              <w:rPr>
                <w:noProof/>
                <w:webHidden/>
              </w:rPr>
              <w:t>5</w:t>
            </w:r>
            <w:r w:rsidR="002A2DB4">
              <w:rPr>
                <w:noProof/>
                <w:webHidden/>
              </w:rPr>
              <w:fldChar w:fldCharType="end"/>
            </w:r>
          </w:hyperlink>
        </w:p>
        <w:p w14:paraId="580A502B" w14:textId="77777777" w:rsidR="002A2DB4" w:rsidRDefault="00902AA0">
          <w:pPr>
            <w:pStyle w:val="TOC2"/>
            <w:tabs>
              <w:tab w:val="left" w:pos="880"/>
              <w:tab w:val="right" w:leader="dot" w:pos="9771"/>
            </w:tabs>
            <w:rPr>
              <w:rFonts w:eastAsiaTheme="minorEastAsia" w:cstheme="minorBidi"/>
              <w:i w:val="0"/>
              <w:noProof/>
              <w:sz w:val="22"/>
              <w:szCs w:val="22"/>
              <w:lang w:val="nl-NL" w:eastAsia="nl-NL"/>
            </w:rPr>
          </w:pPr>
          <w:hyperlink w:anchor="_Toc476912084" w:history="1">
            <w:r w:rsidR="002A2DB4" w:rsidRPr="00FB3803">
              <w:rPr>
                <w:rStyle w:val="Hyperlink"/>
                <w:noProof/>
              </w:rPr>
              <w:t>2.15</w:t>
            </w:r>
            <w:r w:rsidR="002A2DB4">
              <w:rPr>
                <w:rFonts w:eastAsiaTheme="minorEastAsia" w:cstheme="minorBidi"/>
                <w:i w:val="0"/>
                <w:noProof/>
                <w:sz w:val="22"/>
                <w:szCs w:val="22"/>
                <w:lang w:val="nl-NL" w:eastAsia="nl-NL"/>
              </w:rPr>
              <w:tab/>
            </w:r>
            <w:r w:rsidR="002A2DB4" w:rsidRPr="00FB3803">
              <w:rPr>
                <w:rStyle w:val="Hyperlink"/>
                <w:noProof/>
              </w:rPr>
              <w:t>E-GRANT services hosting and technical operations</w:t>
            </w:r>
            <w:r w:rsidR="002A2DB4">
              <w:rPr>
                <w:noProof/>
                <w:webHidden/>
              </w:rPr>
              <w:tab/>
            </w:r>
            <w:r w:rsidR="002A2DB4">
              <w:rPr>
                <w:noProof/>
                <w:webHidden/>
              </w:rPr>
              <w:fldChar w:fldCharType="begin"/>
            </w:r>
            <w:r w:rsidR="002A2DB4">
              <w:rPr>
                <w:noProof/>
                <w:webHidden/>
              </w:rPr>
              <w:instrText xml:space="preserve"> PAGEREF _Toc476912084 \h </w:instrText>
            </w:r>
            <w:r w:rsidR="002A2DB4">
              <w:rPr>
                <w:noProof/>
                <w:webHidden/>
              </w:rPr>
            </w:r>
            <w:r w:rsidR="002A2DB4">
              <w:rPr>
                <w:noProof/>
                <w:webHidden/>
              </w:rPr>
              <w:fldChar w:fldCharType="separate"/>
            </w:r>
            <w:r w:rsidR="002A2DB4">
              <w:rPr>
                <w:noProof/>
                <w:webHidden/>
              </w:rPr>
              <w:t>5</w:t>
            </w:r>
            <w:r w:rsidR="002A2DB4">
              <w:rPr>
                <w:noProof/>
                <w:webHidden/>
              </w:rPr>
              <w:fldChar w:fldCharType="end"/>
            </w:r>
          </w:hyperlink>
        </w:p>
        <w:p w14:paraId="1EB2608F" w14:textId="77777777" w:rsidR="002A2DB4" w:rsidRDefault="00902AA0">
          <w:pPr>
            <w:pStyle w:val="TOC2"/>
            <w:tabs>
              <w:tab w:val="left" w:pos="880"/>
              <w:tab w:val="right" w:leader="dot" w:pos="9771"/>
            </w:tabs>
            <w:rPr>
              <w:rFonts w:eastAsiaTheme="minorEastAsia" w:cstheme="minorBidi"/>
              <w:i w:val="0"/>
              <w:noProof/>
              <w:sz w:val="22"/>
              <w:szCs w:val="22"/>
              <w:lang w:val="nl-NL" w:eastAsia="nl-NL"/>
            </w:rPr>
          </w:pPr>
          <w:hyperlink w:anchor="_Toc476912085" w:history="1">
            <w:r w:rsidR="002A2DB4" w:rsidRPr="00FB3803">
              <w:rPr>
                <w:rStyle w:val="Hyperlink"/>
                <w:noProof/>
              </w:rPr>
              <w:t>2.16</w:t>
            </w:r>
            <w:r w:rsidR="002A2DB4">
              <w:rPr>
                <w:rFonts w:eastAsiaTheme="minorEastAsia" w:cstheme="minorBidi"/>
                <w:i w:val="0"/>
                <w:noProof/>
                <w:sz w:val="22"/>
                <w:szCs w:val="22"/>
                <w:lang w:val="nl-NL" w:eastAsia="nl-NL"/>
              </w:rPr>
              <w:tab/>
            </w:r>
            <w:r w:rsidR="002A2DB4" w:rsidRPr="00FB3803">
              <w:rPr>
                <w:rStyle w:val="Hyperlink"/>
                <w:noProof/>
              </w:rPr>
              <w:t>AppDB</w:t>
            </w:r>
            <w:r w:rsidR="002A2DB4">
              <w:rPr>
                <w:noProof/>
                <w:webHidden/>
              </w:rPr>
              <w:tab/>
            </w:r>
            <w:r w:rsidR="002A2DB4">
              <w:rPr>
                <w:noProof/>
                <w:webHidden/>
              </w:rPr>
              <w:fldChar w:fldCharType="begin"/>
            </w:r>
            <w:r w:rsidR="002A2DB4">
              <w:rPr>
                <w:noProof/>
                <w:webHidden/>
              </w:rPr>
              <w:instrText xml:space="preserve"> PAGEREF _Toc476912085 \h </w:instrText>
            </w:r>
            <w:r w:rsidR="002A2DB4">
              <w:rPr>
                <w:noProof/>
                <w:webHidden/>
              </w:rPr>
            </w:r>
            <w:r w:rsidR="002A2DB4">
              <w:rPr>
                <w:noProof/>
                <w:webHidden/>
              </w:rPr>
              <w:fldChar w:fldCharType="separate"/>
            </w:r>
            <w:r w:rsidR="002A2DB4">
              <w:rPr>
                <w:noProof/>
                <w:webHidden/>
              </w:rPr>
              <w:t>5</w:t>
            </w:r>
            <w:r w:rsidR="002A2DB4">
              <w:rPr>
                <w:noProof/>
                <w:webHidden/>
              </w:rPr>
              <w:fldChar w:fldCharType="end"/>
            </w:r>
          </w:hyperlink>
        </w:p>
        <w:p w14:paraId="4FA30EBD" w14:textId="2B02EBB8" w:rsidR="00954E67" w:rsidRPr="00600846" w:rsidRDefault="00954E67" w:rsidP="002940E4">
          <w:r w:rsidRPr="00600846">
            <w:rPr>
              <w:b/>
              <w:bCs/>
              <w:noProof/>
            </w:rPr>
            <w:fldChar w:fldCharType="end"/>
          </w:r>
        </w:p>
      </w:sdtContent>
    </w:sdt>
    <w:p w14:paraId="61470347" w14:textId="77777777" w:rsidR="00145221" w:rsidRDefault="00145221" w:rsidP="002A2DB4">
      <w:pPr>
        <w:pStyle w:val="Heading1"/>
        <w:numPr>
          <w:ilvl w:val="0"/>
          <w:numId w:val="0"/>
        </w:numPr>
        <w:ind w:left="432" w:hanging="432"/>
      </w:pPr>
    </w:p>
    <w:p w14:paraId="3C2F06BF" w14:textId="77777777" w:rsidR="002A2DB4" w:rsidRPr="002A2DB4" w:rsidRDefault="002A2DB4" w:rsidP="002A2DB4">
      <w:pPr>
        <w:pStyle w:val="BodyText"/>
      </w:pPr>
    </w:p>
    <w:p w14:paraId="6186F59C" w14:textId="77777777" w:rsidR="00954E67" w:rsidRPr="00600846" w:rsidRDefault="00954E67" w:rsidP="002940E4">
      <w:pPr>
        <w:pStyle w:val="Heading1"/>
      </w:pPr>
      <w:bookmarkStart w:id="0" w:name="_Toc476912068"/>
      <w:r w:rsidRPr="00600846">
        <w:lastRenderedPageBreak/>
        <w:t>EGI.eu Core Services/Activities</w:t>
      </w:r>
      <w:bookmarkEnd w:id="0"/>
      <w:r w:rsidRPr="00600846">
        <w:t xml:space="preserve"> </w:t>
      </w:r>
    </w:p>
    <w:p w14:paraId="11894AA6" w14:textId="52017971" w:rsidR="00954E67" w:rsidRPr="00600846" w:rsidRDefault="00954E67" w:rsidP="002940E4">
      <w:r w:rsidRPr="00600846">
        <w:t>EGI.eu core services and activities have been identified by the EGI Council as critical for the sustainability of the EGI infrastructure, and they are partially funded by the EGI members’ fees. The EGI.eu core services and activities provided by EGI.eu partners were assigned through a bid in 201</w:t>
      </w:r>
      <w:r w:rsidR="00776416" w:rsidRPr="00600846">
        <w:t>6</w:t>
      </w:r>
      <w:r w:rsidRPr="00600846">
        <w:t xml:space="preserve">. With all partners EGI.eu Operational Level Agreement has been agreed and signed covering each of the EGI.eu core service and activities separately. The documents define aspects such as: scope, service hours, service components, support, service level targets, limitations and constrains, communication, reporting and escalation, additional responsibilities, customer responsibilities and review process. </w:t>
      </w:r>
    </w:p>
    <w:p w14:paraId="1BC49C3C" w14:textId="76E13CF6" w:rsidR="00145221" w:rsidRPr="00600846" w:rsidRDefault="00954E67" w:rsidP="002940E4">
      <w:r w:rsidRPr="00600846">
        <w:t xml:space="preserve">As part of the reporting process EGI.eu partners </w:t>
      </w:r>
      <w:r w:rsidR="00776416" w:rsidRPr="00600846">
        <w:t xml:space="preserve">are obligated to provide periodic </w:t>
      </w:r>
      <w:r w:rsidRPr="00600846">
        <w:t>performance report</w:t>
      </w:r>
      <w:r w:rsidR="00776416" w:rsidRPr="00600846">
        <w:t>s</w:t>
      </w:r>
      <w:r w:rsidRPr="00600846">
        <w:t xml:space="preserve"> </w:t>
      </w:r>
      <w:r w:rsidR="00A4468E">
        <w:t>describing</w:t>
      </w:r>
      <w:r w:rsidRPr="00600846">
        <w:t xml:space="preserve"> </w:t>
      </w:r>
      <w:r w:rsidR="00A4468E">
        <w:t xml:space="preserve">a </w:t>
      </w:r>
      <w:r w:rsidRPr="00600846">
        <w:t xml:space="preserve">general overview of performance, performance against Service Targets, issues </w:t>
      </w:r>
      <w:r w:rsidR="00776416" w:rsidRPr="00600846">
        <w:t>raised</w:t>
      </w:r>
      <w:r w:rsidRPr="00600846">
        <w:t xml:space="preserve"> in the period</w:t>
      </w:r>
      <w:bookmarkStart w:id="1" w:name="__RefHeading___Toc393385665"/>
      <w:r w:rsidRPr="00600846">
        <w:t>, measures planned</w:t>
      </w:r>
      <w:bookmarkEnd w:id="1"/>
      <w:r w:rsidRPr="00600846">
        <w:t xml:space="preserve"> and </w:t>
      </w:r>
      <w:bookmarkStart w:id="2" w:name="__RefHeading___Toc393385666"/>
      <w:r w:rsidRPr="00600846">
        <w:t>foreseen activities and changes</w:t>
      </w:r>
      <w:bookmarkEnd w:id="2"/>
      <w:r w:rsidRPr="00600846">
        <w:t>.</w:t>
      </w:r>
    </w:p>
    <w:p w14:paraId="1EBE216C" w14:textId="28403F7E" w:rsidR="00AF4A89" w:rsidRPr="00600846" w:rsidRDefault="002B1400" w:rsidP="002940E4">
      <w:pPr>
        <w:pStyle w:val="Heading1"/>
      </w:pPr>
      <w:bookmarkStart w:id="3" w:name="_Toc476912069"/>
      <w:r w:rsidRPr="00600846">
        <w:t>Performance report</w:t>
      </w:r>
      <w:r w:rsidR="001E29DE" w:rsidRPr="00600846">
        <w:t xml:space="preserve"> summary</w:t>
      </w:r>
      <w:bookmarkEnd w:id="3"/>
    </w:p>
    <w:p w14:paraId="78AAEC5D" w14:textId="7FC3880A" w:rsidR="00145221" w:rsidRPr="00600846" w:rsidRDefault="00145221" w:rsidP="002940E4">
      <w:r w:rsidRPr="00600846">
        <w:t xml:space="preserve">This document is a summary report on the core activities performances in the period </w:t>
      </w:r>
      <w:r w:rsidR="000F6496" w:rsidRPr="00600846">
        <w:t>September</w:t>
      </w:r>
      <w:r w:rsidR="004F498E">
        <w:t>-December</w:t>
      </w:r>
      <w:r w:rsidR="000F6496" w:rsidRPr="00600846">
        <w:t xml:space="preserve"> 2016</w:t>
      </w:r>
      <w:r w:rsidRPr="00600846">
        <w:t xml:space="preserve">. </w:t>
      </w:r>
    </w:p>
    <w:p w14:paraId="503A9D27" w14:textId="4E2C8575" w:rsidR="00145221" w:rsidRDefault="00145221" w:rsidP="002940E4">
      <w:r w:rsidRPr="00600846">
        <w:t xml:space="preserve">The reports are based on the service providers reports submitted in </w:t>
      </w:r>
      <w:r w:rsidR="004F498E">
        <w:t>January 2017</w:t>
      </w:r>
      <w:r w:rsidRPr="00600846">
        <w:rPr>
          <w:rStyle w:val="FootnoteReference"/>
        </w:rPr>
        <w:footnoteReference w:id="1"/>
      </w:r>
      <w:r w:rsidRPr="00600846">
        <w:t>, the A/R and performance report automatically generated monthly, based on the monitoring of the IT services (where applicable). Analysis has been done versus the targets agreed in the EGI.eu OLA</w:t>
      </w:r>
      <w:r w:rsidRPr="00600846">
        <w:rPr>
          <w:rStyle w:val="FootnoteReference"/>
        </w:rPr>
        <w:footnoteReference w:id="2"/>
      </w:r>
    </w:p>
    <w:p w14:paraId="63EA6B2C" w14:textId="5D369F89" w:rsidR="000876F8" w:rsidRDefault="000876F8" w:rsidP="002940E4">
      <w:r>
        <w:t xml:space="preserve">All the activities have been </w:t>
      </w:r>
      <w:r w:rsidR="008864ED">
        <w:t xml:space="preserve">successfully delivered, </w:t>
      </w:r>
      <w:r>
        <w:t>performing within the required availability</w:t>
      </w:r>
      <w:r w:rsidR="004F498E">
        <w:t xml:space="preserve"> and reliability and quality of support </w:t>
      </w:r>
      <w:r>
        <w:t>level</w:t>
      </w:r>
      <w:r w:rsidR="004F498E">
        <w:t>s</w:t>
      </w:r>
      <w:r>
        <w:t xml:space="preserve">, with few exceptions. </w:t>
      </w:r>
      <w:r w:rsidR="00735946">
        <w:t>Exceptions</w:t>
      </w:r>
      <w:r>
        <w:t xml:space="preserve"> had a very limited impact</w:t>
      </w:r>
      <w:r w:rsidR="00735946">
        <w:t xml:space="preserve"> on the operations. </w:t>
      </w:r>
      <w:r w:rsidR="00E309DE">
        <w:t xml:space="preserve">There are no </w:t>
      </w:r>
      <w:r w:rsidR="002D287A">
        <w:t xml:space="preserve">immediate </w:t>
      </w:r>
      <w:r w:rsidR="00E309DE">
        <w:t xml:space="preserve">actions required as follow-up of the </w:t>
      </w:r>
      <w:r w:rsidR="002D287A">
        <w:t>deviations</w:t>
      </w:r>
      <w:r w:rsidR="00E309DE">
        <w:t>.</w:t>
      </w:r>
    </w:p>
    <w:p w14:paraId="6ABA8E15" w14:textId="248E16C2" w:rsidR="00902AA0" w:rsidRDefault="00902AA0" w:rsidP="002940E4">
      <w:r>
        <w:t>Accounting portal has been performing well, theref</w:t>
      </w:r>
      <w:r w:rsidR="00494338">
        <w:t xml:space="preserve">ore the issues can be considered resolved.  </w:t>
      </w:r>
    </w:p>
    <w:p w14:paraId="13933505" w14:textId="42C27D1F" w:rsidR="002D287A" w:rsidRPr="00600846" w:rsidRDefault="002D287A" w:rsidP="002940E4">
      <w:r>
        <w:t>For the next reporting period the Software provisioning Infrastructure and the UMD quality assurance quality of service (responsiveness to GGUS tickets) should be monitored.</w:t>
      </w:r>
      <w:bookmarkStart w:id="4" w:name="_GoBack"/>
      <w:bookmarkEnd w:id="4"/>
    </w:p>
    <w:p w14:paraId="5933CAC9" w14:textId="41C9CD64" w:rsidR="00145221" w:rsidRPr="00600846" w:rsidRDefault="00C676B0" w:rsidP="002940E4">
      <w:pPr>
        <w:pStyle w:val="Heading2"/>
      </w:pPr>
      <w:bookmarkStart w:id="5" w:name="_Toc476912070"/>
      <w:r>
        <w:t>Helpdesk human support</w:t>
      </w:r>
      <w:bookmarkEnd w:id="5"/>
    </w:p>
    <w:p w14:paraId="070F406B" w14:textId="1D3E0DF4" w:rsidR="002940E4" w:rsidRPr="002940E4" w:rsidRDefault="002940E4" w:rsidP="002940E4">
      <w:r w:rsidRPr="002940E4">
        <w:t>EGI provides support to users and operators through a distributed helpdesk with central coordination (GGUS).</w:t>
      </w:r>
      <w:r w:rsidR="000D22F7">
        <w:t xml:space="preserve"> </w:t>
      </w:r>
      <w:r w:rsidRPr="002940E4">
        <w:t>The helpdesk support activities are grouped in 1st and 2nd level support.</w:t>
      </w:r>
    </w:p>
    <w:p w14:paraId="32F75FCE" w14:textId="3C29E848" w:rsidR="00145221" w:rsidRDefault="00145221" w:rsidP="002940E4">
      <w:r w:rsidRPr="00600846">
        <w:rPr>
          <w:b/>
        </w:rPr>
        <w:t>Providers:</w:t>
      </w:r>
      <w:r w:rsidRPr="00600846">
        <w:t xml:space="preserve"> CESNET, </w:t>
      </w:r>
      <w:r w:rsidR="002940E4">
        <w:t>CYFRONET</w:t>
      </w:r>
      <w:r w:rsidR="00F339AF">
        <w:t>.</w:t>
      </w:r>
    </w:p>
    <w:p w14:paraId="6299354D" w14:textId="0E5E5E35" w:rsidR="00C02FD0" w:rsidRDefault="00C02FD0" w:rsidP="00C02FD0">
      <w:r>
        <w:t xml:space="preserve">The activity was continuing routinely, no changes were introduced compared to previous reporting periods. Tickets were sorted on arrival, and those falling under the expertise of DMSU (2nd level support) were treated accordingly. Even if in October the DMSU response time slightly exceeded the target, </w:t>
      </w:r>
      <w:r w:rsidRPr="00C02FD0">
        <w:t>an answer have always been provided within the day.</w:t>
      </w:r>
    </w:p>
    <w:p w14:paraId="6ED81854" w14:textId="2EC0D871" w:rsidR="000D22F7" w:rsidRDefault="000D22F7" w:rsidP="000D22F7">
      <w:r w:rsidRPr="00334A4D">
        <w:rPr>
          <w:b/>
        </w:rPr>
        <w:t>Achieved target</w:t>
      </w:r>
      <w:r w:rsidRPr="00600846">
        <w:t xml:space="preserve">: </w:t>
      </w:r>
      <w:r>
        <w:t>Yes</w:t>
      </w:r>
      <w:r w:rsidR="00F339AF">
        <w:t>.</w:t>
      </w:r>
    </w:p>
    <w:p w14:paraId="20FE8F48" w14:textId="38C5A153" w:rsidR="00145221" w:rsidRDefault="00DC4284" w:rsidP="002940E4">
      <w:pPr>
        <w:pStyle w:val="Heading2"/>
      </w:pPr>
      <w:bookmarkStart w:id="6" w:name="_Toc317852489"/>
      <w:bookmarkStart w:id="7" w:name="_Toc476912071"/>
      <w:r>
        <w:t>UMD quality assurance</w:t>
      </w:r>
      <w:bookmarkEnd w:id="6"/>
      <w:bookmarkEnd w:id="7"/>
    </w:p>
    <w:p w14:paraId="169A375D" w14:textId="102CFF94" w:rsidR="00BD1BA1" w:rsidRPr="00BD1BA1" w:rsidRDefault="00BD1BA1" w:rsidP="00BD1BA1">
      <w:r>
        <w:t>The quality criteria are the functional and non functional requirements that a product must fulfil to be released in UMD and CMD; these include generic requirements applicable to every product, and specific requirements applicable to the capabilities supported by a component.</w:t>
      </w:r>
      <w:r w:rsidR="004070A2">
        <w:t xml:space="preserve"> The task both defines the</w:t>
      </w:r>
      <w:r w:rsidR="00F339AF">
        <w:t xml:space="preserve"> evaluation criteria and certifies</w:t>
      </w:r>
      <w:r w:rsidR="004070A2">
        <w:t xml:space="preserve"> UMD products against them.</w:t>
      </w:r>
    </w:p>
    <w:p w14:paraId="60CB86A9" w14:textId="373C2910" w:rsidR="00145221" w:rsidRDefault="00145221" w:rsidP="002940E4">
      <w:r w:rsidRPr="00334A4D">
        <w:rPr>
          <w:b/>
        </w:rPr>
        <w:t>Providers</w:t>
      </w:r>
      <w:r w:rsidRPr="00600846">
        <w:t>: CSIC</w:t>
      </w:r>
      <w:r w:rsidR="00F339AF">
        <w:t>.</w:t>
      </w:r>
    </w:p>
    <w:p w14:paraId="003BAEEF" w14:textId="77777777" w:rsidR="00D80F6E" w:rsidRDefault="00D80F6E" w:rsidP="00D80F6E">
      <w:bookmarkStart w:id="8" w:name="_Toc317852490"/>
      <w:r>
        <w:t xml:space="preserve">The first version of CMD-OS (CMD-OS 1.0.0), the Cloud Middleware Distribution for OpenStack </w:t>
      </w:r>
      <w:proofErr w:type="spellStart"/>
      <w:r>
        <w:t>Mitaka</w:t>
      </w:r>
      <w:proofErr w:type="spellEnd"/>
      <w:r>
        <w:t xml:space="preserve">, have been released and contains 5 products: Keystone-VOMS 9.0.3, </w:t>
      </w:r>
      <w:proofErr w:type="spellStart"/>
      <w:r>
        <w:t>ooi</w:t>
      </w:r>
      <w:proofErr w:type="spellEnd"/>
      <w:r>
        <w:t xml:space="preserve"> 0.3.2, </w:t>
      </w:r>
      <w:proofErr w:type="spellStart"/>
      <w:r>
        <w:t>gridsite</w:t>
      </w:r>
      <w:proofErr w:type="spellEnd"/>
      <w:r>
        <w:t xml:space="preserve"> 2.3.3, </w:t>
      </w:r>
      <w:proofErr w:type="spellStart"/>
      <w:r>
        <w:t>canl</w:t>
      </w:r>
      <w:proofErr w:type="spellEnd"/>
      <w:r>
        <w:t xml:space="preserve"> 2.2.7 and Cloud BDII Information provider 0.6.12.</w:t>
      </w:r>
    </w:p>
    <w:p w14:paraId="4BEA9981" w14:textId="7A6D8DB8" w:rsidR="00D80F6E" w:rsidRDefault="00D80F6E" w:rsidP="00D80F6E">
      <w:r>
        <w:t xml:space="preserve">4 </w:t>
      </w:r>
      <w:r w:rsidR="00634369">
        <w:t>updates</w:t>
      </w:r>
      <w:r>
        <w:t xml:space="preserve"> were </w:t>
      </w:r>
      <w:r w:rsidR="00634369">
        <w:t>released</w:t>
      </w:r>
      <w:r>
        <w:t xml:space="preserve"> for the UMD4 distribution and 4 releases for the UMD-3 one. In total 45 new products followed the validation of the UMD release process with a total 69 verification, 27 staged rollout reports were performed by 13 different resource providers from 9 NGI's.</w:t>
      </w:r>
    </w:p>
    <w:p w14:paraId="2421831A" w14:textId="5A3BFD6C" w:rsidR="002C50A7" w:rsidRDefault="002C50A7" w:rsidP="00D80F6E">
      <w:r>
        <w:t xml:space="preserve">Also there is </w:t>
      </w:r>
      <w:r w:rsidR="00D80F6E">
        <w:t xml:space="preserve">an ongoing process to the deploy </w:t>
      </w:r>
      <w:proofErr w:type="spellStart"/>
      <w:r w:rsidR="00D80F6E">
        <w:t>OpenNebula</w:t>
      </w:r>
      <w:proofErr w:type="spellEnd"/>
      <w:r w:rsidR="00D80F6E">
        <w:t xml:space="preserve"> Middleware, CMD-ONE.</w:t>
      </w:r>
    </w:p>
    <w:p w14:paraId="7303297F" w14:textId="252B2F42" w:rsidR="008C59DE" w:rsidRPr="00600846" w:rsidRDefault="008C59DE" w:rsidP="002940E4">
      <w:r w:rsidRPr="00334A4D">
        <w:rPr>
          <w:b/>
        </w:rPr>
        <w:t>Achieved target</w:t>
      </w:r>
      <w:r w:rsidRPr="00600846">
        <w:t xml:space="preserve">: </w:t>
      </w:r>
      <w:r w:rsidR="004070A2">
        <w:t>Yes</w:t>
      </w:r>
      <w:r w:rsidR="00B6708D">
        <w:t>.</w:t>
      </w:r>
    </w:p>
    <w:p w14:paraId="614F1A73" w14:textId="69052F2A" w:rsidR="00145221" w:rsidRPr="00600846" w:rsidRDefault="00215E8F" w:rsidP="002940E4">
      <w:pPr>
        <w:pStyle w:val="Heading2"/>
      </w:pPr>
      <w:bookmarkStart w:id="9" w:name="_Toc476912072"/>
      <w:r>
        <w:lastRenderedPageBreak/>
        <w:t xml:space="preserve">Accounting </w:t>
      </w:r>
      <w:r w:rsidR="00145221" w:rsidRPr="00600846">
        <w:t>portal</w:t>
      </w:r>
      <w:bookmarkEnd w:id="8"/>
      <w:bookmarkEnd w:id="9"/>
    </w:p>
    <w:p w14:paraId="209F3AA3" w14:textId="744DC263" w:rsidR="000D22F7" w:rsidRPr="00215E8F" w:rsidRDefault="00600846" w:rsidP="002940E4">
      <w:r w:rsidRPr="00215E8F">
        <w:t>The Accounting Infrastructure provides storage and access to usage information across the EGI Federation. At a central level it includes the repositories for the persistent storage of usage records and a visualization portal for users and resource providers. The central databases are populated through individual usage records published by the Resource Centres, or through the publication of summarised usage records.</w:t>
      </w:r>
    </w:p>
    <w:p w14:paraId="32B6A750" w14:textId="04C0AC41" w:rsidR="00145221" w:rsidRPr="00600846" w:rsidRDefault="00145221" w:rsidP="002940E4">
      <w:r w:rsidRPr="00600846">
        <w:rPr>
          <w:b/>
        </w:rPr>
        <w:t>Providers:</w:t>
      </w:r>
      <w:r w:rsidRPr="00600846">
        <w:t xml:space="preserve"> FCTSG</w:t>
      </w:r>
      <w:r w:rsidR="00215E8F">
        <w:t xml:space="preserve"> (CESGA)</w:t>
      </w:r>
      <w:r w:rsidR="00B6708D">
        <w:t>.</w:t>
      </w:r>
    </w:p>
    <w:p w14:paraId="6FDB84A3" w14:textId="1BABBD28" w:rsidR="00215E8F" w:rsidRDefault="00215E8F" w:rsidP="002940E4">
      <w:bookmarkStart w:id="10" w:name="_Toc317852491"/>
      <w:r>
        <w:t xml:space="preserve">The service has achieved all the targets both for A/R </w:t>
      </w:r>
      <w:r w:rsidR="00CE757C">
        <w:t>figures and</w:t>
      </w:r>
      <w:r>
        <w:t xml:space="preserve"> </w:t>
      </w:r>
      <w:proofErr w:type="spellStart"/>
      <w:r>
        <w:t>QoS</w:t>
      </w:r>
      <w:proofErr w:type="spellEnd"/>
      <w:r>
        <w:t xml:space="preserve">. </w:t>
      </w:r>
    </w:p>
    <w:p w14:paraId="06EF4523" w14:textId="2FB3BBF2" w:rsidR="00215E8F" w:rsidRPr="00600846" w:rsidRDefault="008C59DE" w:rsidP="002940E4">
      <w:r w:rsidRPr="00334A4D">
        <w:rPr>
          <w:b/>
        </w:rPr>
        <w:t>Achieved target</w:t>
      </w:r>
      <w:r w:rsidRPr="00600846">
        <w:t xml:space="preserve">: </w:t>
      </w:r>
      <w:r w:rsidR="00215E8F">
        <w:t>Yes</w:t>
      </w:r>
      <w:r w:rsidR="00B6708D">
        <w:t>.</w:t>
      </w:r>
    </w:p>
    <w:p w14:paraId="7E6D75C6" w14:textId="392590B9" w:rsidR="00145221" w:rsidRDefault="00DC4284" w:rsidP="002940E4">
      <w:pPr>
        <w:pStyle w:val="Heading2"/>
      </w:pPr>
      <w:bookmarkStart w:id="11" w:name="_Toc476912073"/>
      <w:bookmarkEnd w:id="10"/>
      <w:r>
        <w:t>Services for the AAI</w:t>
      </w:r>
      <w:bookmarkEnd w:id="11"/>
    </w:p>
    <w:p w14:paraId="5AD1BAF0" w14:textId="3B919A3F" w:rsidR="00DC4284" w:rsidRDefault="00DC4284" w:rsidP="00DC4284">
      <w:r>
        <w:t>Services and activities are needed for a flexible multi-technology AAI platform for user authentication and authorization. Including: catch-all VO membership service and catch-all Certification Authority for X.509 certificates provisioning.</w:t>
      </w:r>
    </w:p>
    <w:p w14:paraId="484C17B4" w14:textId="1617F355" w:rsidR="00145221" w:rsidRDefault="00145221" w:rsidP="002940E4">
      <w:r w:rsidRPr="00334A4D">
        <w:rPr>
          <w:b/>
        </w:rPr>
        <w:t>Provider</w:t>
      </w:r>
      <w:r w:rsidRPr="00600846">
        <w:t>: GRNET</w:t>
      </w:r>
      <w:r w:rsidR="00B6708D">
        <w:t>.</w:t>
      </w:r>
    </w:p>
    <w:p w14:paraId="46E9D5C8" w14:textId="50835160" w:rsidR="001B67F1" w:rsidRDefault="001B67F1" w:rsidP="00DC4284">
      <w:r>
        <w:t>In general all the tickets were properly handled, except one for which there was a slight response time violation in September. In September it was decommissioned the certification infrastructure, comprising a WMS server and a BDII: these were the services monitored for computing the A/R reports, so after removing them, there were no monitoring data for the following months. We are setting-up the</w:t>
      </w:r>
      <w:r w:rsidR="00EC3350">
        <w:t xml:space="preserve"> inclusion of</w:t>
      </w:r>
      <w:r>
        <w:t xml:space="preserve"> </w:t>
      </w:r>
      <w:r w:rsidR="00EC3350">
        <w:t xml:space="preserve">the VOMS server </w:t>
      </w:r>
      <w:r>
        <w:t>monitoring</w:t>
      </w:r>
      <w:r w:rsidR="00EC3350">
        <w:t xml:space="preserve"> data in the Core Services Report for getting again A/R figures for this service.</w:t>
      </w:r>
    </w:p>
    <w:p w14:paraId="6D4BBB5A" w14:textId="508F680D" w:rsidR="008C59DE" w:rsidRPr="00600846" w:rsidRDefault="008C59DE" w:rsidP="002940E4">
      <w:bookmarkStart w:id="12" w:name="_Toc317852492"/>
      <w:r w:rsidRPr="00334A4D">
        <w:rPr>
          <w:b/>
        </w:rPr>
        <w:t>Achieved target</w:t>
      </w:r>
      <w:r w:rsidRPr="00600846">
        <w:t xml:space="preserve">: </w:t>
      </w:r>
      <w:r w:rsidR="00DC4284">
        <w:t>Yes</w:t>
      </w:r>
      <w:r w:rsidR="00B6708D">
        <w:t>.</w:t>
      </w:r>
    </w:p>
    <w:p w14:paraId="4D898A33" w14:textId="77777777" w:rsidR="00145221" w:rsidRDefault="00145221" w:rsidP="002940E4">
      <w:pPr>
        <w:pStyle w:val="Heading2"/>
      </w:pPr>
      <w:bookmarkStart w:id="13" w:name="_Toc476912074"/>
      <w:r w:rsidRPr="00600846">
        <w:t>Collaboration tools</w:t>
      </w:r>
      <w:bookmarkEnd w:id="12"/>
      <w:bookmarkEnd w:id="13"/>
    </w:p>
    <w:p w14:paraId="00E66671" w14:textId="0816A86A" w:rsidR="00F50BA6" w:rsidRPr="00F50BA6" w:rsidRDefault="00F440DC" w:rsidP="00F50BA6">
      <w:r>
        <w:t xml:space="preserve">The activity provides the services for the EGI collaboration, including but not limited to the EGI.eu website, wiki and SSO. </w:t>
      </w:r>
    </w:p>
    <w:p w14:paraId="3087AD7B" w14:textId="0DCB3422" w:rsidR="00145221" w:rsidRPr="00600846" w:rsidRDefault="00145221" w:rsidP="002940E4">
      <w:r w:rsidRPr="00334A4D">
        <w:rPr>
          <w:b/>
        </w:rPr>
        <w:t>Provider</w:t>
      </w:r>
      <w:r w:rsidRPr="00600846">
        <w:t>: CESNET</w:t>
      </w:r>
      <w:r w:rsidR="00B6708D">
        <w:t>.</w:t>
      </w:r>
    </w:p>
    <w:p w14:paraId="262B044A" w14:textId="3C5C6304" w:rsidR="00F440DC" w:rsidRDefault="00F440DC" w:rsidP="00F440DC">
      <w:bookmarkStart w:id="14" w:name="_Toc317852493"/>
      <w:r>
        <w:t>The activity has achieved all the targets both for A/R</w:t>
      </w:r>
      <w:r w:rsidR="00F4548B">
        <w:t xml:space="preserve"> figures</w:t>
      </w:r>
      <w:r>
        <w:t xml:space="preserve"> and </w:t>
      </w:r>
      <w:proofErr w:type="spellStart"/>
      <w:r>
        <w:t>QoS</w:t>
      </w:r>
      <w:proofErr w:type="spellEnd"/>
      <w:r>
        <w:t xml:space="preserve">. </w:t>
      </w:r>
    </w:p>
    <w:p w14:paraId="5B505A28" w14:textId="479BA20A" w:rsidR="00F440DC" w:rsidRPr="00600846" w:rsidRDefault="00F440DC" w:rsidP="00F440DC">
      <w:r w:rsidRPr="00334A4D">
        <w:rPr>
          <w:b/>
        </w:rPr>
        <w:t>Achieved target</w:t>
      </w:r>
      <w:r w:rsidRPr="00600846">
        <w:t xml:space="preserve">: </w:t>
      </w:r>
      <w:r>
        <w:t>Yes</w:t>
      </w:r>
      <w:r w:rsidR="00B6708D">
        <w:t>.</w:t>
      </w:r>
    </w:p>
    <w:p w14:paraId="63474716" w14:textId="77777777" w:rsidR="00145221" w:rsidRDefault="00145221" w:rsidP="002940E4">
      <w:pPr>
        <w:pStyle w:val="Heading2"/>
      </w:pPr>
      <w:bookmarkStart w:id="15" w:name="_Toc476912075"/>
      <w:r w:rsidRPr="00600846">
        <w:t>Incident management helpdesk</w:t>
      </w:r>
      <w:bookmarkEnd w:id="14"/>
      <w:bookmarkEnd w:id="15"/>
    </w:p>
    <w:p w14:paraId="099CDD4E" w14:textId="61E2B0A2" w:rsidR="000069BB" w:rsidRPr="000069BB" w:rsidRDefault="000069BB" w:rsidP="000069BB">
      <w:r>
        <w:t>The activity provides the helpdesk (GGUS) tools.</w:t>
      </w:r>
    </w:p>
    <w:p w14:paraId="407F1087" w14:textId="38A4417C" w:rsidR="00145221" w:rsidRPr="00600846" w:rsidRDefault="00145221" w:rsidP="002940E4">
      <w:r w:rsidRPr="00B022B0">
        <w:rPr>
          <w:b/>
        </w:rPr>
        <w:t>Provider</w:t>
      </w:r>
      <w:r w:rsidRPr="00600846">
        <w:t>: KIT</w:t>
      </w:r>
      <w:r w:rsidR="00B6708D">
        <w:t>.</w:t>
      </w:r>
    </w:p>
    <w:p w14:paraId="349F911D" w14:textId="6548C9EF" w:rsidR="00F440DC" w:rsidRDefault="00F440DC" w:rsidP="00F440DC">
      <w:bookmarkStart w:id="16" w:name="_Toc317852494"/>
      <w:r>
        <w:t>The activity has achieved all the targets both for A/R</w:t>
      </w:r>
      <w:r w:rsidR="00F4548B">
        <w:t xml:space="preserve"> figures</w:t>
      </w:r>
      <w:r>
        <w:t xml:space="preserve"> and </w:t>
      </w:r>
      <w:proofErr w:type="spellStart"/>
      <w:r>
        <w:t>QoS</w:t>
      </w:r>
      <w:proofErr w:type="spellEnd"/>
      <w:r>
        <w:t xml:space="preserve">. </w:t>
      </w:r>
    </w:p>
    <w:p w14:paraId="688EE48B" w14:textId="10710273" w:rsidR="00F440DC" w:rsidRPr="00600846" w:rsidRDefault="00F440DC" w:rsidP="00F440DC">
      <w:r w:rsidRPr="00B022B0">
        <w:rPr>
          <w:b/>
        </w:rPr>
        <w:t>Achieved target</w:t>
      </w:r>
      <w:r w:rsidRPr="00600846">
        <w:t xml:space="preserve">: </w:t>
      </w:r>
      <w:r>
        <w:t>Yes</w:t>
      </w:r>
      <w:r w:rsidR="00B6708D">
        <w:t>.</w:t>
      </w:r>
    </w:p>
    <w:p w14:paraId="4BC07CAD" w14:textId="77777777" w:rsidR="00145221" w:rsidRPr="00600846" w:rsidRDefault="00145221" w:rsidP="002940E4">
      <w:pPr>
        <w:pStyle w:val="Heading2"/>
      </w:pPr>
      <w:bookmarkStart w:id="17" w:name="_Toc476912076"/>
      <w:r w:rsidRPr="00600846">
        <w:t>Message brokers network</w:t>
      </w:r>
      <w:bookmarkEnd w:id="16"/>
      <w:bookmarkEnd w:id="17"/>
    </w:p>
    <w:p w14:paraId="764A6C95" w14:textId="5F1484EE" w:rsidR="000069BB" w:rsidRDefault="000069BB" w:rsidP="002940E4">
      <w:pPr>
        <w:rPr>
          <w:b/>
        </w:rPr>
      </w:pPr>
      <w:r>
        <w:t>The message broker network is a fundamental part of the operations infrastructure ensuring message exchange for monitoring, the operations dashboard and accounting.</w:t>
      </w:r>
    </w:p>
    <w:p w14:paraId="327BE39F" w14:textId="5A77A56E" w:rsidR="00145221" w:rsidRPr="00600846" w:rsidRDefault="00145221" w:rsidP="002940E4">
      <w:r w:rsidRPr="00600846">
        <w:rPr>
          <w:b/>
        </w:rPr>
        <w:t>Providers:</w:t>
      </w:r>
      <w:r w:rsidRPr="00600846">
        <w:t xml:space="preserve"> GRNET, SRCE</w:t>
      </w:r>
      <w:r w:rsidR="00B6708D">
        <w:t>.</w:t>
      </w:r>
    </w:p>
    <w:p w14:paraId="11F5FC55" w14:textId="6FAED203" w:rsidR="000069BB" w:rsidRDefault="000069BB" w:rsidP="000069BB">
      <w:r>
        <w:t>The activity has achieved all the targets both for A/R</w:t>
      </w:r>
      <w:r w:rsidR="00F4548B">
        <w:t xml:space="preserve"> figures</w:t>
      </w:r>
      <w:r>
        <w:t xml:space="preserve"> and </w:t>
      </w:r>
      <w:proofErr w:type="spellStart"/>
      <w:r>
        <w:t>QoS</w:t>
      </w:r>
      <w:proofErr w:type="spellEnd"/>
      <w:r>
        <w:t xml:space="preserve">. </w:t>
      </w:r>
    </w:p>
    <w:p w14:paraId="5FA0A6DC" w14:textId="7B1D5786" w:rsidR="00145221" w:rsidRPr="00600846" w:rsidRDefault="000069BB" w:rsidP="002940E4">
      <w:r w:rsidRPr="00007BE3">
        <w:rPr>
          <w:b/>
        </w:rPr>
        <w:t>Achieved target</w:t>
      </w:r>
      <w:r w:rsidRPr="00600846">
        <w:t xml:space="preserve">: </w:t>
      </w:r>
      <w:r>
        <w:t>Yes</w:t>
      </w:r>
      <w:r w:rsidR="00B6708D">
        <w:t>.</w:t>
      </w:r>
    </w:p>
    <w:p w14:paraId="312E41C8" w14:textId="77777777" w:rsidR="00145221" w:rsidRDefault="00145221" w:rsidP="002940E4">
      <w:pPr>
        <w:pStyle w:val="Heading2"/>
      </w:pPr>
      <w:bookmarkStart w:id="18" w:name="_Toc317852495"/>
      <w:bookmarkStart w:id="19" w:name="_Toc476912077"/>
      <w:r w:rsidRPr="00600846">
        <w:t>Monitoring central services</w:t>
      </w:r>
      <w:bookmarkEnd w:id="18"/>
      <w:bookmarkEnd w:id="19"/>
    </w:p>
    <w:p w14:paraId="59E5EF3A" w14:textId="60D62F1E" w:rsidR="00696F3D" w:rsidRPr="00696F3D" w:rsidRDefault="00696F3D" w:rsidP="00696F3D">
      <w:r>
        <w:t>This activ</w:t>
      </w:r>
      <w:r w:rsidR="00007BE3">
        <w:t>ity provides central systems</w:t>
      </w:r>
      <w:r>
        <w:t xml:space="preserve"> needed for accessing and archiving infrastructure monitoring results of the services provided at many levels (Resource Centres, Operations Centres and EGI.EU), for the generation of service level reports, and for the central monitoring of EGI.eu operational tools and other central monitoring needs.</w:t>
      </w:r>
    </w:p>
    <w:p w14:paraId="569E52CC" w14:textId="4A35557C" w:rsidR="00145221" w:rsidRPr="00600846" w:rsidRDefault="00145221" w:rsidP="002940E4">
      <w:r w:rsidRPr="00600846">
        <w:rPr>
          <w:b/>
        </w:rPr>
        <w:t>Providers:</w:t>
      </w:r>
      <w:r w:rsidRPr="00600846">
        <w:t xml:space="preserve"> GRNET, SRCE</w:t>
      </w:r>
      <w:r w:rsidR="00B6708D">
        <w:t>.</w:t>
      </w:r>
    </w:p>
    <w:p w14:paraId="1704734B" w14:textId="23C395A3" w:rsidR="00696F3D" w:rsidRDefault="00696F3D" w:rsidP="00696F3D">
      <w:bookmarkStart w:id="20" w:name="_Toc317852496"/>
      <w:r>
        <w:t xml:space="preserve">The activity has achieved the targets for support </w:t>
      </w:r>
      <w:proofErr w:type="spellStart"/>
      <w:r>
        <w:t>QoS</w:t>
      </w:r>
      <w:proofErr w:type="spellEnd"/>
      <w:r>
        <w:t xml:space="preserve">. </w:t>
      </w:r>
      <w:r w:rsidR="00756106">
        <w:t>Availability has been reported low due to and old component still monitored</w:t>
      </w:r>
      <w:r w:rsidR="00007BE3">
        <w:t>.</w:t>
      </w:r>
      <w:r w:rsidR="00194790">
        <w:t xml:space="preserve"> The component is not used in production since </w:t>
      </w:r>
      <w:proofErr w:type="gramStart"/>
      <w:r w:rsidR="00194790">
        <w:t>Summer</w:t>
      </w:r>
      <w:proofErr w:type="gramEnd"/>
      <w:r w:rsidR="00194790">
        <w:t>, therefore there has not been real service unavailability. The monitoring profile for the monitoring services has been updated.</w:t>
      </w:r>
    </w:p>
    <w:p w14:paraId="20C7B10E" w14:textId="20D2D887" w:rsidR="00696F3D" w:rsidRPr="00600846" w:rsidRDefault="00696F3D" w:rsidP="00696F3D">
      <w:r w:rsidRPr="002678A6">
        <w:rPr>
          <w:b/>
        </w:rPr>
        <w:t>Achieved target</w:t>
      </w:r>
      <w:r w:rsidRPr="00600846">
        <w:t xml:space="preserve">: </w:t>
      </w:r>
      <w:r w:rsidR="00756106">
        <w:t>Yes</w:t>
      </w:r>
      <w:r>
        <w:t>.</w:t>
      </w:r>
    </w:p>
    <w:p w14:paraId="43473822" w14:textId="77777777" w:rsidR="00145221" w:rsidRDefault="00145221" w:rsidP="002940E4">
      <w:pPr>
        <w:pStyle w:val="Heading2"/>
      </w:pPr>
      <w:bookmarkStart w:id="21" w:name="_Toc476912078"/>
      <w:r w:rsidRPr="00600846">
        <w:lastRenderedPageBreak/>
        <w:t>Operations portal</w:t>
      </w:r>
      <w:bookmarkEnd w:id="20"/>
      <w:bookmarkEnd w:id="21"/>
    </w:p>
    <w:p w14:paraId="1E3E024C" w14:textId="3A8988E0" w:rsidR="009D6346" w:rsidRPr="009D6346" w:rsidRDefault="0035476A" w:rsidP="009D6346">
      <w:r>
        <w:t>This activity provides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Resource Centres affected.</w:t>
      </w:r>
    </w:p>
    <w:p w14:paraId="1E413849" w14:textId="70AA17B7" w:rsidR="00145221" w:rsidRDefault="00145221" w:rsidP="002940E4">
      <w:r w:rsidRPr="00B66C34">
        <w:rPr>
          <w:b/>
        </w:rPr>
        <w:t>Provider</w:t>
      </w:r>
      <w:r w:rsidRPr="00600846">
        <w:t>: CNRS</w:t>
      </w:r>
      <w:r w:rsidR="00B6708D">
        <w:t>.</w:t>
      </w:r>
    </w:p>
    <w:p w14:paraId="0AFC63D0" w14:textId="7F034066" w:rsidR="009D6346" w:rsidRDefault="00EE0A9B" w:rsidP="002940E4">
      <w:proofErr w:type="spellStart"/>
      <w:r>
        <w:t>QoS</w:t>
      </w:r>
      <w:proofErr w:type="spellEnd"/>
      <w:r>
        <w:t xml:space="preserve"> has been on target during the reporting period. A/R figures</w:t>
      </w:r>
      <w:r w:rsidR="009D6346">
        <w:t xml:space="preserve"> have been a</w:t>
      </w:r>
      <w:r>
        <w:t>bove the targets, excluding December due to a scheduled</w:t>
      </w:r>
      <w:r w:rsidR="0035476A">
        <w:t xml:space="preserve"> intervention in the computing centre</w:t>
      </w:r>
      <w:r>
        <w:t>, to a bug affecting the Web Cluster nodes (identified and solved, and to file system bad performances (fixed in the following months by migrating the different nodes to CentOS).</w:t>
      </w:r>
    </w:p>
    <w:p w14:paraId="1216DFE8" w14:textId="77777777" w:rsidR="003622C5" w:rsidRDefault="003622C5" w:rsidP="003622C5">
      <w:r>
        <w:t>A new version of the Operations Portal and of the VAPOR application has been released in September.</w:t>
      </w:r>
    </w:p>
    <w:p w14:paraId="1C8E9B8C" w14:textId="26EDDC91" w:rsidR="003622C5" w:rsidRPr="00600846" w:rsidRDefault="003622C5" w:rsidP="003622C5">
      <w:r>
        <w:t>The expected new version of VAPOR for December was postponed to March, in agreement with the EGI Operations Team, after receiving requests for several modifications and the addition on new features.</w:t>
      </w:r>
    </w:p>
    <w:p w14:paraId="72AA112A" w14:textId="02F98BE9" w:rsidR="008C59DE" w:rsidRPr="00600846" w:rsidRDefault="008C59DE" w:rsidP="002940E4">
      <w:r w:rsidRPr="00B66C34">
        <w:rPr>
          <w:b/>
        </w:rPr>
        <w:t>Achieved target</w:t>
      </w:r>
      <w:r w:rsidRPr="00600846">
        <w:t xml:space="preserve">: </w:t>
      </w:r>
      <w:r w:rsidR="007E2EE4">
        <w:t>Yes with exceptions.</w:t>
      </w:r>
    </w:p>
    <w:p w14:paraId="39FF2378" w14:textId="5D44F857" w:rsidR="00145221" w:rsidRPr="00600846" w:rsidRDefault="0035476A" w:rsidP="002940E4">
      <w:pPr>
        <w:pStyle w:val="Heading2"/>
      </w:pPr>
      <w:bookmarkStart w:id="22" w:name="_Toc317852498"/>
      <w:bookmarkStart w:id="23" w:name="_Toc476912079"/>
      <w:r>
        <w:t>Activities and services for the long tail of scienc</w:t>
      </w:r>
      <w:r w:rsidR="00145221" w:rsidRPr="00600846">
        <w:t>e</w:t>
      </w:r>
      <w:bookmarkEnd w:id="22"/>
      <w:bookmarkEnd w:id="23"/>
    </w:p>
    <w:p w14:paraId="4D58B23F" w14:textId="2F285BDB" w:rsidR="0035476A" w:rsidRPr="0035476A" w:rsidRDefault="0035476A" w:rsidP="0035476A">
      <w:r w:rsidRPr="0035476A">
        <w:t>The activity supports</w:t>
      </w:r>
      <w:r>
        <w:t xml:space="preserve"> the EGI services for the long tail of science and resource allocation in terms of user support and user management. </w:t>
      </w:r>
      <w:r w:rsidRPr="0035476A">
        <w:t xml:space="preserve"> </w:t>
      </w:r>
    </w:p>
    <w:p w14:paraId="0D356848" w14:textId="263246B1" w:rsidR="0035476A" w:rsidRPr="00B6708D" w:rsidRDefault="00145221" w:rsidP="0035476A">
      <w:pPr>
        <w:rPr>
          <w:lang w:val="nl-NL"/>
        </w:rPr>
      </w:pPr>
      <w:r w:rsidRPr="00B6708D">
        <w:rPr>
          <w:b/>
          <w:lang w:val="nl-NL"/>
        </w:rPr>
        <w:t>Providers:</w:t>
      </w:r>
      <w:r w:rsidRPr="00B6708D">
        <w:rPr>
          <w:lang w:val="nl-NL"/>
        </w:rPr>
        <w:t xml:space="preserve"> </w:t>
      </w:r>
      <w:r w:rsidR="0035476A" w:rsidRPr="00B6708D">
        <w:rPr>
          <w:lang w:val="nl-NL"/>
        </w:rPr>
        <w:t>Vrije Universiteit Brussel,</w:t>
      </w:r>
      <w:r w:rsidR="00B6708D" w:rsidRPr="00B6708D">
        <w:rPr>
          <w:lang w:val="nl-NL"/>
        </w:rPr>
        <w:t xml:space="preserve"> CYFRONET.</w:t>
      </w:r>
    </w:p>
    <w:p w14:paraId="5018B836" w14:textId="32EE862D" w:rsidR="00B66C34" w:rsidRDefault="00B66C34" w:rsidP="00B66C34">
      <w:r>
        <w:t xml:space="preserve">The activity has achieved all the targets both for A/R figures and </w:t>
      </w:r>
      <w:proofErr w:type="spellStart"/>
      <w:r>
        <w:t>QoS</w:t>
      </w:r>
      <w:proofErr w:type="spellEnd"/>
      <w:r>
        <w:t>.</w:t>
      </w:r>
    </w:p>
    <w:p w14:paraId="46C1BBD9" w14:textId="2220EF1A" w:rsidR="003B3C95" w:rsidRDefault="003B3C95" w:rsidP="003B3C95">
      <w:r>
        <w:t xml:space="preserve">In September it was created a Marketplace prototype with </w:t>
      </w:r>
      <w:proofErr w:type="spellStart"/>
      <w:r>
        <w:t>PrestaShop</w:t>
      </w:r>
      <w:proofErr w:type="spellEnd"/>
      <w:r>
        <w:t xml:space="preserve">, and it was made a final evaluation of the technical problems that should be addressed (by existing </w:t>
      </w:r>
      <w:proofErr w:type="spellStart"/>
      <w:r>
        <w:t>addons</w:t>
      </w:r>
      <w:proofErr w:type="spellEnd"/>
      <w:r>
        <w:t xml:space="preserve"> and/or by core development) in order to deliver a first release with </w:t>
      </w:r>
      <w:proofErr w:type="spellStart"/>
      <w:r>
        <w:t>PrestaShop</w:t>
      </w:r>
      <w:proofErr w:type="spellEnd"/>
      <w:r>
        <w:t>.</w:t>
      </w:r>
    </w:p>
    <w:p w14:paraId="1E591E8B" w14:textId="319E0442" w:rsidR="003B3C95" w:rsidRDefault="003B3C95" w:rsidP="003B3C95">
      <w:r>
        <w:t xml:space="preserve">Concerning the Marketplace activity, following the evaluation report made at the end of September, it became clear that going on with creating a first Marketplace release with </w:t>
      </w:r>
      <w:proofErr w:type="spellStart"/>
      <w:r>
        <w:t>PrestaShop</w:t>
      </w:r>
      <w:proofErr w:type="spellEnd"/>
      <w:r>
        <w:t xml:space="preserve"> would require some heavy development tasks that the team is not ready to endorse (lack of time and expertise). The CYFRONET team then took over.</w:t>
      </w:r>
    </w:p>
    <w:p w14:paraId="0F12C9C3" w14:textId="71CEB509" w:rsidR="008C59DE" w:rsidRPr="00600846" w:rsidRDefault="008C59DE" w:rsidP="002940E4">
      <w:r w:rsidRPr="006860DF">
        <w:rPr>
          <w:b/>
        </w:rPr>
        <w:t>Achieved target</w:t>
      </w:r>
      <w:r w:rsidRPr="00600846">
        <w:t xml:space="preserve">: </w:t>
      </w:r>
      <w:r w:rsidR="0035476A">
        <w:t>Yes</w:t>
      </w:r>
      <w:r w:rsidR="00B6708D">
        <w:t>.</w:t>
      </w:r>
    </w:p>
    <w:p w14:paraId="4FDF3DF8" w14:textId="77777777" w:rsidR="00145221" w:rsidRDefault="00145221" w:rsidP="002940E4">
      <w:pPr>
        <w:pStyle w:val="Heading2"/>
      </w:pPr>
      <w:r w:rsidRPr="00600846">
        <w:t xml:space="preserve"> </w:t>
      </w:r>
      <w:bookmarkStart w:id="24" w:name="_Toc317852499"/>
      <w:bookmarkStart w:id="25" w:name="_Toc476912080"/>
      <w:r w:rsidRPr="00600846">
        <w:t>Security coordination</w:t>
      </w:r>
      <w:bookmarkEnd w:id="24"/>
      <w:bookmarkEnd w:id="25"/>
    </w:p>
    <w:p w14:paraId="578E6DCA" w14:textId="73930044" w:rsidR="003C5DCD" w:rsidRPr="003C5DCD" w:rsidRDefault="003C5DCD" w:rsidP="003C5DCD">
      <w:r>
        <w:t>This activity provides security coordination between the EGI participants at various levels, in particular for the prevention and handling of security incidents.</w:t>
      </w:r>
    </w:p>
    <w:p w14:paraId="425925F7" w14:textId="22041814" w:rsidR="00145221" w:rsidRDefault="00145221" w:rsidP="002940E4">
      <w:r w:rsidRPr="00600846">
        <w:rPr>
          <w:b/>
        </w:rPr>
        <w:t>Providers:</w:t>
      </w:r>
      <w:r w:rsidRPr="00600846">
        <w:t xml:space="preserve"> FOM, CERN, STFC</w:t>
      </w:r>
      <w:r w:rsidR="00B6708D">
        <w:t>.</w:t>
      </w:r>
    </w:p>
    <w:p w14:paraId="7955EE4B" w14:textId="77777777" w:rsidR="00F4548B" w:rsidRDefault="003C5DCD" w:rsidP="003C5DCD">
      <w:r>
        <w:t xml:space="preserve">The activity has achieved all the </w:t>
      </w:r>
      <w:r w:rsidR="006860DF">
        <w:t>targets both for A/R figures and</w:t>
      </w:r>
      <w:r w:rsidR="00F4548B">
        <w:t xml:space="preserve"> </w:t>
      </w:r>
      <w:proofErr w:type="spellStart"/>
      <w:r w:rsidR="00F4548B">
        <w:t>QoS</w:t>
      </w:r>
      <w:proofErr w:type="spellEnd"/>
      <w:r w:rsidR="00F4548B">
        <w:t>.</w:t>
      </w:r>
    </w:p>
    <w:p w14:paraId="49008129" w14:textId="77777777" w:rsidR="00F4548B" w:rsidRDefault="00F4548B" w:rsidP="00F4548B">
      <w:r>
        <w:t xml:space="preserve">The security incident in November has shown again that the EGI </w:t>
      </w:r>
      <w:proofErr w:type="spellStart"/>
      <w:r>
        <w:t>FedCloud</w:t>
      </w:r>
      <w:proofErr w:type="spellEnd"/>
      <w:r>
        <w:t>, especially for sites that do not restrict</w:t>
      </w:r>
    </w:p>
    <w:p w14:paraId="31CA53F4" w14:textId="201747EA" w:rsidR="00F4548B" w:rsidRDefault="00F4548B" w:rsidP="00194790">
      <w:proofErr w:type="gramStart"/>
      <w:r>
        <w:t>incoming</w:t>
      </w:r>
      <w:proofErr w:type="gramEnd"/>
      <w:r>
        <w:t xml:space="preserve"> network activity by default, can lead to basic security issues</w:t>
      </w:r>
      <w:r w:rsidR="00194790">
        <w:t>.</w:t>
      </w:r>
    </w:p>
    <w:p w14:paraId="3A038963" w14:textId="77777777" w:rsidR="00F4548B" w:rsidRDefault="00F4548B" w:rsidP="00F4548B">
      <w:r>
        <w:t xml:space="preserve">Emergency suspension is not yet deployed in the Federated Cloud (requires developments, especially for </w:t>
      </w:r>
      <w:proofErr w:type="spellStart"/>
      <w:r>
        <w:t>Openstack</w:t>
      </w:r>
      <w:proofErr w:type="spellEnd"/>
    </w:p>
    <w:p w14:paraId="34BA7B53" w14:textId="77777777" w:rsidR="00F4548B" w:rsidRDefault="00F4548B" w:rsidP="00F4548B">
      <w:proofErr w:type="gramStart"/>
      <w:r>
        <w:t>sites</w:t>
      </w:r>
      <w:proofErr w:type="gramEnd"/>
      <w:r>
        <w:t>): this is now part of mid-term plan of the Federated Cloud.</w:t>
      </w:r>
    </w:p>
    <w:p w14:paraId="7119E941" w14:textId="15CBB544" w:rsidR="00F4548B" w:rsidRDefault="00F4548B" w:rsidP="00F4548B">
      <w:r>
        <w:t>SECMON is still running on Centos5 and using the old SAM framework as there is no effort available for changing</w:t>
      </w:r>
    </w:p>
    <w:p w14:paraId="6910D6AF" w14:textId="68861C93" w:rsidR="003C5DCD" w:rsidRDefault="00F4548B" w:rsidP="00F4548B">
      <w:proofErr w:type="gramStart"/>
      <w:r>
        <w:t>the</w:t>
      </w:r>
      <w:proofErr w:type="gramEnd"/>
      <w:r>
        <w:t xml:space="preserve"> platform.</w:t>
      </w:r>
    </w:p>
    <w:p w14:paraId="4608F6F4" w14:textId="121C69D8" w:rsidR="003C5DCD" w:rsidRPr="00600846" w:rsidRDefault="003C5DCD" w:rsidP="003C5DCD">
      <w:r w:rsidRPr="00F4548B">
        <w:rPr>
          <w:b/>
        </w:rPr>
        <w:t>Achieved target</w:t>
      </w:r>
      <w:r w:rsidRPr="00600846">
        <w:t xml:space="preserve">: </w:t>
      </w:r>
      <w:r>
        <w:t>Yes</w:t>
      </w:r>
      <w:r w:rsidR="00B6708D">
        <w:t>.</w:t>
      </w:r>
    </w:p>
    <w:p w14:paraId="3335C3F8" w14:textId="60F6C063" w:rsidR="00145221" w:rsidRDefault="00145221" w:rsidP="002940E4">
      <w:pPr>
        <w:pStyle w:val="Heading2"/>
      </w:pPr>
      <w:bookmarkStart w:id="26" w:name="_Toc317852500"/>
      <w:bookmarkStart w:id="27" w:name="_Toc476912081"/>
      <w:r w:rsidRPr="00600846">
        <w:t>Software provisioning infrastructure performance report</w:t>
      </w:r>
      <w:bookmarkEnd w:id="26"/>
      <w:bookmarkEnd w:id="27"/>
    </w:p>
    <w:p w14:paraId="687FFDD0" w14:textId="6F53755F" w:rsidR="008F3B5E" w:rsidRDefault="008F3B5E" w:rsidP="008F3B5E">
      <w:r>
        <w:t xml:space="preserve">This activity provides the technical tools to support the UMD release process from pulling packages from the </w:t>
      </w:r>
      <w:proofErr w:type="gramStart"/>
      <w:r>
        <w:t>developers</w:t>
      </w:r>
      <w:proofErr w:type="gramEnd"/>
      <w:r>
        <w:t xml:space="preserve"> repositories to the build of a release. </w:t>
      </w:r>
    </w:p>
    <w:p w14:paraId="30ABCD39" w14:textId="5575A7E1" w:rsidR="00145221" w:rsidRDefault="00145221" w:rsidP="002940E4">
      <w:r w:rsidRPr="00600846">
        <w:rPr>
          <w:b/>
        </w:rPr>
        <w:t>Providers:</w:t>
      </w:r>
      <w:r w:rsidRPr="00600846">
        <w:t xml:space="preserve"> GRNET, CESNET</w:t>
      </w:r>
      <w:r w:rsidR="007E2EE4">
        <w:t>.</w:t>
      </w:r>
    </w:p>
    <w:p w14:paraId="50A05E6F" w14:textId="2412488E" w:rsidR="008F3B5E" w:rsidRPr="00600846" w:rsidRDefault="008F3B5E" w:rsidP="002940E4">
      <w:r>
        <w:t>The activity has achieved all the targets both for A/R</w:t>
      </w:r>
      <w:r w:rsidR="007E2EE4">
        <w:t xml:space="preserve"> figures and</w:t>
      </w:r>
      <w:r>
        <w:t xml:space="preserve"> </w:t>
      </w:r>
      <w:proofErr w:type="spellStart"/>
      <w:r>
        <w:t>QoS</w:t>
      </w:r>
      <w:proofErr w:type="spellEnd"/>
      <w:r w:rsidR="007E2EE4">
        <w:t>, excluding December for a delay in handling a very urgent GGUS ticket</w:t>
      </w:r>
      <w:r>
        <w:t xml:space="preserve">. </w:t>
      </w:r>
      <w:r w:rsidR="007E2EE4">
        <w:t>In the reporting period it was also added support for the cloud related d</w:t>
      </w:r>
      <w:r w:rsidR="007E2EE4" w:rsidRPr="007E2EE4">
        <w:t>istribution CMD</w:t>
      </w:r>
      <w:r w:rsidR="007E2EE4">
        <w:t xml:space="preserve">-OS and the equivalent for </w:t>
      </w:r>
      <w:proofErr w:type="spellStart"/>
      <w:r w:rsidR="007E2EE4">
        <w:t>OpenN</w:t>
      </w:r>
      <w:r w:rsidR="007E2EE4" w:rsidRPr="007E2EE4">
        <w:t>ebula</w:t>
      </w:r>
      <w:proofErr w:type="spellEnd"/>
      <w:r w:rsidR="007E2EE4">
        <w:t>.</w:t>
      </w:r>
    </w:p>
    <w:p w14:paraId="3D529752" w14:textId="3A792B0F" w:rsidR="008C59DE" w:rsidRPr="00600846" w:rsidRDefault="008C59DE" w:rsidP="002940E4">
      <w:r w:rsidRPr="007E2EE4">
        <w:rPr>
          <w:b/>
        </w:rPr>
        <w:t>Achieved target</w:t>
      </w:r>
      <w:r w:rsidRPr="00600846">
        <w:t xml:space="preserve">: </w:t>
      </w:r>
      <w:r w:rsidR="008F3B5E">
        <w:t>Yes</w:t>
      </w:r>
      <w:r w:rsidR="007E2EE4">
        <w:t xml:space="preserve"> with exceptions.</w:t>
      </w:r>
      <w:r w:rsidR="002E6E0E">
        <w:t xml:space="preserve"> The core activity will be monitored for future deviations, if this happens in future reporting periods actions should be taken.</w:t>
      </w:r>
    </w:p>
    <w:p w14:paraId="422868BF" w14:textId="47B63688" w:rsidR="00145221" w:rsidRDefault="00145221" w:rsidP="002940E4">
      <w:pPr>
        <w:pStyle w:val="Heading2"/>
      </w:pPr>
      <w:bookmarkStart w:id="28" w:name="_Toc317852503"/>
      <w:bookmarkStart w:id="29" w:name="_Toc476912082"/>
      <w:r w:rsidRPr="00600846">
        <w:lastRenderedPageBreak/>
        <w:t>Accounting repository</w:t>
      </w:r>
      <w:bookmarkEnd w:id="28"/>
      <w:bookmarkEnd w:id="29"/>
    </w:p>
    <w:p w14:paraId="44EFD754" w14:textId="14D797FE" w:rsidR="00215E8F" w:rsidRPr="00215E8F" w:rsidRDefault="00215E8F" w:rsidP="002940E4">
      <w:r>
        <w:t>The Accounting Infrastructure provides storage and access to usage information across the EGI Federation. At a central level it includes the repositories for the persistent storage of usage records and a visualization portal for users and resource providers. The central databases are populated through individual usage records published by the Resource Centres, or through the publication of summarised usage records.</w:t>
      </w:r>
    </w:p>
    <w:p w14:paraId="23472E32" w14:textId="6EB1D649" w:rsidR="00145221" w:rsidRDefault="00145221" w:rsidP="002940E4">
      <w:r w:rsidRPr="00C21E20">
        <w:rPr>
          <w:b/>
        </w:rPr>
        <w:t>Provider</w:t>
      </w:r>
      <w:r w:rsidRPr="00600846">
        <w:t>: STFC</w:t>
      </w:r>
      <w:r w:rsidR="00C21E20">
        <w:t>.</w:t>
      </w:r>
    </w:p>
    <w:p w14:paraId="1E05A153" w14:textId="4ABF789F" w:rsidR="002940E4" w:rsidRDefault="002940E4" w:rsidP="002940E4">
      <w:r>
        <w:t xml:space="preserve">The </w:t>
      </w:r>
      <w:r w:rsidR="000D22F7">
        <w:t>activity</w:t>
      </w:r>
      <w:r>
        <w:t xml:space="preserve"> has achieved all the targets both for A/R </w:t>
      </w:r>
      <w:r w:rsidR="00C21E20">
        <w:t xml:space="preserve">figures </w:t>
      </w:r>
      <w:r>
        <w:t xml:space="preserve">and </w:t>
      </w:r>
      <w:proofErr w:type="spellStart"/>
      <w:r w:rsidR="00C21E20">
        <w:t>QoS</w:t>
      </w:r>
      <w:proofErr w:type="spellEnd"/>
      <w:r w:rsidR="00C21E20">
        <w:t>.</w:t>
      </w:r>
    </w:p>
    <w:p w14:paraId="2E8347B3" w14:textId="51957EB0" w:rsidR="00C21E20" w:rsidRDefault="00C21E20" w:rsidP="00C21E20">
      <w:r>
        <w:t>Some issues with sites (re-</w:t>
      </w:r>
      <w:proofErr w:type="gramStart"/>
      <w:r>
        <w:t>)publishing</w:t>
      </w:r>
      <w:proofErr w:type="gramEnd"/>
      <w:r>
        <w:t xml:space="preserve"> large amounts of data caused the summarising process to slow down: this process was rescheduled and a broadcast sent, warning sites to alert the APEL team when needing to republish.</w:t>
      </w:r>
    </w:p>
    <w:p w14:paraId="63D5D97E" w14:textId="67154E3F" w:rsidR="002940E4" w:rsidRPr="00600846" w:rsidRDefault="002940E4" w:rsidP="002940E4">
      <w:r w:rsidRPr="00C21E20">
        <w:rPr>
          <w:b/>
        </w:rPr>
        <w:t>Achieved target</w:t>
      </w:r>
      <w:r w:rsidRPr="00600846">
        <w:t xml:space="preserve">: </w:t>
      </w:r>
      <w:r>
        <w:t>Yes</w:t>
      </w:r>
      <w:r w:rsidR="00C21E20">
        <w:t>.</w:t>
      </w:r>
    </w:p>
    <w:p w14:paraId="0275F75C" w14:textId="1E3B4BC0" w:rsidR="00145221" w:rsidRDefault="00145221" w:rsidP="002940E4">
      <w:pPr>
        <w:pStyle w:val="Heading2"/>
      </w:pPr>
      <w:bookmarkStart w:id="30" w:name="_Toc317852504"/>
      <w:bookmarkStart w:id="31" w:name="_Toc476912083"/>
      <w:r w:rsidRPr="00600846">
        <w:t>Service registry (GOCDB)</w:t>
      </w:r>
      <w:bookmarkEnd w:id="30"/>
      <w:bookmarkEnd w:id="31"/>
    </w:p>
    <w:p w14:paraId="4D5F478F" w14:textId="1ECCDDE3" w:rsidR="00412911" w:rsidRPr="00412911" w:rsidRDefault="00412911" w:rsidP="00412911">
      <w:r>
        <w:t>This activity provides GOCDB to record information about different entities such as the Operations Centres, the Resource Centres, service endpoints and the contact information and roles of people responsible for operations at different levels.</w:t>
      </w:r>
    </w:p>
    <w:p w14:paraId="34C69E02" w14:textId="67AFAF46" w:rsidR="00412911" w:rsidRDefault="00412911" w:rsidP="00412911">
      <w:r w:rsidRPr="00625AD6">
        <w:rPr>
          <w:b/>
        </w:rPr>
        <w:t>Provider</w:t>
      </w:r>
      <w:r w:rsidRPr="00600846">
        <w:t>: STFC</w:t>
      </w:r>
      <w:r w:rsidR="00625AD6">
        <w:t>.</w:t>
      </w:r>
    </w:p>
    <w:p w14:paraId="0197446D" w14:textId="721340F3" w:rsidR="00412911" w:rsidRDefault="00412911" w:rsidP="00412911">
      <w:r>
        <w:t>The activity has achieved all the targets both for A/R</w:t>
      </w:r>
      <w:r w:rsidR="00625AD6">
        <w:t xml:space="preserve"> figures</w:t>
      </w:r>
      <w:r>
        <w:t xml:space="preserve"> and </w:t>
      </w:r>
      <w:proofErr w:type="spellStart"/>
      <w:r>
        <w:t>QoS</w:t>
      </w:r>
      <w:proofErr w:type="spellEnd"/>
      <w:r>
        <w:t xml:space="preserve">. </w:t>
      </w:r>
    </w:p>
    <w:p w14:paraId="1A008F53" w14:textId="6C506ABB" w:rsidR="00625AD6" w:rsidRDefault="00625AD6" w:rsidP="00412911">
      <w:r w:rsidRPr="00625AD6">
        <w:t xml:space="preserve">The GOCDB development roadmap requires review </w:t>
      </w:r>
      <w:r>
        <w:t>and re-prioritising: an OTAG has been requested, scheduled on Feb 27</w:t>
      </w:r>
      <w:r w:rsidRPr="00625AD6">
        <w:t xml:space="preserve">th 2017.  </w:t>
      </w:r>
    </w:p>
    <w:p w14:paraId="49BB62B5" w14:textId="3767AB5E" w:rsidR="00412911" w:rsidRPr="00412911" w:rsidRDefault="00412911" w:rsidP="00412911">
      <w:r w:rsidRPr="00625AD6">
        <w:rPr>
          <w:b/>
        </w:rPr>
        <w:t>Achieved target</w:t>
      </w:r>
      <w:r w:rsidRPr="00600846">
        <w:t xml:space="preserve">: </w:t>
      </w:r>
      <w:r>
        <w:t>Yes</w:t>
      </w:r>
      <w:r w:rsidR="00625AD6">
        <w:t>.</w:t>
      </w:r>
    </w:p>
    <w:p w14:paraId="6099A226" w14:textId="608007B0" w:rsidR="00625C67" w:rsidRDefault="00625C67" w:rsidP="00412911">
      <w:pPr>
        <w:pStyle w:val="Heading2"/>
      </w:pPr>
      <w:bookmarkStart w:id="32" w:name="_Toc476912084"/>
      <w:r>
        <w:t>E-GRANT services hosting and technical operations</w:t>
      </w:r>
      <w:bookmarkEnd w:id="32"/>
    </w:p>
    <w:p w14:paraId="2AB3E1A0" w14:textId="162C7811" w:rsidR="00625C67" w:rsidRDefault="00625C67" w:rsidP="00625C67">
      <w:r>
        <w:t>This activity provides the technical services (hosting and maintenance) for the resource allocation and long tail of science. This is an unfunded activity.</w:t>
      </w:r>
    </w:p>
    <w:p w14:paraId="51E3862C" w14:textId="6D87EB39" w:rsidR="00625C67" w:rsidRDefault="00625C67" w:rsidP="00625C67">
      <w:r w:rsidRPr="00B35C6A">
        <w:rPr>
          <w:b/>
        </w:rPr>
        <w:t>Provider</w:t>
      </w:r>
      <w:r>
        <w:t>: CYFRONET</w:t>
      </w:r>
    </w:p>
    <w:p w14:paraId="0B4C6FA3" w14:textId="1AA93F78" w:rsidR="00625C67" w:rsidRDefault="00625C67" w:rsidP="00625C67">
      <w:r>
        <w:t xml:space="preserve">The activity has achieved all the targets both for A/R </w:t>
      </w:r>
      <w:r w:rsidR="00B35C6A">
        <w:t xml:space="preserve">figures </w:t>
      </w:r>
      <w:r>
        <w:t xml:space="preserve">and </w:t>
      </w:r>
      <w:proofErr w:type="spellStart"/>
      <w:r>
        <w:t>QoS</w:t>
      </w:r>
      <w:proofErr w:type="spellEnd"/>
      <w:r>
        <w:t xml:space="preserve">. </w:t>
      </w:r>
    </w:p>
    <w:p w14:paraId="1735298E" w14:textId="1F25FEE1" w:rsidR="00625C67" w:rsidRPr="00625C67" w:rsidRDefault="00625C67" w:rsidP="00625C67">
      <w:r w:rsidRPr="00B35C6A">
        <w:rPr>
          <w:b/>
        </w:rPr>
        <w:t>Achieved target</w:t>
      </w:r>
      <w:r w:rsidRPr="00600846">
        <w:t xml:space="preserve">: </w:t>
      </w:r>
      <w:r>
        <w:t>Yes</w:t>
      </w:r>
    </w:p>
    <w:p w14:paraId="26070D22" w14:textId="778F9ED3" w:rsidR="00412911" w:rsidRDefault="00412911" w:rsidP="00412911">
      <w:pPr>
        <w:pStyle w:val="Heading2"/>
      </w:pPr>
      <w:bookmarkStart w:id="33" w:name="_Toc476912085"/>
      <w:proofErr w:type="spellStart"/>
      <w:r>
        <w:t>AppDB</w:t>
      </w:r>
      <w:bookmarkEnd w:id="33"/>
      <w:proofErr w:type="spellEnd"/>
    </w:p>
    <w:p w14:paraId="2328C398" w14:textId="30D3454B" w:rsidR="00412911" w:rsidRPr="00412911" w:rsidRDefault="00412911" w:rsidP="00412911">
      <w:r>
        <w:t>This activity provides the EGI Applications Database (</w:t>
      </w:r>
      <w:proofErr w:type="spellStart"/>
      <w:r>
        <w:t>AppDB</w:t>
      </w:r>
      <w:proofErr w:type="spellEnd"/>
      <w:r>
        <w:t xml:space="preserve">), which is a central service that provides information on virtual appliances and application software available in the EGI Infrastructure. </w:t>
      </w:r>
    </w:p>
    <w:p w14:paraId="57592605" w14:textId="0FAFCD64" w:rsidR="00412911" w:rsidRDefault="00412911" w:rsidP="00412911">
      <w:r w:rsidRPr="00F2796E">
        <w:rPr>
          <w:b/>
        </w:rPr>
        <w:t>Provider</w:t>
      </w:r>
      <w:r w:rsidRPr="00600846">
        <w:t xml:space="preserve">: </w:t>
      </w:r>
      <w:r>
        <w:t>GRNET</w:t>
      </w:r>
      <w:r w:rsidR="00B6708D">
        <w:t>.</w:t>
      </w:r>
    </w:p>
    <w:p w14:paraId="420A73BF" w14:textId="40F0A6E2" w:rsidR="00412911" w:rsidRDefault="00412911" w:rsidP="00F2796E">
      <w:r>
        <w:t>The activity has achieved all the targets both for A/R</w:t>
      </w:r>
      <w:r w:rsidR="00F2796E">
        <w:t xml:space="preserve"> figures and </w:t>
      </w:r>
      <w:proofErr w:type="spellStart"/>
      <w:r w:rsidR="00F2796E">
        <w:t>QoS</w:t>
      </w:r>
      <w:proofErr w:type="spellEnd"/>
      <w:r w:rsidR="00F2796E">
        <w:t>, with the exception of October, when it occurred an unexpected power cut (&gt;6h long) with an impact to the entire University campus: the consequence was an unscheduled downtime, but the services where back online within the same day.</w:t>
      </w:r>
    </w:p>
    <w:p w14:paraId="121469C2" w14:textId="66672C06" w:rsidR="00412911" w:rsidRPr="00600846" w:rsidRDefault="00412911" w:rsidP="00412911">
      <w:r w:rsidRPr="00F2796E">
        <w:rPr>
          <w:b/>
        </w:rPr>
        <w:t>Achieved target</w:t>
      </w:r>
      <w:r w:rsidRPr="00600846">
        <w:t>:</w:t>
      </w:r>
      <w:r>
        <w:t xml:space="preserve"> Yes</w:t>
      </w:r>
      <w:r w:rsidRPr="00600846">
        <w:t xml:space="preserve"> </w:t>
      </w:r>
      <w:r w:rsidR="00F2796E">
        <w:t>with exceptions</w:t>
      </w:r>
      <w:r w:rsidR="00B6708D">
        <w:t>.</w:t>
      </w:r>
    </w:p>
    <w:p w14:paraId="3033290B" w14:textId="34792180" w:rsidR="002353FC" w:rsidRPr="00600846" w:rsidRDefault="002353FC" w:rsidP="00412911">
      <w:pPr>
        <w:pStyle w:val="Heading2"/>
        <w:numPr>
          <w:ilvl w:val="0"/>
          <w:numId w:val="0"/>
        </w:numPr>
        <w:ind w:left="576"/>
      </w:pPr>
    </w:p>
    <w:sectPr w:rsidR="002353FC" w:rsidRPr="00600846" w:rsidSect="004538FB">
      <w:footerReference w:type="default" r:id="rId10"/>
      <w:type w:val="continuous"/>
      <w:pgSz w:w="11907" w:h="16839" w:code="9"/>
      <w:pgMar w:top="1134" w:right="992" w:bottom="851" w:left="1134" w:header="708" w:footer="1" w:gutter="0"/>
      <w:cols w:space="709"/>
      <w:docGrid w:linePitch="299"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1609B" w14:textId="77777777" w:rsidR="00902AA0" w:rsidRDefault="00902AA0" w:rsidP="002940E4">
      <w:r>
        <w:separator/>
      </w:r>
    </w:p>
  </w:endnote>
  <w:endnote w:type="continuationSeparator" w:id="0">
    <w:p w14:paraId="78B47E70" w14:textId="77777777" w:rsidR="00902AA0" w:rsidRDefault="00902AA0" w:rsidP="0029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83191"/>
      <w:docPartObj>
        <w:docPartGallery w:val="Page Numbers (Bottom of Page)"/>
        <w:docPartUnique/>
      </w:docPartObj>
    </w:sdtPr>
    <w:sdtEndPr>
      <w:rPr>
        <w:noProof/>
      </w:rPr>
    </w:sdtEndPr>
    <w:sdtContent>
      <w:p w14:paraId="0E8F9A45" w14:textId="77777777" w:rsidR="00902AA0" w:rsidRDefault="00902AA0" w:rsidP="002940E4">
        <w:pPr>
          <w:pStyle w:val="Footer"/>
        </w:pPr>
        <w:r>
          <w:fldChar w:fldCharType="begin"/>
        </w:r>
        <w:r>
          <w:instrText xml:space="preserve"> PAGE   \* MERGEFORMAT </w:instrText>
        </w:r>
        <w:r>
          <w:fldChar w:fldCharType="separate"/>
        </w:r>
        <w:r w:rsidR="00494338">
          <w:rPr>
            <w:noProof/>
          </w:rPr>
          <w:t>2</w:t>
        </w:r>
        <w:r>
          <w:rPr>
            <w:noProof/>
          </w:rPr>
          <w:fldChar w:fldCharType="end"/>
        </w:r>
      </w:p>
    </w:sdtContent>
  </w:sdt>
  <w:p w14:paraId="361E11D3" w14:textId="77777777" w:rsidR="00902AA0" w:rsidRPr="00686506" w:rsidRDefault="00902AA0" w:rsidP="002940E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09D8D" w14:textId="77777777" w:rsidR="00902AA0" w:rsidRDefault="00902AA0" w:rsidP="002940E4">
      <w:r>
        <w:separator/>
      </w:r>
    </w:p>
  </w:footnote>
  <w:footnote w:type="continuationSeparator" w:id="0">
    <w:p w14:paraId="204A9174" w14:textId="77777777" w:rsidR="00902AA0" w:rsidRDefault="00902AA0" w:rsidP="002940E4">
      <w:r>
        <w:continuationSeparator/>
      </w:r>
    </w:p>
  </w:footnote>
  <w:footnote w:id="1">
    <w:p w14:paraId="2F049176" w14:textId="35CF0BC8" w:rsidR="00902AA0" w:rsidRPr="004F498E" w:rsidRDefault="00902AA0" w:rsidP="002940E4">
      <w:pPr>
        <w:pStyle w:val="FootnoteText"/>
        <w:rPr>
          <w:sz w:val="15"/>
          <w:szCs w:val="15"/>
        </w:rPr>
      </w:pPr>
      <w:r>
        <w:rPr>
          <w:rStyle w:val="FootnoteReference"/>
        </w:rPr>
        <w:footnoteRef/>
      </w:r>
      <w:r>
        <w:t xml:space="preserve"> </w:t>
      </w:r>
      <w:hyperlink r:id="rId1" w:history="1">
        <w:r w:rsidRPr="004F498E">
          <w:rPr>
            <w:rStyle w:val="Hyperlink"/>
            <w:sz w:val="15"/>
            <w:szCs w:val="15"/>
          </w:rPr>
          <w:t>https://documents.egi.eu/document/3043</w:t>
        </w:r>
      </w:hyperlink>
    </w:p>
  </w:footnote>
  <w:footnote w:id="2">
    <w:p w14:paraId="3C77A149" w14:textId="4795211E" w:rsidR="00902AA0" w:rsidRPr="00FB5FDD" w:rsidRDefault="00902AA0" w:rsidP="002940E4">
      <w:pPr>
        <w:pStyle w:val="FootnoteText"/>
        <w:rPr>
          <w:lang w:val="en-US"/>
        </w:rPr>
      </w:pPr>
      <w:r>
        <w:rPr>
          <w:rStyle w:val="FootnoteReference"/>
        </w:rPr>
        <w:footnoteRef/>
      </w:r>
      <w:r>
        <w:t xml:space="preserve"> </w:t>
      </w:r>
      <w:hyperlink r:id="rId2" w:history="1">
        <w:r w:rsidRPr="000F6496">
          <w:rPr>
            <w:rStyle w:val="Hyperlink"/>
            <w:sz w:val="15"/>
            <w:szCs w:val="15"/>
          </w:rPr>
          <w:t>https://documents.egi.eu/document/2770</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432" w:hanging="432"/>
      </w:pPr>
    </w:lvl>
    <w:lvl w:ilvl="1">
      <w:start w:val="1"/>
      <w:numFmt w:val="decimal"/>
      <w:lvlText w:val="%1.%2"/>
      <w:lvlJc w:val="left"/>
      <w:pPr>
        <w:tabs>
          <w:tab w:val="num" w:pos="3261"/>
        </w:tabs>
        <w:ind w:left="3837"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1B4F4B54"/>
    <w:multiLevelType w:val="hybridMultilevel"/>
    <w:tmpl w:val="8D7E8C58"/>
    <w:lvl w:ilvl="0" w:tplc="AFBC68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8507BD"/>
    <w:multiLevelType w:val="multilevel"/>
    <w:tmpl w:val="41EC7F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A2D2952"/>
    <w:multiLevelType w:val="multilevel"/>
    <w:tmpl w:val="C774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5E36BF"/>
    <w:multiLevelType w:val="hybridMultilevel"/>
    <w:tmpl w:val="1B5871B4"/>
    <w:lvl w:ilvl="0" w:tplc="D1D0B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1F44F1"/>
    <w:multiLevelType w:val="multilevel"/>
    <w:tmpl w:val="0A20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CB22FA"/>
    <w:multiLevelType w:val="hybridMultilevel"/>
    <w:tmpl w:val="0720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7"/>
  </w:num>
  <w:num w:numId="5">
    <w:abstractNumId w:val="6"/>
  </w:num>
  <w:num w:numId="6">
    <w:abstractNumId w:val="4"/>
  </w:num>
  <w:num w:numId="7">
    <w:abstractNumId w:val="0"/>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style="mso-position-horizontal-relative:page;mso-position-vertical-relative:page" o:allowincell="f" o:allowoverlap="f"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DC"/>
    <w:rsid w:val="000039F4"/>
    <w:rsid w:val="00003CE4"/>
    <w:rsid w:val="000047E3"/>
    <w:rsid w:val="00006706"/>
    <w:rsid w:val="000069BB"/>
    <w:rsid w:val="00007BE3"/>
    <w:rsid w:val="00011E50"/>
    <w:rsid w:val="00017C1C"/>
    <w:rsid w:val="00020466"/>
    <w:rsid w:val="00023AE9"/>
    <w:rsid w:val="00023C57"/>
    <w:rsid w:val="00024D62"/>
    <w:rsid w:val="000273CC"/>
    <w:rsid w:val="00027EE3"/>
    <w:rsid w:val="000323DB"/>
    <w:rsid w:val="00032B5E"/>
    <w:rsid w:val="00034961"/>
    <w:rsid w:val="00035067"/>
    <w:rsid w:val="00037E2E"/>
    <w:rsid w:val="00043097"/>
    <w:rsid w:val="000438F9"/>
    <w:rsid w:val="00044D11"/>
    <w:rsid w:val="00046CE0"/>
    <w:rsid w:val="000472E9"/>
    <w:rsid w:val="00053452"/>
    <w:rsid w:val="00053DB7"/>
    <w:rsid w:val="0005522E"/>
    <w:rsid w:val="00060024"/>
    <w:rsid w:val="00060553"/>
    <w:rsid w:val="0006112C"/>
    <w:rsid w:val="00063AA8"/>
    <w:rsid w:val="00064AC3"/>
    <w:rsid w:val="00066C82"/>
    <w:rsid w:val="000731AE"/>
    <w:rsid w:val="00080FB8"/>
    <w:rsid w:val="0008254E"/>
    <w:rsid w:val="0008451E"/>
    <w:rsid w:val="0008512A"/>
    <w:rsid w:val="00085352"/>
    <w:rsid w:val="000876F8"/>
    <w:rsid w:val="000908CC"/>
    <w:rsid w:val="00091895"/>
    <w:rsid w:val="00091C73"/>
    <w:rsid w:val="00093694"/>
    <w:rsid w:val="0009392F"/>
    <w:rsid w:val="000950A8"/>
    <w:rsid w:val="00095991"/>
    <w:rsid w:val="000A1958"/>
    <w:rsid w:val="000A1B93"/>
    <w:rsid w:val="000A232A"/>
    <w:rsid w:val="000A55BE"/>
    <w:rsid w:val="000A569C"/>
    <w:rsid w:val="000A6C91"/>
    <w:rsid w:val="000A7BAF"/>
    <w:rsid w:val="000B3D05"/>
    <w:rsid w:val="000B4878"/>
    <w:rsid w:val="000C0DF3"/>
    <w:rsid w:val="000C549B"/>
    <w:rsid w:val="000C6FB3"/>
    <w:rsid w:val="000D22F7"/>
    <w:rsid w:val="000D3071"/>
    <w:rsid w:val="000E0DAF"/>
    <w:rsid w:val="000E4FA4"/>
    <w:rsid w:val="000F099D"/>
    <w:rsid w:val="000F1534"/>
    <w:rsid w:val="000F2E7D"/>
    <w:rsid w:val="000F52C0"/>
    <w:rsid w:val="000F6496"/>
    <w:rsid w:val="000F66B6"/>
    <w:rsid w:val="001005A9"/>
    <w:rsid w:val="001014B4"/>
    <w:rsid w:val="00101DCF"/>
    <w:rsid w:val="0010218F"/>
    <w:rsid w:val="001031B5"/>
    <w:rsid w:val="00105DF8"/>
    <w:rsid w:val="00106B8D"/>
    <w:rsid w:val="00111E78"/>
    <w:rsid w:val="001120F5"/>
    <w:rsid w:val="0011270E"/>
    <w:rsid w:val="00113CFF"/>
    <w:rsid w:val="001143FA"/>
    <w:rsid w:val="0012079A"/>
    <w:rsid w:val="00121238"/>
    <w:rsid w:val="00121FB9"/>
    <w:rsid w:val="001220CE"/>
    <w:rsid w:val="00122285"/>
    <w:rsid w:val="00125318"/>
    <w:rsid w:val="00125E86"/>
    <w:rsid w:val="00131938"/>
    <w:rsid w:val="001323FD"/>
    <w:rsid w:val="00132B77"/>
    <w:rsid w:val="00132CE4"/>
    <w:rsid w:val="001334F2"/>
    <w:rsid w:val="00135B2A"/>
    <w:rsid w:val="0013767B"/>
    <w:rsid w:val="001428B3"/>
    <w:rsid w:val="00144FB3"/>
    <w:rsid w:val="00144FE6"/>
    <w:rsid w:val="00145221"/>
    <w:rsid w:val="0015162D"/>
    <w:rsid w:val="0015251D"/>
    <w:rsid w:val="00155EEB"/>
    <w:rsid w:val="00157CC8"/>
    <w:rsid w:val="00160E0B"/>
    <w:rsid w:val="00162809"/>
    <w:rsid w:val="001651B5"/>
    <w:rsid w:val="00170F07"/>
    <w:rsid w:val="001711D2"/>
    <w:rsid w:val="0017393F"/>
    <w:rsid w:val="001753F8"/>
    <w:rsid w:val="001765ED"/>
    <w:rsid w:val="00177545"/>
    <w:rsid w:val="00181D58"/>
    <w:rsid w:val="001824F3"/>
    <w:rsid w:val="001826FE"/>
    <w:rsid w:val="00187DFE"/>
    <w:rsid w:val="0019057E"/>
    <w:rsid w:val="00194790"/>
    <w:rsid w:val="00195352"/>
    <w:rsid w:val="0019632C"/>
    <w:rsid w:val="00197471"/>
    <w:rsid w:val="00197CBC"/>
    <w:rsid w:val="001A0ABD"/>
    <w:rsid w:val="001A0B44"/>
    <w:rsid w:val="001A4CDC"/>
    <w:rsid w:val="001A6473"/>
    <w:rsid w:val="001B31EB"/>
    <w:rsid w:val="001B3CC9"/>
    <w:rsid w:val="001B5BFD"/>
    <w:rsid w:val="001B67F1"/>
    <w:rsid w:val="001B73D1"/>
    <w:rsid w:val="001C0F71"/>
    <w:rsid w:val="001C10DC"/>
    <w:rsid w:val="001C1507"/>
    <w:rsid w:val="001C2A87"/>
    <w:rsid w:val="001C693D"/>
    <w:rsid w:val="001C7A1F"/>
    <w:rsid w:val="001D079C"/>
    <w:rsid w:val="001D58F8"/>
    <w:rsid w:val="001E1BB1"/>
    <w:rsid w:val="001E29DE"/>
    <w:rsid w:val="001E387D"/>
    <w:rsid w:val="001E3D98"/>
    <w:rsid w:val="001E46C1"/>
    <w:rsid w:val="001E560E"/>
    <w:rsid w:val="001E66B4"/>
    <w:rsid w:val="001E70C1"/>
    <w:rsid w:val="001E73B3"/>
    <w:rsid w:val="001F0813"/>
    <w:rsid w:val="00201186"/>
    <w:rsid w:val="00203345"/>
    <w:rsid w:val="00205D56"/>
    <w:rsid w:val="002062DA"/>
    <w:rsid w:val="00212FC8"/>
    <w:rsid w:val="0021395F"/>
    <w:rsid w:val="00215E41"/>
    <w:rsid w:val="00215E8F"/>
    <w:rsid w:val="00217C87"/>
    <w:rsid w:val="002200D1"/>
    <w:rsid w:val="00221F9D"/>
    <w:rsid w:val="0022750A"/>
    <w:rsid w:val="00234784"/>
    <w:rsid w:val="002353FC"/>
    <w:rsid w:val="0024155B"/>
    <w:rsid w:val="002428E6"/>
    <w:rsid w:val="00245111"/>
    <w:rsid w:val="00250679"/>
    <w:rsid w:val="00251495"/>
    <w:rsid w:val="002518AB"/>
    <w:rsid w:val="0025322D"/>
    <w:rsid w:val="002532D4"/>
    <w:rsid w:val="00267387"/>
    <w:rsid w:val="002678A6"/>
    <w:rsid w:val="00272807"/>
    <w:rsid w:val="0027504B"/>
    <w:rsid w:val="00275946"/>
    <w:rsid w:val="002779EF"/>
    <w:rsid w:val="00283B74"/>
    <w:rsid w:val="002845A5"/>
    <w:rsid w:val="002940E4"/>
    <w:rsid w:val="00297F36"/>
    <w:rsid w:val="002A113A"/>
    <w:rsid w:val="002A2DB4"/>
    <w:rsid w:val="002A6CDB"/>
    <w:rsid w:val="002A7B48"/>
    <w:rsid w:val="002B062B"/>
    <w:rsid w:val="002B0830"/>
    <w:rsid w:val="002B1400"/>
    <w:rsid w:val="002B333D"/>
    <w:rsid w:val="002B4940"/>
    <w:rsid w:val="002B496C"/>
    <w:rsid w:val="002B6457"/>
    <w:rsid w:val="002C460D"/>
    <w:rsid w:val="002C50A7"/>
    <w:rsid w:val="002C7F28"/>
    <w:rsid w:val="002D287A"/>
    <w:rsid w:val="002D6290"/>
    <w:rsid w:val="002D6835"/>
    <w:rsid w:val="002E3AD5"/>
    <w:rsid w:val="002E4575"/>
    <w:rsid w:val="002E6E0E"/>
    <w:rsid w:val="002F3DE3"/>
    <w:rsid w:val="002F63A4"/>
    <w:rsid w:val="002F686B"/>
    <w:rsid w:val="002F7B61"/>
    <w:rsid w:val="002F7F8D"/>
    <w:rsid w:val="003012DF"/>
    <w:rsid w:val="00301FCB"/>
    <w:rsid w:val="003115C3"/>
    <w:rsid w:val="00311A34"/>
    <w:rsid w:val="00312142"/>
    <w:rsid w:val="00315619"/>
    <w:rsid w:val="00317381"/>
    <w:rsid w:val="00320F9E"/>
    <w:rsid w:val="00326260"/>
    <w:rsid w:val="003307BD"/>
    <w:rsid w:val="00334A4D"/>
    <w:rsid w:val="00334E94"/>
    <w:rsid w:val="00336F3C"/>
    <w:rsid w:val="00340605"/>
    <w:rsid w:val="003412E7"/>
    <w:rsid w:val="0034289F"/>
    <w:rsid w:val="003433A9"/>
    <w:rsid w:val="0035476A"/>
    <w:rsid w:val="00357B4C"/>
    <w:rsid w:val="00360B97"/>
    <w:rsid w:val="003622C5"/>
    <w:rsid w:val="003624F7"/>
    <w:rsid w:val="00373935"/>
    <w:rsid w:val="003739F9"/>
    <w:rsid w:val="003846C9"/>
    <w:rsid w:val="00385FFB"/>
    <w:rsid w:val="00390277"/>
    <w:rsid w:val="003911F9"/>
    <w:rsid w:val="00394BC4"/>
    <w:rsid w:val="003A0C58"/>
    <w:rsid w:val="003A1335"/>
    <w:rsid w:val="003A6972"/>
    <w:rsid w:val="003B1B7C"/>
    <w:rsid w:val="003B268E"/>
    <w:rsid w:val="003B386F"/>
    <w:rsid w:val="003B3C95"/>
    <w:rsid w:val="003B4BBB"/>
    <w:rsid w:val="003B4D2D"/>
    <w:rsid w:val="003B7441"/>
    <w:rsid w:val="003C551E"/>
    <w:rsid w:val="003C5DCD"/>
    <w:rsid w:val="003C617A"/>
    <w:rsid w:val="003C6334"/>
    <w:rsid w:val="003C7CB0"/>
    <w:rsid w:val="003D5CA3"/>
    <w:rsid w:val="003E06B8"/>
    <w:rsid w:val="003E5627"/>
    <w:rsid w:val="003F2C86"/>
    <w:rsid w:val="003F3325"/>
    <w:rsid w:val="003F5DFD"/>
    <w:rsid w:val="003F63AF"/>
    <w:rsid w:val="00400257"/>
    <w:rsid w:val="00402B9F"/>
    <w:rsid w:val="00402E4D"/>
    <w:rsid w:val="00403F64"/>
    <w:rsid w:val="00404D14"/>
    <w:rsid w:val="004053B9"/>
    <w:rsid w:val="004070A2"/>
    <w:rsid w:val="004128C2"/>
    <w:rsid w:val="00412911"/>
    <w:rsid w:val="00412FA2"/>
    <w:rsid w:val="00413744"/>
    <w:rsid w:val="00415909"/>
    <w:rsid w:val="00415AB9"/>
    <w:rsid w:val="0041637F"/>
    <w:rsid w:val="00417046"/>
    <w:rsid w:val="004171FD"/>
    <w:rsid w:val="0042189D"/>
    <w:rsid w:val="00424DCA"/>
    <w:rsid w:val="004262F2"/>
    <w:rsid w:val="00430992"/>
    <w:rsid w:val="0043266E"/>
    <w:rsid w:val="00435F5F"/>
    <w:rsid w:val="0044676F"/>
    <w:rsid w:val="0044759E"/>
    <w:rsid w:val="00447C3B"/>
    <w:rsid w:val="00450F10"/>
    <w:rsid w:val="004515DD"/>
    <w:rsid w:val="004538FB"/>
    <w:rsid w:val="00460773"/>
    <w:rsid w:val="004645A8"/>
    <w:rsid w:val="004721DF"/>
    <w:rsid w:val="00474ECD"/>
    <w:rsid w:val="00475CA2"/>
    <w:rsid w:val="00480F25"/>
    <w:rsid w:val="00482E4E"/>
    <w:rsid w:val="00486F64"/>
    <w:rsid w:val="00491E0A"/>
    <w:rsid w:val="00492B2A"/>
    <w:rsid w:val="00494338"/>
    <w:rsid w:val="004A02AD"/>
    <w:rsid w:val="004A07CA"/>
    <w:rsid w:val="004A2E01"/>
    <w:rsid w:val="004A3855"/>
    <w:rsid w:val="004A7226"/>
    <w:rsid w:val="004B0F01"/>
    <w:rsid w:val="004B1EE3"/>
    <w:rsid w:val="004B3754"/>
    <w:rsid w:val="004C0A78"/>
    <w:rsid w:val="004C5E59"/>
    <w:rsid w:val="004C653C"/>
    <w:rsid w:val="004D418C"/>
    <w:rsid w:val="004D5536"/>
    <w:rsid w:val="004D5CE5"/>
    <w:rsid w:val="004D674E"/>
    <w:rsid w:val="004D7929"/>
    <w:rsid w:val="004E25BF"/>
    <w:rsid w:val="004E4C76"/>
    <w:rsid w:val="004E4F16"/>
    <w:rsid w:val="004E7993"/>
    <w:rsid w:val="004F1CDC"/>
    <w:rsid w:val="004F2530"/>
    <w:rsid w:val="004F498E"/>
    <w:rsid w:val="004F5F2C"/>
    <w:rsid w:val="004F621E"/>
    <w:rsid w:val="00500638"/>
    <w:rsid w:val="005013DB"/>
    <w:rsid w:val="00501A20"/>
    <w:rsid w:val="00502D1D"/>
    <w:rsid w:val="00503689"/>
    <w:rsid w:val="005040E5"/>
    <w:rsid w:val="00505149"/>
    <w:rsid w:val="005168A9"/>
    <w:rsid w:val="00517124"/>
    <w:rsid w:val="0051787F"/>
    <w:rsid w:val="0052615A"/>
    <w:rsid w:val="00526D5B"/>
    <w:rsid w:val="005353F8"/>
    <w:rsid w:val="00543317"/>
    <w:rsid w:val="00547B11"/>
    <w:rsid w:val="0055310F"/>
    <w:rsid w:val="00556501"/>
    <w:rsid w:val="00557E50"/>
    <w:rsid w:val="00560F81"/>
    <w:rsid w:val="00562BE1"/>
    <w:rsid w:val="0057144D"/>
    <w:rsid w:val="00572502"/>
    <w:rsid w:val="00572E74"/>
    <w:rsid w:val="005846E5"/>
    <w:rsid w:val="005875D1"/>
    <w:rsid w:val="005904E8"/>
    <w:rsid w:val="005927C7"/>
    <w:rsid w:val="005B274B"/>
    <w:rsid w:val="005C2897"/>
    <w:rsid w:val="005C4203"/>
    <w:rsid w:val="005C4AFA"/>
    <w:rsid w:val="005C65C4"/>
    <w:rsid w:val="005D2A86"/>
    <w:rsid w:val="005E0200"/>
    <w:rsid w:val="005E0548"/>
    <w:rsid w:val="005E168A"/>
    <w:rsid w:val="005E4593"/>
    <w:rsid w:val="005E607F"/>
    <w:rsid w:val="005E76FA"/>
    <w:rsid w:val="005F6BE4"/>
    <w:rsid w:val="005F789E"/>
    <w:rsid w:val="00600846"/>
    <w:rsid w:val="00606AA6"/>
    <w:rsid w:val="00607E74"/>
    <w:rsid w:val="00610EAE"/>
    <w:rsid w:val="00610FCF"/>
    <w:rsid w:val="00612540"/>
    <w:rsid w:val="00612EEC"/>
    <w:rsid w:val="0061458B"/>
    <w:rsid w:val="00616D3F"/>
    <w:rsid w:val="0062435C"/>
    <w:rsid w:val="00624ECB"/>
    <w:rsid w:val="00625AD6"/>
    <w:rsid w:val="00625C67"/>
    <w:rsid w:val="00634369"/>
    <w:rsid w:val="0063699E"/>
    <w:rsid w:val="00636A33"/>
    <w:rsid w:val="00637577"/>
    <w:rsid w:val="00637975"/>
    <w:rsid w:val="00646700"/>
    <w:rsid w:val="00646FEB"/>
    <w:rsid w:val="00651C1E"/>
    <w:rsid w:val="00651FC8"/>
    <w:rsid w:val="0065523D"/>
    <w:rsid w:val="00657E61"/>
    <w:rsid w:val="006649C1"/>
    <w:rsid w:val="00665090"/>
    <w:rsid w:val="00666936"/>
    <w:rsid w:val="006677F7"/>
    <w:rsid w:val="00667BEE"/>
    <w:rsid w:val="00670C31"/>
    <w:rsid w:val="00670C55"/>
    <w:rsid w:val="0067165D"/>
    <w:rsid w:val="006739F3"/>
    <w:rsid w:val="006810E3"/>
    <w:rsid w:val="0068401E"/>
    <w:rsid w:val="006844B7"/>
    <w:rsid w:val="00685D94"/>
    <w:rsid w:val="006860DF"/>
    <w:rsid w:val="00686506"/>
    <w:rsid w:val="00690652"/>
    <w:rsid w:val="006966A9"/>
    <w:rsid w:val="00696F3D"/>
    <w:rsid w:val="006A4F58"/>
    <w:rsid w:val="006B0805"/>
    <w:rsid w:val="006B089B"/>
    <w:rsid w:val="006B0961"/>
    <w:rsid w:val="006B0962"/>
    <w:rsid w:val="006B3E8C"/>
    <w:rsid w:val="006B7A64"/>
    <w:rsid w:val="006B7AAA"/>
    <w:rsid w:val="006C1181"/>
    <w:rsid w:val="006C1DA9"/>
    <w:rsid w:val="006C45CF"/>
    <w:rsid w:val="006C49D1"/>
    <w:rsid w:val="006C5433"/>
    <w:rsid w:val="006C6817"/>
    <w:rsid w:val="006D0668"/>
    <w:rsid w:val="006D48BA"/>
    <w:rsid w:val="006D4E93"/>
    <w:rsid w:val="006D79F5"/>
    <w:rsid w:val="006E1FAC"/>
    <w:rsid w:val="006E341A"/>
    <w:rsid w:val="006E7353"/>
    <w:rsid w:val="006E7D15"/>
    <w:rsid w:val="006F1B95"/>
    <w:rsid w:val="006F278B"/>
    <w:rsid w:val="006F27A2"/>
    <w:rsid w:val="006F36F7"/>
    <w:rsid w:val="006F3DA2"/>
    <w:rsid w:val="006F5E56"/>
    <w:rsid w:val="006F771F"/>
    <w:rsid w:val="007023A0"/>
    <w:rsid w:val="00704B75"/>
    <w:rsid w:val="00705F0E"/>
    <w:rsid w:val="007078FD"/>
    <w:rsid w:val="0071052E"/>
    <w:rsid w:val="007118E9"/>
    <w:rsid w:val="0073556B"/>
    <w:rsid w:val="00735946"/>
    <w:rsid w:val="007368F1"/>
    <w:rsid w:val="00742B69"/>
    <w:rsid w:val="0074396F"/>
    <w:rsid w:val="007444CB"/>
    <w:rsid w:val="0074590F"/>
    <w:rsid w:val="00751437"/>
    <w:rsid w:val="007517A9"/>
    <w:rsid w:val="0075427D"/>
    <w:rsid w:val="00756106"/>
    <w:rsid w:val="00760C02"/>
    <w:rsid w:val="00766896"/>
    <w:rsid w:val="00767EA5"/>
    <w:rsid w:val="007712C3"/>
    <w:rsid w:val="00772B60"/>
    <w:rsid w:val="00773DDB"/>
    <w:rsid w:val="00775668"/>
    <w:rsid w:val="007757F7"/>
    <w:rsid w:val="0077593C"/>
    <w:rsid w:val="00776416"/>
    <w:rsid w:val="00776B3B"/>
    <w:rsid w:val="00780C36"/>
    <w:rsid w:val="0078118E"/>
    <w:rsid w:val="00782D62"/>
    <w:rsid w:val="00783A93"/>
    <w:rsid w:val="007850FB"/>
    <w:rsid w:val="007A0F5A"/>
    <w:rsid w:val="007A20C2"/>
    <w:rsid w:val="007A2C8F"/>
    <w:rsid w:val="007A3578"/>
    <w:rsid w:val="007A5A72"/>
    <w:rsid w:val="007B22DE"/>
    <w:rsid w:val="007B7941"/>
    <w:rsid w:val="007C1F66"/>
    <w:rsid w:val="007C6CCE"/>
    <w:rsid w:val="007C7BB0"/>
    <w:rsid w:val="007D1E7F"/>
    <w:rsid w:val="007D2A0D"/>
    <w:rsid w:val="007D4E4D"/>
    <w:rsid w:val="007D6694"/>
    <w:rsid w:val="007E16BA"/>
    <w:rsid w:val="007E1EFF"/>
    <w:rsid w:val="007E2EE4"/>
    <w:rsid w:val="007E325D"/>
    <w:rsid w:val="007E375F"/>
    <w:rsid w:val="007E455C"/>
    <w:rsid w:val="007E4810"/>
    <w:rsid w:val="007E56EC"/>
    <w:rsid w:val="007E6FD2"/>
    <w:rsid w:val="007F206B"/>
    <w:rsid w:val="007F262C"/>
    <w:rsid w:val="007F3703"/>
    <w:rsid w:val="007F4C0A"/>
    <w:rsid w:val="00801883"/>
    <w:rsid w:val="00802141"/>
    <w:rsid w:val="00804A81"/>
    <w:rsid w:val="00807B9E"/>
    <w:rsid w:val="0081084B"/>
    <w:rsid w:val="0081793D"/>
    <w:rsid w:val="00820B4E"/>
    <w:rsid w:val="008245B3"/>
    <w:rsid w:val="00827C3C"/>
    <w:rsid w:val="00832398"/>
    <w:rsid w:val="0083358C"/>
    <w:rsid w:val="0083471B"/>
    <w:rsid w:val="00834FB2"/>
    <w:rsid w:val="00836E8D"/>
    <w:rsid w:val="00841371"/>
    <w:rsid w:val="008443D7"/>
    <w:rsid w:val="008517CC"/>
    <w:rsid w:val="00856A93"/>
    <w:rsid w:val="00862283"/>
    <w:rsid w:val="008642DB"/>
    <w:rsid w:val="0086706B"/>
    <w:rsid w:val="00871098"/>
    <w:rsid w:val="008816D2"/>
    <w:rsid w:val="0088627F"/>
    <w:rsid w:val="008864ED"/>
    <w:rsid w:val="00890DE6"/>
    <w:rsid w:val="00891106"/>
    <w:rsid w:val="008934D7"/>
    <w:rsid w:val="008939A6"/>
    <w:rsid w:val="008A2E1F"/>
    <w:rsid w:val="008A5CFE"/>
    <w:rsid w:val="008A6FB6"/>
    <w:rsid w:val="008A7AEA"/>
    <w:rsid w:val="008B0A07"/>
    <w:rsid w:val="008B471E"/>
    <w:rsid w:val="008C1549"/>
    <w:rsid w:val="008C1C87"/>
    <w:rsid w:val="008C2FD0"/>
    <w:rsid w:val="008C4FE6"/>
    <w:rsid w:val="008C59DE"/>
    <w:rsid w:val="008D1BD2"/>
    <w:rsid w:val="008E32DF"/>
    <w:rsid w:val="008E779B"/>
    <w:rsid w:val="008F2C4B"/>
    <w:rsid w:val="008F3B5E"/>
    <w:rsid w:val="008F630C"/>
    <w:rsid w:val="00900771"/>
    <w:rsid w:val="00902AA0"/>
    <w:rsid w:val="009068CC"/>
    <w:rsid w:val="009127F3"/>
    <w:rsid w:val="00912B23"/>
    <w:rsid w:val="00916384"/>
    <w:rsid w:val="009173D5"/>
    <w:rsid w:val="00917B52"/>
    <w:rsid w:val="00921331"/>
    <w:rsid w:val="0092219C"/>
    <w:rsid w:val="00927CBA"/>
    <w:rsid w:val="00932A2F"/>
    <w:rsid w:val="00934045"/>
    <w:rsid w:val="00934099"/>
    <w:rsid w:val="00934927"/>
    <w:rsid w:val="00937293"/>
    <w:rsid w:val="00940E25"/>
    <w:rsid w:val="00943144"/>
    <w:rsid w:val="00954E67"/>
    <w:rsid w:val="00955FBA"/>
    <w:rsid w:val="00957018"/>
    <w:rsid w:val="00967447"/>
    <w:rsid w:val="00971773"/>
    <w:rsid w:val="00972F82"/>
    <w:rsid w:val="009757DC"/>
    <w:rsid w:val="0097689A"/>
    <w:rsid w:val="0098269C"/>
    <w:rsid w:val="00984E70"/>
    <w:rsid w:val="00987259"/>
    <w:rsid w:val="00987C32"/>
    <w:rsid w:val="00993804"/>
    <w:rsid w:val="009A0549"/>
    <w:rsid w:val="009A12BC"/>
    <w:rsid w:val="009A3D85"/>
    <w:rsid w:val="009B599C"/>
    <w:rsid w:val="009C2D15"/>
    <w:rsid w:val="009C497C"/>
    <w:rsid w:val="009C4C6B"/>
    <w:rsid w:val="009C50D7"/>
    <w:rsid w:val="009C73CF"/>
    <w:rsid w:val="009C7569"/>
    <w:rsid w:val="009C7BFB"/>
    <w:rsid w:val="009D0F0F"/>
    <w:rsid w:val="009D12F4"/>
    <w:rsid w:val="009D1E55"/>
    <w:rsid w:val="009D3F8C"/>
    <w:rsid w:val="009D582A"/>
    <w:rsid w:val="009D6346"/>
    <w:rsid w:val="009E21D6"/>
    <w:rsid w:val="009E4358"/>
    <w:rsid w:val="009E5B61"/>
    <w:rsid w:val="009E688C"/>
    <w:rsid w:val="009E743B"/>
    <w:rsid w:val="009F19B5"/>
    <w:rsid w:val="009F3BD9"/>
    <w:rsid w:val="009F7ABC"/>
    <w:rsid w:val="00A01615"/>
    <w:rsid w:val="00A0328A"/>
    <w:rsid w:val="00A03D2D"/>
    <w:rsid w:val="00A066F0"/>
    <w:rsid w:val="00A06B74"/>
    <w:rsid w:val="00A15311"/>
    <w:rsid w:val="00A17523"/>
    <w:rsid w:val="00A179FA"/>
    <w:rsid w:val="00A22BEE"/>
    <w:rsid w:val="00A23358"/>
    <w:rsid w:val="00A25283"/>
    <w:rsid w:val="00A25DFA"/>
    <w:rsid w:val="00A26E36"/>
    <w:rsid w:val="00A31EBB"/>
    <w:rsid w:val="00A34A7B"/>
    <w:rsid w:val="00A359FE"/>
    <w:rsid w:val="00A4024B"/>
    <w:rsid w:val="00A43103"/>
    <w:rsid w:val="00A4468E"/>
    <w:rsid w:val="00A45341"/>
    <w:rsid w:val="00A5148A"/>
    <w:rsid w:val="00A52E47"/>
    <w:rsid w:val="00A5565C"/>
    <w:rsid w:val="00A6087E"/>
    <w:rsid w:val="00A60CAA"/>
    <w:rsid w:val="00A61D21"/>
    <w:rsid w:val="00A65542"/>
    <w:rsid w:val="00A6642C"/>
    <w:rsid w:val="00A671BC"/>
    <w:rsid w:val="00A72F8A"/>
    <w:rsid w:val="00A73F1F"/>
    <w:rsid w:val="00A80785"/>
    <w:rsid w:val="00A83DAF"/>
    <w:rsid w:val="00A86250"/>
    <w:rsid w:val="00A865D6"/>
    <w:rsid w:val="00A87DEA"/>
    <w:rsid w:val="00A926FD"/>
    <w:rsid w:val="00A951B4"/>
    <w:rsid w:val="00AA43F9"/>
    <w:rsid w:val="00AB055F"/>
    <w:rsid w:val="00AB320C"/>
    <w:rsid w:val="00AB40C8"/>
    <w:rsid w:val="00AB53E6"/>
    <w:rsid w:val="00AC12CD"/>
    <w:rsid w:val="00AC149F"/>
    <w:rsid w:val="00AC19A4"/>
    <w:rsid w:val="00AC2312"/>
    <w:rsid w:val="00AC4AFF"/>
    <w:rsid w:val="00AC72ED"/>
    <w:rsid w:val="00AD0EBF"/>
    <w:rsid w:val="00AD1017"/>
    <w:rsid w:val="00AE02D8"/>
    <w:rsid w:val="00AE0E2B"/>
    <w:rsid w:val="00AE294A"/>
    <w:rsid w:val="00AE34C7"/>
    <w:rsid w:val="00AE3A00"/>
    <w:rsid w:val="00AE4BC7"/>
    <w:rsid w:val="00AE4E63"/>
    <w:rsid w:val="00AE531E"/>
    <w:rsid w:val="00AE7D46"/>
    <w:rsid w:val="00AF0957"/>
    <w:rsid w:val="00AF219B"/>
    <w:rsid w:val="00AF2BFC"/>
    <w:rsid w:val="00AF327D"/>
    <w:rsid w:val="00AF40EF"/>
    <w:rsid w:val="00AF4A89"/>
    <w:rsid w:val="00AF55AE"/>
    <w:rsid w:val="00AF6012"/>
    <w:rsid w:val="00AF65BD"/>
    <w:rsid w:val="00B022B0"/>
    <w:rsid w:val="00B02923"/>
    <w:rsid w:val="00B0307F"/>
    <w:rsid w:val="00B03A86"/>
    <w:rsid w:val="00B044ED"/>
    <w:rsid w:val="00B05D6E"/>
    <w:rsid w:val="00B1063D"/>
    <w:rsid w:val="00B12318"/>
    <w:rsid w:val="00B130DC"/>
    <w:rsid w:val="00B16A7C"/>
    <w:rsid w:val="00B23C90"/>
    <w:rsid w:val="00B30D80"/>
    <w:rsid w:val="00B3117E"/>
    <w:rsid w:val="00B315C6"/>
    <w:rsid w:val="00B35708"/>
    <w:rsid w:val="00B35C6A"/>
    <w:rsid w:val="00B36108"/>
    <w:rsid w:val="00B36197"/>
    <w:rsid w:val="00B36B21"/>
    <w:rsid w:val="00B41C01"/>
    <w:rsid w:val="00B42DAD"/>
    <w:rsid w:val="00B440D1"/>
    <w:rsid w:val="00B44AAD"/>
    <w:rsid w:val="00B45AFA"/>
    <w:rsid w:val="00B46BAE"/>
    <w:rsid w:val="00B57E19"/>
    <w:rsid w:val="00B615EA"/>
    <w:rsid w:val="00B6586D"/>
    <w:rsid w:val="00B66C34"/>
    <w:rsid w:val="00B6708D"/>
    <w:rsid w:val="00B67C01"/>
    <w:rsid w:val="00B70F22"/>
    <w:rsid w:val="00B712E4"/>
    <w:rsid w:val="00B71D2B"/>
    <w:rsid w:val="00B738E2"/>
    <w:rsid w:val="00B77BE3"/>
    <w:rsid w:val="00B86799"/>
    <w:rsid w:val="00B916D8"/>
    <w:rsid w:val="00B95D42"/>
    <w:rsid w:val="00B95DE5"/>
    <w:rsid w:val="00BA1A65"/>
    <w:rsid w:val="00BA2325"/>
    <w:rsid w:val="00BA4A86"/>
    <w:rsid w:val="00BA6665"/>
    <w:rsid w:val="00BA6867"/>
    <w:rsid w:val="00BA6C6B"/>
    <w:rsid w:val="00BB2F1E"/>
    <w:rsid w:val="00BB3E27"/>
    <w:rsid w:val="00BB5B85"/>
    <w:rsid w:val="00BB6841"/>
    <w:rsid w:val="00BC0E55"/>
    <w:rsid w:val="00BC1212"/>
    <w:rsid w:val="00BC5B34"/>
    <w:rsid w:val="00BC6582"/>
    <w:rsid w:val="00BC6750"/>
    <w:rsid w:val="00BD1883"/>
    <w:rsid w:val="00BD1BA1"/>
    <w:rsid w:val="00BD3379"/>
    <w:rsid w:val="00BD4C6F"/>
    <w:rsid w:val="00BE1193"/>
    <w:rsid w:val="00BE1C96"/>
    <w:rsid w:val="00BE5524"/>
    <w:rsid w:val="00BE5E48"/>
    <w:rsid w:val="00BE652C"/>
    <w:rsid w:val="00BE7709"/>
    <w:rsid w:val="00BF23AA"/>
    <w:rsid w:val="00BF4143"/>
    <w:rsid w:val="00BF7EB9"/>
    <w:rsid w:val="00C0237F"/>
    <w:rsid w:val="00C02768"/>
    <w:rsid w:val="00C02FD0"/>
    <w:rsid w:val="00C03392"/>
    <w:rsid w:val="00C050AD"/>
    <w:rsid w:val="00C06F19"/>
    <w:rsid w:val="00C12DC2"/>
    <w:rsid w:val="00C16513"/>
    <w:rsid w:val="00C20FA2"/>
    <w:rsid w:val="00C21746"/>
    <w:rsid w:val="00C21E20"/>
    <w:rsid w:val="00C22164"/>
    <w:rsid w:val="00C22E97"/>
    <w:rsid w:val="00C234EC"/>
    <w:rsid w:val="00C2500E"/>
    <w:rsid w:val="00C26F3A"/>
    <w:rsid w:val="00C276F8"/>
    <w:rsid w:val="00C31026"/>
    <w:rsid w:val="00C35672"/>
    <w:rsid w:val="00C367BE"/>
    <w:rsid w:val="00C40430"/>
    <w:rsid w:val="00C41067"/>
    <w:rsid w:val="00C41CFC"/>
    <w:rsid w:val="00C42372"/>
    <w:rsid w:val="00C42AAB"/>
    <w:rsid w:val="00C44858"/>
    <w:rsid w:val="00C5024F"/>
    <w:rsid w:val="00C56CEA"/>
    <w:rsid w:val="00C676B0"/>
    <w:rsid w:val="00C7088B"/>
    <w:rsid w:val="00C75443"/>
    <w:rsid w:val="00C76137"/>
    <w:rsid w:val="00C77EB5"/>
    <w:rsid w:val="00C8324C"/>
    <w:rsid w:val="00C901B2"/>
    <w:rsid w:val="00C9270E"/>
    <w:rsid w:val="00C92A89"/>
    <w:rsid w:val="00C92B23"/>
    <w:rsid w:val="00C939A1"/>
    <w:rsid w:val="00C93B21"/>
    <w:rsid w:val="00C977A9"/>
    <w:rsid w:val="00CA08AE"/>
    <w:rsid w:val="00CA5A7A"/>
    <w:rsid w:val="00CB12A0"/>
    <w:rsid w:val="00CB40E3"/>
    <w:rsid w:val="00CB45A9"/>
    <w:rsid w:val="00CB4C8F"/>
    <w:rsid w:val="00CC5BD2"/>
    <w:rsid w:val="00CC60FF"/>
    <w:rsid w:val="00CD17F6"/>
    <w:rsid w:val="00CD1A76"/>
    <w:rsid w:val="00CD4101"/>
    <w:rsid w:val="00CD6761"/>
    <w:rsid w:val="00CE1D2E"/>
    <w:rsid w:val="00CE2A38"/>
    <w:rsid w:val="00CE31B5"/>
    <w:rsid w:val="00CE4B9F"/>
    <w:rsid w:val="00CE6E32"/>
    <w:rsid w:val="00CE757C"/>
    <w:rsid w:val="00CE762C"/>
    <w:rsid w:val="00CF4BAB"/>
    <w:rsid w:val="00CF4F27"/>
    <w:rsid w:val="00D063CA"/>
    <w:rsid w:val="00D06A70"/>
    <w:rsid w:val="00D06B50"/>
    <w:rsid w:val="00D07A42"/>
    <w:rsid w:val="00D16169"/>
    <w:rsid w:val="00D21319"/>
    <w:rsid w:val="00D21467"/>
    <w:rsid w:val="00D22DE0"/>
    <w:rsid w:val="00D239FC"/>
    <w:rsid w:val="00D319CE"/>
    <w:rsid w:val="00D3286F"/>
    <w:rsid w:val="00D331B3"/>
    <w:rsid w:val="00D3423E"/>
    <w:rsid w:val="00D3428F"/>
    <w:rsid w:val="00D40D95"/>
    <w:rsid w:val="00D40DAE"/>
    <w:rsid w:val="00D43F5C"/>
    <w:rsid w:val="00D448AE"/>
    <w:rsid w:val="00D517C7"/>
    <w:rsid w:val="00D5257E"/>
    <w:rsid w:val="00D56324"/>
    <w:rsid w:val="00D56789"/>
    <w:rsid w:val="00D60CF1"/>
    <w:rsid w:val="00D61AAE"/>
    <w:rsid w:val="00D64CEE"/>
    <w:rsid w:val="00D66D81"/>
    <w:rsid w:val="00D67574"/>
    <w:rsid w:val="00D70FA6"/>
    <w:rsid w:val="00D72A64"/>
    <w:rsid w:val="00D76723"/>
    <w:rsid w:val="00D77612"/>
    <w:rsid w:val="00D77C46"/>
    <w:rsid w:val="00D80F6E"/>
    <w:rsid w:val="00D81F8E"/>
    <w:rsid w:val="00D82508"/>
    <w:rsid w:val="00D83900"/>
    <w:rsid w:val="00D8440E"/>
    <w:rsid w:val="00D85830"/>
    <w:rsid w:val="00D91897"/>
    <w:rsid w:val="00D92208"/>
    <w:rsid w:val="00D93970"/>
    <w:rsid w:val="00D93D64"/>
    <w:rsid w:val="00D944CB"/>
    <w:rsid w:val="00DA022C"/>
    <w:rsid w:val="00DA2667"/>
    <w:rsid w:val="00DA30F0"/>
    <w:rsid w:val="00DA546B"/>
    <w:rsid w:val="00DA5A9B"/>
    <w:rsid w:val="00DA6098"/>
    <w:rsid w:val="00DB0863"/>
    <w:rsid w:val="00DB1E92"/>
    <w:rsid w:val="00DB40D2"/>
    <w:rsid w:val="00DB558D"/>
    <w:rsid w:val="00DB56B1"/>
    <w:rsid w:val="00DB5C4F"/>
    <w:rsid w:val="00DC4284"/>
    <w:rsid w:val="00DC5EDB"/>
    <w:rsid w:val="00DC65A1"/>
    <w:rsid w:val="00DC68B4"/>
    <w:rsid w:val="00DC6905"/>
    <w:rsid w:val="00DC72B8"/>
    <w:rsid w:val="00DD13D8"/>
    <w:rsid w:val="00DD3597"/>
    <w:rsid w:val="00DD3630"/>
    <w:rsid w:val="00DD5BE8"/>
    <w:rsid w:val="00DD7C07"/>
    <w:rsid w:val="00DE134D"/>
    <w:rsid w:val="00DE17A2"/>
    <w:rsid w:val="00DE31CD"/>
    <w:rsid w:val="00DE55E4"/>
    <w:rsid w:val="00DE5927"/>
    <w:rsid w:val="00DE5C08"/>
    <w:rsid w:val="00DF03F4"/>
    <w:rsid w:val="00DF0F39"/>
    <w:rsid w:val="00DF47EF"/>
    <w:rsid w:val="00DF51BB"/>
    <w:rsid w:val="00E0024A"/>
    <w:rsid w:val="00E00375"/>
    <w:rsid w:val="00E01274"/>
    <w:rsid w:val="00E019A5"/>
    <w:rsid w:val="00E05F33"/>
    <w:rsid w:val="00E072B7"/>
    <w:rsid w:val="00E10A5C"/>
    <w:rsid w:val="00E10D65"/>
    <w:rsid w:val="00E11D63"/>
    <w:rsid w:val="00E13717"/>
    <w:rsid w:val="00E14A7E"/>
    <w:rsid w:val="00E15B98"/>
    <w:rsid w:val="00E20310"/>
    <w:rsid w:val="00E25B3A"/>
    <w:rsid w:val="00E309DE"/>
    <w:rsid w:val="00E35212"/>
    <w:rsid w:val="00E37143"/>
    <w:rsid w:val="00E37916"/>
    <w:rsid w:val="00E50CCE"/>
    <w:rsid w:val="00E5397F"/>
    <w:rsid w:val="00E5638A"/>
    <w:rsid w:val="00E57858"/>
    <w:rsid w:val="00E632C7"/>
    <w:rsid w:val="00E67F2B"/>
    <w:rsid w:val="00E740D8"/>
    <w:rsid w:val="00E75A0B"/>
    <w:rsid w:val="00E76E6A"/>
    <w:rsid w:val="00E7701B"/>
    <w:rsid w:val="00E771E8"/>
    <w:rsid w:val="00E8047F"/>
    <w:rsid w:val="00E8100C"/>
    <w:rsid w:val="00E81D2A"/>
    <w:rsid w:val="00E85A84"/>
    <w:rsid w:val="00E86722"/>
    <w:rsid w:val="00E90E63"/>
    <w:rsid w:val="00E93570"/>
    <w:rsid w:val="00E967A4"/>
    <w:rsid w:val="00E97F4B"/>
    <w:rsid w:val="00EA093A"/>
    <w:rsid w:val="00EA0EBE"/>
    <w:rsid w:val="00EA3E2F"/>
    <w:rsid w:val="00EA6FA6"/>
    <w:rsid w:val="00EB0EE8"/>
    <w:rsid w:val="00EB357B"/>
    <w:rsid w:val="00EB5544"/>
    <w:rsid w:val="00EB6028"/>
    <w:rsid w:val="00EB672A"/>
    <w:rsid w:val="00EB79F0"/>
    <w:rsid w:val="00EC27A6"/>
    <w:rsid w:val="00EC3350"/>
    <w:rsid w:val="00EC435F"/>
    <w:rsid w:val="00EC56F9"/>
    <w:rsid w:val="00EC62F5"/>
    <w:rsid w:val="00ED0E3D"/>
    <w:rsid w:val="00ED3FF3"/>
    <w:rsid w:val="00ED4410"/>
    <w:rsid w:val="00ED7EE9"/>
    <w:rsid w:val="00EE0775"/>
    <w:rsid w:val="00EE0A9B"/>
    <w:rsid w:val="00EE34B5"/>
    <w:rsid w:val="00EE50AE"/>
    <w:rsid w:val="00EF37B1"/>
    <w:rsid w:val="00F00006"/>
    <w:rsid w:val="00F00698"/>
    <w:rsid w:val="00F00B2F"/>
    <w:rsid w:val="00F01B65"/>
    <w:rsid w:val="00F03254"/>
    <w:rsid w:val="00F0627C"/>
    <w:rsid w:val="00F10D4F"/>
    <w:rsid w:val="00F1674A"/>
    <w:rsid w:val="00F16D32"/>
    <w:rsid w:val="00F210A8"/>
    <w:rsid w:val="00F23440"/>
    <w:rsid w:val="00F25CE4"/>
    <w:rsid w:val="00F2796E"/>
    <w:rsid w:val="00F328FC"/>
    <w:rsid w:val="00F33590"/>
    <w:rsid w:val="00F339AF"/>
    <w:rsid w:val="00F33AE2"/>
    <w:rsid w:val="00F401DE"/>
    <w:rsid w:val="00F41AAA"/>
    <w:rsid w:val="00F4235B"/>
    <w:rsid w:val="00F440DC"/>
    <w:rsid w:val="00F45033"/>
    <w:rsid w:val="00F4548B"/>
    <w:rsid w:val="00F477B6"/>
    <w:rsid w:val="00F50BA6"/>
    <w:rsid w:val="00F51D75"/>
    <w:rsid w:val="00F5327E"/>
    <w:rsid w:val="00F61503"/>
    <w:rsid w:val="00F61818"/>
    <w:rsid w:val="00F6199D"/>
    <w:rsid w:val="00F70FCA"/>
    <w:rsid w:val="00F715CC"/>
    <w:rsid w:val="00F77DA6"/>
    <w:rsid w:val="00F85185"/>
    <w:rsid w:val="00F91430"/>
    <w:rsid w:val="00F923E5"/>
    <w:rsid w:val="00F9247D"/>
    <w:rsid w:val="00F96AEE"/>
    <w:rsid w:val="00FA0793"/>
    <w:rsid w:val="00FA71E5"/>
    <w:rsid w:val="00FB1C5F"/>
    <w:rsid w:val="00FB4322"/>
    <w:rsid w:val="00FB53D6"/>
    <w:rsid w:val="00FC2988"/>
    <w:rsid w:val="00FD299A"/>
    <w:rsid w:val="00FD464E"/>
    <w:rsid w:val="00FD5282"/>
    <w:rsid w:val="00FD7051"/>
    <w:rsid w:val="00FD78A0"/>
    <w:rsid w:val="00FE13E2"/>
    <w:rsid w:val="00FE590F"/>
    <w:rsid w:val="00FE5A6F"/>
    <w:rsid w:val="00FE6338"/>
    <w:rsid w:val="00FE6672"/>
    <w:rsid w:val="00FF39B2"/>
    <w:rsid w:val="00FF4C5F"/>
    <w:rsid w:val="00FF5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 o:allowincell="f" o:allowoverlap="f" fill="f" fillcolor="white" stroke="f">
      <v:fill color="white" on="f"/>
      <v:stroke on="f"/>
    </o:shapedefaults>
    <o:shapelayout v:ext="edit">
      <o:idmap v:ext="edit" data="1"/>
    </o:shapelayout>
  </w:shapeDefaults>
  <w:doNotEmbedSmartTags/>
  <w:decimalSymbol w:val="."/>
  <w:listSeparator w:val=","/>
  <w14:docId w14:val="18BA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0E4"/>
    <w:pPr>
      <w:suppressAutoHyphens/>
      <w:spacing w:before="40" w:after="40" w:line="276" w:lineRule="auto"/>
      <w:jc w:val="both"/>
    </w:pPr>
    <w:rPr>
      <w:rFonts w:ascii="Calibri Light" w:hAnsi="Calibri Light"/>
      <w:sz w:val="20"/>
      <w:lang w:val="en-GB" w:eastAsia="de-DE"/>
    </w:rPr>
  </w:style>
  <w:style w:type="paragraph" w:styleId="Heading1">
    <w:name w:val="heading 1"/>
    <w:basedOn w:val="ListParagraph"/>
    <w:next w:val="BodyText"/>
    <w:qFormat/>
    <w:rsid w:val="00317381"/>
    <w:pPr>
      <w:numPr>
        <w:numId w:val="1"/>
      </w:numPr>
      <w:spacing w:before="240" w:after="60"/>
      <w:outlineLvl w:val="0"/>
    </w:pPr>
    <w:rPr>
      <w:b/>
      <w:color w:val="365F91" w:themeColor="accent1" w:themeShade="BF"/>
      <w:sz w:val="28"/>
      <w:szCs w:val="28"/>
    </w:rPr>
  </w:style>
  <w:style w:type="paragraph" w:styleId="Heading2">
    <w:name w:val="heading 2"/>
    <w:basedOn w:val="Normal"/>
    <w:next w:val="Normal"/>
    <w:link w:val="Heading2Char"/>
    <w:uiPriority w:val="9"/>
    <w:unhideWhenUsed/>
    <w:qFormat/>
    <w:rsid w:val="00C22E97"/>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2E97"/>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04B75"/>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04B75"/>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04B75"/>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04B75"/>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4B75"/>
    <w:pPr>
      <w:keepNext/>
      <w:keepLines/>
      <w:numPr>
        <w:ilvl w:val="7"/>
        <w:numId w:val="1"/>
      </w:numPr>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04B75"/>
    <w:pPr>
      <w:keepNext/>
      <w:keepLines/>
      <w:numPr>
        <w:ilvl w:val="8"/>
        <w:numId w:val="1"/>
      </w:numPr>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uiPriority w:val="99"/>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Cs w:val="20"/>
    </w:rPr>
  </w:style>
  <w:style w:type="paragraph" w:customStyle="1" w:styleId="Framecontents">
    <w:name w:val="Frame contents"/>
    <w:basedOn w:val="BodyText"/>
  </w:style>
  <w:style w:type="paragraph" w:styleId="Header">
    <w:name w:val="header"/>
    <w:basedOn w:val="Normal"/>
    <w:link w:val="HeaderChar"/>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hAnsi="Times New Roman"/>
      <w:szCs w:val="20"/>
      <w:lang w:eastAsia="en-GB"/>
    </w:rPr>
  </w:style>
  <w:style w:type="paragraph" w:styleId="CommentText">
    <w:name w:val="annotation text"/>
    <w:basedOn w:val="Normal"/>
    <w:link w:val="CommentTextChar1"/>
    <w:uiPriority w:val="99"/>
    <w:unhideWhenUsed/>
    <w:rsid w:val="00B71D2B"/>
    <w:rPr>
      <w:szCs w:val="20"/>
    </w:rPr>
  </w:style>
  <w:style w:type="character" w:customStyle="1" w:styleId="CommentTextChar1">
    <w:name w:val="Comment Text Char1"/>
    <w:link w:val="CommentText"/>
    <w:uiPriority w:val="99"/>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AD0EBF"/>
    <w:rPr>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D0EBF"/>
    <w:rPr>
      <w:rFonts w:ascii="Calibri" w:eastAsia="Calibri" w:hAnsi="Calibri"/>
      <w:kern w:val="1"/>
      <w:lang w:val="en-US" w:eastAsia="ar-SA"/>
    </w:rPr>
  </w:style>
  <w:style w:type="character" w:styleId="FootnoteReference">
    <w:name w:val="footnote reference"/>
    <w:aliases w:val="Footnote symbol"/>
    <w:uiPriority w:val="99"/>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22E97"/>
    <w:rPr>
      <w:rFonts w:asciiTheme="majorHAnsi" w:eastAsiaTheme="majorEastAsia" w:hAnsiTheme="majorHAnsi" w:cstheme="majorBidi"/>
      <w:b/>
      <w:bCs/>
      <w:color w:val="4F81BD" w:themeColor="accent1"/>
      <w:sz w:val="26"/>
      <w:szCs w:val="26"/>
      <w:lang w:val="en-GB" w:eastAsia="de-DE"/>
    </w:rPr>
  </w:style>
  <w:style w:type="character" w:customStyle="1" w:styleId="Heading3Char">
    <w:name w:val="Heading 3 Char"/>
    <w:basedOn w:val="DefaultParagraphFont"/>
    <w:link w:val="Heading3"/>
    <w:uiPriority w:val="9"/>
    <w:semiHidden/>
    <w:rsid w:val="00C22E97"/>
    <w:rPr>
      <w:rFonts w:asciiTheme="majorHAnsi" w:eastAsiaTheme="majorEastAsia" w:hAnsiTheme="majorHAnsi" w:cstheme="majorBidi"/>
      <w:b/>
      <w:bCs/>
      <w:color w:val="4F81BD" w:themeColor="accent1"/>
      <w:sz w:val="22"/>
      <w:lang w:val="en-GB" w:eastAsia="de-DE"/>
    </w:rPr>
  </w:style>
  <w:style w:type="paragraph" w:customStyle="1" w:styleId="ColorfulList-Accent11">
    <w:name w:val="Colorful List - Accent 11"/>
    <w:basedOn w:val="Normal"/>
    <w:uiPriority w:val="34"/>
    <w:qFormat/>
    <w:rsid w:val="00E25B3A"/>
    <w:pPr>
      <w:ind w:left="720"/>
      <w:contextualSpacing/>
    </w:pPr>
    <w:rPr>
      <w:rFonts w:ascii="Times New Roman" w:hAnsi="Times New Roman"/>
      <w:lang w:eastAsia="fr-FR"/>
    </w:rPr>
  </w:style>
  <w:style w:type="table" w:styleId="LightList">
    <w:name w:val="Light List"/>
    <w:basedOn w:val="TableNormal"/>
    <w:rsid w:val="00E25B3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E25B3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334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B73D1"/>
  </w:style>
  <w:style w:type="paragraph" w:styleId="TOC1">
    <w:name w:val="toc 1"/>
    <w:basedOn w:val="Normal"/>
    <w:next w:val="Normal"/>
    <w:autoRedefine/>
    <w:uiPriority w:val="39"/>
    <w:unhideWhenUsed/>
    <w:rsid w:val="00DC65A1"/>
    <w:pPr>
      <w:spacing w:before="120"/>
    </w:pPr>
    <w:rPr>
      <w:rFonts w:asciiTheme="minorHAnsi" w:hAnsiTheme="minorHAnsi"/>
      <w:b/>
    </w:rPr>
  </w:style>
  <w:style w:type="paragraph" w:styleId="TOC2">
    <w:name w:val="toc 2"/>
    <w:basedOn w:val="Normal"/>
    <w:next w:val="Normal"/>
    <w:autoRedefine/>
    <w:uiPriority w:val="39"/>
    <w:unhideWhenUsed/>
    <w:rsid w:val="00DC65A1"/>
    <w:pPr>
      <w:ind w:left="220"/>
    </w:pPr>
    <w:rPr>
      <w:rFonts w:asciiTheme="minorHAnsi" w:hAnsiTheme="minorHAnsi"/>
      <w:i/>
    </w:rPr>
  </w:style>
  <w:style w:type="paragraph" w:styleId="TOC3">
    <w:name w:val="toc 3"/>
    <w:basedOn w:val="Normal"/>
    <w:next w:val="Normal"/>
    <w:autoRedefine/>
    <w:uiPriority w:val="39"/>
    <w:unhideWhenUsed/>
    <w:rsid w:val="00DC65A1"/>
    <w:pPr>
      <w:ind w:left="440"/>
    </w:pPr>
    <w:rPr>
      <w:rFonts w:asciiTheme="minorHAnsi" w:hAnsiTheme="minorHAnsi"/>
    </w:rPr>
  </w:style>
  <w:style w:type="paragraph" w:styleId="TOC4">
    <w:name w:val="toc 4"/>
    <w:basedOn w:val="Normal"/>
    <w:next w:val="Normal"/>
    <w:autoRedefine/>
    <w:uiPriority w:val="39"/>
    <w:unhideWhenUsed/>
    <w:rsid w:val="00DC65A1"/>
    <w:pPr>
      <w:ind w:left="660"/>
    </w:pPr>
    <w:rPr>
      <w:rFonts w:asciiTheme="minorHAnsi" w:hAnsiTheme="minorHAnsi"/>
      <w:szCs w:val="20"/>
    </w:rPr>
  </w:style>
  <w:style w:type="paragraph" w:styleId="TOC5">
    <w:name w:val="toc 5"/>
    <w:basedOn w:val="Normal"/>
    <w:next w:val="Normal"/>
    <w:autoRedefine/>
    <w:uiPriority w:val="39"/>
    <w:unhideWhenUsed/>
    <w:rsid w:val="00DC65A1"/>
    <w:pPr>
      <w:ind w:left="880"/>
    </w:pPr>
    <w:rPr>
      <w:rFonts w:asciiTheme="minorHAnsi" w:hAnsiTheme="minorHAnsi"/>
      <w:szCs w:val="20"/>
    </w:rPr>
  </w:style>
  <w:style w:type="paragraph" w:styleId="TOC6">
    <w:name w:val="toc 6"/>
    <w:basedOn w:val="Normal"/>
    <w:next w:val="Normal"/>
    <w:autoRedefine/>
    <w:uiPriority w:val="39"/>
    <w:unhideWhenUsed/>
    <w:rsid w:val="00DC65A1"/>
    <w:pPr>
      <w:ind w:left="1100"/>
    </w:pPr>
    <w:rPr>
      <w:rFonts w:asciiTheme="minorHAnsi" w:hAnsiTheme="minorHAnsi"/>
      <w:szCs w:val="20"/>
    </w:rPr>
  </w:style>
  <w:style w:type="paragraph" w:styleId="TOC7">
    <w:name w:val="toc 7"/>
    <w:basedOn w:val="Normal"/>
    <w:next w:val="Normal"/>
    <w:autoRedefine/>
    <w:uiPriority w:val="39"/>
    <w:unhideWhenUsed/>
    <w:rsid w:val="00DC65A1"/>
    <w:pPr>
      <w:ind w:left="1320"/>
    </w:pPr>
    <w:rPr>
      <w:rFonts w:asciiTheme="minorHAnsi" w:hAnsiTheme="minorHAnsi"/>
      <w:szCs w:val="20"/>
    </w:rPr>
  </w:style>
  <w:style w:type="paragraph" w:styleId="TOC8">
    <w:name w:val="toc 8"/>
    <w:basedOn w:val="Normal"/>
    <w:next w:val="Normal"/>
    <w:autoRedefine/>
    <w:uiPriority w:val="39"/>
    <w:unhideWhenUsed/>
    <w:rsid w:val="00DC65A1"/>
    <w:pPr>
      <w:ind w:left="1540"/>
    </w:pPr>
    <w:rPr>
      <w:rFonts w:asciiTheme="minorHAnsi" w:hAnsiTheme="minorHAnsi"/>
      <w:szCs w:val="20"/>
    </w:rPr>
  </w:style>
  <w:style w:type="paragraph" w:styleId="TOC9">
    <w:name w:val="toc 9"/>
    <w:basedOn w:val="Normal"/>
    <w:next w:val="Normal"/>
    <w:autoRedefine/>
    <w:uiPriority w:val="39"/>
    <w:unhideWhenUsed/>
    <w:rsid w:val="00DC65A1"/>
    <w:pPr>
      <w:ind w:left="1760"/>
    </w:pPr>
    <w:rPr>
      <w:rFonts w:asciiTheme="minorHAnsi" w:hAnsiTheme="minorHAnsi"/>
      <w:szCs w:val="20"/>
    </w:rPr>
  </w:style>
  <w:style w:type="character" w:customStyle="1" w:styleId="Heading4Char">
    <w:name w:val="Heading 4 Char"/>
    <w:basedOn w:val="DefaultParagraphFont"/>
    <w:link w:val="Heading4"/>
    <w:uiPriority w:val="9"/>
    <w:semiHidden/>
    <w:rsid w:val="00704B75"/>
    <w:rPr>
      <w:rFonts w:asciiTheme="majorHAnsi" w:eastAsiaTheme="majorEastAsia" w:hAnsiTheme="majorHAnsi" w:cstheme="majorBidi"/>
      <w:b/>
      <w:bCs/>
      <w:i/>
      <w:iCs/>
      <w:color w:val="4F81BD" w:themeColor="accent1"/>
      <w:sz w:val="22"/>
      <w:lang w:val="en-GB" w:eastAsia="de-DE"/>
    </w:rPr>
  </w:style>
  <w:style w:type="character" w:customStyle="1" w:styleId="Heading5Char">
    <w:name w:val="Heading 5 Char"/>
    <w:basedOn w:val="DefaultParagraphFont"/>
    <w:link w:val="Heading5"/>
    <w:uiPriority w:val="9"/>
    <w:semiHidden/>
    <w:rsid w:val="00704B75"/>
    <w:rPr>
      <w:rFonts w:asciiTheme="majorHAnsi" w:eastAsiaTheme="majorEastAsia" w:hAnsiTheme="majorHAnsi" w:cstheme="majorBidi"/>
      <w:color w:val="243F60" w:themeColor="accent1" w:themeShade="7F"/>
      <w:sz w:val="22"/>
      <w:lang w:val="en-GB" w:eastAsia="de-DE"/>
    </w:rPr>
  </w:style>
  <w:style w:type="character" w:customStyle="1" w:styleId="Heading6Char">
    <w:name w:val="Heading 6 Char"/>
    <w:basedOn w:val="DefaultParagraphFont"/>
    <w:link w:val="Heading6"/>
    <w:uiPriority w:val="9"/>
    <w:semiHidden/>
    <w:rsid w:val="00704B75"/>
    <w:rPr>
      <w:rFonts w:asciiTheme="majorHAnsi" w:eastAsiaTheme="majorEastAsia" w:hAnsiTheme="majorHAnsi" w:cstheme="majorBidi"/>
      <w:i/>
      <w:iCs/>
      <w:color w:val="243F60" w:themeColor="accent1" w:themeShade="7F"/>
      <w:sz w:val="22"/>
      <w:lang w:val="en-GB" w:eastAsia="de-DE"/>
    </w:rPr>
  </w:style>
  <w:style w:type="character" w:customStyle="1" w:styleId="Heading7Char">
    <w:name w:val="Heading 7 Char"/>
    <w:basedOn w:val="DefaultParagraphFont"/>
    <w:link w:val="Heading7"/>
    <w:uiPriority w:val="9"/>
    <w:semiHidden/>
    <w:rsid w:val="00704B75"/>
    <w:rPr>
      <w:rFonts w:asciiTheme="majorHAnsi" w:eastAsiaTheme="majorEastAsia" w:hAnsiTheme="majorHAnsi" w:cstheme="majorBidi"/>
      <w:i/>
      <w:iCs/>
      <w:color w:val="404040" w:themeColor="text1" w:themeTint="BF"/>
      <w:sz w:val="22"/>
      <w:lang w:val="en-GB" w:eastAsia="de-DE"/>
    </w:rPr>
  </w:style>
  <w:style w:type="character" w:customStyle="1" w:styleId="Heading8Char">
    <w:name w:val="Heading 8 Char"/>
    <w:basedOn w:val="DefaultParagraphFont"/>
    <w:link w:val="Heading8"/>
    <w:uiPriority w:val="9"/>
    <w:semiHidden/>
    <w:rsid w:val="00704B75"/>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uiPriority w:val="9"/>
    <w:semiHidden/>
    <w:rsid w:val="00704B75"/>
    <w:rPr>
      <w:rFonts w:asciiTheme="majorHAnsi" w:eastAsiaTheme="majorEastAsia" w:hAnsiTheme="majorHAnsi" w:cstheme="majorBidi"/>
      <w:i/>
      <w:iCs/>
      <w:color w:val="404040" w:themeColor="text1" w:themeTint="BF"/>
      <w:sz w:val="20"/>
      <w:szCs w:val="20"/>
      <w:lang w:val="en-GB" w:eastAsia="de-DE"/>
    </w:rPr>
  </w:style>
  <w:style w:type="character" w:customStyle="1" w:styleId="mw-headline">
    <w:name w:val="mw-headline"/>
    <w:basedOn w:val="DefaultParagraphFont"/>
    <w:rsid w:val="007B22DE"/>
  </w:style>
  <w:style w:type="paragraph" w:styleId="NormalWeb">
    <w:name w:val="Normal (Web)"/>
    <w:basedOn w:val="Normal"/>
    <w:uiPriority w:val="99"/>
    <w:semiHidden/>
    <w:unhideWhenUsed/>
    <w:rsid w:val="007B22DE"/>
    <w:pPr>
      <w:suppressAutoHyphens w:val="0"/>
      <w:spacing w:before="100" w:beforeAutospacing="1" w:after="100" w:afterAutospacing="1" w:line="240" w:lineRule="auto"/>
      <w:jc w:val="left"/>
    </w:pPr>
    <w:rPr>
      <w:rFonts w:ascii="Times" w:hAnsi="Times"/>
      <w:szCs w:val="20"/>
      <w:lang w:val="en-US" w:eastAsia="en-US"/>
    </w:rPr>
  </w:style>
  <w:style w:type="character" w:customStyle="1" w:styleId="FootnoteCharacters">
    <w:name w:val="Footnote Characters"/>
    <w:rsid w:val="00101DCF"/>
    <w:rPr>
      <w:vertAlign w:val="superscript"/>
    </w:rPr>
  </w:style>
  <w:style w:type="character" w:customStyle="1" w:styleId="Quotation">
    <w:name w:val="Quotation"/>
    <w:rsid w:val="00101DCF"/>
    <w:rPr>
      <w:i/>
      <w:iCs/>
    </w:rPr>
  </w:style>
  <w:style w:type="paragraph" w:styleId="TOCHeading">
    <w:name w:val="TOC Heading"/>
    <w:basedOn w:val="Heading1"/>
    <w:next w:val="Normal"/>
    <w:uiPriority w:val="39"/>
    <w:unhideWhenUsed/>
    <w:qFormat/>
    <w:rsid w:val="00954E67"/>
    <w:pPr>
      <w:keepNext/>
      <w:keepLines/>
      <w:numPr>
        <w:numId w:val="0"/>
      </w:numPr>
      <w:suppressAutoHyphens w:val="0"/>
      <w:spacing w:before="480" w:after="0"/>
      <w:jc w:val="left"/>
      <w:outlineLvl w:val="9"/>
    </w:pPr>
    <w:rPr>
      <w:rFonts w:eastAsiaTheme="majorEastAsia" w:cstheme="majorBidi"/>
      <w:bCs/>
      <w:lang w:val="en-US" w:eastAsia="ja-JP"/>
    </w:rPr>
  </w:style>
  <w:style w:type="character" w:customStyle="1" w:styleId="HeaderChar">
    <w:name w:val="Header Char"/>
    <w:basedOn w:val="DefaultParagraphFont"/>
    <w:link w:val="Header"/>
    <w:rsid w:val="002353FC"/>
    <w:rPr>
      <w:rFonts w:asciiTheme="majorHAnsi" w:hAnsiTheme="majorHAnsi"/>
      <w:sz w:val="22"/>
      <w:lang w:val="en-GB" w:eastAsia="de-DE"/>
    </w:rPr>
  </w:style>
  <w:style w:type="paragraph" w:customStyle="1" w:styleId="DocDate">
    <w:name w:val="DocDate"/>
    <w:basedOn w:val="Normal"/>
    <w:rsid w:val="002353FC"/>
    <w:pPr>
      <w:keepLines/>
      <w:widowControl w:val="0"/>
      <w:spacing w:before="120" w:after="120" w:line="240" w:lineRule="auto"/>
    </w:pPr>
    <w:rPr>
      <w:rFonts w:ascii="Arial" w:hAnsi="Arial" w:cs="Arial"/>
      <w:b/>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0E4"/>
    <w:pPr>
      <w:suppressAutoHyphens/>
      <w:spacing w:before="40" w:after="40" w:line="276" w:lineRule="auto"/>
      <w:jc w:val="both"/>
    </w:pPr>
    <w:rPr>
      <w:rFonts w:ascii="Calibri Light" w:hAnsi="Calibri Light"/>
      <w:sz w:val="20"/>
      <w:lang w:val="en-GB" w:eastAsia="de-DE"/>
    </w:rPr>
  </w:style>
  <w:style w:type="paragraph" w:styleId="Heading1">
    <w:name w:val="heading 1"/>
    <w:basedOn w:val="ListParagraph"/>
    <w:next w:val="BodyText"/>
    <w:qFormat/>
    <w:rsid w:val="00317381"/>
    <w:pPr>
      <w:numPr>
        <w:numId w:val="1"/>
      </w:numPr>
      <w:spacing w:before="240" w:after="60"/>
      <w:outlineLvl w:val="0"/>
    </w:pPr>
    <w:rPr>
      <w:b/>
      <w:color w:val="365F91" w:themeColor="accent1" w:themeShade="BF"/>
      <w:sz w:val="28"/>
      <w:szCs w:val="28"/>
    </w:rPr>
  </w:style>
  <w:style w:type="paragraph" w:styleId="Heading2">
    <w:name w:val="heading 2"/>
    <w:basedOn w:val="Normal"/>
    <w:next w:val="Normal"/>
    <w:link w:val="Heading2Char"/>
    <w:uiPriority w:val="9"/>
    <w:unhideWhenUsed/>
    <w:qFormat/>
    <w:rsid w:val="00C22E97"/>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2E97"/>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04B75"/>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04B75"/>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04B75"/>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04B75"/>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4B75"/>
    <w:pPr>
      <w:keepNext/>
      <w:keepLines/>
      <w:numPr>
        <w:ilvl w:val="7"/>
        <w:numId w:val="1"/>
      </w:numPr>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04B75"/>
    <w:pPr>
      <w:keepNext/>
      <w:keepLines/>
      <w:numPr>
        <w:ilvl w:val="8"/>
        <w:numId w:val="1"/>
      </w:numPr>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uiPriority w:val="99"/>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Cs w:val="20"/>
    </w:rPr>
  </w:style>
  <w:style w:type="paragraph" w:customStyle="1" w:styleId="Framecontents">
    <w:name w:val="Frame contents"/>
    <w:basedOn w:val="BodyText"/>
  </w:style>
  <w:style w:type="paragraph" w:styleId="Header">
    <w:name w:val="header"/>
    <w:basedOn w:val="Normal"/>
    <w:link w:val="HeaderChar"/>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hAnsi="Times New Roman"/>
      <w:szCs w:val="20"/>
      <w:lang w:eastAsia="en-GB"/>
    </w:rPr>
  </w:style>
  <w:style w:type="paragraph" w:styleId="CommentText">
    <w:name w:val="annotation text"/>
    <w:basedOn w:val="Normal"/>
    <w:link w:val="CommentTextChar1"/>
    <w:uiPriority w:val="99"/>
    <w:unhideWhenUsed/>
    <w:rsid w:val="00B71D2B"/>
    <w:rPr>
      <w:szCs w:val="20"/>
    </w:rPr>
  </w:style>
  <w:style w:type="character" w:customStyle="1" w:styleId="CommentTextChar1">
    <w:name w:val="Comment Text Char1"/>
    <w:link w:val="CommentText"/>
    <w:uiPriority w:val="99"/>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AD0EBF"/>
    <w:rPr>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D0EBF"/>
    <w:rPr>
      <w:rFonts w:ascii="Calibri" w:eastAsia="Calibri" w:hAnsi="Calibri"/>
      <w:kern w:val="1"/>
      <w:lang w:val="en-US" w:eastAsia="ar-SA"/>
    </w:rPr>
  </w:style>
  <w:style w:type="character" w:styleId="FootnoteReference">
    <w:name w:val="footnote reference"/>
    <w:aliases w:val="Footnote symbol"/>
    <w:uiPriority w:val="99"/>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22E97"/>
    <w:rPr>
      <w:rFonts w:asciiTheme="majorHAnsi" w:eastAsiaTheme="majorEastAsia" w:hAnsiTheme="majorHAnsi" w:cstheme="majorBidi"/>
      <w:b/>
      <w:bCs/>
      <w:color w:val="4F81BD" w:themeColor="accent1"/>
      <w:sz w:val="26"/>
      <w:szCs w:val="26"/>
      <w:lang w:val="en-GB" w:eastAsia="de-DE"/>
    </w:rPr>
  </w:style>
  <w:style w:type="character" w:customStyle="1" w:styleId="Heading3Char">
    <w:name w:val="Heading 3 Char"/>
    <w:basedOn w:val="DefaultParagraphFont"/>
    <w:link w:val="Heading3"/>
    <w:uiPriority w:val="9"/>
    <w:semiHidden/>
    <w:rsid w:val="00C22E97"/>
    <w:rPr>
      <w:rFonts w:asciiTheme="majorHAnsi" w:eastAsiaTheme="majorEastAsia" w:hAnsiTheme="majorHAnsi" w:cstheme="majorBidi"/>
      <w:b/>
      <w:bCs/>
      <w:color w:val="4F81BD" w:themeColor="accent1"/>
      <w:sz w:val="22"/>
      <w:lang w:val="en-GB" w:eastAsia="de-DE"/>
    </w:rPr>
  </w:style>
  <w:style w:type="paragraph" w:customStyle="1" w:styleId="ColorfulList-Accent11">
    <w:name w:val="Colorful List - Accent 11"/>
    <w:basedOn w:val="Normal"/>
    <w:uiPriority w:val="34"/>
    <w:qFormat/>
    <w:rsid w:val="00E25B3A"/>
    <w:pPr>
      <w:ind w:left="720"/>
      <w:contextualSpacing/>
    </w:pPr>
    <w:rPr>
      <w:rFonts w:ascii="Times New Roman" w:hAnsi="Times New Roman"/>
      <w:lang w:eastAsia="fr-FR"/>
    </w:rPr>
  </w:style>
  <w:style w:type="table" w:styleId="LightList">
    <w:name w:val="Light List"/>
    <w:basedOn w:val="TableNormal"/>
    <w:rsid w:val="00E25B3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E25B3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334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B73D1"/>
  </w:style>
  <w:style w:type="paragraph" w:styleId="TOC1">
    <w:name w:val="toc 1"/>
    <w:basedOn w:val="Normal"/>
    <w:next w:val="Normal"/>
    <w:autoRedefine/>
    <w:uiPriority w:val="39"/>
    <w:unhideWhenUsed/>
    <w:rsid w:val="00DC65A1"/>
    <w:pPr>
      <w:spacing w:before="120"/>
    </w:pPr>
    <w:rPr>
      <w:rFonts w:asciiTheme="minorHAnsi" w:hAnsiTheme="minorHAnsi"/>
      <w:b/>
    </w:rPr>
  </w:style>
  <w:style w:type="paragraph" w:styleId="TOC2">
    <w:name w:val="toc 2"/>
    <w:basedOn w:val="Normal"/>
    <w:next w:val="Normal"/>
    <w:autoRedefine/>
    <w:uiPriority w:val="39"/>
    <w:unhideWhenUsed/>
    <w:rsid w:val="00DC65A1"/>
    <w:pPr>
      <w:ind w:left="220"/>
    </w:pPr>
    <w:rPr>
      <w:rFonts w:asciiTheme="minorHAnsi" w:hAnsiTheme="minorHAnsi"/>
      <w:i/>
    </w:rPr>
  </w:style>
  <w:style w:type="paragraph" w:styleId="TOC3">
    <w:name w:val="toc 3"/>
    <w:basedOn w:val="Normal"/>
    <w:next w:val="Normal"/>
    <w:autoRedefine/>
    <w:uiPriority w:val="39"/>
    <w:unhideWhenUsed/>
    <w:rsid w:val="00DC65A1"/>
    <w:pPr>
      <w:ind w:left="440"/>
    </w:pPr>
    <w:rPr>
      <w:rFonts w:asciiTheme="minorHAnsi" w:hAnsiTheme="minorHAnsi"/>
    </w:rPr>
  </w:style>
  <w:style w:type="paragraph" w:styleId="TOC4">
    <w:name w:val="toc 4"/>
    <w:basedOn w:val="Normal"/>
    <w:next w:val="Normal"/>
    <w:autoRedefine/>
    <w:uiPriority w:val="39"/>
    <w:unhideWhenUsed/>
    <w:rsid w:val="00DC65A1"/>
    <w:pPr>
      <w:ind w:left="660"/>
    </w:pPr>
    <w:rPr>
      <w:rFonts w:asciiTheme="minorHAnsi" w:hAnsiTheme="minorHAnsi"/>
      <w:szCs w:val="20"/>
    </w:rPr>
  </w:style>
  <w:style w:type="paragraph" w:styleId="TOC5">
    <w:name w:val="toc 5"/>
    <w:basedOn w:val="Normal"/>
    <w:next w:val="Normal"/>
    <w:autoRedefine/>
    <w:uiPriority w:val="39"/>
    <w:unhideWhenUsed/>
    <w:rsid w:val="00DC65A1"/>
    <w:pPr>
      <w:ind w:left="880"/>
    </w:pPr>
    <w:rPr>
      <w:rFonts w:asciiTheme="minorHAnsi" w:hAnsiTheme="minorHAnsi"/>
      <w:szCs w:val="20"/>
    </w:rPr>
  </w:style>
  <w:style w:type="paragraph" w:styleId="TOC6">
    <w:name w:val="toc 6"/>
    <w:basedOn w:val="Normal"/>
    <w:next w:val="Normal"/>
    <w:autoRedefine/>
    <w:uiPriority w:val="39"/>
    <w:unhideWhenUsed/>
    <w:rsid w:val="00DC65A1"/>
    <w:pPr>
      <w:ind w:left="1100"/>
    </w:pPr>
    <w:rPr>
      <w:rFonts w:asciiTheme="minorHAnsi" w:hAnsiTheme="minorHAnsi"/>
      <w:szCs w:val="20"/>
    </w:rPr>
  </w:style>
  <w:style w:type="paragraph" w:styleId="TOC7">
    <w:name w:val="toc 7"/>
    <w:basedOn w:val="Normal"/>
    <w:next w:val="Normal"/>
    <w:autoRedefine/>
    <w:uiPriority w:val="39"/>
    <w:unhideWhenUsed/>
    <w:rsid w:val="00DC65A1"/>
    <w:pPr>
      <w:ind w:left="1320"/>
    </w:pPr>
    <w:rPr>
      <w:rFonts w:asciiTheme="minorHAnsi" w:hAnsiTheme="minorHAnsi"/>
      <w:szCs w:val="20"/>
    </w:rPr>
  </w:style>
  <w:style w:type="paragraph" w:styleId="TOC8">
    <w:name w:val="toc 8"/>
    <w:basedOn w:val="Normal"/>
    <w:next w:val="Normal"/>
    <w:autoRedefine/>
    <w:uiPriority w:val="39"/>
    <w:unhideWhenUsed/>
    <w:rsid w:val="00DC65A1"/>
    <w:pPr>
      <w:ind w:left="1540"/>
    </w:pPr>
    <w:rPr>
      <w:rFonts w:asciiTheme="minorHAnsi" w:hAnsiTheme="minorHAnsi"/>
      <w:szCs w:val="20"/>
    </w:rPr>
  </w:style>
  <w:style w:type="paragraph" w:styleId="TOC9">
    <w:name w:val="toc 9"/>
    <w:basedOn w:val="Normal"/>
    <w:next w:val="Normal"/>
    <w:autoRedefine/>
    <w:uiPriority w:val="39"/>
    <w:unhideWhenUsed/>
    <w:rsid w:val="00DC65A1"/>
    <w:pPr>
      <w:ind w:left="1760"/>
    </w:pPr>
    <w:rPr>
      <w:rFonts w:asciiTheme="minorHAnsi" w:hAnsiTheme="minorHAnsi"/>
      <w:szCs w:val="20"/>
    </w:rPr>
  </w:style>
  <w:style w:type="character" w:customStyle="1" w:styleId="Heading4Char">
    <w:name w:val="Heading 4 Char"/>
    <w:basedOn w:val="DefaultParagraphFont"/>
    <w:link w:val="Heading4"/>
    <w:uiPriority w:val="9"/>
    <w:semiHidden/>
    <w:rsid w:val="00704B75"/>
    <w:rPr>
      <w:rFonts w:asciiTheme="majorHAnsi" w:eastAsiaTheme="majorEastAsia" w:hAnsiTheme="majorHAnsi" w:cstheme="majorBidi"/>
      <w:b/>
      <w:bCs/>
      <w:i/>
      <w:iCs/>
      <w:color w:val="4F81BD" w:themeColor="accent1"/>
      <w:sz w:val="22"/>
      <w:lang w:val="en-GB" w:eastAsia="de-DE"/>
    </w:rPr>
  </w:style>
  <w:style w:type="character" w:customStyle="1" w:styleId="Heading5Char">
    <w:name w:val="Heading 5 Char"/>
    <w:basedOn w:val="DefaultParagraphFont"/>
    <w:link w:val="Heading5"/>
    <w:uiPriority w:val="9"/>
    <w:semiHidden/>
    <w:rsid w:val="00704B75"/>
    <w:rPr>
      <w:rFonts w:asciiTheme="majorHAnsi" w:eastAsiaTheme="majorEastAsia" w:hAnsiTheme="majorHAnsi" w:cstheme="majorBidi"/>
      <w:color w:val="243F60" w:themeColor="accent1" w:themeShade="7F"/>
      <w:sz w:val="22"/>
      <w:lang w:val="en-GB" w:eastAsia="de-DE"/>
    </w:rPr>
  </w:style>
  <w:style w:type="character" w:customStyle="1" w:styleId="Heading6Char">
    <w:name w:val="Heading 6 Char"/>
    <w:basedOn w:val="DefaultParagraphFont"/>
    <w:link w:val="Heading6"/>
    <w:uiPriority w:val="9"/>
    <w:semiHidden/>
    <w:rsid w:val="00704B75"/>
    <w:rPr>
      <w:rFonts w:asciiTheme="majorHAnsi" w:eastAsiaTheme="majorEastAsia" w:hAnsiTheme="majorHAnsi" w:cstheme="majorBidi"/>
      <w:i/>
      <w:iCs/>
      <w:color w:val="243F60" w:themeColor="accent1" w:themeShade="7F"/>
      <w:sz w:val="22"/>
      <w:lang w:val="en-GB" w:eastAsia="de-DE"/>
    </w:rPr>
  </w:style>
  <w:style w:type="character" w:customStyle="1" w:styleId="Heading7Char">
    <w:name w:val="Heading 7 Char"/>
    <w:basedOn w:val="DefaultParagraphFont"/>
    <w:link w:val="Heading7"/>
    <w:uiPriority w:val="9"/>
    <w:semiHidden/>
    <w:rsid w:val="00704B75"/>
    <w:rPr>
      <w:rFonts w:asciiTheme="majorHAnsi" w:eastAsiaTheme="majorEastAsia" w:hAnsiTheme="majorHAnsi" w:cstheme="majorBidi"/>
      <w:i/>
      <w:iCs/>
      <w:color w:val="404040" w:themeColor="text1" w:themeTint="BF"/>
      <w:sz w:val="22"/>
      <w:lang w:val="en-GB" w:eastAsia="de-DE"/>
    </w:rPr>
  </w:style>
  <w:style w:type="character" w:customStyle="1" w:styleId="Heading8Char">
    <w:name w:val="Heading 8 Char"/>
    <w:basedOn w:val="DefaultParagraphFont"/>
    <w:link w:val="Heading8"/>
    <w:uiPriority w:val="9"/>
    <w:semiHidden/>
    <w:rsid w:val="00704B75"/>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uiPriority w:val="9"/>
    <w:semiHidden/>
    <w:rsid w:val="00704B75"/>
    <w:rPr>
      <w:rFonts w:asciiTheme="majorHAnsi" w:eastAsiaTheme="majorEastAsia" w:hAnsiTheme="majorHAnsi" w:cstheme="majorBidi"/>
      <w:i/>
      <w:iCs/>
      <w:color w:val="404040" w:themeColor="text1" w:themeTint="BF"/>
      <w:sz w:val="20"/>
      <w:szCs w:val="20"/>
      <w:lang w:val="en-GB" w:eastAsia="de-DE"/>
    </w:rPr>
  </w:style>
  <w:style w:type="character" w:customStyle="1" w:styleId="mw-headline">
    <w:name w:val="mw-headline"/>
    <w:basedOn w:val="DefaultParagraphFont"/>
    <w:rsid w:val="007B22DE"/>
  </w:style>
  <w:style w:type="paragraph" w:styleId="NormalWeb">
    <w:name w:val="Normal (Web)"/>
    <w:basedOn w:val="Normal"/>
    <w:uiPriority w:val="99"/>
    <w:semiHidden/>
    <w:unhideWhenUsed/>
    <w:rsid w:val="007B22DE"/>
    <w:pPr>
      <w:suppressAutoHyphens w:val="0"/>
      <w:spacing w:before="100" w:beforeAutospacing="1" w:after="100" w:afterAutospacing="1" w:line="240" w:lineRule="auto"/>
      <w:jc w:val="left"/>
    </w:pPr>
    <w:rPr>
      <w:rFonts w:ascii="Times" w:hAnsi="Times"/>
      <w:szCs w:val="20"/>
      <w:lang w:val="en-US" w:eastAsia="en-US"/>
    </w:rPr>
  </w:style>
  <w:style w:type="character" w:customStyle="1" w:styleId="FootnoteCharacters">
    <w:name w:val="Footnote Characters"/>
    <w:rsid w:val="00101DCF"/>
    <w:rPr>
      <w:vertAlign w:val="superscript"/>
    </w:rPr>
  </w:style>
  <w:style w:type="character" w:customStyle="1" w:styleId="Quotation">
    <w:name w:val="Quotation"/>
    <w:rsid w:val="00101DCF"/>
    <w:rPr>
      <w:i/>
      <w:iCs/>
    </w:rPr>
  </w:style>
  <w:style w:type="paragraph" w:styleId="TOCHeading">
    <w:name w:val="TOC Heading"/>
    <w:basedOn w:val="Heading1"/>
    <w:next w:val="Normal"/>
    <w:uiPriority w:val="39"/>
    <w:unhideWhenUsed/>
    <w:qFormat/>
    <w:rsid w:val="00954E67"/>
    <w:pPr>
      <w:keepNext/>
      <w:keepLines/>
      <w:numPr>
        <w:numId w:val="0"/>
      </w:numPr>
      <w:suppressAutoHyphens w:val="0"/>
      <w:spacing w:before="480" w:after="0"/>
      <w:jc w:val="left"/>
      <w:outlineLvl w:val="9"/>
    </w:pPr>
    <w:rPr>
      <w:rFonts w:eastAsiaTheme="majorEastAsia" w:cstheme="majorBidi"/>
      <w:bCs/>
      <w:lang w:val="en-US" w:eastAsia="ja-JP"/>
    </w:rPr>
  </w:style>
  <w:style w:type="character" w:customStyle="1" w:styleId="HeaderChar">
    <w:name w:val="Header Char"/>
    <w:basedOn w:val="DefaultParagraphFont"/>
    <w:link w:val="Header"/>
    <w:rsid w:val="002353FC"/>
    <w:rPr>
      <w:rFonts w:asciiTheme="majorHAnsi" w:hAnsiTheme="majorHAnsi"/>
      <w:sz w:val="22"/>
      <w:lang w:val="en-GB" w:eastAsia="de-DE"/>
    </w:rPr>
  </w:style>
  <w:style w:type="paragraph" w:customStyle="1" w:styleId="DocDate">
    <w:name w:val="DocDate"/>
    <w:basedOn w:val="Normal"/>
    <w:rsid w:val="002353FC"/>
    <w:pPr>
      <w:keepLines/>
      <w:widowControl w:val="0"/>
      <w:spacing w:before="120" w:after="120" w:line="240" w:lineRule="auto"/>
    </w:pPr>
    <w:rPr>
      <w:rFonts w:ascii="Arial" w:hAnsi="Arial" w:cs="Arial"/>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7929">
      <w:bodyDiv w:val="1"/>
      <w:marLeft w:val="0"/>
      <w:marRight w:val="0"/>
      <w:marTop w:val="0"/>
      <w:marBottom w:val="0"/>
      <w:divBdr>
        <w:top w:val="none" w:sz="0" w:space="0" w:color="auto"/>
        <w:left w:val="none" w:sz="0" w:space="0" w:color="auto"/>
        <w:bottom w:val="none" w:sz="0" w:space="0" w:color="auto"/>
        <w:right w:val="none" w:sz="0" w:space="0" w:color="auto"/>
      </w:divBdr>
    </w:div>
    <w:div w:id="215286631">
      <w:bodyDiv w:val="1"/>
      <w:marLeft w:val="0"/>
      <w:marRight w:val="0"/>
      <w:marTop w:val="0"/>
      <w:marBottom w:val="0"/>
      <w:divBdr>
        <w:top w:val="none" w:sz="0" w:space="0" w:color="auto"/>
        <w:left w:val="none" w:sz="0" w:space="0" w:color="auto"/>
        <w:bottom w:val="none" w:sz="0" w:space="0" w:color="auto"/>
        <w:right w:val="none" w:sz="0" w:space="0" w:color="auto"/>
      </w:divBdr>
    </w:div>
    <w:div w:id="273906554">
      <w:bodyDiv w:val="1"/>
      <w:marLeft w:val="0"/>
      <w:marRight w:val="0"/>
      <w:marTop w:val="0"/>
      <w:marBottom w:val="0"/>
      <w:divBdr>
        <w:top w:val="none" w:sz="0" w:space="0" w:color="auto"/>
        <w:left w:val="none" w:sz="0" w:space="0" w:color="auto"/>
        <w:bottom w:val="none" w:sz="0" w:space="0" w:color="auto"/>
        <w:right w:val="none" w:sz="0" w:space="0" w:color="auto"/>
      </w:divBdr>
    </w:div>
    <w:div w:id="427313218">
      <w:bodyDiv w:val="1"/>
      <w:marLeft w:val="0"/>
      <w:marRight w:val="0"/>
      <w:marTop w:val="0"/>
      <w:marBottom w:val="0"/>
      <w:divBdr>
        <w:top w:val="none" w:sz="0" w:space="0" w:color="auto"/>
        <w:left w:val="none" w:sz="0" w:space="0" w:color="auto"/>
        <w:bottom w:val="none" w:sz="0" w:space="0" w:color="auto"/>
        <w:right w:val="none" w:sz="0" w:space="0" w:color="auto"/>
      </w:divBdr>
      <w:divsChild>
        <w:div w:id="1211112850">
          <w:marLeft w:val="0"/>
          <w:marRight w:val="0"/>
          <w:marTop w:val="0"/>
          <w:marBottom w:val="0"/>
          <w:divBdr>
            <w:top w:val="none" w:sz="0" w:space="0" w:color="auto"/>
            <w:left w:val="none" w:sz="0" w:space="0" w:color="auto"/>
            <w:bottom w:val="none" w:sz="0" w:space="0" w:color="auto"/>
            <w:right w:val="none" w:sz="0" w:space="0" w:color="auto"/>
          </w:divBdr>
        </w:div>
        <w:div w:id="1960212767">
          <w:marLeft w:val="0"/>
          <w:marRight w:val="0"/>
          <w:marTop w:val="0"/>
          <w:marBottom w:val="0"/>
          <w:divBdr>
            <w:top w:val="none" w:sz="0" w:space="0" w:color="auto"/>
            <w:left w:val="none" w:sz="0" w:space="0" w:color="auto"/>
            <w:bottom w:val="none" w:sz="0" w:space="0" w:color="auto"/>
            <w:right w:val="none" w:sz="0" w:space="0" w:color="auto"/>
          </w:divBdr>
        </w:div>
        <w:div w:id="1081022396">
          <w:marLeft w:val="0"/>
          <w:marRight w:val="0"/>
          <w:marTop w:val="0"/>
          <w:marBottom w:val="0"/>
          <w:divBdr>
            <w:top w:val="none" w:sz="0" w:space="0" w:color="auto"/>
            <w:left w:val="none" w:sz="0" w:space="0" w:color="auto"/>
            <w:bottom w:val="none" w:sz="0" w:space="0" w:color="auto"/>
            <w:right w:val="none" w:sz="0" w:space="0" w:color="auto"/>
          </w:divBdr>
        </w:div>
      </w:divsChild>
    </w:div>
    <w:div w:id="794176593">
      <w:bodyDiv w:val="1"/>
      <w:marLeft w:val="0"/>
      <w:marRight w:val="0"/>
      <w:marTop w:val="0"/>
      <w:marBottom w:val="0"/>
      <w:divBdr>
        <w:top w:val="none" w:sz="0" w:space="0" w:color="auto"/>
        <w:left w:val="none" w:sz="0" w:space="0" w:color="auto"/>
        <w:bottom w:val="none" w:sz="0" w:space="0" w:color="auto"/>
        <w:right w:val="none" w:sz="0" w:space="0" w:color="auto"/>
      </w:divBdr>
    </w:div>
    <w:div w:id="797453859">
      <w:bodyDiv w:val="1"/>
      <w:marLeft w:val="0"/>
      <w:marRight w:val="0"/>
      <w:marTop w:val="0"/>
      <w:marBottom w:val="0"/>
      <w:divBdr>
        <w:top w:val="none" w:sz="0" w:space="0" w:color="auto"/>
        <w:left w:val="none" w:sz="0" w:space="0" w:color="auto"/>
        <w:bottom w:val="none" w:sz="0" w:space="0" w:color="auto"/>
        <w:right w:val="none" w:sz="0" w:space="0" w:color="auto"/>
      </w:divBdr>
    </w:div>
    <w:div w:id="971519066">
      <w:bodyDiv w:val="1"/>
      <w:marLeft w:val="0"/>
      <w:marRight w:val="0"/>
      <w:marTop w:val="0"/>
      <w:marBottom w:val="0"/>
      <w:divBdr>
        <w:top w:val="none" w:sz="0" w:space="0" w:color="auto"/>
        <w:left w:val="none" w:sz="0" w:space="0" w:color="auto"/>
        <w:bottom w:val="none" w:sz="0" w:space="0" w:color="auto"/>
        <w:right w:val="none" w:sz="0" w:space="0" w:color="auto"/>
      </w:divBdr>
    </w:div>
    <w:div w:id="1102645248">
      <w:bodyDiv w:val="1"/>
      <w:marLeft w:val="0"/>
      <w:marRight w:val="0"/>
      <w:marTop w:val="0"/>
      <w:marBottom w:val="0"/>
      <w:divBdr>
        <w:top w:val="none" w:sz="0" w:space="0" w:color="auto"/>
        <w:left w:val="none" w:sz="0" w:space="0" w:color="auto"/>
        <w:bottom w:val="none" w:sz="0" w:space="0" w:color="auto"/>
        <w:right w:val="none" w:sz="0" w:space="0" w:color="auto"/>
      </w:divBdr>
    </w:div>
    <w:div w:id="1162311483">
      <w:bodyDiv w:val="1"/>
      <w:marLeft w:val="0"/>
      <w:marRight w:val="0"/>
      <w:marTop w:val="0"/>
      <w:marBottom w:val="0"/>
      <w:divBdr>
        <w:top w:val="none" w:sz="0" w:space="0" w:color="auto"/>
        <w:left w:val="none" w:sz="0" w:space="0" w:color="auto"/>
        <w:bottom w:val="none" w:sz="0" w:space="0" w:color="auto"/>
        <w:right w:val="none" w:sz="0" w:space="0" w:color="auto"/>
      </w:divBdr>
    </w:div>
    <w:div w:id="1259868483">
      <w:bodyDiv w:val="1"/>
      <w:marLeft w:val="0"/>
      <w:marRight w:val="0"/>
      <w:marTop w:val="0"/>
      <w:marBottom w:val="0"/>
      <w:divBdr>
        <w:top w:val="none" w:sz="0" w:space="0" w:color="auto"/>
        <w:left w:val="none" w:sz="0" w:space="0" w:color="auto"/>
        <w:bottom w:val="none" w:sz="0" w:space="0" w:color="auto"/>
        <w:right w:val="none" w:sz="0" w:space="0" w:color="auto"/>
      </w:divBdr>
      <w:divsChild>
        <w:div w:id="1179076519">
          <w:marLeft w:val="0"/>
          <w:marRight w:val="0"/>
          <w:marTop w:val="750"/>
          <w:marBottom w:val="1500"/>
          <w:divBdr>
            <w:top w:val="none" w:sz="0" w:space="0" w:color="auto"/>
            <w:left w:val="none" w:sz="0" w:space="0" w:color="auto"/>
            <w:bottom w:val="none" w:sz="0" w:space="0" w:color="auto"/>
            <w:right w:val="none" w:sz="0" w:space="0" w:color="auto"/>
          </w:divBdr>
          <w:divsChild>
            <w:div w:id="1821145558">
              <w:marLeft w:val="0"/>
              <w:marRight w:val="0"/>
              <w:marTop w:val="0"/>
              <w:marBottom w:val="0"/>
              <w:divBdr>
                <w:top w:val="none" w:sz="0" w:space="0" w:color="auto"/>
                <w:left w:val="none" w:sz="0" w:space="0" w:color="auto"/>
                <w:bottom w:val="none" w:sz="0" w:space="0" w:color="auto"/>
                <w:right w:val="none" w:sz="0" w:space="0" w:color="auto"/>
              </w:divBdr>
            </w:div>
          </w:divsChild>
        </w:div>
        <w:div w:id="1573467168">
          <w:marLeft w:val="0"/>
          <w:marRight w:val="0"/>
          <w:marTop w:val="0"/>
          <w:marBottom w:val="0"/>
          <w:divBdr>
            <w:top w:val="none" w:sz="0" w:space="0" w:color="auto"/>
            <w:left w:val="none" w:sz="0" w:space="0" w:color="auto"/>
            <w:bottom w:val="none" w:sz="0" w:space="0" w:color="auto"/>
            <w:right w:val="none" w:sz="0" w:space="0" w:color="auto"/>
          </w:divBdr>
        </w:div>
        <w:div w:id="1819220610">
          <w:marLeft w:val="0"/>
          <w:marRight w:val="0"/>
          <w:marTop w:val="0"/>
          <w:marBottom w:val="0"/>
          <w:divBdr>
            <w:top w:val="none" w:sz="0" w:space="0" w:color="auto"/>
            <w:left w:val="none" w:sz="0" w:space="0" w:color="auto"/>
            <w:bottom w:val="none" w:sz="0" w:space="0" w:color="auto"/>
            <w:right w:val="none" w:sz="0" w:space="0" w:color="auto"/>
          </w:divBdr>
          <w:divsChild>
            <w:div w:id="365719695">
              <w:marLeft w:val="0"/>
              <w:marRight w:val="0"/>
              <w:marTop w:val="0"/>
              <w:marBottom w:val="0"/>
              <w:divBdr>
                <w:top w:val="none" w:sz="0" w:space="0" w:color="auto"/>
                <w:left w:val="none" w:sz="0" w:space="0" w:color="auto"/>
                <w:bottom w:val="none" w:sz="0" w:space="0" w:color="auto"/>
                <w:right w:val="none" w:sz="0" w:space="0" w:color="auto"/>
              </w:divBdr>
            </w:div>
            <w:div w:id="1411152520">
              <w:marLeft w:val="300"/>
              <w:marRight w:val="225"/>
              <w:marTop w:val="225"/>
              <w:marBottom w:val="0"/>
              <w:divBdr>
                <w:top w:val="none" w:sz="0" w:space="0" w:color="auto"/>
                <w:left w:val="none" w:sz="0" w:space="0" w:color="auto"/>
                <w:bottom w:val="none" w:sz="0" w:space="0" w:color="auto"/>
                <w:right w:val="none" w:sz="0" w:space="0" w:color="auto"/>
              </w:divBdr>
              <w:divsChild>
                <w:div w:id="10885192">
                  <w:marLeft w:val="0"/>
                  <w:marRight w:val="0"/>
                  <w:marTop w:val="0"/>
                  <w:marBottom w:val="0"/>
                  <w:divBdr>
                    <w:top w:val="none" w:sz="0" w:space="0" w:color="auto"/>
                    <w:left w:val="none" w:sz="0" w:space="0" w:color="auto"/>
                    <w:bottom w:val="none" w:sz="0" w:space="0" w:color="auto"/>
                    <w:right w:val="none" w:sz="0" w:space="0" w:color="auto"/>
                  </w:divBdr>
                  <w:divsChild>
                    <w:div w:id="247539851">
                      <w:marLeft w:val="0"/>
                      <w:marRight w:val="0"/>
                      <w:marTop w:val="0"/>
                      <w:marBottom w:val="450"/>
                      <w:divBdr>
                        <w:top w:val="none" w:sz="0" w:space="0" w:color="auto"/>
                        <w:left w:val="none" w:sz="0" w:space="0" w:color="auto"/>
                        <w:bottom w:val="none" w:sz="0" w:space="0" w:color="auto"/>
                        <w:right w:val="none" w:sz="0" w:space="0" w:color="auto"/>
                      </w:divBdr>
                      <w:divsChild>
                        <w:div w:id="605576916">
                          <w:marLeft w:val="0"/>
                          <w:marRight w:val="0"/>
                          <w:marTop w:val="0"/>
                          <w:marBottom w:val="0"/>
                          <w:divBdr>
                            <w:top w:val="none" w:sz="0" w:space="0" w:color="auto"/>
                            <w:left w:val="none" w:sz="0" w:space="0" w:color="auto"/>
                            <w:bottom w:val="none" w:sz="0" w:space="0" w:color="auto"/>
                            <w:right w:val="none" w:sz="0" w:space="0" w:color="auto"/>
                          </w:divBdr>
                          <w:divsChild>
                            <w:div w:id="1074357448">
                              <w:marLeft w:val="0"/>
                              <w:marRight w:val="60"/>
                              <w:marTop w:val="0"/>
                              <w:marBottom w:val="0"/>
                              <w:divBdr>
                                <w:top w:val="none" w:sz="0" w:space="0" w:color="auto"/>
                                <w:left w:val="none" w:sz="0" w:space="0" w:color="auto"/>
                                <w:bottom w:val="none" w:sz="0" w:space="0" w:color="auto"/>
                                <w:right w:val="none" w:sz="0" w:space="0" w:color="auto"/>
                              </w:divBdr>
                            </w:div>
                            <w:div w:id="1746415214">
                              <w:marLeft w:val="0"/>
                              <w:marRight w:val="60"/>
                              <w:marTop w:val="0"/>
                              <w:marBottom w:val="0"/>
                              <w:divBdr>
                                <w:top w:val="none" w:sz="0" w:space="0" w:color="auto"/>
                                <w:left w:val="none" w:sz="0" w:space="0" w:color="auto"/>
                                <w:bottom w:val="none" w:sz="0" w:space="0" w:color="auto"/>
                                <w:right w:val="none" w:sz="0" w:space="0" w:color="auto"/>
                              </w:divBdr>
                            </w:div>
                            <w:div w:id="1941913524">
                              <w:marLeft w:val="0"/>
                              <w:marRight w:val="60"/>
                              <w:marTop w:val="0"/>
                              <w:marBottom w:val="0"/>
                              <w:divBdr>
                                <w:top w:val="none" w:sz="0" w:space="0" w:color="auto"/>
                                <w:left w:val="none" w:sz="0" w:space="0" w:color="auto"/>
                                <w:bottom w:val="none" w:sz="0" w:space="0" w:color="auto"/>
                                <w:right w:val="none" w:sz="0" w:space="0" w:color="auto"/>
                              </w:divBdr>
                            </w:div>
                          </w:divsChild>
                        </w:div>
                        <w:div w:id="13440942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0861675">
                  <w:marLeft w:val="0"/>
                  <w:marRight w:val="0"/>
                  <w:marTop w:val="0"/>
                  <w:marBottom w:val="0"/>
                  <w:divBdr>
                    <w:top w:val="none" w:sz="0" w:space="0" w:color="auto"/>
                    <w:left w:val="none" w:sz="0" w:space="0" w:color="auto"/>
                    <w:bottom w:val="none" w:sz="0" w:space="0" w:color="auto"/>
                    <w:right w:val="none" w:sz="0" w:space="0" w:color="auto"/>
                  </w:divBdr>
                  <w:divsChild>
                    <w:div w:id="1040085537">
                      <w:marLeft w:val="0"/>
                      <w:marRight w:val="0"/>
                      <w:marTop w:val="0"/>
                      <w:marBottom w:val="450"/>
                      <w:divBdr>
                        <w:top w:val="none" w:sz="0" w:space="0" w:color="auto"/>
                        <w:left w:val="none" w:sz="0" w:space="0" w:color="auto"/>
                        <w:bottom w:val="none" w:sz="0" w:space="0" w:color="auto"/>
                        <w:right w:val="none" w:sz="0" w:space="0" w:color="auto"/>
                      </w:divBdr>
                      <w:divsChild>
                        <w:div w:id="1123688796">
                          <w:marLeft w:val="0"/>
                          <w:marRight w:val="0"/>
                          <w:marTop w:val="0"/>
                          <w:marBottom w:val="75"/>
                          <w:divBdr>
                            <w:top w:val="none" w:sz="0" w:space="0" w:color="auto"/>
                            <w:left w:val="none" w:sz="0" w:space="0" w:color="auto"/>
                            <w:bottom w:val="none" w:sz="0" w:space="0" w:color="auto"/>
                            <w:right w:val="none" w:sz="0" w:space="0" w:color="auto"/>
                          </w:divBdr>
                        </w:div>
                        <w:div w:id="1759406322">
                          <w:marLeft w:val="0"/>
                          <w:marRight w:val="0"/>
                          <w:marTop w:val="0"/>
                          <w:marBottom w:val="0"/>
                          <w:divBdr>
                            <w:top w:val="none" w:sz="0" w:space="0" w:color="auto"/>
                            <w:left w:val="none" w:sz="0" w:space="0" w:color="auto"/>
                            <w:bottom w:val="none" w:sz="0" w:space="0" w:color="auto"/>
                            <w:right w:val="none" w:sz="0" w:space="0" w:color="auto"/>
                          </w:divBdr>
                          <w:divsChild>
                            <w:div w:id="435367444">
                              <w:marLeft w:val="0"/>
                              <w:marRight w:val="60"/>
                              <w:marTop w:val="0"/>
                              <w:marBottom w:val="0"/>
                              <w:divBdr>
                                <w:top w:val="none" w:sz="0" w:space="0" w:color="auto"/>
                                <w:left w:val="none" w:sz="0" w:space="0" w:color="auto"/>
                                <w:bottom w:val="none" w:sz="0" w:space="0" w:color="auto"/>
                                <w:right w:val="none" w:sz="0" w:space="0" w:color="auto"/>
                              </w:divBdr>
                            </w:div>
                            <w:div w:id="534971076">
                              <w:marLeft w:val="0"/>
                              <w:marRight w:val="60"/>
                              <w:marTop w:val="0"/>
                              <w:marBottom w:val="0"/>
                              <w:divBdr>
                                <w:top w:val="none" w:sz="0" w:space="0" w:color="auto"/>
                                <w:left w:val="none" w:sz="0" w:space="0" w:color="auto"/>
                                <w:bottom w:val="none" w:sz="0" w:space="0" w:color="auto"/>
                                <w:right w:val="none" w:sz="0" w:space="0" w:color="auto"/>
                              </w:divBdr>
                            </w:div>
                            <w:div w:id="1064177955">
                              <w:marLeft w:val="0"/>
                              <w:marRight w:val="60"/>
                              <w:marTop w:val="0"/>
                              <w:marBottom w:val="0"/>
                              <w:divBdr>
                                <w:top w:val="none" w:sz="0" w:space="0" w:color="auto"/>
                                <w:left w:val="none" w:sz="0" w:space="0" w:color="auto"/>
                                <w:bottom w:val="none" w:sz="0" w:space="0" w:color="auto"/>
                                <w:right w:val="none" w:sz="0" w:space="0" w:color="auto"/>
                              </w:divBdr>
                            </w:div>
                            <w:div w:id="1406803952">
                              <w:marLeft w:val="0"/>
                              <w:marRight w:val="60"/>
                              <w:marTop w:val="0"/>
                              <w:marBottom w:val="0"/>
                              <w:divBdr>
                                <w:top w:val="none" w:sz="0" w:space="0" w:color="auto"/>
                                <w:left w:val="none" w:sz="0" w:space="0" w:color="auto"/>
                                <w:bottom w:val="none" w:sz="0" w:space="0" w:color="auto"/>
                                <w:right w:val="none" w:sz="0" w:space="0" w:color="auto"/>
                              </w:divBdr>
                            </w:div>
                            <w:div w:id="1440105697">
                              <w:marLeft w:val="0"/>
                              <w:marRight w:val="60"/>
                              <w:marTop w:val="0"/>
                              <w:marBottom w:val="0"/>
                              <w:divBdr>
                                <w:top w:val="none" w:sz="0" w:space="0" w:color="auto"/>
                                <w:left w:val="none" w:sz="0" w:space="0" w:color="auto"/>
                                <w:bottom w:val="none" w:sz="0" w:space="0" w:color="auto"/>
                                <w:right w:val="none" w:sz="0" w:space="0" w:color="auto"/>
                              </w:divBdr>
                            </w:div>
                            <w:div w:id="20545732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62039146">
                  <w:marLeft w:val="0"/>
                  <w:marRight w:val="0"/>
                  <w:marTop w:val="0"/>
                  <w:marBottom w:val="0"/>
                  <w:divBdr>
                    <w:top w:val="none" w:sz="0" w:space="0" w:color="auto"/>
                    <w:left w:val="none" w:sz="0" w:space="0" w:color="auto"/>
                    <w:bottom w:val="none" w:sz="0" w:space="0" w:color="auto"/>
                    <w:right w:val="none" w:sz="0" w:space="0" w:color="auto"/>
                  </w:divBdr>
                  <w:divsChild>
                    <w:div w:id="1479035683">
                      <w:marLeft w:val="0"/>
                      <w:marRight w:val="0"/>
                      <w:marTop w:val="0"/>
                      <w:marBottom w:val="450"/>
                      <w:divBdr>
                        <w:top w:val="none" w:sz="0" w:space="0" w:color="auto"/>
                        <w:left w:val="none" w:sz="0" w:space="0" w:color="auto"/>
                        <w:bottom w:val="none" w:sz="0" w:space="0" w:color="auto"/>
                        <w:right w:val="none" w:sz="0" w:space="0" w:color="auto"/>
                      </w:divBdr>
                      <w:divsChild>
                        <w:div w:id="261500690">
                          <w:marLeft w:val="0"/>
                          <w:marRight w:val="0"/>
                          <w:marTop w:val="0"/>
                          <w:marBottom w:val="0"/>
                          <w:divBdr>
                            <w:top w:val="none" w:sz="0" w:space="0" w:color="auto"/>
                            <w:left w:val="none" w:sz="0" w:space="0" w:color="auto"/>
                            <w:bottom w:val="none" w:sz="0" w:space="0" w:color="auto"/>
                            <w:right w:val="none" w:sz="0" w:space="0" w:color="auto"/>
                          </w:divBdr>
                          <w:divsChild>
                            <w:div w:id="61955866">
                              <w:marLeft w:val="0"/>
                              <w:marRight w:val="0"/>
                              <w:marTop w:val="100"/>
                              <w:marBottom w:val="100"/>
                              <w:divBdr>
                                <w:top w:val="none" w:sz="0" w:space="0" w:color="auto"/>
                                <w:left w:val="none" w:sz="0" w:space="0" w:color="auto"/>
                                <w:bottom w:val="none" w:sz="0" w:space="0" w:color="auto"/>
                                <w:right w:val="none" w:sz="0" w:space="0" w:color="auto"/>
                              </w:divBdr>
                            </w:div>
                            <w:div w:id="176239368">
                              <w:marLeft w:val="0"/>
                              <w:marRight w:val="0"/>
                              <w:marTop w:val="100"/>
                              <w:marBottom w:val="100"/>
                              <w:divBdr>
                                <w:top w:val="none" w:sz="0" w:space="0" w:color="auto"/>
                                <w:left w:val="none" w:sz="0" w:space="0" w:color="auto"/>
                                <w:bottom w:val="none" w:sz="0" w:space="0" w:color="auto"/>
                                <w:right w:val="none" w:sz="0" w:space="0" w:color="auto"/>
                              </w:divBdr>
                            </w:div>
                            <w:div w:id="185489801">
                              <w:marLeft w:val="0"/>
                              <w:marRight w:val="0"/>
                              <w:marTop w:val="100"/>
                              <w:marBottom w:val="100"/>
                              <w:divBdr>
                                <w:top w:val="none" w:sz="0" w:space="0" w:color="auto"/>
                                <w:left w:val="none" w:sz="0" w:space="0" w:color="auto"/>
                                <w:bottom w:val="none" w:sz="0" w:space="0" w:color="auto"/>
                                <w:right w:val="none" w:sz="0" w:space="0" w:color="auto"/>
                              </w:divBdr>
                            </w:div>
                            <w:div w:id="199393075">
                              <w:marLeft w:val="0"/>
                              <w:marRight w:val="0"/>
                              <w:marTop w:val="100"/>
                              <w:marBottom w:val="100"/>
                              <w:divBdr>
                                <w:top w:val="none" w:sz="0" w:space="0" w:color="auto"/>
                                <w:left w:val="none" w:sz="0" w:space="0" w:color="auto"/>
                                <w:bottom w:val="none" w:sz="0" w:space="0" w:color="auto"/>
                                <w:right w:val="none" w:sz="0" w:space="0" w:color="auto"/>
                              </w:divBdr>
                            </w:div>
                            <w:div w:id="270237065">
                              <w:marLeft w:val="0"/>
                              <w:marRight w:val="0"/>
                              <w:marTop w:val="100"/>
                              <w:marBottom w:val="100"/>
                              <w:divBdr>
                                <w:top w:val="none" w:sz="0" w:space="0" w:color="auto"/>
                                <w:left w:val="none" w:sz="0" w:space="0" w:color="auto"/>
                                <w:bottom w:val="none" w:sz="0" w:space="0" w:color="auto"/>
                                <w:right w:val="none" w:sz="0" w:space="0" w:color="auto"/>
                              </w:divBdr>
                            </w:div>
                            <w:div w:id="315646188">
                              <w:marLeft w:val="0"/>
                              <w:marRight w:val="0"/>
                              <w:marTop w:val="100"/>
                              <w:marBottom w:val="100"/>
                              <w:divBdr>
                                <w:top w:val="none" w:sz="0" w:space="0" w:color="auto"/>
                                <w:left w:val="none" w:sz="0" w:space="0" w:color="auto"/>
                                <w:bottom w:val="none" w:sz="0" w:space="0" w:color="auto"/>
                                <w:right w:val="none" w:sz="0" w:space="0" w:color="auto"/>
                              </w:divBdr>
                            </w:div>
                            <w:div w:id="355351166">
                              <w:marLeft w:val="0"/>
                              <w:marRight w:val="0"/>
                              <w:marTop w:val="100"/>
                              <w:marBottom w:val="100"/>
                              <w:divBdr>
                                <w:top w:val="none" w:sz="0" w:space="0" w:color="auto"/>
                                <w:left w:val="none" w:sz="0" w:space="0" w:color="auto"/>
                                <w:bottom w:val="none" w:sz="0" w:space="0" w:color="auto"/>
                                <w:right w:val="none" w:sz="0" w:space="0" w:color="auto"/>
                              </w:divBdr>
                            </w:div>
                            <w:div w:id="441992513">
                              <w:marLeft w:val="0"/>
                              <w:marRight w:val="0"/>
                              <w:marTop w:val="100"/>
                              <w:marBottom w:val="100"/>
                              <w:divBdr>
                                <w:top w:val="none" w:sz="0" w:space="0" w:color="auto"/>
                                <w:left w:val="none" w:sz="0" w:space="0" w:color="auto"/>
                                <w:bottom w:val="none" w:sz="0" w:space="0" w:color="auto"/>
                                <w:right w:val="none" w:sz="0" w:space="0" w:color="auto"/>
                              </w:divBdr>
                            </w:div>
                            <w:div w:id="559362488">
                              <w:marLeft w:val="0"/>
                              <w:marRight w:val="0"/>
                              <w:marTop w:val="100"/>
                              <w:marBottom w:val="100"/>
                              <w:divBdr>
                                <w:top w:val="none" w:sz="0" w:space="0" w:color="auto"/>
                                <w:left w:val="none" w:sz="0" w:space="0" w:color="auto"/>
                                <w:bottom w:val="none" w:sz="0" w:space="0" w:color="auto"/>
                                <w:right w:val="none" w:sz="0" w:space="0" w:color="auto"/>
                              </w:divBdr>
                            </w:div>
                            <w:div w:id="704718497">
                              <w:marLeft w:val="0"/>
                              <w:marRight w:val="0"/>
                              <w:marTop w:val="100"/>
                              <w:marBottom w:val="100"/>
                              <w:divBdr>
                                <w:top w:val="none" w:sz="0" w:space="0" w:color="auto"/>
                                <w:left w:val="none" w:sz="0" w:space="0" w:color="auto"/>
                                <w:bottom w:val="none" w:sz="0" w:space="0" w:color="auto"/>
                                <w:right w:val="none" w:sz="0" w:space="0" w:color="auto"/>
                              </w:divBdr>
                            </w:div>
                            <w:div w:id="786464172">
                              <w:marLeft w:val="0"/>
                              <w:marRight w:val="0"/>
                              <w:marTop w:val="100"/>
                              <w:marBottom w:val="100"/>
                              <w:divBdr>
                                <w:top w:val="none" w:sz="0" w:space="0" w:color="auto"/>
                                <w:left w:val="none" w:sz="0" w:space="0" w:color="auto"/>
                                <w:bottom w:val="none" w:sz="0" w:space="0" w:color="auto"/>
                                <w:right w:val="none" w:sz="0" w:space="0" w:color="auto"/>
                              </w:divBdr>
                            </w:div>
                            <w:div w:id="993144997">
                              <w:marLeft w:val="0"/>
                              <w:marRight w:val="0"/>
                              <w:marTop w:val="100"/>
                              <w:marBottom w:val="100"/>
                              <w:divBdr>
                                <w:top w:val="none" w:sz="0" w:space="0" w:color="auto"/>
                                <w:left w:val="none" w:sz="0" w:space="0" w:color="auto"/>
                                <w:bottom w:val="none" w:sz="0" w:space="0" w:color="auto"/>
                                <w:right w:val="none" w:sz="0" w:space="0" w:color="auto"/>
                              </w:divBdr>
                            </w:div>
                            <w:div w:id="1010566030">
                              <w:marLeft w:val="0"/>
                              <w:marRight w:val="0"/>
                              <w:marTop w:val="100"/>
                              <w:marBottom w:val="100"/>
                              <w:divBdr>
                                <w:top w:val="none" w:sz="0" w:space="0" w:color="auto"/>
                                <w:left w:val="none" w:sz="0" w:space="0" w:color="auto"/>
                                <w:bottom w:val="none" w:sz="0" w:space="0" w:color="auto"/>
                                <w:right w:val="none" w:sz="0" w:space="0" w:color="auto"/>
                              </w:divBdr>
                            </w:div>
                            <w:div w:id="1063215052">
                              <w:marLeft w:val="0"/>
                              <w:marRight w:val="0"/>
                              <w:marTop w:val="100"/>
                              <w:marBottom w:val="100"/>
                              <w:divBdr>
                                <w:top w:val="none" w:sz="0" w:space="0" w:color="auto"/>
                                <w:left w:val="none" w:sz="0" w:space="0" w:color="auto"/>
                                <w:bottom w:val="none" w:sz="0" w:space="0" w:color="auto"/>
                                <w:right w:val="none" w:sz="0" w:space="0" w:color="auto"/>
                              </w:divBdr>
                            </w:div>
                            <w:div w:id="1100025614">
                              <w:marLeft w:val="0"/>
                              <w:marRight w:val="60"/>
                              <w:marTop w:val="0"/>
                              <w:marBottom w:val="0"/>
                              <w:divBdr>
                                <w:top w:val="none" w:sz="0" w:space="0" w:color="auto"/>
                                <w:left w:val="none" w:sz="0" w:space="0" w:color="auto"/>
                                <w:bottom w:val="none" w:sz="0" w:space="0" w:color="auto"/>
                                <w:right w:val="none" w:sz="0" w:space="0" w:color="auto"/>
                              </w:divBdr>
                            </w:div>
                            <w:div w:id="1221476119">
                              <w:marLeft w:val="0"/>
                              <w:marRight w:val="0"/>
                              <w:marTop w:val="100"/>
                              <w:marBottom w:val="100"/>
                              <w:divBdr>
                                <w:top w:val="none" w:sz="0" w:space="0" w:color="auto"/>
                                <w:left w:val="none" w:sz="0" w:space="0" w:color="auto"/>
                                <w:bottom w:val="none" w:sz="0" w:space="0" w:color="auto"/>
                                <w:right w:val="none" w:sz="0" w:space="0" w:color="auto"/>
                              </w:divBdr>
                            </w:div>
                            <w:div w:id="1226379045">
                              <w:marLeft w:val="0"/>
                              <w:marRight w:val="0"/>
                              <w:marTop w:val="100"/>
                              <w:marBottom w:val="100"/>
                              <w:divBdr>
                                <w:top w:val="none" w:sz="0" w:space="0" w:color="auto"/>
                                <w:left w:val="none" w:sz="0" w:space="0" w:color="auto"/>
                                <w:bottom w:val="none" w:sz="0" w:space="0" w:color="auto"/>
                                <w:right w:val="none" w:sz="0" w:space="0" w:color="auto"/>
                              </w:divBdr>
                            </w:div>
                            <w:div w:id="1383023774">
                              <w:marLeft w:val="0"/>
                              <w:marRight w:val="0"/>
                              <w:marTop w:val="100"/>
                              <w:marBottom w:val="100"/>
                              <w:divBdr>
                                <w:top w:val="none" w:sz="0" w:space="0" w:color="auto"/>
                                <w:left w:val="none" w:sz="0" w:space="0" w:color="auto"/>
                                <w:bottom w:val="none" w:sz="0" w:space="0" w:color="auto"/>
                                <w:right w:val="none" w:sz="0" w:space="0" w:color="auto"/>
                              </w:divBdr>
                            </w:div>
                            <w:div w:id="1690109060">
                              <w:marLeft w:val="0"/>
                              <w:marRight w:val="0"/>
                              <w:marTop w:val="100"/>
                              <w:marBottom w:val="100"/>
                              <w:divBdr>
                                <w:top w:val="none" w:sz="0" w:space="0" w:color="auto"/>
                                <w:left w:val="none" w:sz="0" w:space="0" w:color="auto"/>
                                <w:bottom w:val="none" w:sz="0" w:space="0" w:color="auto"/>
                                <w:right w:val="none" w:sz="0" w:space="0" w:color="auto"/>
                              </w:divBdr>
                            </w:div>
                            <w:div w:id="1741824444">
                              <w:marLeft w:val="0"/>
                              <w:marRight w:val="0"/>
                              <w:marTop w:val="100"/>
                              <w:marBottom w:val="100"/>
                              <w:divBdr>
                                <w:top w:val="none" w:sz="0" w:space="0" w:color="auto"/>
                                <w:left w:val="none" w:sz="0" w:space="0" w:color="auto"/>
                                <w:bottom w:val="none" w:sz="0" w:space="0" w:color="auto"/>
                                <w:right w:val="none" w:sz="0" w:space="0" w:color="auto"/>
                              </w:divBdr>
                            </w:div>
                            <w:div w:id="1744909899">
                              <w:marLeft w:val="0"/>
                              <w:marRight w:val="0"/>
                              <w:marTop w:val="100"/>
                              <w:marBottom w:val="100"/>
                              <w:divBdr>
                                <w:top w:val="none" w:sz="0" w:space="0" w:color="auto"/>
                                <w:left w:val="none" w:sz="0" w:space="0" w:color="auto"/>
                                <w:bottom w:val="none" w:sz="0" w:space="0" w:color="auto"/>
                                <w:right w:val="none" w:sz="0" w:space="0" w:color="auto"/>
                              </w:divBdr>
                            </w:div>
                            <w:div w:id="1799953857">
                              <w:marLeft w:val="0"/>
                              <w:marRight w:val="0"/>
                              <w:marTop w:val="100"/>
                              <w:marBottom w:val="100"/>
                              <w:divBdr>
                                <w:top w:val="none" w:sz="0" w:space="0" w:color="auto"/>
                                <w:left w:val="none" w:sz="0" w:space="0" w:color="auto"/>
                                <w:bottom w:val="none" w:sz="0" w:space="0" w:color="auto"/>
                                <w:right w:val="none" w:sz="0" w:space="0" w:color="auto"/>
                              </w:divBdr>
                            </w:div>
                            <w:div w:id="1860702582">
                              <w:marLeft w:val="0"/>
                              <w:marRight w:val="0"/>
                              <w:marTop w:val="100"/>
                              <w:marBottom w:val="100"/>
                              <w:divBdr>
                                <w:top w:val="none" w:sz="0" w:space="0" w:color="auto"/>
                                <w:left w:val="none" w:sz="0" w:space="0" w:color="auto"/>
                                <w:bottom w:val="none" w:sz="0" w:space="0" w:color="auto"/>
                                <w:right w:val="none" w:sz="0" w:space="0" w:color="auto"/>
                              </w:divBdr>
                            </w:div>
                            <w:div w:id="1973095545">
                              <w:marLeft w:val="0"/>
                              <w:marRight w:val="0"/>
                              <w:marTop w:val="100"/>
                              <w:marBottom w:val="100"/>
                              <w:divBdr>
                                <w:top w:val="none" w:sz="0" w:space="0" w:color="auto"/>
                                <w:left w:val="none" w:sz="0" w:space="0" w:color="auto"/>
                                <w:bottom w:val="none" w:sz="0" w:space="0" w:color="auto"/>
                                <w:right w:val="none" w:sz="0" w:space="0" w:color="auto"/>
                              </w:divBdr>
                            </w:div>
                            <w:div w:id="1985968328">
                              <w:marLeft w:val="0"/>
                              <w:marRight w:val="0"/>
                              <w:marTop w:val="100"/>
                              <w:marBottom w:val="100"/>
                              <w:divBdr>
                                <w:top w:val="none" w:sz="0" w:space="0" w:color="auto"/>
                                <w:left w:val="none" w:sz="0" w:space="0" w:color="auto"/>
                                <w:bottom w:val="none" w:sz="0" w:space="0" w:color="auto"/>
                                <w:right w:val="none" w:sz="0" w:space="0" w:color="auto"/>
                              </w:divBdr>
                            </w:div>
                            <w:div w:id="2032607846">
                              <w:marLeft w:val="0"/>
                              <w:marRight w:val="0"/>
                              <w:marTop w:val="100"/>
                              <w:marBottom w:val="100"/>
                              <w:divBdr>
                                <w:top w:val="none" w:sz="0" w:space="0" w:color="auto"/>
                                <w:left w:val="none" w:sz="0" w:space="0" w:color="auto"/>
                                <w:bottom w:val="none" w:sz="0" w:space="0" w:color="auto"/>
                                <w:right w:val="none" w:sz="0" w:space="0" w:color="auto"/>
                              </w:divBdr>
                            </w:div>
                            <w:div w:id="2061203002">
                              <w:marLeft w:val="0"/>
                              <w:marRight w:val="0"/>
                              <w:marTop w:val="100"/>
                              <w:marBottom w:val="100"/>
                              <w:divBdr>
                                <w:top w:val="none" w:sz="0" w:space="0" w:color="auto"/>
                                <w:left w:val="none" w:sz="0" w:space="0" w:color="auto"/>
                                <w:bottom w:val="none" w:sz="0" w:space="0" w:color="auto"/>
                                <w:right w:val="none" w:sz="0" w:space="0" w:color="auto"/>
                              </w:divBdr>
                            </w:div>
                            <w:div w:id="2069643402">
                              <w:marLeft w:val="0"/>
                              <w:marRight w:val="0"/>
                              <w:marTop w:val="100"/>
                              <w:marBottom w:val="100"/>
                              <w:divBdr>
                                <w:top w:val="none" w:sz="0" w:space="0" w:color="auto"/>
                                <w:left w:val="none" w:sz="0" w:space="0" w:color="auto"/>
                                <w:bottom w:val="none" w:sz="0" w:space="0" w:color="auto"/>
                                <w:right w:val="none" w:sz="0" w:space="0" w:color="auto"/>
                              </w:divBdr>
                            </w:div>
                            <w:div w:id="2114937344">
                              <w:marLeft w:val="0"/>
                              <w:marRight w:val="0"/>
                              <w:marTop w:val="100"/>
                              <w:marBottom w:val="100"/>
                              <w:divBdr>
                                <w:top w:val="none" w:sz="0" w:space="0" w:color="auto"/>
                                <w:left w:val="none" w:sz="0" w:space="0" w:color="auto"/>
                                <w:bottom w:val="none" w:sz="0" w:space="0" w:color="auto"/>
                                <w:right w:val="none" w:sz="0" w:space="0" w:color="auto"/>
                              </w:divBdr>
                            </w:div>
                          </w:divsChild>
                        </w:div>
                        <w:div w:id="464852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9027175">
                  <w:marLeft w:val="0"/>
                  <w:marRight w:val="0"/>
                  <w:marTop w:val="0"/>
                  <w:marBottom w:val="0"/>
                  <w:divBdr>
                    <w:top w:val="none" w:sz="0" w:space="0" w:color="auto"/>
                    <w:left w:val="none" w:sz="0" w:space="0" w:color="auto"/>
                    <w:bottom w:val="none" w:sz="0" w:space="0" w:color="auto"/>
                    <w:right w:val="none" w:sz="0" w:space="0" w:color="auto"/>
                  </w:divBdr>
                  <w:divsChild>
                    <w:div w:id="597368769">
                      <w:marLeft w:val="0"/>
                      <w:marRight w:val="0"/>
                      <w:marTop w:val="0"/>
                      <w:marBottom w:val="450"/>
                      <w:divBdr>
                        <w:top w:val="none" w:sz="0" w:space="0" w:color="auto"/>
                        <w:left w:val="none" w:sz="0" w:space="0" w:color="auto"/>
                        <w:bottom w:val="none" w:sz="0" w:space="0" w:color="auto"/>
                        <w:right w:val="none" w:sz="0" w:space="0" w:color="auto"/>
                      </w:divBdr>
                      <w:divsChild>
                        <w:div w:id="2510533">
                          <w:marLeft w:val="0"/>
                          <w:marRight w:val="0"/>
                          <w:marTop w:val="0"/>
                          <w:marBottom w:val="75"/>
                          <w:divBdr>
                            <w:top w:val="none" w:sz="0" w:space="0" w:color="auto"/>
                            <w:left w:val="none" w:sz="0" w:space="0" w:color="auto"/>
                            <w:bottom w:val="none" w:sz="0" w:space="0" w:color="auto"/>
                            <w:right w:val="none" w:sz="0" w:space="0" w:color="auto"/>
                          </w:divBdr>
                        </w:div>
                        <w:div w:id="998926921">
                          <w:marLeft w:val="0"/>
                          <w:marRight w:val="0"/>
                          <w:marTop w:val="0"/>
                          <w:marBottom w:val="0"/>
                          <w:divBdr>
                            <w:top w:val="none" w:sz="0" w:space="0" w:color="auto"/>
                            <w:left w:val="none" w:sz="0" w:space="0" w:color="auto"/>
                            <w:bottom w:val="none" w:sz="0" w:space="0" w:color="auto"/>
                            <w:right w:val="none" w:sz="0" w:space="0" w:color="auto"/>
                          </w:divBdr>
                          <w:divsChild>
                            <w:div w:id="29455926">
                              <w:marLeft w:val="0"/>
                              <w:marRight w:val="60"/>
                              <w:marTop w:val="0"/>
                              <w:marBottom w:val="0"/>
                              <w:divBdr>
                                <w:top w:val="none" w:sz="0" w:space="0" w:color="auto"/>
                                <w:left w:val="none" w:sz="0" w:space="0" w:color="auto"/>
                                <w:bottom w:val="none" w:sz="0" w:space="0" w:color="auto"/>
                                <w:right w:val="none" w:sz="0" w:space="0" w:color="auto"/>
                              </w:divBdr>
                            </w:div>
                            <w:div w:id="164900013">
                              <w:marLeft w:val="0"/>
                              <w:marRight w:val="60"/>
                              <w:marTop w:val="0"/>
                              <w:marBottom w:val="0"/>
                              <w:divBdr>
                                <w:top w:val="none" w:sz="0" w:space="0" w:color="auto"/>
                                <w:left w:val="none" w:sz="0" w:space="0" w:color="auto"/>
                                <w:bottom w:val="none" w:sz="0" w:space="0" w:color="auto"/>
                                <w:right w:val="none" w:sz="0" w:space="0" w:color="auto"/>
                              </w:divBdr>
                            </w:div>
                            <w:div w:id="2779504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50617285">
                  <w:marLeft w:val="0"/>
                  <w:marRight w:val="0"/>
                  <w:marTop w:val="0"/>
                  <w:marBottom w:val="0"/>
                  <w:divBdr>
                    <w:top w:val="none" w:sz="0" w:space="0" w:color="auto"/>
                    <w:left w:val="none" w:sz="0" w:space="0" w:color="auto"/>
                    <w:bottom w:val="none" w:sz="0" w:space="0" w:color="auto"/>
                    <w:right w:val="none" w:sz="0" w:space="0" w:color="auto"/>
                  </w:divBdr>
                  <w:divsChild>
                    <w:div w:id="1166701191">
                      <w:marLeft w:val="0"/>
                      <w:marRight w:val="0"/>
                      <w:marTop w:val="0"/>
                      <w:marBottom w:val="450"/>
                      <w:divBdr>
                        <w:top w:val="none" w:sz="0" w:space="0" w:color="auto"/>
                        <w:left w:val="none" w:sz="0" w:space="0" w:color="auto"/>
                        <w:bottom w:val="none" w:sz="0" w:space="0" w:color="auto"/>
                        <w:right w:val="none" w:sz="0" w:space="0" w:color="auto"/>
                      </w:divBdr>
                      <w:divsChild>
                        <w:div w:id="1163932914">
                          <w:marLeft w:val="0"/>
                          <w:marRight w:val="0"/>
                          <w:marTop w:val="0"/>
                          <w:marBottom w:val="0"/>
                          <w:divBdr>
                            <w:top w:val="none" w:sz="0" w:space="0" w:color="auto"/>
                            <w:left w:val="none" w:sz="0" w:space="0" w:color="auto"/>
                            <w:bottom w:val="none" w:sz="0" w:space="0" w:color="auto"/>
                            <w:right w:val="none" w:sz="0" w:space="0" w:color="auto"/>
                          </w:divBdr>
                          <w:divsChild>
                            <w:div w:id="124591951">
                              <w:marLeft w:val="0"/>
                              <w:marRight w:val="60"/>
                              <w:marTop w:val="0"/>
                              <w:marBottom w:val="0"/>
                              <w:divBdr>
                                <w:top w:val="none" w:sz="0" w:space="0" w:color="auto"/>
                                <w:left w:val="none" w:sz="0" w:space="0" w:color="auto"/>
                                <w:bottom w:val="none" w:sz="0" w:space="0" w:color="auto"/>
                                <w:right w:val="none" w:sz="0" w:space="0" w:color="auto"/>
                              </w:divBdr>
                            </w:div>
                            <w:div w:id="445151796">
                              <w:marLeft w:val="0"/>
                              <w:marRight w:val="60"/>
                              <w:marTop w:val="0"/>
                              <w:marBottom w:val="0"/>
                              <w:divBdr>
                                <w:top w:val="none" w:sz="0" w:space="0" w:color="auto"/>
                                <w:left w:val="none" w:sz="0" w:space="0" w:color="auto"/>
                                <w:bottom w:val="none" w:sz="0" w:space="0" w:color="auto"/>
                                <w:right w:val="none" w:sz="0" w:space="0" w:color="auto"/>
                              </w:divBdr>
                            </w:div>
                            <w:div w:id="1704207196">
                              <w:marLeft w:val="0"/>
                              <w:marRight w:val="60"/>
                              <w:marTop w:val="0"/>
                              <w:marBottom w:val="0"/>
                              <w:divBdr>
                                <w:top w:val="none" w:sz="0" w:space="0" w:color="auto"/>
                                <w:left w:val="none" w:sz="0" w:space="0" w:color="auto"/>
                                <w:bottom w:val="none" w:sz="0" w:space="0" w:color="auto"/>
                                <w:right w:val="none" w:sz="0" w:space="0" w:color="auto"/>
                              </w:divBdr>
                            </w:div>
                          </w:divsChild>
                        </w:div>
                        <w:div w:id="21125545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5636135">
                  <w:marLeft w:val="0"/>
                  <w:marRight w:val="0"/>
                  <w:marTop w:val="0"/>
                  <w:marBottom w:val="0"/>
                  <w:divBdr>
                    <w:top w:val="none" w:sz="0" w:space="0" w:color="auto"/>
                    <w:left w:val="none" w:sz="0" w:space="0" w:color="auto"/>
                    <w:bottom w:val="none" w:sz="0" w:space="0" w:color="auto"/>
                    <w:right w:val="none" w:sz="0" w:space="0" w:color="auto"/>
                  </w:divBdr>
                  <w:divsChild>
                    <w:div w:id="474227463">
                      <w:marLeft w:val="0"/>
                      <w:marRight w:val="0"/>
                      <w:marTop w:val="0"/>
                      <w:marBottom w:val="450"/>
                      <w:divBdr>
                        <w:top w:val="none" w:sz="0" w:space="0" w:color="auto"/>
                        <w:left w:val="none" w:sz="0" w:space="0" w:color="auto"/>
                        <w:bottom w:val="none" w:sz="0" w:space="0" w:color="auto"/>
                        <w:right w:val="none" w:sz="0" w:space="0" w:color="auto"/>
                      </w:divBdr>
                      <w:divsChild>
                        <w:div w:id="447044543">
                          <w:marLeft w:val="0"/>
                          <w:marRight w:val="0"/>
                          <w:marTop w:val="0"/>
                          <w:marBottom w:val="75"/>
                          <w:divBdr>
                            <w:top w:val="none" w:sz="0" w:space="0" w:color="auto"/>
                            <w:left w:val="none" w:sz="0" w:space="0" w:color="auto"/>
                            <w:bottom w:val="none" w:sz="0" w:space="0" w:color="auto"/>
                            <w:right w:val="none" w:sz="0" w:space="0" w:color="auto"/>
                          </w:divBdr>
                        </w:div>
                        <w:div w:id="1601255142">
                          <w:marLeft w:val="0"/>
                          <w:marRight w:val="0"/>
                          <w:marTop w:val="0"/>
                          <w:marBottom w:val="0"/>
                          <w:divBdr>
                            <w:top w:val="none" w:sz="0" w:space="0" w:color="auto"/>
                            <w:left w:val="none" w:sz="0" w:space="0" w:color="auto"/>
                            <w:bottom w:val="none" w:sz="0" w:space="0" w:color="auto"/>
                            <w:right w:val="none" w:sz="0" w:space="0" w:color="auto"/>
                          </w:divBdr>
                          <w:divsChild>
                            <w:div w:id="785345732">
                              <w:marLeft w:val="0"/>
                              <w:marRight w:val="60"/>
                              <w:marTop w:val="0"/>
                              <w:marBottom w:val="0"/>
                              <w:divBdr>
                                <w:top w:val="none" w:sz="0" w:space="0" w:color="auto"/>
                                <w:left w:val="none" w:sz="0" w:space="0" w:color="auto"/>
                                <w:bottom w:val="none" w:sz="0" w:space="0" w:color="auto"/>
                                <w:right w:val="none" w:sz="0" w:space="0" w:color="auto"/>
                              </w:divBdr>
                            </w:div>
                            <w:div w:id="1395160034">
                              <w:marLeft w:val="0"/>
                              <w:marRight w:val="60"/>
                              <w:marTop w:val="0"/>
                              <w:marBottom w:val="0"/>
                              <w:divBdr>
                                <w:top w:val="none" w:sz="0" w:space="0" w:color="auto"/>
                                <w:left w:val="none" w:sz="0" w:space="0" w:color="auto"/>
                                <w:bottom w:val="none" w:sz="0" w:space="0" w:color="auto"/>
                                <w:right w:val="none" w:sz="0" w:space="0" w:color="auto"/>
                              </w:divBdr>
                            </w:div>
                            <w:div w:id="141632177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43623256">
                  <w:marLeft w:val="0"/>
                  <w:marRight w:val="0"/>
                  <w:marTop w:val="0"/>
                  <w:marBottom w:val="0"/>
                  <w:divBdr>
                    <w:top w:val="none" w:sz="0" w:space="0" w:color="auto"/>
                    <w:left w:val="none" w:sz="0" w:space="0" w:color="auto"/>
                    <w:bottom w:val="none" w:sz="0" w:space="0" w:color="auto"/>
                    <w:right w:val="none" w:sz="0" w:space="0" w:color="auto"/>
                  </w:divBdr>
                  <w:divsChild>
                    <w:div w:id="1990864130">
                      <w:marLeft w:val="0"/>
                      <w:marRight w:val="0"/>
                      <w:marTop w:val="0"/>
                      <w:marBottom w:val="450"/>
                      <w:divBdr>
                        <w:top w:val="none" w:sz="0" w:space="0" w:color="auto"/>
                        <w:left w:val="none" w:sz="0" w:space="0" w:color="auto"/>
                        <w:bottom w:val="none" w:sz="0" w:space="0" w:color="auto"/>
                        <w:right w:val="none" w:sz="0" w:space="0" w:color="auto"/>
                      </w:divBdr>
                      <w:divsChild>
                        <w:div w:id="1498644008">
                          <w:marLeft w:val="0"/>
                          <w:marRight w:val="0"/>
                          <w:marTop w:val="0"/>
                          <w:marBottom w:val="0"/>
                          <w:divBdr>
                            <w:top w:val="none" w:sz="0" w:space="0" w:color="auto"/>
                            <w:left w:val="none" w:sz="0" w:space="0" w:color="auto"/>
                            <w:bottom w:val="none" w:sz="0" w:space="0" w:color="auto"/>
                            <w:right w:val="none" w:sz="0" w:space="0" w:color="auto"/>
                          </w:divBdr>
                          <w:divsChild>
                            <w:div w:id="572928927">
                              <w:marLeft w:val="0"/>
                              <w:marRight w:val="60"/>
                              <w:marTop w:val="0"/>
                              <w:marBottom w:val="0"/>
                              <w:divBdr>
                                <w:top w:val="none" w:sz="0" w:space="0" w:color="auto"/>
                                <w:left w:val="none" w:sz="0" w:space="0" w:color="auto"/>
                                <w:bottom w:val="none" w:sz="0" w:space="0" w:color="auto"/>
                                <w:right w:val="none" w:sz="0" w:space="0" w:color="auto"/>
                              </w:divBdr>
                            </w:div>
                            <w:div w:id="1201015484">
                              <w:marLeft w:val="0"/>
                              <w:marRight w:val="60"/>
                              <w:marTop w:val="0"/>
                              <w:marBottom w:val="0"/>
                              <w:divBdr>
                                <w:top w:val="none" w:sz="0" w:space="0" w:color="auto"/>
                                <w:left w:val="none" w:sz="0" w:space="0" w:color="auto"/>
                                <w:bottom w:val="none" w:sz="0" w:space="0" w:color="auto"/>
                                <w:right w:val="none" w:sz="0" w:space="0" w:color="auto"/>
                              </w:divBdr>
                            </w:div>
                            <w:div w:id="1444762434">
                              <w:marLeft w:val="0"/>
                              <w:marRight w:val="60"/>
                              <w:marTop w:val="0"/>
                              <w:marBottom w:val="0"/>
                              <w:divBdr>
                                <w:top w:val="none" w:sz="0" w:space="0" w:color="auto"/>
                                <w:left w:val="none" w:sz="0" w:space="0" w:color="auto"/>
                                <w:bottom w:val="none" w:sz="0" w:space="0" w:color="auto"/>
                                <w:right w:val="none" w:sz="0" w:space="0" w:color="auto"/>
                              </w:divBdr>
                            </w:div>
                          </w:divsChild>
                        </w:div>
                        <w:div w:id="18614360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87547700">
                  <w:marLeft w:val="0"/>
                  <w:marRight w:val="0"/>
                  <w:marTop w:val="0"/>
                  <w:marBottom w:val="0"/>
                  <w:divBdr>
                    <w:top w:val="none" w:sz="0" w:space="0" w:color="auto"/>
                    <w:left w:val="none" w:sz="0" w:space="0" w:color="auto"/>
                    <w:bottom w:val="none" w:sz="0" w:space="0" w:color="auto"/>
                    <w:right w:val="none" w:sz="0" w:space="0" w:color="auto"/>
                  </w:divBdr>
                  <w:divsChild>
                    <w:div w:id="1067459318">
                      <w:marLeft w:val="0"/>
                      <w:marRight w:val="0"/>
                      <w:marTop w:val="0"/>
                      <w:marBottom w:val="450"/>
                      <w:divBdr>
                        <w:top w:val="none" w:sz="0" w:space="0" w:color="auto"/>
                        <w:left w:val="none" w:sz="0" w:space="0" w:color="auto"/>
                        <w:bottom w:val="none" w:sz="0" w:space="0" w:color="auto"/>
                        <w:right w:val="none" w:sz="0" w:space="0" w:color="auto"/>
                      </w:divBdr>
                      <w:divsChild>
                        <w:div w:id="92749553">
                          <w:marLeft w:val="0"/>
                          <w:marRight w:val="0"/>
                          <w:marTop w:val="0"/>
                          <w:marBottom w:val="0"/>
                          <w:divBdr>
                            <w:top w:val="none" w:sz="0" w:space="0" w:color="auto"/>
                            <w:left w:val="none" w:sz="0" w:space="0" w:color="auto"/>
                            <w:bottom w:val="none" w:sz="0" w:space="0" w:color="auto"/>
                            <w:right w:val="none" w:sz="0" w:space="0" w:color="auto"/>
                          </w:divBdr>
                          <w:divsChild>
                            <w:div w:id="15666703">
                              <w:marLeft w:val="0"/>
                              <w:marRight w:val="60"/>
                              <w:marTop w:val="0"/>
                              <w:marBottom w:val="0"/>
                              <w:divBdr>
                                <w:top w:val="none" w:sz="0" w:space="0" w:color="auto"/>
                                <w:left w:val="none" w:sz="0" w:space="0" w:color="auto"/>
                                <w:bottom w:val="none" w:sz="0" w:space="0" w:color="auto"/>
                                <w:right w:val="none" w:sz="0" w:space="0" w:color="auto"/>
                              </w:divBdr>
                            </w:div>
                            <w:div w:id="181944585">
                              <w:marLeft w:val="0"/>
                              <w:marRight w:val="60"/>
                              <w:marTop w:val="0"/>
                              <w:marBottom w:val="0"/>
                              <w:divBdr>
                                <w:top w:val="none" w:sz="0" w:space="0" w:color="auto"/>
                                <w:left w:val="none" w:sz="0" w:space="0" w:color="auto"/>
                                <w:bottom w:val="none" w:sz="0" w:space="0" w:color="auto"/>
                                <w:right w:val="none" w:sz="0" w:space="0" w:color="auto"/>
                              </w:divBdr>
                            </w:div>
                            <w:div w:id="1391264705">
                              <w:marLeft w:val="0"/>
                              <w:marRight w:val="60"/>
                              <w:marTop w:val="0"/>
                              <w:marBottom w:val="0"/>
                              <w:divBdr>
                                <w:top w:val="none" w:sz="0" w:space="0" w:color="auto"/>
                                <w:left w:val="none" w:sz="0" w:space="0" w:color="auto"/>
                                <w:bottom w:val="none" w:sz="0" w:space="0" w:color="auto"/>
                                <w:right w:val="none" w:sz="0" w:space="0" w:color="auto"/>
                              </w:divBdr>
                            </w:div>
                          </w:divsChild>
                        </w:div>
                        <w:div w:id="11503700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03356434">
                  <w:marLeft w:val="0"/>
                  <w:marRight w:val="0"/>
                  <w:marTop w:val="0"/>
                  <w:marBottom w:val="0"/>
                  <w:divBdr>
                    <w:top w:val="none" w:sz="0" w:space="0" w:color="auto"/>
                    <w:left w:val="none" w:sz="0" w:space="0" w:color="auto"/>
                    <w:bottom w:val="none" w:sz="0" w:space="0" w:color="auto"/>
                    <w:right w:val="none" w:sz="0" w:space="0" w:color="auto"/>
                  </w:divBdr>
                  <w:divsChild>
                    <w:div w:id="1379814815">
                      <w:marLeft w:val="0"/>
                      <w:marRight w:val="0"/>
                      <w:marTop w:val="0"/>
                      <w:marBottom w:val="450"/>
                      <w:divBdr>
                        <w:top w:val="none" w:sz="0" w:space="0" w:color="auto"/>
                        <w:left w:val="none" w:sz="0" w:space="0" w:color="auto"/>
                        <w:bottom w:val="none" w:sz="0" w:space="0" w:color="auto"/>
                        <w:right w:val="none" w:sz="0" w:space="0" w:color="auto"/>
                      </w:divBdr>
                      <w:divsChild>
                        <w:div w:id="125706622">
                          <w:marLeft w:val="0"/>
                          <w:marRight w:val="0"/>
                          <w:marTop w:val="0"/>
                          <w:marBottom w:val="75"/>
                          <w:divBdr>
                            <w:top w:val="none" w:sz="0" w:space="0" w:color="auto"/>
                            <w:left w:val="none" w:sz="0" w:space="0" w:color="auto"/>
                            <w:bottom w:val="none" w:sz="0" w:space="0" w:color="auto"/>
                            <w:right w:val="none" w:sz="0" w:space="0" w:color="auto"/>
                          </w:divBdr>
                        </w:div>
                        <w:div w:id="1579291932">
                          <w:marLeft w:val="0"/>
                          <w:marRight w:val="0"/>
                          <w:marTop w:val="0"/>
                          <w:marBottom w:val="0"/>
                          <w:divBdr>
                            <w:top w:val="none" w:sz="0" w:space="0" w:color="auto"/>
                            <w:left w:val="none" w:sz="0" w:space="0" w:color="auto"/>
                            <w:bottom w:val="none" w:sz="0" w:space="0" w:color="auto"/>
                            <w:right w:val="none" w:sz="0" w:space="0" w:color="auto"/>
                          </w:divBdr>
                          <w:divsChild>
                            <w:div w:id="16338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98361">
              <w:marLeft w:val="0"/>
              <w:marRight w:val="0"/>
              <w:marTop w:val="0"/>
              <w:marBottom w:val="0"/>
              <w:divBdr>
                <w:top w:val="none" w:sz="0" w:space="0" w:color="auto"/>
                <w:left w:val="none" w:sz="0" w:space="0" w:color="auto"/>
                <w:bottom w:val="none" w:sz="0" w:space="0" w:color="auto"/>
                <w:right w:val="none" w:sz="0" w:space="0" w:color="auto"/>
              </w:divBdr>
            </w:div>
          </w:divsChild>
        </w:div>
        <w:div w:id="1938632580">
          <w:marLeft w:val="0"/>
          <w:marRight w:val="0"/>
          <w:marTop w:val="0"/>
          <w:marBottom w:val="0"/>
          <w:divBdr>
            <w:top w:val="none" w:sz="0" w:space="0" w:color="auto"/>
            <w:left w:val="none" w:sz="0" w:space="0" w:color="auto"/>
            <w:bottom w:val="none" w:sz="0" w:space="0" w:color="auto"/>
            <w:right w:val="none" w:sz="0" w:space="0" w:color="auto"/>
          </w:divBdr>
        </w:div>
      </w:divsChild>
    </w:div>
    <w:div w:id="1495299538">
      <w:bodyDiv w:val="1"/>
      <w:marLeft w:val="0"/>
      <w:marRight w:val="0"/>
      <w:marTop w:val="0"/>
      <w:marBottom w:val="0"/>
      <w:divBdr>
        <w:top w:val="none" w:sz="0" w:space="0" w:color="auto"/>
        <w:left w:val="none" w:sz="0" w:space="0" w:color="auto"/>
        <w:bottom w:val="none" w:sz="0" w:space="0" w:color="auto"/>
        <w:right w:val="none" w:sz="0" w:space="0" w:color="auto"/>
      </w:divBdr>
    </w:div>
    <w:div w:id="1730490612">
      <w:bodyDiv w:val="1"/>
      <w:marLeft w:val="0"/>
      <w:marRight w:val="0"/>
      <w:marTop w:val="0"/>
      <w:marBottom w:val="0"/>
      <w:divBdr>
        <w:top w:val="none" w:sz="0" w:space="0" w:color="auto"/>
        <w:left w:val="none" w:sz="0" w:space="0" w:color="auto"/>
        <w:bottom w:val="none" w:sz="0" w:space="0" w:color="auto"/>
        <w:right w:val="none" w:sz="0" w:space="0" w:color="auto"/>
      </w:divBdr>
    </w:div>
    <w:div w:id="1869832805">
      <w:bodyDiv w:val="1"/>
      <w:marLeft w:val="0"/>
      <w:marRight w:val="0"/>
      <w:marTop w:val="0"/>
      <w:marBottom w:val="0"/>
      <w:divBdr>
        <w:top w:val="none" w:sz="0" w:space="0" w:color="auto"/>
        <w:left w:val="none" w:sz="0" w:space="0" w:color="auto"/>
        <w:bottom w:val="none" w:sz="0" w:space="0" w:color="auto"/>
        <w:right w:val="none" w:sz="0" w:space="0" w:color="auto"/>
      </w:divBdr>
      <w:divsChild>
        <w:div w:id="1175652599">
          <w:marLeft w:val="0"/>
          <w:marRight w:val="0"/>
          <w:marTop w:val="0"/>
          <w:marBottom w:val="0"/>
          <w:divBdr>
            <w:top w:val="none" w:sz="0" w:space="0" w:color="auto"/>
            <w:left w:val="none" w:sz="0" w:space="0" w:color="auto"/>
            <w:bottom w:val="none" w:sz="0" w:space="0" w:color="auto"/>
            <w:right w:val="none" w:sz="0" w:space="0" w:color="auto"/>
          </w:divBdr>
        </w:div>
        <w:div w:id="1790396237">
          <w:marLeft w:val="0"/>
          <w:marRight w:val="0"/>
          <w:marTop w:val="0"/>
          <w:marBottom w:val="0"/>
          <w:divBdr>
            <w:top w:val="none" w:sz="0" w:space="0" w:color="auto"/>
            <w:left w:val="none" w:sz="0" w:space="0" w:color="auto"/>
            <w:bottom w:val="none" w:sz="0" w:space="0" w:color="auto"/>
            <w:right w:val="none" w:sz="0" w:space="0" w:color="auto"/>
          </w:divBdr>
        </w:div>
      </w:divsChild>
    </w:div>
    <w:div w:id="1892233595">
      <w:bodyDiv w:val="1"/>
      <w:marLeft w:val="0"/>
      <w:marRight w:val="0"/>
      <w:marTop w:val="0"/>
      <w:marBottom w:val="0"/>
      <w:divBdr>
        <w:top w:val="none" w:sz="0" w:space="0" w:color="auto"/>
        <w:left w:val="none" w:sz="0" w:space="0" w:color="auto"/>
        <w:bottom w:val="none" w:sz="0" w:space="0" w:color="auto"/>
        <w:right w:val="none" w:sz="0" w:space="0" w:color="auto"/>
      </w:divBdr>
    </w:div>
    <w:div w:id="1931739542">
      <w:bodyDiv w:val="1"/>
      <w:marLeft w:val="0"/>
      <w:marRight w:val="0"/>
      <w:marTop w:val="0"/>
      <w:marBottom w:val="0"/>
      <w:divBdr>
        <w:top w:val="none" w:sz="0" w:space="0" w:color="auto"/>
        <w:left w:val="none" w:sz="0" w:space="0" w:color="auto"/>
        <w:bottom w:val="none" w:sz="0" w:space="0" w:color="auto"/>
        <w:right w:val="none" w:sz="0" w:space="0" w:color="auto"/>
      </w:divBdr>
      <w:divsChild>
        <w:div w:id="1078133919">
          <w:marLeft w:val="0"/>
          <w:marRight w:val="0"/>
          <w:marTop w:val="0"/>
          <w:marBottom w:val="0"/>
          <w:divBdr>
            <w:top w:val="none" w:sz="0" w:space="0" w:color="auto"/>
            <w:left w:val="none" w:sz="0" w:space="0" w:color="auto"/>
            <w:bottom w:val="none" w:sz="0" w:space="0" w:color="auto"/>
            <w:right w:val="none" w:sz="0" w:space="0" w:color="auto"/>
          </w:divBdr>
        </w:div>
        <w:div w:id="1110856426">
          <w:marLeft w:val="0"/>
          <w:marRight w:val="0"/>
          <w:marTop w:val="0"/>
          <w:marBottom w:val="0"/>
          <w:divBdr>
            <w:top w:val="none" w:sz="0" w:space="0" w:color="auto"/>
            <w:left w:val="none" w:sz="0" w:space="0" w:color="auto"/>
            <w:bottom w:val="none" w:sz="0" w:space="0" w:color="auto"/>
            <w:right w:val="none" w:sz="0" w:space="0" w:color="auto"/>
          </w:divBdr>
        </w:div>
      </w:divsChild>
    </w:div>
    <w:div w:id="20645948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egi.eu/document/3043" TargetMode="External"/><Relationship Id="rId2" Type="http://schemas.openxmlformats.org/officeDocument/2006/relationships/hyperlink" Target="https://documents.egi.eu/document/2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3ECDA-F1EA-BE4C-9351-3FFE28FC1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2117</Words>
  <Characters>12067</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Director’s Letter July 2010</vt:lpstr>
    </vt:vector>
  </TitlesOfParts>
  <Company>Microsoft</Company>
  <LinksUpToDate>false</LinksUpToDate>
  <CharactersWithSpaces>14156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Letter July 2010</dc:title>
  <dc:creator>Nguest</dc:creator>
  <cp:lastModifiedBy>Peter Solagna</cp:lastModifiedBy>
  <cp:revision>3</cp:revision>
  <cp:lastPrinted>2012-10-26T12:32:00Z</cp:lastPrinted>
  <dcterms:created xsi:type="dcterms:W3CDTF">2017-03-13T12:17:00Z</dcterms:created>
  <dcterms:modified xsi:type="dcterms:W3CDTF">2017-03-13T12:18:00Z</dcterms:modified>
</cp:coreProperties>
</file>