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5FF4B" w14:textId="77777777" w:rsidR="00A30A98" w:rsidRPr="00562F67" w:rsidRDefault="00A30A98" w:rsidP="00A30A98">
      <w:pPr>
        <w:jc w:val="center"/>
      </w:pPr>
      <w:r w:rsidRPr="00562F67">
        <w:rPr>
          <w:noProof/>
          <w:lang w:eastAsia="en-GB"/>
        </w:rPr>
        <w:drawing>
          <wp:anchor distT="0" distB="0" distL="114300" distR="114300" simplePos="0" relativeHeight="251658752" behindDoc="1" locked="0" layoutInCell="1" allowOverlap="1" wp14:anchorId="1A63F87E" wp14:editId="0840C23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F67">
        <w:rPr>
          <w:noProof/>
          <w:lang w:eastAsia="en-GB"/>
        </w:rPr>
        <w:drawing>
          <wp:inline distT="0" distB="0" distL="0" distR="0" wp14:anchorId="37681DB6" wp14:editId="3048A58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1AFB7EA" w14:textId="0BA88AF0" w:rsidR="00A30A98" w:rsidRPr="00562F67" w:rsidRDefault="00E334D9" w:rsidP="00A30A98">
      <w:pPr>
        <w:pStyle w:val="Title"/>
        <w:rPr>
          <w:i w:val="0"/>
          <w:color w:val="1C3046"/>
        </w:rPr>
      </w:pPr>
      <w:r w:rsidRPr="00562F67">
        <w:rPr>
          <w:i w:val="0"/>
          <w:color w:val="1C3046"/>
        </w:rPr>
        <w:t>D10.5 Requirements and gap analysis report v1</w:t>
      </w:r>
      <w:r w:rsidR="001D1FF5" w:rsidRPr="00562F67">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562F67" w14:paraId="0079F827" w14:textId="77777777" w:rsidTr="0066656C">
        <w:trPr>
          <w:trHeight w:val="526"/>
          <w:jc w:val="center"/>
        </w:trPr>
        <w:tc>
          <w:tcPr>
            <w:tcW w:w="2263" w:type="dxa"/>
          </w:tcPr>
          <w:p w14:paraId="1D2F536B" w14:textId="77777777" w:rsidR="00A30A98" w:rsidRPr="00562F67" w:rsidRDefault="005959F1" w:rsidP="00505BF5">
            <w:pPr>
              <w:snapToGrid w:val="0"/>
              <w:spacing w:before="120"/>
              <w:rPr>
                <w:rFonts w:cs="Open Sans"/>
                <w:b/>
              </w:rPr>
            </w:pPr>
            <w:r w:rsidRPr="00562F67">
              <w:rPr>
                <w:rFonts w:cs="Open Sans"/>
                <w:b/>
              </w:rPr>
              <w:t>Lead Partner</w:t>
            </w:r>
            <w:r w:rsidR="00A30A98" w:rsidRPr="00562F67">
              <w:rPr>
                <w:rFonts w:cs="Open Sans"/>
                <w:b/>
              </w:rPr>
              <w:t>:</w:t>
            </w:r>
          </w:p>
        </w:tc>
        <w:tc>
          <w:tcPr>
            <w:tcW w:w="5642" w:type="dxa"/>
          </w:tcPr>
          <w:p w14:paraId="3B9FE752" w14:textId="14BDC72F" w:rsidR="00A30A98" w:rsidRPr="00562F67" w:rsidRDefault="007B0D3B" w:rsidP="00505BF5">
            <w:pPr>
              <w:snapToGrid w:val="0"/>
              <w:spacing w:before="120"/>
              <w:jc w:val="left"/>
              <w:rPr>
                <w:rFonts w:cs="Open Sans"/>
              </w:rPr>
            </w:pPr>
            <w:r w:rsidRPr="00562F67">
              <w:rPr>
                <w:rFonts w:cs="Open Sans"/>
              </w:rPr>
              <w:t>INFN</w:t>
            </w:r>
          </w:p>
        </w:tc>
      </w:tr>
      <w:tr w:rsidR="00A30A98" w:rsidRPr="00562F67" w14:paraId="71425B60" w14:textId="77777777" w:rsidTr="0066656C">
        <w:trPr>
          <w:trHeight w:val="508"/>
          <w:jc w:val="center"/>
        </w:trPr>
        <w:tc>
          <w:tcPr>
            <w:tcW w:w="2263" w:type="dxa"/>
          </w:tcPr>
          <w:p w14:paraId="6231AEF5" w14:textId="77777777" w:rsidR="00A30A98" w:rsidRPr="00562F67" w:rsidRDefault="00A30A98" w:rsidP="00505BF5">
            <w:pPr>
              <w:snapToGrid w:val="0"/>
              <w:spacing w:before="120"/>
              <w:rPr>
                <w:rFonts w:cs="Open Sans"/>
                <w:b/>
              </w:rPr>
            </w:pPr>
            <w:r w:rsidRPr="00562F67">
              <w:rPr>
                <w:rFonts w:cs="Open Sans"/>
                <w:b/>
              </w:rPr>
              <w:t>Version:</w:t>
            </w:r>
          </w:p>
        </w:tc>
        <w:tc>
          <w:tcPr>
            <w:tcW w:w="5642" w:type="dxa"/>
          </w:tcPr>
          <w:p w14:paraId="2711CF17" w14:textId="11D918DD" w:rsidR="00A30A98" w:rsidRPr="00562F67" w:rsidRDefault="008F50CC" w:rsidP="00505BF5">
            <w:pPr>
              <w:pStyle w:val="DocDate"/>
              <w:snapToGrid w:val="0"/>
              <w:jc w:val="left"/>
              <w:rPr>
                <w:rFonts w:ascii="Calibri" w:hAnsi="Calibri" w:cs="Open Sans"/>
                <w:b w:val="0"/>
              </w:rPr>
            </w:pPr>
            <w:r w:rsidRPr="00562F67">
              <w:rPr>
                <w:rFonts w:ascii="Calibri" w:hAnsi="Calibri" w:cs="Open Sans"/>
                <w:b w:val="0"/>
              </w:rPr>
              <w:t>1</w:t>
            </w:r>
          </w:p>
        </w:tc>
      </w:tr>
      <w:tr w:rsidR="0066656C" w:rsidRPr="00562F67" w14:paraId="059106A9" w14:textId="77777777" w:rsidTr="0066656C">
        <w:trPr>
          <w:trHeight w:val="508"/>
          <w:jc w:val="center"/>
        </w:trPr>
        <w:tc>
          <w:tcPr>
            <w:tcW w:w="2263" w:type="dxa"/>
          </w:tcPr>
          <w:p w14:paraId="19B870A8" w14:textId="77777777" w:rsidR="0066656C" w:rsidRPr="00562F67" w:rsidRDefault="0066656C" w:rsidP="00505BF5">
            <w:pPr>
              <w:snapToGrid w:val="0"/>
              <w:spacing w:before="120"/>
              <w:rPr>
                <w:rFonts w:cs="Open Sans"/>
                <w:b/>
              </w:rPr>
            </w:pPr>
            <w:r w:rsidRPr="00562F67">
              <w:rPr>
                <w:rFonts w:cs="Open Sans"/>
                <w:b/>
              </w:rPr>
              <w:t>Status:</w:t>
            </w:r>
          </w:p>
        </w:tc>
        <w:tc>
          <w:tcPr>
            <w:tcW w:w="5642" w:type="dxa"/>
          </w:tcPr>
          <w:p w14:paraId="53C69D65" w14:textId="042AACE8" w:rsidR="0066656C" w:rsidRPr="00562F67" w:rsidRDefault="00877313" w:rsidP="00505BF5">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562F67" w14:paraId="5EE54A4C" w14:textId="77777777" w:rsidTr="0066656C">
        <w:trPr>
          <w:trHeight w:val="508"/>
          <w:jc w:val="center"/>
        </w:trPr>
        <w:tc>
          <w:tcPr>
            <w:tcW w:w="2263" w:type="dxa"/>
          </w:tcPr>
          <w:p w14:paraId="27B92224" w14:textId="77777777" w:rsidR="0066656C" w:rsidRPr="00562F67" w:rsidRDefault="0066656C" w:rsidP="00505BF5">
            <w:pPr>
              <w:snapToGrid w:val="0"/>
              <w:spacing w:before="120"/>
              <w:rPr>
                <w:rFonts w:cs="Open Sans"/>
                <w:b/>
              </w:rPr>
            </w:pPr>
            <w:r w:rsidRPr="00562F67">
              <w:rPr>
                <w:rFonts w:cs="Open Sans"/>
                <w:b/>
              </w:rPr>
              <w:t>Dissemination Level:</w:t>
            </w:r>
          </w:p>
        </w:tc>
        <w:tc>
          <w:tcPr>
            <w:tcW w:w="5642" w:type="dxa"/>
          </w:tcPr>
          <w:p w14:paraId="045F8105" w14:textId="05D74165" w:rsidR="0066656C" w:rsidRPr="00562F67" w:rsidRDefault="007B0D3B" w:rsidP="00505BF5">
            <w:pPr>
              <w:pStyle w:val="DocDate"/>
              <w:snapToGrid w:val="0"/>
              <w:jc w:val="left"/>
              <w:rPr>
                <w:rFonts w:ascii="Calibri" w:hAnsi="Calibri" w:cs="Open Sans"/>
                <w:b w:val="0"/>
              </w:rPr>
            </w:pPr>
            <w:r w:rsidRPr="00562F67">
              <w:rPr>
                <w:rFonts w:ascii="Calibri" w:hAnsi="Calibri" w:cs="Open Sans"/>
                <w:b w:val="0"/>
              </w:rPr>
              <w:t>Public</w:t>
            </w:r>
          </w:p>
        </w:tc>
      </w:tr>
      <w:tr w:rsidR="00A30A98" w:rsidRPr="00562F67" w14:paraId="015A54D9" w14:textId="77777777" w:rsidTr="0066656C">
        <w:trPr>
          <w:trHeight w:val="526"/>
          <w:jc w:val="center"/>
        </w:trPr>
        <w:tc>
          <w:tcPr>
            <w:tcW w:w="2263" w:type="dxa"/>
          </w:tcPr>
          <w:p w14:paraId="1D602944" w14:textId="77777777" w:rsidR="00A30A98" w:rsidRPr="00562F67" w:rsidRDefault="00A30A98" w:rsidP="00505BF5">
            <w:pPr>
              <w:pStyle w:val="Header"/>
              <w:snapToGrid w:val="0"/>
              <w:spacing w:before="120" w:after="120"/>
              <w:rPr>
                <w:rFonts w:cs="Open Sans"/>
                <w:b/>
              </w:rPr>
            </w:pPr>
            <w:r w:rsidRPr="00562F67">
              <w:rPr>
                <w:rFonts w:cs="Open Sans"/>
                <w:b/>
              </w:rPr>
              <w:t>Document</w:t>
            </w:r>
            <w:r w:rsidRPr="00562F67">
              <w:rPr>
                <w:rFonts w:eastAsia="Calibri" w:cs="Open Sans"/>
                <w:b/>
              </w:rPr>
              <w:t xml:space="preserve"> </w:t>
            </w:r>
            <w:r w:rsidRPr="00562F67">
              <w:rPr>
                <w:rFonts w:cs="Open Sans"/>
                <w:b/>
              </w:rPr>
              <w:t>Link:</w:t>
            </w:r>
          </w:p>
        </w:tc>
        <w:tc>
          <w:tcPr>
            <w:tcW w:w="5642" w:type="dxa"/>
          </w:tcPr>
          <w:p w14:paraId="0D1BDF83" w14:textId="050CCDAF" w:rsidR="00A30A98" w:rsidRPr="00562F67" w:rsidRDefault="00E06C0D" w:rsidP="00505BF5">
            <w:pPr>
              <w:snapToGrid w:val="0"/>
              <w:spacing w:before="120"/>
              <w:jc w:val="left"/>
              <w:rPr>
                <w:rFonts w:cs="Open Sans"/>
                <w:highlight w:val="yellow"/>
              </w:rPr>
            </w:pPr>
            <w:hyperlink r:id="rId10" w:history="1">
              <w:r w:rsidR="00562F67" w:rsidRPr="00562F67">
                <w:rPr>
                  <w:rStyle w:val="Hyperlink"/>
                  <w:rFonts w:cs="Open Sans"/>
                </w:rPr>
                <w:t>https://documents.egi.eu/document/3463</w:t>
              </w:r>
            </w:hyperlink>
            <w:r w:rsidR="00562F67" w:rsidRPr="00562F67">
              <w:rPr>
                <w:rFonts w:cs="Open Sans"/>
              </w:rPr>
              <w:t xml:space="preserve"> </w:t>
            </w:r>
          </w:p>
        </w:tc>
      </w:tr>
    </w:tbl>
    <w:p w14:paraId="0175BB6A" w14:textId="77777777" w:rsidR="00A30A98" w:rsidRPr="00562F67"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562F67" w14:paraId="45EFCEB6" w14:textId="77777777" w:rsidTr="00505BF5">
        <w:trPr>
          <w:trHeight w:val="319"/>
          <w:jc w:val="center"/>
        </w:trPr>
        <w:tc>
          <w:tcPr>
            <w:tcW w:w="7933" w:type="dxa"/>
          </w:tcPr>
          <w:p w14:paraId="1CA375ED" w14:textId="77777777" w:rsidR="00A30A98" w:rsidRPr="00562F67" w:rsidRDefault="00A30A98" w:rsidP="00505BF5">
            <w:pPr>
              <w:snapToGrid w:val="0"/>
              <w:spacing w:before="120"/>
              <w:jc w:val="left"/>
              <w:rPr>
                <w:rFonts w:cs="Open Sans"/>
              </w:rPr>
            </w:pPr>
            <w:r w:rsidRPr="00562F67">
              <w:rPr>
                <w:rFonts w:cs="Open Sans"/>
                <w:b/>
              </w:rPr>
              <w:t>Deliverable Abstract</w:t>
            </w:r>
          </w:p>
        </w:tc>
      </w:tr>
      <w:tr w:rsidR="00A30A98" w:rsidRPr="00562F67" w14:paraId="15D2C1BA" w14:textId="77777777" w:rsidTr="00505BF5">
        <w:trPr>
          <w:trHeight w:val="3475"/>
          <w:jc w:val="center"/>
        </w:trPr>
        <w:tc>
          <w:tcPr>
            <w:tcW w:w="7933" w:type="dxa"/>
          </w:tcPr>
          <w:p w14:paraId="1BDA03DC" w14:textId="4728C1FA" w:rsidR="00A30A98" w:rsidRPr="00562F67" w:rsidRDefault="00843A07" w:rsidP="004002D6">
            <w:pPr>
              <w:pStyle w:val="DocDate"/>
              <w:snapToGrid w:val="0"/>
              <w:rPr>
                <w:rFonts w:ascii="Calibri" w:hAnsi="Calibri" w:cs="Open Sans"/>
                <w:b w:val="0"/>
                <w:highlight w:val="yellow"/>
              </w:rPr>
            </w:pPr>
            <w:r w:rsidRPr="00562F67">
              <w:rPr>
                <w:rFonts w:ascii="Calibri" w:hAnsi="Calibri" w:cs="Open Sans"/>
                <w:b w:val="0"/>
                <w:sz w:val="20"/>
                <w:szCs w:val="20"/>
              </w:rPr>
              <w:t xml:space="preserve">One of the main goals of the Technical Coordination </w:t>
            </w:r>
            <w:r w:rsidR="00B61D40" w:rsidRPr="00562F67">
              <w:rPr>
                <w:rFonts w:ascii="Calibri" w:hAnsi="Calibri" w:cs="Open Sans"/>
                <w:b w:val="0"/>
                <w:sz w:val="20"/>
                <w:szCs w:val="20"/>
              </w:rPr>
              <w:t>W</w:t>
            </w:r>
            <w:r w:rsidRPr="00562F67">
              <w:rPr>
                <w:rFonts w:ascii="Calibri" w:hAnsi="Calibri" w:cs="Open Sans"/>
                <w:b w:val="0"/>
                <w:sz w:val="20"/>
                <w:szCs w:val="20"/>
              </w:rPr>
              <w:t xml:space="preserve">ork </w:t>
            </w:r>
            <w:r w:rsidR="00B61D40" w:rsidRPr="00562F67">
              <w:rPr>
                <w:rFonts w:ascii="Calibri" w:hAnsi="Calibri" w:cs="Open Sans"/>
                <w:b w:val="0"/>
                <w:sz w:val="20"/>
                <w:szCs w:val="20"/>
              </w:rPr>
              <w:t>P</w:t>
            </w:r>
            <w:r w:rsidRPr="00562F67">
              <w:rPr>
                <w:rFonts w:ascii="Calibri" w:hAnsi="Calibri" w:cs="Open Sans"/>
                <w:b w:val="0"/>
                <w:sz w:val="20"/>
                <w:szCs w:val="20"/>
              </w:rPr>
              <w:t>ackage (WP10) in the EOSC-hub project is to play a supportive role to the participant</w:t>
            </w:r>
            <w:r w:rsidR="001471A1" w:rsidRPr="00562F67">
              <w:rPr>
                <w:rFonts w:ascii="Calibri" w:hAnsi="Calibri" w:cs="Open Sans"/>
                <w:b w:val="0"/>
                <w:sz w:val="20"/>
                <w:szCs w:val="20"/>
              </w:rPr>
              <w:t>s</w:t>
            </w:r>
            <w:r w:rsidRPr="00562F67">
              <w:rPr>
                <w:rFonts w:ascii="Calibri" w:hAnsi="Calibri" w:cs="Open Sans"/>
                <w:b w:val="0"/>
                <w:sz w:val="20"/>
                <w:szCs w:val="20"/>
              </w:rPr>
              <w:t xml:space="preserve"> (</w:t>
            </w:r>
            <w:r w:rsidR="001471A1" w:rsidRPr="00562F67">
              <w:rPr>
                <w:rFonts w:ascii="Calibri" w:hAnsi="Calibri" w:cs="Open Sans"/>
                <w:b w:val="0"/>
                <w:sz w:val="20"/>
                <w:szCs w:val="20"/>
              </w:rPr>
              <w:t>e.g. T</w:t>
            </w:r>
            <w:r w:rsidRPr="00562F67">
              <w:rPr>
                <w:rFonts w:ascii="Calibri" w:hAnsi="Calibri" w:cs="Open Sans"/>
                <w:b w:val="0"/>
                <w:sz w:val="20"/>
                <w:szCs w:val="20"/>
              </w:rPr>
              <w:t xml:space="preserve">hematic </w:t>
            </w:r>
            <w:r w:rsidR="001471A1" w:rsidRPr="00562F67">
              <w:rPr>
                <w:rFonts w:ascii="Calibri" w:hAnsi="Calibri" w:cs="Open Sans"/>
                <w:b w:val="0"/>
                <w:sz w:val="20"/>
                <w:szCs w:val="20"/>
              </w:rPr>
              <w:t>S</w:t>
            </w:r>
            <w:r w:rsidRPr="00562F67">
              <w:rPr>
                <w:rFonts w:ascii="Calibri" w:hAnsi="Calibri" w:cs="Open Sans"/>
                <w:b w:val="0"/>
                <w:sz w:val="20"/>
                <w:szCs w:val="20"/>
              </w:rPr>
              <w:t xml:space="preserve">ervices, </w:t>
            </w:r>
            <w:r w:rsidR="001471A1" w:rsidRPr="00562F67">
              <w:rPr>
                <w:rFonts w:ascii="Calibri" w:hAnsi="Calibri" w:cs="Open Sans"/>
                <w:b w:val="0"/>
                <w:sz w:val="20"/>
                <w:szCs w:val="20"/>
              </w:rPr>
              <w:t>C</w:t>
            </w:r>
            <w:r w:rsidRPr="00562F67">
              <w:rPr>
                <w:rFonts w:ascii="Calibri" w:hAnsi="Calibri" w:cs="Open Sans"/>
                <w:b w:val="0"/>
                <w:sz w:val="20"/>
                <w:szCs w:val="20"/>
              </w:rPr>
              <w:t xml:space="preserve">ompetence </w:t>
            </w:r>
            <w:r w:rsidR="001471A1" w:rsidRPr="00562F67">
              <w:rPr>
                <w:rFonts w:ascii="Calibri" w:hAnsi="Calibri" w:cs="Open Sans"/>
                <w:b w:val="0"/>
                <w:sz w:val="20"/>
                <w:szCs w:val="20"/>
              </w:rPr>
              <w:t>C</w:t>
            </w:r>
            <w:r w:rsidRPr="00562F67">
              <w:rPr>
                <w:rFonts w:ascii="Calibri" w:hAnsi="Calibri" w:cs="Open Sans"/>
                <w:b w:val="0"/>
                <w:sz w:val="20"/>
                <w:szCs w:val="20"/>
              </w:rPr>
              <w:t>entres</w:t>
            </w:r>
            <w:r w:rsidR="001471A1" w:rsidRPr="00562F67">
              <w:rPr>
                <w:rFonts w:ascii="Calibri" w:hAnsi="Calibri" w:cs="Open Sans"/>
                <w:b w:val="0"/>
                <w:sz w:val="20"/>
                <w:szCs w:val="20"/>
              </w:rPr>
              <w:t xml:space="preserve"> and </w:t>
            </w:r>
            <w:r w:rsidR="004002D6" w:rsidRPr="00562F67">
              <w:rPr>
                <w:rFonts w:ascii="Calibri" w:hAnsi="Calibri" w:cs="Open Sans"/>
                <w:b w:val="0"/>
                <w:sz w:val="20"/>
                <w:szCs w:val="20"/>
              </w:rPr>
              <w:t>B</w:t>
            </w:r>
            <w:r w:rsidRPr="00562F67">
              <w:rPr>
                <w:rFonts w:ascii="Calibri" w:hAnsi="Calibri" w:cs="Open Sans"/>
                <w:b w:val="0"/>
                <w:sz w:val="20"/>
                <w:szCs w:val="20"/>
              </w:rPr>
              <w:t xml:space="preserve">usiness </w:t>
            </w:r>
            <w:r w:rsidR="00E94FDB" w:rsidRPr="00562F67">
              <w:rPr>
                <w:rFonts w:ascii="Calibri" w:hAnsi="Calibri" w:cs="Open Sans"/>
                <w:b w:val="0"/>
                <w:sz w:val="20"/>
                <w:szCs w:val="20"/>
              </w:rPr>
              <w:t>pilots</w:t>
            </w:r>
            <w:r w:rsidRPr="00562F67">
              <w:rPr>
                <w:rFonts w:ascii="Calibri" w:hAnsi="Calibri" w:cs="Open Sans"/>
                <w:b w:val="0"/>
                <w:sz w:val="20"/>
                <w:szCs w:val="20"/>
              </w:rPr>
              <w:t xml:space="preserve">) and external user communities (not directly involved in the project but engaged through other channels, e.g. the EOSC Portal) in the integration of their services into the Hub. In order to </w:t>
            </w:r>
            <w:r w:rsidR="001471A1" w:rsidRPr="00562F67">
              <w:rPr>
                <w:rFonts w:ascii="Calibri" w:hAnsi="Calibri" w:cs="Open Sans"/>
                <w:b w:val="0"/>
                <w:sz w:val="20"/>
                <w:szCs w:val="20"/>
              </w:rPr>
              <w:t xml:space="preserve">better structure and </w:t>
            </w:r>
            <w:r w:rsidRPr="00562F67">
              <w:rPr>
                <w:rFonts w:ascii="Calibri" w:hAnsi="Calibri" w:cs="Open Sans"/>
                <w:b w:val="0"/>
                <w:sz w:val="20"/>
                <w:szCs w:val="20"/>
              </w:rPr>
              <w:t>consolidate this support, WP10 has defined and is currently operating procedures to elicit, assess and track the technical requirements of such communities and, consequently, provide adequate assistance to the user communities to adopt the service of the Hub. The procedures</w:t>
            </w:r>
            <w:r w:rsidR="00AD67E2" w:rsidRPr="00562F67">
              <w:rPr>
                <w:rFonts w:ascii="Calibri" w:hAnsi="Calibri" w:cs="Open Sans"/>
                <w:b w:val="0"/>
                <w:sz w:val="20"/>
                <w:szCs w:val="20"/>
              </w:rPr>
              <w:t xml:space="preserve"> </w:t>
            </w:r>
            <w:r w:rsidRPr="00562F67">
              <w:rPr>
                <w:rFonts w:ascii="Calibri" w:hAnsi="Calibri" w:cs="Open Sans"/>
                <w:b w:val="0"/>
                <w:sz w:val="20"/>
                <w:szCs w:val="20"/>
              </w:rPr>
              <w:t>described in this document cover also the cases when gaps (</w:t>
            </w:r>
            <w:r w:rsidR="000A11DA" w:rsidRPr="00562F67">
              <w:rPr>
                <w:rFonts w:ascii="Calibri" w:hAnsi="Calibri" w:cs="Open Sans"/>
                <w:b w:val="0"/>
                <w:sz w:val="20"/>
                <w:szCs w:val="20"/>
              </w:rPr>
              <w:t xml:space="preserve">e.g. </w:t>
            </w:r>
            <w:r w:rsidRPr="00562F67">
              <w:rPr>
                <w:rFonts w:ascii="Calibri" w:hAnsi="Calibri" w:cs="Open Sans"/>
                <w:b w:val="0"/>
                <w:sz w:val="20"/>
                <w:szCs w:val="20"/>
              </w:rPr>
              <w:t xml:space="preserve">lacking one or more features) have been identified in the EOSC-hub service offer </w:t>
            </w:r>
            <w:bookmarkStart w:id="1" w:name="_Hlk10537785"/>
            <w:r w:rsidR="004002D6" w:rsidRPr="00562F67">
              <w:rPr>
                <w:rFonts w:ascii="Calibri" w:hAnsi="Calibri" w:cs="Open Sans"/>
                <w:b w:val="0"/>
                <w:sz w:val="20"/>
                <w:szCs w:val="20"/>
              </w:rPr>
              <w:t>and, eventually,</w:t>
            </w:r>
            <w:bookmarkEnd w:id="1"/>
            <w:r w:rsidR="004002D6" w:rsidRPr="00562F67">
              <w:rPr>
                <w:rFonts w:ascii="Calibri" w:hAnsi="Calibri" w:cs="Open Sans"/>
                <w:b w:val="0"/>
                <w:sz w:val="20"/>
                <w:szCs w:val="20"/>
              </w:rPr>
              <w:t xml:space="preserve"> </w:t>
            </w:r>
            <w:r w:rsidRPr="00562F67">
              <w:rPr>
                <w:rFonts w:ascii="Calibri" w:hAnsi="Calibri" w:cs="Open Sans"/>
                <w:b w:val="0"/>
                <w:sz w:val="20"/>
                <w:szCs w:val="20"/>
              </w:rPr>
              <w:t xml:space="preserve">triggering other project activities that will take care of extending the offer accordingly. </w:t>
            </w:r>
            <w:r w:rsidR="00B61D40" w:rsidRPr="00562F67">
              <w:rPr>
                <w:rFonts w:ascii="Calibri" w:hAnsi="Calibri" w:cs="Open Sans"/>
                <w:b w:val="0"/>
                <w:sz w:val="20"/>
                <w:szCs w:val="20"/>
              </w:rPr>
              <w:t>From a technical standpoint</w:t>
            </w:r>
            <w:r w:rsidR="00002363" w:rsidRPr="00562F67">
              <w:rPr>
                <w:rFonts w:ascii="Calibri" w:hAnsi="Calibri" w:cs="Open Sans"/>
                <w:b w:val="0"/>
                <w:sz w:val="20"/>
                <w:szCs w:val="20"/>
              </w:rPr>
              <w:t>,</w:t>
            </w:r>
            <w:r w:rsidR="00B61D40" w:rsidRPr="00562F67">
              <w:rPr>
                <w:rFonts w:ascii="Calibri" w:hAnsi="Calibri" w:cs="Open Sans"/>
                <w:b w:val="0"/>
                <w:sz w:val="20"/>
                <w:szCs w:val="20"/>
              </w:rPr>
              <w:t xml:space="preserve"> t</w:t>
            </w:r>
            <w:r w:rsidRPr="00562F67">
              <w:rPr>
                <w:rFonts w:ascii="Calibri" w:hAnsi="Calibri" w:cs="Open Sans"/>
                <w:b w:val="0"/>
                <w:sz w:val="20"/>
                <w:szCs w:val="20"/>
              </w:rPr>
              <w:t>he technical support activity is operating since the first months of the project</w:t>
            </w:r>
            <w:r w:rsidR="000A11DA" w:rsidRPr="00562F67">
              <w:rPr>
                <w:rFonts w:ascii="Calibri" w:hAnsi="Calibri" w:cs="Open Sans"/>
                <w:b w:val="0"/>
                <w:sz w:val="20"/>
                <w:szCs w:val="20"/>
              </w:rPr>
              <w:t>.</w:t>
            </w:r>
            <w:r w:rsidRPr="00562F67">
              <w:rPr>
                <w:rFonts w:ascii="Calibri" w:hAnsi="Calibri" w:cs="Open Sans"/>
                <w:b w:val="0"/>
                <w:sz w:val="20"/>
                <w:szCs w:val="20"/>
              </w:rPr>
              <w:t xml:space="preserve"> </w:t>
            </w:r>
            <w:r w:rsidR="000A11DA" w:rsidRPr="00562F67">
              <w:rPr>
                <w:rFonts w:ascii="Calibri" w:hAnsi="Calibri" w:cs="Open Sans"/>
                <w:b w:val="0"/>
                <w:sz w:val="20"/>
                <w:szCs w:val="20"/>
              </w:rPr>
              <w:t xml:space="preserve">This </w:t>
            </w:r>
            <w:r w:rsidRPr="00562F67">
              <w:rPr>
                <w:rFonts w:ascii="Calibri" w:hAnsi="Calibri" w:cs="Open Sans"/>
                <w:b w:val="0"/>
                <w:sz w:val="20"/>
                <w:szCs w:val="20"/>
              </w:rPr>
              <w:t>allowed to extract metrics, suitable to depict the advancement achieved by each use case in the EOSC-hub integration path</w:t>
            </w:r>
            <w:r w:rsidR="004002D6" w:rsidRPr="00562F67">
              <w:rPr>
                <w:rFonts w:ascii="Calibri" w:hAnsi="Calibri" w:cs="Open Sans"/>
                <w:b w:val="0"/>
                <w:sz w:val="20"/>
                <w:szCs w:val="20"/>
              </w:rPr>
              <w:t xml:space="preserve">. These metrics </w:t>
            </w:r>
            <w:r w:rsidRPr="00562F67">
              <w:rPr>
                <w:rFonts w:ascii="Calibri" w:hAnsi="Calibri" w:cs="Open Sans"/>
                <w:b w:val="0"/>
                <w:sz w:val="20"/>
                <w:szCs w:val="20"/>
              </w:rPr>
              <w:t>are reported in this document</w:t>
            </w:r>
            <w:r w:rsidR="00E94069" w:rsidRPr="00562F67">
              <w:rPr>
                <w:rFonts w:ascii="Calibri" w:hAnsi="Calibri" w:cs="Open Sans"/>
                <w:b w:val="0"/>
                <w:sz w:val="20"/>
                <w:szCs w:val="20"/>
              </w:rPr>
              <w:t xml:space="preserve"> (Section 6)</w:t>
            </w:r>
            <w:r w:rsidRPr="00562F67">
              <w:rPr>
                <w:rFonts w:ascii="Calibri" w:hAnsi="Calibri" w:cs="Open Sans"/>
                <w:b w:val="0"/>
                <w:sz w:val="20"/>
                <w:szCs w:val="20"/>
              </w:rPr>
              <w:t>.</w:t>
            </w:r>
            <w:r w:rsidR="00AD67E2" w:rsidRPr="00562F67">
              <w:rPr>
                <w:rFonts w:ascii="Calibri" w:hAnsi="Calibri" w:cs="Open Sans"/>
                <w:b w:val="0"/>
                <w:sz w:val="20"/>
                <w:szCs w:val="20"/>
              </w:rPr>
              <w:t xml:space="preserve"> </w:t>
            </w:r>
            <w:r w:rsidR="0052725F" w:rsidRPr="00562F67">
              <w:rPr>
                <w:rFonts w:ascii="Calibri" w:hAnsi="Calibri" w:cs="Open Sans"/>
                <w:b w:val="0"/>
                <w:sz w:val="20"/>
                <w:szCs w:val="20"/>
              </w:rPr>
              <w:t>Finally, details are provided about the outcome of the technical support activities for three exemplars use cases: DODAS and OPENCoastS thematic services and the ELIXIR competence centre.</w:t>
            </w:r>
          </w:p>
        </w:tc>
      </w:tr>
    </w:tbl>
    <w:p w14:paraId="3974C3F2" w14:textId="573B67B3" w:rsidR="001D1FF5" w:rsidRPr="00562F67" w:rsidRDefault="001D1FF5">
      <w:pPr>
        <w:spacing w:after="200"/>
        <w:jc w:val="left"/>
        <w:rPr>
          <w:b/>
          <w:color w:val="1C3046"/>
        </w:rPr>
      </w:pPr>
    </w:p>
    <w:p w14:paraId="4F8DE5C4" w14:textId="77777777" w:rsidR="00247395" w:rsidRPr="00562F67" w:rsidRDefault="00247395" w:rsidP="00247395">
      <w:pPr>
        <w:rPr>
          <w:b/>
          <w:color w:val="1C3046"/>
        </w:rPr>
      </w:pPr>
      <w:r w:rsidRPr="00562F67">
        <w:rPr>
          <w:b/>
          <w:color w:val="1C3046"/>
        </w:rPr>
        <w:lastRenderedPageBreak/>
        <w:t xml:space="preserve">COPYRIGHT NOTICE </w:t>
      </w:r>
    </w:p>
    <w:p w14:paraId="11B47BA7" w14:textId="77777777" w:rsidR="00247395" w:rsidRPr="00562F67" w:rsidRDefault="00247395" w:rsidP="00247395">
      <w:r w:rsidRPr="00562F67">
        <w:rPr>
          <w:noProof/>
          <w:lang w:eastAsia="en-GB"/>
        </w:rPr>
        <w:drawing>
          <wp:inline distT="0" distB="0" distL="0" distR="0" wp14:anchorId="6E02569F" wp14:editId="6AC20F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3F87B47" w14:textId="77777777" w:rsidR="00247395" w:rsidRPr="00562F67" w:rsidRDefault="00247395" w:rsidP="00247395">
      <w:r w:rsidRPr="00562F67">
        <w:t>This work by Parties of the EOSC-hub Consortium is licensed under a Creative Commons Attribution 4.0 International License (</w:t>
      </w:r>
      <w:hyperlink r:id="rId12" w:history="1">
        <w:r w:rsidRPr="00562F67">
          <w:rPr>
            <w:rStyle w:val="Hyperlink"/>
          </w:rPr>
          <w:t>http://creativecommons.org/licenses/by/4.0/</w:t>
        </w:r>
      </w:hyperlink>
      <w:r w:rsidRPr="00562F67">
        <w:t>). The EOSC-hub project is co-funded by the European Union Horizon 2020 programme under grant number 777536.</w:t>
      </w:r>
    </w:p>
    <w:p w14:paraId="7E9E22D0" w14:textId="77777777" w:rsidR="0066656C" w:rsidRPr="00562F67" w:rsidRDefault="0066656C" w:rsidP="00247395">
      <w:pPr>
        <w:rPr>
          <w:b/>
          <w:color w:val="1C3046"/>
        </w:rPr>
      </w:pPr>
      <w:r w:rsidRPr="00562F67">
        <w:rPr>
          <w:b/>
          <w:color w:val="1C3046"/>
        </w:rPr>
        <w:t>DELIVERY SLIP</w:t>
      </w:r>
    </w:p>
    <w:tbl>
      <w:tblPr>
        <w:tblStyle w:val="TableSimple1"/>
        <w:tblW w:w="0" w:type="auto"/>
        <w:tblLook w:val="04A0" w:firstRow="1" w:lastRow="0" w:firstColumn="1" w:lastColumn="0" w:noHBand="0" w:noVBand="1"/>
      </w:tblPr>
      <w:tblGrid>
        <w:gridCol w:w="2091"/>
        <w:gridCol w:w="2724"/>
        <w:gridCol w:w="2696"/>
        <w:gridCol w:w="1505"/>
      </w:tblGrid>
      <w:tr w:rsidR="0066656C" w:rsidRPr="00562F67" w14:paraId="2DA65271" w14:textId="77777777" w:rsidTr="0056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13AA8578" w14:textId="77777777" w:rsidR="0066656C" w:rsidRPr="00562F67" w:rsidRDefault="0066656C" w:rsidP="00505BF5">
            <w:pPr>
              <w:pStyle w:val="NoSpacing"/>
              <w:rPr>
                <w:b w:val="0"/>
                <w:i/>
              </w:rPr>
            </w:pPr>
            <w:r w:rsidRPr="00562F67">
              <w:rPr>
                <w:i/>
              </w:rPr>
              <w:t>Date</w:t>
            </w:r>
          </w:p>
        </w:tc>
        <w:tc>
          <w:tcPr>
            <w:tcW w:w="2724" w:type="dxa"/>
          </w:tcPr>
          <w:p w14:paraId="0FCF0278"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Name</w:t>
            </w:r>
          </w:p>
        </w:tc>
        <w:tc>
          <w:tcPr>
            <w:tcW w:w="2696" w:type="dxa"/>
          </w:tcPr>
          <w:p w14:paraId="139E8013"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i/>
              </w:rPr>
            </w:pPr>
            <w:r w:rsidRPr="00562F67">
              <w:rPr>
                <w:i/>
              </w:rPr>
              <w:t>Partner/Activity</w:t>
            </w:r>
          </w:p>
        </w:tc>
        <w:tc>
          <w:tcPr>
            <w:tcW w:w="1505" w:type="dxa"/>
          </w:tcPr>
          <w:p w14:paraId="42A42182"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i/>
              </w:rPr>
            </w:pPr>
            <w:r w:rsidRPr="00562F67">
              <w:rPr>
                <w:i/>
              </w:rPr>
              <w:t>Date</w:t>
            </w:r>
          </w:p>
        </w:tc>
      </w:tr>
      <w:tr w:rsidR="0066656C" w:rsidRPr="00562F67" w14:paraId="4727B946"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0B58733" w14:textId="77777777" w:rsidR="0066656C" w:rsidRPr="00562F67" w:rsidRDefault="0066656C" w:rsidP="00505BF5">
            <w:pPr>
              <w:pStyle w:val="NoSpacing"/>
            </w:pPr>
            <w:r w:rsidRPr="00562F67">
              <w:t>From:</w:t>
            </w:r>
          </w:p>
        </w:tc>
        <w:tc>
          <w:tcPr>
            <w:tcW w:w="2724" w:type="dxa"/>
          </w:tcPr>
          <w:p w14:paraId="5336F500"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Giacinto Donvito</w:t>
            </w:r>
          </w:p>
          <w:p w14:paraId="2F109AAD" w14:textId="7E61D30B"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Diego Scardaci</w:t>
            </w:r>
          </w:p>
        </w:tc>
        <w:tc>
          <w:tcPr>
            <w:tcW w:w="2696" w:type="dxa"/>
          </w:tcPr>
          <w:p w14:paraId="5DB51FC2"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INFN/WP10</w:t>
            </w:r>
          </w:p>
          <w:p w14:paraId="2B0AAEF3" w14:textId="08903816"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EGI Foundation/WP1</w:t>
            </w:r>
          </w:p>
        </w:tc>
        <w:tc>
          <w:tcPr>
            <w:tcW w:w="1505" w:type="dxa"/>
          </w:tcPr>
          <w:p w14:paraId="53E65A6C" w14:textId="2A8E4AA1"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1/05/2019</w:t>
            </w:r>
          </w:p>
        </w:tc>
      </w:tr>
      <w:tr w:rsidR="0066656C" w:rsidRPr="00562F67" w14:paraId="1AD9D3D8" w14:textId="77777777" w:rsidTr="00562F67">
        <w:tc>
          <w:tcPr>
            <w:cnfStyle w:val="001000000000" w:firstRow="0" w:lastRow="0" w:firstColumn="1" w:lastColumn="0" w:oddVBand="0" w:evenVBand="0" w:oddHBand="0" w:evenHBand="0" w:firstRowFirstColumn="0" w:firstRowLastColumn="0" w:lastRowFirstColumn="0" w:lastRowLastColumn="0"/>
            <w:tcW w:w="2091" w:type="dxa"/>
          </w:tcPr>
          <w:p w14:paraId="59FB9CAD" w14:textId="77777777" w:rsidR="0066656C" w:rsidRPr="00562F67" w:rsidRDefault="0066656C" w:rsidP="00505BF5">
            <w:pPr>
              <w:pStyle w:val="NoSpacing"/>
            </w:pPr>
            <w:r w:rsidRPr="00562F67">
              <w:t>Moderated by:</w:t>
            </w:r>
          </w:p>
        </w:tc>
        <w:tc>
          <w:tcPr>
            <w:tcW w:w="2724" w:type="dxa"/>
          </w:tcPr>
          <w:p w14:paraId="24B6886B" w14:textId="2FD2B795"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Malgorzata Krakowian</w:t>
            </w:r>
          </w:p>
        </w:tc>
        <w:tc>
          <w:tcPr>
            <w:tcW w:w="2696" w:type="dxa"/>
          </w:tcPr>
          <w:p w14:paraId="099C361C" w14:textId="5FD2205D"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EGI Foundation/WP1</w:t>
            </w:r>
          </w:p>
        </w:tc>
        <w:tc>
          <w:tcPr>
            <w:tcW w:w="1505" w:type="dxa"/>
          </w:tcPr>
          <w:p w14:paraId="48D47D5A" w14:textId="77777777" w:rsidR="0066656C" w:rsidRPr="00562F67" w:rsidRDefault="0066656C" w:rsidP="00505BF5">
            <w:pPr>
              <w:pStyle w:val="NoSpacing"/>
              <w:cnfStyle w:val="000000000000" w:firstRow="0" w:lastRow="0" w:firstColumn="0" w:lastColumn="0" w:oddVBand="0" w:evenVBand="0" w:oddHBand="0" w:evenHBand="0" w:firstRowFirstColumn="0" w:firstRowLastColumn="0" w:lastRowFirstColumn="0" w:lastRowLastColumn="0"/>
            </w:pPr>
          </w:p>
        </w:tc>
      </w:tr>
      <w:tr w:rsidR="0066656C" w:rsidRPr="00562F67" w14:paraId="3DFC965A"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31A0B965" w14:textId="77777777" w:rsidR="0066656C" w:rsidRPr="00562F67" w:rsidRDefault="0066656C" w:rsidP="00505BF5">
            <w:pPr>
              <w:pStyle w:val="NoSpacing"/>
            </w:pPr>
            <w:r w:rsidRPr="00562F67">
              <w:t>Reviewed by:</w:t>
            </w:r>
          </w:p>
        </w:tc>
        <w:tc>
          <w:tcPr>
            <w:tcW w:w="2724" w:type="dxa"/>
          </w:tcPr>
          <w:p w14:paraId="4918BCC5"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Kostas Koumantaros</w:t>
            </w:r>
          </w:p>
          <w:p w14:paraId="7DF52CCE" w14:textId="0D68F479"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Giuseppe Lar Rocca</w:t>
            </w:r>
          </w:p>
        </w:tc>
        <w:tc>
          <w:tcPr>
            <w:tcW w:w="2696" w:type="dxa"/>
          </w:tcPr>
          <w:p w14:paraId="4233CE3C" w14:textId="241208DD"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GRNET/WP5</w:t>
            </w:r>
          </w:p>
          <w:p w14:paraId="41C4E83A" w14:textId="1BABB69D"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EGI Foundation/WP11</w:t>
            </w:r>
          </w:p>
        </w:tc>
        <w:tc>
          <w:tcPr>
            <w:tcW w:w="1505" w:type="dxa"/>
          </w:tcPr>
          <w:p w14:paraId="3A0DC99E" w14:textId="48D88E60"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1/06/2019</w:t>
            </w:r>
          </w:p>
        </w:tc>
      </w:tr>
      <w:tr w:rsidR="0066656C" w:rsidRPr="00562F67" w14:paraId="338CBDB8" w14:textId="77777777" w:rsidTr="00562F67">
        <w:tc>
          <w:tcPr>
            <w:cnfStyle w:val="001000000000" w:firstRow="0" w:lastRow="0" w:firstColumn="1" w:lastColumn="0" w:oddVBand="0" w:evenVBand="0" w:oddHBand="0" w:evenHBand="0" w:firstRowFirstColumn="0" w:firstRowLastColumn="0" w:lastRowFirstColumn="0" w:lastRowLastColumn="0"/>
            <w:tcW w:w="2091" w:type="dxa"/>
          </w:tcPr>
          <w:p w14:paraId="1E20E060" w14:textId="77777777" w:rsidR="0066656C" w:rsidRPr="00562F67" w:rsidRDefault="0066656C" w:rsidP="00505BF5">
            <w:pPr>
              <w:pStyle w:val="NoSpacing"/>
            </w:pPr>
            <w:r w:rsidRPr="00562F67">
              <w:t>Approved by:</w:t>
            </w:r>
          </w:p>
        </w:tc>
        <w:tc>
          <w:tcPr>
            <w:tcW w:w="2724" w:type="dxa"/>
          </w:tcPr>
          <w:p w14:paraId="6E4C8901" w14:textId="244A572A"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AMB</w:t>
            </w:r>
          </w:p>
        </w:tc>
        <w:tc>
          <w:tcPr>
            <w:tcW w:w="2696" w:type="dxa"/>
          </w:tcPr>
          <w:p w14:paraId="0930EC2B" w14:textId="77777777" w:rsidR="0066656C" w:rsidRPr="00562F67" w:rsidRDefault="0066656C" w:rsidP="00505BF5">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34E0EA64" w14:textId="49F3453E"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25/06/2019</w:t>
            </w:r>
          </w:p>
        </w:tc>
      </w:tr>
    </w:tbl>
    <w:p w14:paraId="395708F2" w14:textId="77777777" w:rsidR="0066656C" w:rsidRPr="00562F67" w:rsidRDefault="0066656C" w:rsidP="00247395"/>
    <w:p w14:paraId="5AFF023B" w14:textId="77777777" w:rsidR="00A30A98" w:rsidRPr="00562F67" w:rsidRDefault="00A30A98" w:rsidP="00A30A98">
      <w:pPr>
        <w:rPr>
          <w:b/>
          <w:color w:val="1C3046"/>
        </w:rPr>
      </w:pPr>
      <w:r w:rsidRPr="00562F67">
        <w:rPr>
          <w:b/>
          <w:color w:val="1C3046"/>
        </w:rPr>
        <w:t>DOCUMENT LOG</w:t>
      </w:r>
    </w:p>
    <w:tbl>
      <w:tblPr>
        <w:tblStyle w:val="TableSimple1"/>
        <w:tblW w:w="0" w:type="auto"/>
        <w:tblLook w:val="04A0" w:firstRow="1" w:lastRow="0" w:firstColumn="1" w:lastColumn="0" w:noHBand="0" w:noVBand="1"/>
      </w:tblPr>
      <w:tblGrid>
        <w:gridCol w:w="812"/>
        <w:gridCol w:w="1310"/>
        <w:gridCol w:w="3969"/>
        <w:gridCol w:w="2925"/>
      </w:tblGrid>
      <w:tr w:rsidR="00A30A98" w:rsidRPr="00562F67" w14:paraId="0315BC15" w14:textId="77777777" w:rsidTr="0056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40574DE" w14:textId="77777777" w:rsidR="00A30A98" w:rsidRPr="00562F67" w:rsidRDefault="00A30A98" w:rsidP="00505BF5">
            <w:pPr>
              <w:pStyle w:val="NoSpacing"/>
              <w:rPr>
                <w:b w:val="0"/>
                <w:i/>
              </w:rPr>
            </w:pPr>
            <w:r w:rsidRPr="00562F67">
              <w:rPr>
                <w:i/>
              </w:rPr>
              <w:t>Issue</w:t>
            </w:r>
          </w:p>
        </w:tc>
        <w:tc>
          <w:tcPr>
            <w:tcW w:w="1310" w:type="dxa"/>
          </w:tcPr>
          <w:p w14:paraId="60611D8C"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Date</w:t>
            </w:r>
          </w:p>
        </w:tc>
        <w:tc>
          <w:tcPr>
            <w:tcW w:w="3969" w:type="dxa"/>
          </w:tcPr>
          <w:p w14:paraId="08B766D8"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Comment</w:t>
            </w:r>
          </w:p>
        </w:tc>
        <w:tc>
          <w:tcPr>
            <w:tcW w:w="2925" w:type="dxa"/>
          </w:tcPr>
          <w:p w14:paraId="7EF11DEB"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Author</w:t>
            </w:r>
          </w:p>
        </w:tc>
      </w:tr>
      <w:tr w:rsidR="00A30A98" w:rsidRPr="00562F67" w14:paraId="2435C067"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3DD20E8" w14:textId="77777777" w:rsidR="00A30A98" w:rsidRPr="00562F67" w:rsidRDefault="00A30A98" w:rsidP="00505BF5">
            <w:pPr>
              <w:pStyle w:val="NoSpacing"/>
              <w:rPr>
                <w:b w:val="0"/>
              </w:rPr>
            </w:pPr>
            <w:r w:rsidRPr="00562F67">
              <w:t>v.1</w:t>
            </w:r>
          </w:p>
        </w:tc>
        <w:tc>
          <w:tcPr>
            <w:tcW w:w="1310" w:type="dxa"/>
          </w:tcPr>
          <w:p w14:paraId="054455BB" w14:textId="449A7A6C"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01/03/2019</w:t>
            </w:r>
          </w:p>
        </w:tc>
        <w:tc>
          <w:tcPr>
            <w:tcW w:w="3969" w:type="dxa"/>
          </w:tcPr>
          <w:p w14:paraId="29998B47" w14:textId="52F613E2"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First draft ready for internal review</w:t>
            </w:r>
          </w:p>
        </w:tc>
        <w:tc>
          <w:tcPr>
            <w:tcW w:w="2925" w:type="dxa"/>
          </w:tcPr>
          <w:p w14:paraId="0280D9F2" w14:textId="6469C4CB"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Pablo Orviz (CSIC), Diego Scardaci (EGI.eu) Giacinto Donvito (INFN)</w:t>
            </w:r>
          </w:p>
        </w:tc>
      </w:tr>
      <w:tr w:rsidR="007B0D3B" w:rsidRPr="00562F67" w14:paraId="69D611CD"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3D22FEB2" w14:textId="5F61A02E" w:rsidR="007B0D3B" w:rsidRPr="00562F67" w:rsidRDefault="007B0D3B" w:rsidP="007B0D3B">
            <w:pPr>
              <w:pStyle w:val="NoSpacing"/>
              <w:rPr>
                <w:b w:val="0"/>
              </w:rPr>
            </w:pPr>
            <w:r w:rsidRPr="00562F67">
              <w:t>v.2</w:t>
            </w:r>
          </w:p>
        </w:tc>
        <w:tc>
          <w:tcPr>
            <w:tcW w:w="1310" w:type="dxa"/>
          </w:tcPr>
          <w:p w14:paraId="0291C3E4" w14:textId="325684B3"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01/04/2019</w:t>
            </w:r>
          </w:p>
        </w:tc>
        <w:tc>
          <w:tcPr>
            <w:tcW w:w="3969" w:type="dxa"/>
          </w:tcPr>
          <w:p w14:paraId="2D14B169" w14:textId="2597753C"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Feedback from T10.3 and other WP10 Members</w:t>
            </w:r>
          </w:p>
        </w:tc>
        <w:tc>
          <w:tcPr>
            <w:tcW w:w="2925" w:type="dxa"/>
          </w:tcPr>
          <w:p w14:paraId="0DE6C9BD" w14:textId="7247E293"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Pablo Orviz (CSIC), Diego Scardaci (EGI.eu) Giacinto Donvito (INFN)</w:t>
            </w:r>
          </w:p>
        </w:tc>
      </w:tr>
      <w:tr w:rsidR="007B0D3B" w:rsidRPr="00562F67" w14:paraId="29093B15"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475E3E0" w14:textId="7385096C" w:rsidR="007B0D3B" w:rsidRPr="00562F67" w:rsidRDefault="007B0D3B" w:rsidP="007B0D3B">
            <w:pPr>
              <w:pStyle w:val="NoSpacing"/>
              <w:rPr>
                <w:b w:val="0"/>
              </w:rPr>
            </w:pPr>
            <w:r w:rsidRPr="00562F67">
              <w:t>v.3</w:t>
            </w:r>
          </w:p>
        </w:tc>
        <w:tc>
          <w:tcPr>
            <w:tcW w:w="1310" w:type="dxa"/>
          </w:tcPr>
          <w:p w14:paraId="49B3F2A0" w14:textId="757A5693"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23/04/2019</w:t>
            </w:r>
          </w:p>
        </w:tc>
        <w:tc>
          <w:tcPr>
            <w:tcW w:w="3969" w:type="dxa"/>
          </w:tcPr>
          <w:p w14:paraId="176FAD55" w14:textId="44E55B16"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Comments from internal review incorporated. Document ready for external review</w:t>
            </w:r>
          </w:p>
        </w:tc>
        <w:tc>
          <w:tcPr>
            <w:tcW w:w="2925" w:type="dxa"/>
          </w:tcPr>
          <w:p w14:paraId="32595B1D" w14:textId="46802756"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Pablo Orviz (CSIC), Diego Scardaci (EGI.eu) Giacinto Donvito (INFN)</w:t>
            </w:r>
          </w:p>
        </w:tc>
      </w:tr>
      <w:tr w:rsidR="007B0D3B" w:rsidRPr="00562F67" w14:paraId="34A206BD"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622C5C69" w14:textId="354BC67B" w:rsidR="007B0D3B" w:rsidRPr="00562F67" w:rsidRDefault="007B0D3B" w:rsidP="007B0D3B">
            <w:pPr>
              <w:pStyle w:val="NoSpacing"/>
              <w:rPr>
                <w:b w:val="0"/>
              </w:rPr>
            </w:pPr>
            <w:r w:rsidRPr="00562F67">
              <w:t>v.</w:t>
            </w:r>
            <w:r w:rsidR="00604F10" w:rsidRPr="00562F67">
              <w:t>4</w:t>
            </w:r>
          </w:p>
        </w:tc>
        <w:tc>
          <w:tcPr>
            <w:tcW w:w="1310" w:type="dxa"/>
          </w:tcPr>
          <w:p w14:paraId="5AE2026F" w14:textId="5C71FDAD"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03/06/2019</w:t>
            </w:r>
          </w:p>
        </w:tc>
        <w:tc>
          <w:tcPr>
            <w:tcW w:w="3969" w:type="dxa"/>
          </w:tcPr>
          <w:p w14:paraId="2B843172" w14:textId="2CC31A00"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Implemented changes suggested by reviewers</w:t>
            </w:r>
          </w:p>
        </w:tc>
        <w:tc>
          <w:tcPr>
            <w:tcW w:w="2925" w:type="dxa"/>
          </w:tcPr>
          <w:p w14:paraId="0969A315" w14:textId="241222F2"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Diego Scardaci (EGI.eu)</w:t>
            </w:r>
          </w:p>
        </w:tc>
      </w:tr>
      <w:tr w:rsidR="00604F10" w:rsidRPr="00562F67" w14:paraId="130DAD80"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FBA842F" w14:textId="6D67FBDE" w:rsidR="00604F10" w:rsidRPr="00562F67" w:rsidRDefault="00604F10" w:rsidP="00604F10">
            <w:pPr>
              <w:pStyle w:val="NoSpacing"/>
            </w:pPr>
            <w:r w:rsidRPr="00562F67">
              <w:t>v.5</w:t>
            </w:r>
          </w:p>
        </w:tc>
        <w:tc>
          <w:tcPr>
            <w:tcW w:w="1310" w:type="dxa"/>
          </w:tcPr>
          <w:p w14:paraId="416DEC9F" w14:textId="4E9B656C"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04/06/2019</w:t>
            </w:r>
          </w:p>
        </w:tc>
        <w:tc>
          <w:tcPr>
            <w:tcW w:w="3969" w:type="dxa"/>
          </w:tcPr>
          <w:p w14:paraId="311B58AB" w14:textId="7FA4A29B"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Minor changes to satisfy further comments from reviewers</w:t>
            </w:r>
          </w:p>
        </w:tc>
        <w:tc>
          <w:tcPr>
            <w:tcW w:w="2925" w:type="dxa"/>
          </w:tcPr>
          <w:p w14:paraId="012567D9" w14:textId="18F69A54"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Diego Scardaci (EGI.eu)</w:t>
            </w:r>
          </w:p>
        </w:tc>
      </w:tr>
      <w:tr w:rsidR="00056FF7" w:rsidRPr="00562F67" w14:paraId="6C57A11B"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4E667FE3" w14:textId="0641ADD8" w:rsidR="00056FF7" w:rsidRPr="00562F67" w:rsidRDefault="00056FF7" w:rsidP="00056FF7">
            <w:pPr>
              <w:pStyle w:val="NoSpacing"/>
            </w:pPr>
            <w:r w:rsidRPr="00562F67">
              <w:t>v. 6</w:t>
            </w:r>
          </w:p>
        </w:tc>
        <w:tc>
          <w:tcPr>
            <w:tcW w:w="1310" w:type="dxa"/>
          </w:tcPr>
          <w:p w14:paraId="4D4500EE" w14:textId="686B66D4"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05/06/2019</w:t>
            </w:r>
          </w:p>
        </w:tc>
        <w:tc>
          <w:tcPr>
            <w:tcW w:w="3969" w:type="dxa"/>
          </w:tcPr>
          <w:p w14:paraId="6B417FA7" w14:textId="0BB2564C"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Minor changes</w:t>
            </w:r>
          </w:p>
        </w:tc>
        <w:tc>
          <w:tcPr>
            <w:tcW w:w="2925" w:type="dxa"/>
          </w:tcPr>
          <w:p w14:paraId="4ACB17AA" w14:textId="0816202C"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Diego Scardaci (EGI.eu)</w:t>
            </w:r>
          </w:p>
        </w:tc>
      </w:tr>
    </w:tbl>
    <w:p w14:paraId="46E95DA5" w14:textId="77777777" w:rsidR="00A30A98" w:rsidRPr="00562F67" w:rsidRDefault="00A30A98" w:rsidP="00A30A98"/>
    <w:p w14:paraId="01BA6CBF" w14:textId="77777777" w:rsidR="00A30A98" w:rsidRPr="00562F67" w:rsidRDefault="00A30A98" w:rsidP="00A30A98">
      <w:pPr>
        <w:rPr>
          <w:b/>
          <w:color w:val="1C3046"/>
        </w:rPr>
      </w:pPr>
      <w:r w:rsidRPr="00562F67">
        <w:rPr>
          <w:b/>
          <w:color w:val="1C3046"/>
        </w:rPr>
        <w:t>TERMINOLOGY</w:t>
      </w:r>
    </w:p>
    <w:p w14:paraId="67EA7AC8" w14:textId="77777777" w:rsidR="00B75013" w:rsidRPr="00562F67" w:rsidRDefault="00E06C0D" w:rsidP="00A30A98">
      <w:pPr>
        <w:rPr>
          <w:b/>
          <w:color w:val="1C3046"/>
        </w:rPr>
      </w:pPr>
      <w:hyperlink r:id="rId13" w:tgtFrame="_blank" w:history="1">
        <w:r w:rsidR="00B75013" w:rsidRPr="00562F67">
          <w:rPr>
            <w:rStyle w:val="Hyperlink"/>
          </w:rPr>
          <w:t>https://wiki.eosc-hub.eu/display/EOSC/EOSC-hub+Glossary</w:t>
        </w:r>
      </w:hyperlink>
    </w:p>
    <w:p w14:paraId="4CA50D28" w14:textId="77777777" w:rsidR="00A30A98" w:rsidRPr="00562F67" w:rsidRDefault="00A30A98" w:rsidP="00A30A98">
      <w:r w:rsidRPr="00562F67">
        <w:br w:type="page"/>
      </w:r>
    </w:p>
    <w:sdt>
      <w:sdtPr>
        <w:rPr>
          <w:b/>
          <w:color w:val="0067B1"/>
          <w:sz w:val="40"/>
        </w:rPr>
        <w:id w:val="-1545511109"/>
        <w:docPartObj>
          <w:docPartGallery w:val="Table of Contents"/>
          <w:docPartUnique/>
        </w:docPartObj>
      </w:sdtPr>
      <w:sdtEndPr>
        <w:rPr>
          <w:bCs/>
          <w:noProof/>
          <w:color w:val="auto"/>
          <w:sz w:val="22"/>
        </w:rPr>
      </w:sdtEndPr>
      <w:sdtContent>
        <w:p w14:paraId="72F696EA" w14:textId="77777777" w:rsidR="00A30A98" w:rsidRPr="00562F67" w:rsidRDefault="00A30A98" w:rsidP="00A30A98">
          <w:pPr>
            <w:rPr>
              <w:b/>
              <w:color w:val="1C3046"/>
              <w:sz w:val="40"/>
            </w:rPr>
          </w:pPr>
          <w:r w:rsidRPr="00562F67">
            <w:rPr>
              <w:b/>
              <w:color w:val="1C3046"/>
              <w:sz w:val="40"/>
            </w:rPr>
            <w:t>Contents</w:t>
          </w:r>
        </w:p>
        <w:p w14:paraId="62D8C366" w14:textId="437819E6" w:rsidR="00933263" w:rsidRDefault="00247395">
          <w:pPr>
            <w:pStyle w:val="TOC1"/>
            <w:rPr>
              <w:rFonts w:asciiTheme="minorHAnsi" w:eastAsiaTheme="minorEastAsia" w:hAnsiTheme="minorHAnsi"/>
              <w:color w:val="auto"/>
              <w:spacing w:val="0"/>
              <w:lang w:eastAsia="en-GB"/>
            </w:rPr>
          </w:pPr>
          <w:r w:rsidRPr="00562F67">
            <w:fldChar w:fldCharType="begin"/>
          </w:r>
          <w:r w:rsidRPr="00562F67">
            <w:instrText xml:space="preserve"> TOC \o "1-2" \h \z \u </w:instrText>
          </w:r>
          <w:r w:rsidRPr="00562F67">
            <w:fldChar w:fldCharType="separate"/>
          </w:r>
          <w:hyperlink w:anchor="_Toc12371647" w:history="1">
            <w:r w:rsidR="00933263" w:rsidRPr="00FA4A19">
              <w:rPr>
                <w:rStyle w:val="Hyperlink"/>
              </w:rPr>
              <w:t>1</w:t>
            </w:r>
            <w:r w:rsidR="00933263">
              <w:rPr>
                <w:rFonts w:asciiTheme="minorHAnsi" w:eastAsiaTheme="minorEastAsia" w:hAnsiTheme="minorHAnsi"/>
                <w:color w:val="auto"/>
                <w:spacing w:val="0"/>
                <w:lang w:eastAsia="en-GB"/>
              </w:rPr>
              <w:tab/>
            </w:r>
            <w:r w:rsidR="00933263" w:rsidRPr="00FA4A19">
              <w:rPr>
                <w:rStyle w:val="Hyperlink"/>
              </w:rPr>
              <w:t>Introduction</w:t>
            </w:r>
            <w:r w:rsidR="00933263">
              <w:rPr>
                <w:webHidden/>
              </w:rPr>
              <w:tab/>
            </w:r>
            <w:r w:rsidR="00933263">
              <w:rPr>
                <w:webHidden/>
              </w:rPr>
              <w:fldChar w:fldCharType="begin"/>
            </w:r>
            <w:r w:rsidR="00933263">
              <w:rPr>
                <w:webHidden/>
              </w:rPr>
              <w:instrText xml:space="preserve"> PAGEREF _Toc12371647 \h </w:instrText>
            </w:r>
            <w:r w:rsidR="00933263">
              <w:rPr>
                <w:webHidden/>
              </w:rPr>
            </w:r>
            <w:r w:rsidR="00933263">
              <w:rPr>
                <w:webHidden/>
              </w:rPr>
              <w:fldChar w:fldCharType="separate"/>
            </w:r>
            <w:r w:rsidR="00167EB3">
              <w:rPr>
                <w:webHidden/>
              </w:rPr>
              <w:t>6</w:t>
            </w:r>
            <w:r w:rsidR="00933263">
              <w:rPr>
                <w:webHidden/>
              </w:rPr>
              <w:fldChar w:fldCharType="end"/>
            </w:r>
          </w:hyperlink>
        </w:p>
        <w:p w14:paraId="30CCFED5" w14:textId="64414BE2" w:rsidR="00933263" w:rsidRDefault="00E06C0D">
          <w:pPr>
            <w:pStyle w:val="TOC1"/>
            <w:rPr>
              <w:rFonts w:asciiTheme="minorHAnsi" w:eastAsiaTheme="minorEastAsia" w:hAnsiTheme="minorHAnsi"/>
              <w:color w:val="auto"/>
              <w:spacing w:val="0"/>
              <w:lang w:eastAsia="en-GB"/>
            </w:rPr>
          </w:pPr>
          <w:hyperlink w:anchor="_Toc12371648" w:history="1">
            <w:r w:rsidR="00933263" w:rsidRPr="00FA4A19">
              <w:rPr>
                <w:rStyle w:val="Hyperlink"/>
              </w:rPr>
              <w:t>2</w:t>
            </w:r>
            <w:r w:rsidR="00933263">
              <w:rPr>
                <w:rFonts w:asciiTheme="minorHAnsi" w:eastAsiaTheme="minorEastAsia" w:hAnsiTheme="minorHAnsi"/>
                <w:color w:val="auto"/>
                <w:spacing w:val="0"/>
                <w:lang w:eastAsia="en-GB"/>
              </w:rPr>
              <w:tab/>
            </w:r>
            <w:r w:rsidR="00933263" w:rsidRPr="00FA4A19">
              <w:rPr>
                <w:rStyle w:val="Hyperlink"/>
              </w:rPr>
              <w:t>Interfaces with other project activities and EOSC SMS processes</w:t>
            </w:r>
            <w:r w:rsidR="00933263">
              <w:rPr>
                <w:webHidden/>
              </w:rPr>
              <w:tab/>
            </w:r>
            <w:r w:rsidR="00933263">
              <w:rPr>
                <w:webHidden/>
              </w:rPr>
              <w:fldChar w:fldCharType="begin"/>
            </w:r>
            <w:r w:rsidR="00933263">
              <w:rPr>
                <w:webHidden/>
              </w:rPr>
              <w:instrText xml:space="preserve"> PAGEREF _Toc12371648 \h </w:instrText>
            </w:r>
            <w:r w:rsidR="00933263">
              <w:rPr>
                <w:webHidden/>
              </w:rPr>
            </w:r>
            <w:r w:rsidR="00933263">
              <w:rPr>
                <w:webHidden/>
              </w:rPr>
              <w:fldChar w:fldCharType="separate"/>
            </w:r>
            <w:r w:rsidR="00167EB3">
              <w:rPr>
                <w:webHidden/>
              </w:rPr>
              <w:t>7</w:t>
            </w:r>
            <w:r w:rsidR="00933263">
              <w:rPr>
                <w:webHidden/>
              </w:rPr>
              <w:fldChar w:fldCharType="end"/>
            </w:r>
          </w:hyperlink>
        </w:p>
        <w:p w14:paraId="4358F351" w14:textId="4DF2EAD2" w:rsidR="00933263" w:rsidRDefault="00E06C0D">
          <w:pPr>
            <w:pStyle w:val="TOC2"/>
            <w:rPr>
              <w:rFonts w:asciiTheme="minorHAnsi" w:eastAsiaTheme="minorEastAsia" w:hAnsiTheme="minorHAnsi"/>
              <w:noProof/>
              <w:color w:val="auto"/>
              <w:spacing w:val="0"/>
              <w:lang w:eastAsia="en-GB"/>
            </w:rPr>
          </w:pPr>
          <w:hyperlink w:anchor="_Toc12371649" w:history="1">
            <w:r w:rsidR="00933263" w:rsidRPr="00FA4A19">
              <w:rPr>
                <w:rStyle w:val="Hyperlink"/>
                <w:noProof/>
              </w:rPr>
              <w:t>2.1</w:t>
            </w:r>
            <w:r w:rsidR="00933263">
              <w:rPr>
                <w:rFonts w:asciiTheme="minorHAnsi" w:eastAsiaTheme="minorEastAsia" w:hAnsiTheme="minorHAnsi"/>
                <w:noProof/>
                <w:color w:val="auto"/>
                <w:spacing w:val="0"/>
                <w:lang w:eastAsia="en-GB"/>
              </w:rPr>
              <w:tab/>
            </w:r>
            <w:r w:rsidR="00933263" w:rsidRPr="00FA4A19">
              <w:rPr>
                <w:rStyle w:val="Hyperlink"/>
                <w:noProof/>
              </w:rPr>
              <w:t>WP10 link with use cases (WP7, WP8, WP9) and SOCRM process (T4.2)</w:t>
            </w:r>
            <w:r w:rsidR="00933263">
              <w:rPr>
                <w:noProof/>
                <w:webHidden/>
              </w:rPr>
              <w:tab/>
            </w:r>
            <w:r w:rsidR="00933263">
              <w:rPr>
                <w:noProof/>
                <w:webHidden/>
              </w:rPr>
              <w:fldChar w:fldCharType="begin"/>
            </w:r>
            <w:r w:rsidR="00933263">
              <w:rPr>
                <w:noProof/>
                <w:webHidden/>
              </w:rPr>
              <w:instrText xml:space="preserve"> PAGEREF _Toc12371649 \h </w:instrText>
            </w:r>
            <w:r w:rsidR="00933263">
              <w:rPr>
                <w:noProof/>
                <w:webHidden/>
              </w:rPr>
            </w:r>
            <w:r w:rsidR="00933263">
              <w:rPr>
                <w:noProof/>
                <w:webHidden/>
              </w:rPr>
              <w:fldChar w:fldCharType="separate"/>
            </w:r>
            <w:r w:rsidR="00167EB3">
              <w:rPr>
                <w:noProof/>
                <w:webHidden/>
              </w:rPr>
              <w:t>9</w:t>
            </w:r>
            <w:r w:rsidR="00933263">
              <w:rPr>
                <w:noProof/>
                <w:webHidden/>
              </w:rPr>
              <w:fldChar w:fldCharType="end"/>
            </w:r>
          </w:hyperlink>
        </w:p>
        <w:p w14:paraId="467B3E45" w14:textId="3134AC3F" w:rsidR="00933263" w:rsidRDefault="00E06C0D">
          <w:pPr>
            <w:pStyle w:val="TOC2"/>
            <w:rPr>
              <w:rFonts w:asciiTheme="minorHAnsi" w:eastAsiaTheme="minorEastAsia" w:hAnsiTheme="minorHAnsi"/>
              <w:noProof/>
              <w:color w:val="auto"/>
              <w:spacing w:val="0"/>
              <w:lang w:eastAsia="en-GB"/>
            </w:rPr>
          </w:pPr>
          <w:hyperlink w:anchor="_Toc12371650" w:history="1">
            <w:r w:rsidR="00933263" w:rsidRPr="00FA4A19">
              <w:rPr>
                <w:rStyle w:val="Hyperlink"/>
                <w:noProof/>
              </w:rPr>
              <w:t>2.2</w:t>
            </w:r>
            <w:r w:rsidR="00933263">
              <w:rPr>
                <w:rFonts w:asciiTheme="minorHAnsi" w:eastAsiaTheme="minorEastAsia" w:hAnsiTheme="minorHAnsi"/>
                <w:noProof/>
                <w:color w:val="auto"/>
                <w:spacing w:val="0"/>
                <w:lang w:eastAsia="en-GB"/>
              </w:rPr>
              <w:tab/>
            </w:r>
            <w:r w:rsidR="00933263" w:rsidRPr="00FA4A19">
              <w:rPr>
                <w:rStyle w:val="Hyperlink"/>
                <w:noProof/>
              </w:rPr>
              <w:t>WP10 and SPM process interaction</w:t>
            </w:r>
            <w:r w:rsidR="00933263">
              <w:rPr>
                <w:noProof/>
                <w:webHidden/>
              </w:rPr>
              <w:tab/>
            </w:r>
            <w:r w:rsidR="00933263">
              <w:rPr>
                <w:noProof/>
                <w:webHidden/>
              </w:rPr>
              <w:fldChar w:fldCharType="begin"/>
            </w:r>
            <w:r w:rsidR="00933263">
              <w:rPr>
                <w:noProof/>
                <w:webHidden/>
              </w:rPr>
              <w:instrText xml:space="preserve"> PAGEREF _Toc12371650 \h </w:instrText>
            </w:r>
            <w:r w:rsidR="00933263">
              <w:rPr>
                <w:noProof/>
                <w:webHidden/>
              </w:rPr>
            </w:r>
            <w:r w:rsidR="00933263">
              <w:rPr>
                <w:noProof/>
                <w:webHidden/>
              </w:rPr>
              <w:fldChar w:fldCharType="separate"/>
            </w:r>
            <w:r w:rsidR="00167EB3">
              <w:rPr>
                <w:noProof/>
                <w:webHidden/>
              </w:rPr>
              <w:t>10</w:t>
            </w:r>
            <w:r w:rsidR="00933263">
              <w:rPr>
                <w:noProof/>
                <w:webHidden/>
              </w:rPr>
              <w:fldChar w:fldCharType="end"/>
            </w:r>
          </w:hyperlink>
        </w:p>
        <w:p w14:paraId="0110C0BA" w14:textId="1616D2FA" w:rsidR="00933263" w:rsidRDefault="00E06C0D">
          <w:pPr>
            <w:pStyle w:val="TOC2"/>
            <w:rPr>
              <w:rFonts w:asciiTheme="minorHAnsi" w:eastAsiaTheme="minorEastAsia" w:hAnsiTheme="minorHAnsi"/>
              <w:noProof/>
              <w:color w:val="auto"/>
              <w:spacing w:val="0"/>
              <w:lang w:eastAsia="en-GB"/>
            </w:rPr>
          </w:pPr>
          <w:hyperlink w:anchor="_Toc12371651" w:history="1">
            <w:r w:rsidR="00933263" w:rsidRPr="00FA4A19">
              <w:rPr>
                <w:rStyle w:val="Hyperlink"/>
                <w:noProof/>
              </w:rPr>
              <w:t>2.3</w:t>
            </w:r>
            <w:r w:rsidR="00933263">
              <w:rPr>
                <w:rFonts w:asciiTheme="minorHAnsi" w:eastAsiaTheme="minorEastAsia" w:hAnsiTheme="minorHAnsi"/>
                <w:noProof/>
                <w:color w:val="auto"/>
                <w:spacing w:val="0"/>
                <w:lang w:eastAsia="en-GB"/>
              </w:rPr>
              <w:tab/>
            </w:r>
            <w:r w:rsidR="00933263" w:rsidRPr="00FA4A19">
              <w:rPr>
                <w:rStyle w:val="Hyperlink"/>
                <w:noProof/>
              </w:rPr>
              <w:t>WP10 and CHM/RDM processes interaction</w:t>
            </w:r>
            <w:r w:rsidR="00933263">
              <w:rPr>
                <w:noProof/>
                <w:webHidden/>
              </w:rPr>
              <w:tab/>
            </w:r>
            <w:r w:rsidR="00933263">
              <w:rPr>
                <w:noProof/>
                <w:webHidden/>
              </w:rPr>
              <w:fldChar w:fldCharType="begin"/>
            </w:r>
            <w:r w:rsidR="00933263">
              <w:rPr>
                <w:noProof/>
                <w:webHidden/>
              </w:rPr>
              <w:instrText xml:space="preserve"> PAGEREF _Toc12371651 \h </w:instrText>
            </w:r>
            <w:r w:rsidR="00933263">
              <w:rPr>
                <w:noProof/>
                <w:webHidden/>
              </w:rPr>
            </w:r>
            <w:r w:rsidR="00933263">
              <w:rPr>
                <w:noProof/>
                <w:webHidden/>
              </w:rPr>
              <w:fldChar w:fldCharType="separate"/>
            </w:r>
            <w:r w:rsidR="00167EB3">
              <w:rPr>
                <w:noProof/>
                <w:webHidden/>
              </w:rPr>
              <w:t>11</w:t>
            </w:r>
            <w:r w:rsidR="00933263">
              <w:rPr>
                <w:noProof/>
                <w:webHidden/>
              </w:rPr>
              <w:fldChar w:fldCharType="end"/>
            </w:r>
          </w:hyperlink>
        </w:p>
        <w:p w14:paraId="7ABE4302" w14:textId="4D431C20" w:rsidR="00933263" w:rsidRDefault="00E06C0D">
          <w:pPr>
            <w:pStyle w:val="TOC1"/>
            <w:rPr>
              <w:rFonts w:asciiTheme="minorHAnsi" w:eastAsiaTheme="minorEastAsia" w:hAnsiTheme="minorHAnsi"/>
              <w:color w:val="auto"/>
              <w:spacing w:val="0"/>
              <w:lang w:eastAsia="en-GB"/>
            </w:rPr>
          </w:pPr>
          <w:hyperlink w:anchor="_Toc12371652" w:history="1">
            <w:r w:rsidR="00933263" w:rsidRPr="00FA4A19">
              <w:rPr>
                <w:rStyle w:val="Hyperlink"/>
              </w:rPr>
              <w:t>3</w:t>
            </w:r>
            <w:r w:rsidR="00933263">
              <w:rPr>
                <w:rFonts w:asciiTheme="minorHAnsi" w:eastAsiaTheme="minorEastAsia" w:hAnsiTheme="minorHAnsi"/>
                <w:color w:val="auto"/>
                <w:spacing w:val="0"/>
                <w:lang w:eastAsia="en-GB"/>
              </w:rPr>
              <w:tab/>
            </w:r>
            <w:r w:rsidR="00933263" w:rsidRPr="00FA4A19">
              <w:rPr>
                <w:rStyle w:val="Hyperlink"/>
              </w:rPr>
              <w:t>Gathering technical requirements</w:t>
            </w:r>
            <w:r w:rsidR="00933263">
              <w:rPr>
                <w:webHidden/>
              </w:rPr>
              <w:tab/>
            </w:r>
            <w:r w:rsidR="00933263">
              <w:rPr>
                <w:webHidden/>
              </w:rPr>
              <w:fldChar w:fldCharType="begin"/>
            </w:r>
            <w:r w:rsidR="00933263">
              <w:rPr>
                <w:webHidden/>
              </w:rPr>
              <w:instrText xml:space="preserve"> PAGEREF _Toc12371652 \h </w:instrText>
            </w:r>
            <w:r w:rsidR="00933263">
              <w:rPr>
                <w:webHidden/>
              </w:rPr>
            </w:r>
            <w:r w:rsidR="00933263">
              <w:rPr>
                <w:webHidden/>
              </w:rPr>
              <w:fldChar w:fldCharType="separate"/>
            </w:r>
            <w:r w:rsidR="00167EB3">
              <w:rPr>
                <w:webHidden/>
              </w:rPr>
              <w:t>12</w:t>
            </w:r>
            <w:r w:rsidR="00933263">
              <w:rPr>
                <w:webHidden/>
              </w:rPr>
              <w:fldChar w:fldCharType="end"/>
            </w:r>
          </w:hyperlink>
        </w:p>
        <w:p w14:paraId="701DA0B5" w14:textId="2A67FCA0" w:rsidR="00933263" w:rsidRDefault="00E06C0D">
          <w:pPr>
            <w:pStyle w:val="TOC2"/>
            <w:rPr>
              <w:rFonts w:asciiTheme="minorHAnsi" w:eastAsiaTheme="minorEastAsia" w:hAnsiTheme="minorHAnsi"/>
              <w:noProof/>
              <w:color w:val="auto"/>
              <w:spacing w:val="0"/>
              <w:lang w:eastAsia="en-GB"/>
            </w:rPr>
          </w:pPr>
          <w:hyperlink w:anchor="_Toc12371653" w:history="1">
            <w:r w:rsidR="00933263" w:rsidRPr="00FA4A19">
              <w:rPr>
                <w:rStyle w:val="Hyperlink"/>
                <w:noProof/>
              </w:rPr>
              <w:t>3.1</w:t>
            </w:r>
            <w:r w:rsidR="00933263">
              <w:rPr>
                <w:rFonts w:asciiTheme="minorHAnsi" w:eastAsiaTheme="minorEastAsia" w:hAnsiTheme="minorHAnsi"/>
                <w:noProof/>
                <w:color w:val="auto"/>
                <w:spacing w:val="0"/>
                <w:lang w:eastAsia="en-GB"/>
              </w:rPr>
              <w:tab/>
            </w:r>
            <w:r w:rsidR="00933263" w:rsidRPr="00FA4A19">
              <w:rPr>
                <w:rStyle w:val="Hyperlink"/>
                <w:noProof/>
              </w:rPr>
              <w:t>User stories</w:t>
            </w:r>
            <w:r w:rsidR="00933263">
              <w:rPr>
                <w:noProof/>
                <w:webHidden/>
              </w:rPr>
              <w:tab/>
            </w:r>
            <w:r w:rsidR="00933263">
              <w:rPr>
                <w:noProof/>
                <w:webHidden/>
              </w:rPr>
              <w:fldChar w:fldCharType="begin"/>
            </w:r>
            <w:r w:rsidR="00933263">
              <w:rPr>
                <w:noProof/>
                <w:webHidden/>
              </w:rPr>
              <w:instrText xml:space="preserve"> PAGEREF _Toc12371653 \h </w:instrText>
            </w:r>
            <w:r w:rsidR="00933263">
              <w:rPr>
                <w:noProof/>
                <w:webHidden/>
              </w:rPr>
            </w:r>
            <w:r w:rsidR="00933263">
              <w:rPr>
                <w:noProof/>
                <w:webHidden/>
              </w:rPr>
              <w:fldChar w:fldCharType="separate"/>
            </w:r>
            <w:r w:rsidR="00167EB3">
              <w:rPr>
                <w:noProof/>
                <w:webHidden/>
              </w:rPr>
              <w:t>12</w:t>
            </w:r>
            <w:r w:rsidR="00933263">
              <w:rPr>
                <w:noProof/>
                <w:webHidden/>
              </w:rPr>
              <w:fldChar w:fldCharType="end"/>
            </w:r>
          </w:hyperlink>
        </w:p>
        <w:p w14:paraId="3BAB243C" w14:textId="0195AF6D" w:rsidR="00933263" w:rsidRDefault="00E06C0D">
          <w:pPr>
            <w:pStyle w:val="TOC2"/>
            <w:rPr>
              <w:rFonts w:asciiTheme="minorHAnsi" w:eastAsiaTheme="minorEastAsia" w:hAnsiTheme="minorHAnsi"/>
              <w:noProof/>
              <w:color w:val="auto"/>
              <w:spacing w:val="0"/>
              <w:lang w:eastAsia="en-GB"/>
            </w:rPr>
          </w:pPr>
          <w:hyperlink w:anchor="_Toc12371654" w:history="1">
            <w:r w:rsidR="00933263" w:rsidRPr="00FA4A19">
              <w:rPr>
                <w:rStyle w:val="Hyperlink"/>
                <w:noProof/>
              </w:rPr>
              <w:t>3.2</w:t>
            </w:r>
            <w:r w:rsidR="00933263">
              <w:rPr>
                <w:rFonts w:asciiTheme="minorHAnsi" w:eastAsiaTheme="minorEastAsia" w:hAnsiTheme="minorHAnsi"/>
                <w:noProof/>
                <w:color w:val="auto"/>
                <w:spacing w:val="0"/>
                <w:lang w:eastAsia="en-GB"/>
              </w:rPr>
              <w:tab/>
            </w:r>
            <w:r w:rsidR="00933263" w:rsidRPr="00FA4A19">
              <w:rPr>
                <w:rStyle w:val="Hyperlink"/>
                <w:noProof/>
              </w:rPr>
              <w:t>Use cases</w:t>
            </w:r>
            <w:r w:rsidR="00933263">
              <w:rPr>
                <w:noProof/>
                <w:webHidden/>
              </w:rPr>
              <w:tab/>
            </w:r>
            <w:r w:rsidR="00933263">
              <w:rPr>
                <w:noProof/>
                <w:webHidden/>
              </w:rPr>
              <w:fldChar w:fldCharType="begin"/>
            </w:r>
            <w:r w:rsidR="00933263">
              <w:rPr>
                <w:noProof/>
                <w:webHidden/>
              </w:rPr>
              <w:instrText xml:space="preserve"> PAGEREF _Toc12371654 \h </w:instrText>
            </w:r>
            <w:r w:rsidR="00933263">
              <w:rPr>
                <w:noProof/>
                <w:webHidden/>
              </w:rPr>
            </w:r>
            <w:r w:rsidR="00933263">
              <w:rPr>
                <w:noProof/>
                <w:webHidden/>
              </w:rPr>
              <w:fldChar w:fldCharType="separate"/>
            </w:r>
            <w:r w:rsidR="00167EB3">
              <w:rPr>
                <w:noProof/>
                <w:webHidden/>
              </w:rPr>
              <w:t>12</w:t>
            </w:r>
            <w:r w:rsidR="00933263">
              <w:rPr>
                <w:noProof/>
                <w:webHidden/>
              </w:rPr>
              <w:fldChar w:fldCharType="end"/>
            </w:r>
          </w:hyperlink>
        </w:p>
        <w:p w14:paraId="2F99DB9A" w14:textId="164C4F56" w:rsidR="00933263" w:rsidRDefault="00E06C0D">
          <w:pPr>
            <w:pStyle w:val="TOC2"/>
            <w:rPr>
              <w:rFonts w:asciiTheme="minorHAnsi" w:eastAsiaTheme="minorEastAsia" w:hAnsiTheme="minorHAnsi"/>
              <w:noProof/>
              <w:color w:val="auto"/>
              <w:spacing w:val="0"/>
              <w:lang w:eastAsia="en-GB"/>
            </w:rPr>
          </w:pPr>
          <w:hyperlink w:anchor="_Toc12371655" w:history="1">
            <w:r w:rsidR="00933263" w:rsidRPr="00FA4A19">
              <w:rPr>
                <w:rStyle w:val="Hyperlink"/>
                <w:noProof/>
              </w:rPr>
              <w:t>3.3</w:t>
            </w:r>
            <w:r w:rsidR="00933263">
              <w:rPr>
                <w:rFonts w:asciiTheme="minorHAnsi" w:eastAsiaTheme="minorEastAsia" w:hAnsiTheme="minorHAnsi"/>
                <w:noProof/>
                <w:color w:val="auto"/>
                <w:spacing w:val="0"/>
                <w:lang w:eastAsia="en-GB"/>
              </w:rPr>
              <w:tab/>
            </w:r>
            <w:r w:rsidR="00933263" w:rsidRPr="00FA4A19">
              <w:rPr>
                <w:rStyle w:val="Hyperlink"/>
                <w:noProof/>
              </w:rPr>
              <w:t>Technical requirements</w:t>
            </w:r>
            <w:r w:rsidR="00933263">
              <w:rPr>
                <w:noProof/>
                <w:webHidden/>
              </w:rPr>
              <w:tab/>
            </w:r>
            <w:r w:rsidR="00933263">
              <w:rPr>
                <w:noProof/>
                <w:webHidden/>
              </w:rPr>
              <w:fldChar w:fldCharType="begin"/>
            </w:r>
            <w:r w:rsidR="00933263">
              <w:rPr>
                <w:noProof/>
                <w:webHidden/>
              </w:rPr>
              <w:instrText xml:space="preserve"> PAGEREF _Toc12371655 \h </w:instrText>
            </w:r>
            <w:r w:rsidR="00933263">
              <w:rPr>
                <w:noProof/>
                <w:webHidden/>
              </w:rPr>
            </w:r>
            <w:r w:rsidR="00933263">
              <w:rPr>
                <w:noProof/>
                <w:webHidden/>
              </w:rPr>
              <w:fldChar w:fldCharType="separate"/>
            </w:r>
            <w:r w:rsidR="00167EB3">
              <w:rPr>
                <w:noProof/>
                <w:webHidden/>
              </w:rPr>
              <w:t>13</w:t>
            </w:r>
            <w:r w:rsidR="00933263">
              <w:rPr>
                <w:noProof/>
                <w:webHidden/>
              </w:rPr>
              <w:fldChar w:fldCharType="end"/>
            </w:r>
          </w:hyperlink>
        </w:p>
        <w:p w14:paraId="3C8A7990" w14:textId="0A84778B" w:rsidR="00933263" w:rsidRDefault="00E06C0D">
          <w:pPr>
            <w:pStyle w:val="TOC1"/>
            <w:rPr>
              <w:rFonts w:asciiTheme="minorHAnsi" w:eastAsiaTheme="minorEastAsia" w:hAnsiTheme="minorHAnsi"/>
              <w:color w:val="auto"/>
              <w:spacing w:val="0"/>
              <w:lang w:eastAsia="en-GB"/>
            </w:rPr>
          </w:pPr>
          <w:hyperlink w:anchor="_Toc12371656" w:history="1">
            <w:r w:rsidR="00933263" w:rsidRPr="00FA4A19">
              <w:rPr>
                <w:rStyle w:val="Hyperlink"/>
              </w:rPr>
              <w:t>4</w:t>
            </w:r>
            <w:r w:rsidR="00933263">
              <w:rPr>
                <w:rFonts w:asciiTheme="minorHAnsi" w:eastAsiaTheme="minorEastAsia" w:hAnsiTheme="minorHAnsi"/>
                <w:color w:val="auto"/>
                <w:spacing w:val="0"/>
                <w:lang w:eastAsia="en-GB"/>
              </w:rPr>
              <w:tab/>
            </w:r>
            <w:r w:rsidR="00933263" w:rsidRPr="00FA4A19">
              <w:rPr>
                <w:rStyle w:val="Hyperlink"/>
              </w:rPr>
              <w:t>Tools to record and handle requirements</w:t>
            </w:r>
            <w:r w:rsidR="00933263">
              <w:rPr>
                <w:webHidden/>
              </w:rPr>
              <w:tab/>
            </w:r>
            <w:r w:rsidR="00933263">
              <w:rPr>
                <w:webHidden/>
              </w:rPr>
              <w:fldChar w:fldCharType="begin"/>
            </w:r>
            <w:r w:rsidR="00933263">
              <w:rPr>
                <w:webHidden/>
              </w:rPr>
              <w:instrText xml:space="preserve"> PAGEREF _Toc12371656 \h </w:instrText>
            </w:r>
            <w:r w:rsidR="00933263">
              <w:rPr>
                <w:webHidden/>
              </w:rPr>
            </w:r>
            <w:r w:rsidR="00933263">
              <w:rPr>
                <w:webHidden/>
              </w:rPr>
              <w:fldChar w:fldCharType="separate"/>
            </w:r>
            <w:r w:rsidR="00167EB3">
              <w:rPr>
                <w:webHidden/>
              </w:rPr>
              <w:t>14</w:t>
            </w:r>
            <w:r w:rsidR="00933263">
              <w:rPr>
                <w:webHidden/>
              </w:rPr>
              <w:fldChar w:fldCharType="end"/>
            </w:r>
          </w:hyperlink>
        </w:p>
        <w:p w14:paraId="27666241" w14:textId="4799F861" w:rsidR="00933263" w:rsidRDefault="00E06C0D">
          <w:pPr>
            <w:pStyle w:val="TOC2"/>
            <w:rPr>
              <w:rFonts w:asciiTheme="minorHAnsi" w:eastAsiaTheme="minorEastAsia" w:hAnsiTheme="minorHAnsi"/>
              <w:noProof/>
              <w:color w:val="auto"/>
              <w:spacing w:val="0"/>
              <w:lang w:eastAsia="en-GB"/>
            </w:rPr>
          </w:pPr>
          <w:hyperlink w:anchor="_Toc12371657" w:history="1">
            <w:r w:rsidR="00933263" w:rsidRPr="00FA4A19">
              <w:rPr>
                <w:rStyle w:val="Hyperlink"/>
                <w:noProof/>
              </w:rPr>
              <w:t>4.1</w:t>
            </w:r>
            <w:r w:rsidR="00933263">
              <w:rPr>
                <w:rFonts w:asciiTheme="minorHAnsi" w:eastAsiaTheme="minorEastAsia" w:hAnsiTheme="minorHAnsi"/>
                <w:noProof/>
                <w:color w:val="auto"/>
                <w:spacing w:val="0"/>
                <w:lang w:eastAsia="en-GB"/>
              </w:rPr>
              <w:tab/>
            </w:r>
            <w:r w:rsidR="00933263" w:rsidRPr="00FA4A19">
              <w:rPr>
                <w:rStyle w:val="Hyperlink"/>
                <w:noProof/>
              </w:rPr>
              <w:t>Community Requirements DB</w:t>
            </w:r>
            <w:r w:rsidR="00933263">
              <w:rPr>
                <w:noProof/>
                <w:webHidden/>
              </w:rPr>
              <w:tab/>
            </w:r>
            <w:r w:rsidR="00933263">
              <w:rPr>
                <w:noProof/>
                <w:webHidden/>
              </w:rPr>
              <w:fldChar w:fldCharType="begin"/>
            </w:r>
            <w:r w:rsidR="00933263">
              <w:rPr>
                <w:noProof/>
                <w:webHidden/>
              </w:rPr>
              <w:instrText xml:space="preserve"> PAGEREF _Toc12371657 \h </w:instrText>
            </w:r>
            <w:r w:rsidR="00933263">
              <w:rPr>
                <w:noProof/>
                <w:webHidden/>
              </w:rPr>
            </w:r>
            <w:r w:rsidR="00933263">
              <w:rPr>
                <w:noProof/>
                <w:webHidden/>
              </w:rPr>
              <w:fldChar w:fldCharType="separate"/>
            </w:r>
            <w:r w:rsidR="00167EB3">
              <w:rPr>
                <w:noProof/>
                <w:webHidden/>
              </w:rPr>
              <w:t>14</w:t>
            </w:r>
            <w:r w:rsidR="00933263">
              <w:rPr>
                <w:noProof/>
                <w:webHidden/>
              </w:rPr>
              <w:fldChar w:fldCharType="end"/>
            </w:r>
          </w:hyperlink>
        </w:p>
        <w:p w14:paraId="1DD42265" w14:textId="6FF5A857" w:rsidR="00933263" w:rsidRDefault="00E06C0D">
          <w:pPr>
            <w:pStyle w:val="TOC2"/>
            <w:rPr>
              <w:rFonts w:asciiTheme="minorHAnsi" w:eastAsiaTheme="minorEastAsia" w:hAnsiTheme="minorHAnsi"/>
              <w:noProof/>
              <w:color w:val="auto"/>
              <w:spacing w:val="0"/>
              <w:lang w:eastAsia="en-GB"/>
            </w:rPr>
          </w:pPr>
          <w:hyperlink w:anchor="_Toc12371658" w:history="1">
            <w:r w:rsidR="00933263" w:rsidRPr="00FA4A19">
              <w:rPr>
                <w:rStyle w:val="Hyperlink"/>
                <w:noProof/>
              </w:rPr>
              <w:t>4.2</w:t>
            </w:r>
            <w:r w:rsidR="00933263">
              <w:rPr>
                <w:rFonts w:asciiTheme="minorHAnsi" w:eastAsiaTheme="minorEastAsia" w:hAnsiTheme="minorHAnsi"/>
                <w:noProof/>
                <w:color w:val="auto"/>
                <w:spacing w:val="0"/>
                <w:lang w:eastAsia="en-GB"/>
              </w:rPr>
              <w:tab/>
            </w:r>
            <w:r w:rsidR="00933263" w:rsidRPr="00FA4A19">
              <w:rPr>
                <w:rStyle w:val="Hyperlink"/>
                <w:noProof/>
              </w:rPr>
              <w:t>Activity dashboard</w:t>
            </w:r>
            <w:r w:rsidR="00933263">
              <w:rPr>
                <w:noProof/>
                <w:webHidden/>
              </w:rPr>
              <w:tab/>
            </w:r>
            <w:r w:rsidR="00933263">
              <w:rPr>
                <w:noProof/>
                <w:webHidden/>
              </w:rPr>
              <w:fldChar w:fldCharType="begin"/>
            </w:r>
            <w:r w:rsidR="00933263">
              <w:rPr>
                <w:noProof/>
                <w:webHidden/>
              </w:rPr>
              <w:instrText xml:space="preserve"> PAGEREF _Toc12371658 \h </w:instrText>
            </w:r>
            <w:r w:rsidR="00933263">
              <w:rPr>
                <w:noProof/>
                <w:webHidden/>
              </w:rPr>
            </w:r>
            <w:r w:rsidR="00933263">
              <w:rPr>
                <w:noProof/>
                <w:webHidden/>
              </w:rPr>
              <w:fldChar w:fldCharType="separate"/>
            </w:r>
            <w:r w:rsidR="00167EB3">
              <w:rPr>
                <w:noProof/>
                <w:webHidden/>
              </w:rPr>
              <w:t>14</w:t>
            </w:r>
            <w:r w:rsidR="00933263">
              <w:rPr>
                <w:noProof/>
                <w:webHidden/>
              </w:rPr>
              <w:fldChar w:fldCharType="end"/>
            </w:r>
          </w:hyperlink>
        </w:p>
        <w:p w14:paraId="6E383ACE" w14:textId="6DB7C5C1" w:rsidR="00933263" w:rsidRDefault="00E06C0D">
          <w:pPr>
            <w:pStyle w:val="TOC2"/>
            <w:rPr>
              <w:rFonts w:asciiTheme="minorHAnsi" w:eastAsiaTheme="minorEastAsia" w:hAnsiTheme="minorHAnsi"/>
              <w:noProof/>
              <w:color w:val="auto"/>
              <w:spacing w:val="0"/>
              <w:lang w:eastAsia="en-GB"/>
            </w:rPr>
          </w:pPr>
          <w:hyperlink w:anchor="_Toc12371659" w:history="1">
            <w:r w:rsidR="00933263" w:rsidRPr="00FA4A19">
              <w:rPr>
                <w:rStyle w:val="Hyperlink"/>
                <w:noProof/>
              </w:rPr>
              <w:t>4.3</w:t>
            </w:r>
            <w:r w:rsidR="00933263">
              <w:rPr>
                <w:rFonts w:asciiTheme="minorHAnsi" w:eastAsiaTheme="minorEastAsia" w:hAnsiTheme="minorHAnsi"/>
                <w:noProof/>
                <w:color w:val="auto"/>
                <w:spacing w:val="0"/>
                <w:lang w:eastAsia="en-GB"/>
              </w:rPr>
              <w:tab/>
            </w:r>
            <w:r w:rsidR="00933263" w:rsidRPr="00FA4A19">
              <w:rPr>
                <w:rStyle w:val="Hyperlink"/>
                <w:noProof/>
              </w:rPr>
              <w:t>Handle technical requirements</w:t>
            </w:r>
            <w:r w:rsidR="00933263">
              <w:rPr>
                <w:noProof/>
                <w:webHidden/>
              </w:rPr>
              <w:tab/>
            </w:r>
            <w:r w:rsidR="00933263">
              <w:rPr>
                <w:noProof/>
                <w:webHidden/>
              </w:rPr>
              <w:fldChar w:fldCharType="begin"/>
            </w:r>
            <w:r w:rsidR="00933263">
              <w:rPr>
                <w:noProof/>
                <w:webHidden/>
              </w:rPr>
              <w:instrText xml:space="preserve"> PAGEREF _Toc12371659 \h </w:instrText>
            </w:r>
            <w:r w:rsidR="00933263">
              <w:rPr>
                <w:noProof/>
                <w:webHidden/>
              </w:rPr>
            </w:r>
            <w:r w:rsidR="00933263">
              <w:rPr>
                <w:noProof/>
                <w:webHidden/>
              </w:rPr>
              <w:fldChar w:fldCharType="separate"/>
            </w:r>
            <w:r w:rsidR="00167EB3">
              <w:rPr>
                <w:noProof/>
                <w:webHidden/>
              </w:rPr>
              <w:t>16</w:t>
            </w:r>
            <w:r w:rsidR="00933263">
              <w:rPr>
                <w:noProof/>
                <w:webHidden/>
              </w:rPr>
              <w:fldChar w:fldCharType="end"/>
            </w:r>
          </w:hyperlink>
        </w:p>
        <w:p w14:paraId="7E34E0ED" w14:textId="7D3653B1" w:rsidR="00933263" w:rsidRDefault="00E06C0D">
          <w:pPr>
            <w:pStyle w:val="TOC1"/>
            <w:rPr>
              <w:rFonts w:asciiTheme="minorHAnsi" w:eastAsiaTheme="minorEastAsia" w:hAnsiTheme="minorHAnsi"/>
              <w:color w:val="auto"/>
              <w:spacing w:val="0"/>
              <w:lang w:eastAsia="en-GB"/>
            </w:rPr>
          </w:pPr>
          <w:hyperlink w:anchor="_Toc12371660" w:history="1">
            <w:r w:rsidR="00933263" w:rsidRPr="00FA4A19">
              <w:rPr>
                <w:rStyle w:val="Hyperlink"/>
              </w:rPr>
              <w:t>5</w:t>
            </w:r>
            <w:r w:rsidR="00933263">
              <w:rPr>
                <w:rFonts w:asciiTheme="minorHAnsi" w:eastAsiaTheme="minorEastAsia" w:hAnsiTheme="minorHAnsi"/>
                <w:color w:val="auto"/>
                <w:spacing w:val="0"/>
                <w:lang w:eastAsia="en-GB"/>
              </w:rPr>
              <w:tab/>
            </w:r>
            <w:r w:rsidR="00933263" w:rsidRPr="00FA4A19">
              <w:rPr>
                <w:rStyle w:val="Hyperlink"/>
              </w:rPr>
              <w:t>Procedure to provide technical support</w:t>
            </w:r>
            <w:r w:rsidR="00933263">
              <w:rPr>
                <w:webHidden/>
              </w:rPr>
              <w:tab/>
            </w:r>
            <w:r w:rsidR="00933263">
              <w:rPr>
                <w:webHidden/>
              </w:rPr>
              <w:fldChar w:fldCharType="begin"/>
            </w:r>
            <w:r w:rsidR="00933263">
              <w:rPr>
                <w:webHidden/>
              </w:rPr>
              <w:instrText xml:space="preserve"> PAGEREF _Toc12371660 \h </w:instrText>
            </w:r>
            <w:r w:rsidR="00933263">
              <w:rPr>
                <w:webHidden/>
              </w:rPr>
            </w:r>
            <w:r w:rsidR="00933263">
              <w:rPr>
                <w:webHidden/>
              </w:rPr>
              <w:fldChar w:fldCharType="separate"/>
            </w:r>
            <w:r w:rsidR="00167EB3">
              <w:rPr>
                <w:webHidden/>
              </w:rPr>
              <w:t>17</w:t>
            </w:r>
            <w:r w:rsidR="00933263">
              <w:rPr>
                <w:webHidden/>
              </w:rPr>
              <w:fldChar w:fldCharType="end"/>
            </w:r>
          </w:hyperlink>
        </w:p>
        <w:p w14:paraId="4DA5DA1C" w14:textId="2DE3A479" w:rsidR="00933263" w:rsidRDefault="00E06C0D">
          <w:pPr>
            <w:pStyle w:val="TOC1"/>
            <w:rPr>
              <w:rFonts w:asciiTheme="minorHAnsi" w:eastAsiaTheme="minorEastAsia" w:hAnsiTheme="minorHAnsi"/>
              <w:color w:val="auto"/>
              <w:spacing w:val="0"/>
              <w:lang w:eastAsia="en-GB"/>
            </w:rPr>
          </w:pPr>
          <w:hyperlink w:anchor="_Toc12371661" w:history="1">
            <w:r w:rsidR="00933263" w:rsidRPr="00FA4A19">
              <w:rPr>
                <w:rStyle w:val="Hyperlink"/>
              </w:rPr>
              <w:t>6</w:t>
            </w:r>
            <w:r w:rsidR="00933263">
              <w:rPr>
                <w:rFonts w:asciiTheme="minorHAnsi" w:eastAsiaTheme="minorEastAsia" w:hAnsiTheme="minorHAnsi"/>
                <w:color w:val="auto"/>
                <w:spacing w:val="0"/>
                <w:lang w:eastAsia="en-GB"/>
              </w:rPr>
              <w:tab/>
            </w:r>
            <w:r w:rsidR="00933263" w:rsidRPr="00FA4A19">
              <w:rPr>
                <w:rStyle w:val="Hyperlink"/>
              </w:rPr>
              <w:t>Use case analysis</w:t>
            </w:r>
            <w:r w:rsidR="00933263">
              <w:rPr>
                <w:webHidden/>
              </w:rPr>
              <w:tab/>
            </w:r>
            <w:r w:rsidR="00933263">
              <w:rPr>
                <w:webHidden/>
              </w:rPr>
              <w:fldChar w:fldCharType="begin"/>
            </w:r>
            <w:r w:rsidR="00933263">
              <w:rPr>
                <w:webHidden/>
              </w:rPr>
              <w:instrText xml:space="preserve"> PAGEREF _Toc12371661 \h </w:instrText>
            </w:r>
            <w:r w:rsidR="00933263">
              <w:rPr>
                <w:webHidden/>
              </w:rPr>
            </w:r>
            <w:r w:rsidR="00933263">
              <w:rPr>
                <w:webHidden/>
              </w:rPr>
              <w:fldChar w:fldCharType="separate"/>
            </w:r>
            <w:r w:rsidR="00167EB3">
              <w:rPr>
                <w:webHidden/>
              </w:rPr>
              <w:t>19</w:t>
            </w:r>
            <w:r w:rsidR="00933263">
              <w:rPr>
                <w:webHidden/>
              </w:rPr>
              <w:fldChar w:fldCharType="end"/>
            </w:r>
          </w:hyperlink>
        </w:p>
        <w:p w14:paraId="6EAD414E" w14:textId="7E9EA365" w:rsidR="00933263" w:rsidRDefault="00E06C0D">
          <w:pPr>
            <w:pStyle w:val="TOC1"/>
            <w:rPr>
              <w:rFonts w:asciiTheme="minorHAnsi" w:eastAsiaTheme="minorEastAsia" w:hAnsiTheme="minorHAnsi"/>
              <w:color w:val="auto"/>
              <w:spacing w:val="0"/>
              <w:lang w:eastAsia="en-GB"/>
            </w:rPr>
          </w:pPr>
          <w:hyperlink w:anchor="_Toc12371662" w:history="1">
            <w:r w:rsidR="00933263" w:rsidRPr="00FA4A19">
              <w:rPr>
                <w:rStyle w:val="Hyperlink"/>
              </w:rPr>
              <w:t>7</w:t>
            </w:r>
            <w:r w:rsidR="00933263">
              <w:rPr>
                <w:rFonts w:asciiTheme="minorHAnsi" w:eastAsiaTheme="minorEastAsia" w:hAnsiTheme="minorHAnsi"/>
                <w:color w:val="auto"/>
                <w:spacing w:val="0"/>
                <w:lang w:eastAsia="en-GB"/>
              </w:rPr>
              <w:tab/>
            </w:r>
            <w:r w:rsidR="00933263" w:rsidRPr="00FA4A19">
              <w:rPr>
                <w:rStyle w:val="Hyperlink"/>
              </w:rPr>
              <w:t>Sample use cases</w:t>
            </w:r>
            <w:r w:rsidR="00933263">
              <w:rPr>
                <w:webHidden/>
              </w:rPr>
              <w:tab/>
            </w:r>
            <w:r w:rsidR="00933263">
              <w:rPr>
                <w:webHidden/>
              </w:rPr>
              <w:fldChar w:fldCharType="begin"/>
            </w:r>
            <w:r w:rsidR="00933263">
              <w:rPr>
                <w:webHidden/>
              </w:rPr>
              <w:instrText xml:space="preserve"> PAGEREF _Toc12371662 \h </w:instrText>
            </w:r>
            <w:r w:rsidR="00933263">
              <w:rPr>
                <w:webHidden/>
              </w:rPr>
            </w:r>
            <w:r w:rsidR="00933263">
              <w:rPr>
                <w:webHidden/>
              </w:rPr>
              <w:fldChar w:fldCharType="separate"/>
            </w:r>
            <w:r w:rsidR="00167EB3">
              <w:rPr>
                <w:webHidden/>
              </w:rPr>
              <w:t>22</w:t>
            </w:r>
            <w:r w:rsidR="00933263">
              <w:rPr>
                <w:webHidden/>
              </w:rPr>
              <w:fldChar w:fldCharType="end"/>
            </w:r>
          </w:hyperlink>
        </w:p>
        <w:p w14:paraId="07AF4513" w14:textId="47A054A1" w:rsidR="00933263" w:rsidRDefault="00E06C0D">
          <w:pPr>
            <w:pStyle w:val="TOC2"/>
            <w:rPr>
              <w:rFonts w:asciiTheme="minorHAnsi" w:eastAsiaTheme="minorEastAsia" w:hAnsiTheme="minorHAnsi"/>
              <w:noProof/>
              <w:color w:val="auto"/>
              <w:spacing w:val="0"/>
              <w:lang w:eastAsia="en-GB"/>
            </w:rPr>
          </w:pPr>
          <w:hyperlink w:anchor="_Toc12371663" w:history="1">
            <w:r w:rsidR="00933263" w:rsidRPr="00FA4A19">
              <w:rPr>
                <w:rStyle w:val="Hyperlink"/>
                <w:noProof/>
              </w:rPr>
              <w:t>7.1</w:t>
            </w:r>
            <w:r w:rsidR="00933263">
              <w:rPr>
                <w:rFonts w:asciiTheme="minorHAnsi" w:eastAsiaTheme="minorEastAsia" w:hAnsiTheme="minorHAnsi"/>
                <w:noProof/>
                <w:color w:val="auto"/>
                <w:spacing w:val="0"/>
                <w:lang w:eastAsia="en-GB"/>
              </w:rPr>
              <w:tab/>
            </w:r>
            <w:r w:rsidR="00933263" w:rsidRPr="00FA4A19">
              <w:rPr>
                <w:rStyle w:val="Hyperlink"/>
                <w:noProof/>
              </w:rPr>
              <w:t>Dynamic On Demand Analysis Service (DODAS) Thematic Service</w:t>
            </w:r>
            <w:r w:rsidR="00933263">
              <w:rPr>
                <w:noProof/>
                <w:webHidden/>
              </w:rPr>
              <w:tab/>
            </w:r>
            <w:r w:rsidR="00933263">
              <w:rPr>
                <w:noProof/>
                <w:webHidden/>
              </w:rPr>
              <w:fldChar w:fldCharType="begin"/>
            </w:r>
            <w:r w:rsidR="00933263">
              <w:rPr>
                <w:noProof/>
                <w:webHidden/>
              </w:rPr>
              <w:instrText xml:space="preserve"> PAGEREF _Toc12371663 \h </w:instrText>
            </w:r>
            <w:r w:rsidR="00933263">
              <w:rPr>
                <w:noProof/>
                <w:webHidden/>
              </w:rPr>
            </w:r>
            <w:r w:rsidR="00933263">
              <w:rPr>
                <w:noProof/>
                <w:webHidden/>
              </w:rPr>
              <w:fldChar w:fldCharType="separate"/>
            </w:r>
            <w:r w:rsidR="00167EB3">
              <w:rPr>
                <w:noProof/>
                <w:webHidden/>
              </w:rPr>
              <w:t>22</w:t>
            </w:r>
            <w:r w:rsidR="00933263">
              <w:rPr>
                <w:noProof/>
                <w:webHidden/>
              </w:rPr>
              <w:fldChar w:fldCharType="end"/>
            </w:r>
          </w:hyperlink>
        </w:p>
        <w:p w14:paraId="69F9A791" w14:textId="3D47BA24" w:rsidR="00933263" w:rsidRDefault="00E06C0D">
          <w:pPr>
            <w:pStyle w:val="TOC2"/>
            <w:rPr>
              <w:rFonts w:asciiTheme="minorHAnsi" w:eastAsiaTheme="minorEastAsia" w:hAnsiTheme="minorHAnsi"/>
              <w:noProof/>
              <w:color w:val="auto"/>
              <w:spacing w:val="0"/>
              <w:lang w:eastAsia="en-GB"/>
            </w:rPr>
          </w:pPr>
          <w:hyperlink w:anchor="_Toc12371664" w:history="1">
            <w:r w:rsidR="00933263" w:rsidRPr="00FA4A19">
              <w:rPr>
                <w:rStyle w:val="Hyperlink"/>
                <w:noProof/>
              </w:rPr>
              <w:t>7.2</w:t>
            </w:r>
            <w:r w:rsidR="00933263">
              <w:rPr>
                <w:rFonts w:asciiTheme="minorHAnsi" w:eastAsiaTheme="minorEastAsia" w:hAnsiTheme="minorHAnsi"/>
                <w:noProof/>
                <w:color w:val="auto"/>
                <w:spacing w:val="0"/>
                <w:lang w:eastAsia="en-GB"/>
              </w:rPr>
              <w:tab/>
            </w:r>
            <w:r w:rsidR="00933263" w:rsidRPr="00FA4A19">
              <w:rPr>
                <w:rStyle w:val="Hyperlink"/>
                <w:noProof/>
              </w:rPr>
              <w:t>ELIXIR Competence Center</w:t>
            </w:r>
            <w:r w:rsidR="00933263">
              <w:rPr>
                <w:noProof/>
                <w:webHidden/>
              </w:rPr>
              <w:tab/>
            </w:r>
            <w:r w:rsidR="00933263">
              <w:rPr>
                <w:noProof/>
                <w:webHidden/>
              </w:rPr>
              <w:fldChar w:fldCharType="begin"/>
            </w:r>
            <w:r w:rsidR="00933263">
              <w:rPr>
                <w:noProof/>
                <w:webHidden/>
              </w:rPr>
              <w:instrText xml:space="preserve"> PAGEREF _Toc12371664 \h </w:instrText>
            </w:r>
            <w:r w:rsidR="00933263">
              <w:rPr>
                <w:noProof/>
                <w:webHidden/>
              </w:rPr>
            </w:r>
            <w:r w:rsidR="00933263">
              <w:rPr>
                <w:noProof/>
                <w:webHidden/>
              </w:rPr>
              <w:fldChar w:fldCharType="separate"/>
            </w:r>
            <w:r w:rsidR="00167EB3">
              <w:rPr>
                <w:noProof/>
                <w:webHidden/>
              </w:rPr>
              <w:t>25</w:t>
            </w:r>
            <w:r w:rsidR="00933263">
              <w:rPr>
                <w:noProof/>
                <w:webHidden/>
              </w:rPr>
              <w:fldChar w:fldCharType="end"/>
            </w:r>
          </w:hyperlink>
        </w:p>
        <w:p w14:paraId="299E5253" w14:textId="7F9BC289" w:rsidR="00933263" w:rsidRDefault="00E06C0D">
          <w:pPr>
            <w:pStyle w:val="TOC2"/>
            <w:rPr>
              <w:rFonts w:asciiTheme="minorHAnsi" w:eastAsiaTheme="minorEastAsia" w:hAnsiTheme="minorHAnsi"/>
              <w:noProof/>
              <w:color w:val="auto"/>
              <w:spacing w:val="0"/>
              <w:lang w:eastAsia="en-GB"/>
            </w:rPr>
          </w:pPr>
          <w:hyperlink w:anchor="_Toc12371665" w:history="1">
            <w:r w:rsidR="00933263" w:rsidRPr="00FA4A19">
              <w:rPr>
                <w:rStyle w:val="Hyperlink"/>
                <w:noProof/>
              </w:rPr>
              <w:t>7.3</w:t>
            </w:r>
            <w:r w:rsidR="00933263">
              <w:rPr>
                <w:rFonts w:asciiTheme="minorHAnsi" w:eastAsiaTheme="minorEastAsia" w:hAnsiTheme="minorHAnsi"/>
                <w:noProof/>
                <w:color w:val="auto"/>
                <w:spacing w:val="0"/>
                <w:lang w:eastAsia="en-GB"/>
              </w:rPr>
              <w:tab/>
            </w:r>
            <w:r w:rsidR="00933263" w:rsidRPr="00FA4A19">
              <w:rPr>
                <w:rStyle w:val="Hyperlink"/>
                <w:noProof/>
              </w:rPr>
              <w:t>OPENCoastS Thematic Service</w:t>
            </w:r>
            <w:r w:rsidR="00933263">
              <w:rPr>
                <w:noProof/>
                <w:webHidden/>
              </w:rPr>
              <w:tab/>
            </w:r>
            <w:r w:rsidR="00933263">
              <w:rPr>
                <w:noProof/>
                <w:webHidden/>
              </w:rPr>
              <w:fldChar w:fldCharType="begin"/>
            </w:r>
            <w:r w:rsidR="00933263">
              <w:rPr>
                <w:noProof/>
                <w:webHidden/>
              </w:rPr>
              <w:instrText xml:space="preserve"> PAGEREF _Toc12371665 \h </w:instrText>
            </w:r>
            <w:r w:rsidR="00933263">
              <w:rPr>
                <w:noProof/>
                <w:webHidden/>
              </w:rPr>
            </w:r>
            <w:r w:rsidR="00933263">
              <w:rPr>
                <w:noProof/>
                <w:webHidden/>
              </w:rPr>
              <w:fldChar w:fldCharType="separate"/>
            </w:r>
            <w:r w:rsidR="00167EB3">
              <w:rPr>
                <w:noProof/>
                <w:webHidden/>
              </w:rPr>
              <w:t>28</w:t>
            </w:r>
            <w:r w:rsidR="00933263">
              <w:rPr>
                <w:noProof/>
                <w:webHidden/>
              </w:rPr>
              <w:fldChar w:fldCharType="end"/>
            </w:r>
          </w:hyperlink>
        </w:p>
        <w:p w14:paraId="541AB38B" w14:textId="0CACF8FD" w:rsidR="00A30A98" w:rsidRPr="00562F67" w:rsidRDefault="00247395" w:rsidP="00A30A98">
          <w:r w:rsidRPr="00562F67">
            <w:rPr>
              <w:noProof/>
              <w:color w:val="1C3046"/>
            </w:rPr>
            <w:fldChar w:fldCharType="end"/>
          </w:r>
        </w:p>
      </w:sdtContent>
    </w:sdt>
    <w:p w14:paraId="1F66BABB" w14:textId="77777777" w:rsidR="00A30A98" w:rsidRPr="00562F67" w:rsidRDefault="00A30A98" w:rsidP="00A30A98"/>
    <w:p w14:paraId="43166C9A" w14:textId="77777777" w:rsidR="00A30A98" w:rsidRPr="00562F67" w:rsidRDefault="00A30A98" w:rsidP="00A30A98"/>
    <w:p w14:paraId="4E513386" w14:textId="77777777" w:rsidR="00A30A98" w:rsidRPr="00562F67" w:rsidRDefault="00A30A98" w:rsidP="00A30A98"/>
    <w:p w14:paraId="1C3284E2" w14:textId="77777777" w:rsidR="00A30A98" w:rsidRPr="00562F67" w:rsidRDefault="00A30A98" w:rsidP="00A30A98">
      <w:r w:rsidRPr="00562F67">
        <w:br w:type="page"/>
      </w:r>
    </w:p>
    <w:p w14:paraId="5920867A" w14:textId="4750A44B" w:rsidR="00247395" w:rsidRPr="00562F67" w:rsidRDefault="00247395" w:rsidP="006C5298">
      <w:pPr>
        <w:pStyle w:val="ExecutiveSummary"/>
      </w:pPr>
      <w:bookmarkStart w:id="2" w:name="_Hlk515956646"/>
      <w:r w:rsidRPr="00562F67">
        <w:lastRenderedPageBreak/>
        <w:t xml:space="preserve">Executive summary </w:t>
      </w:r>
    </w:p>
    <w:p w14:paraId="5283AB96" w14:textId="2736251D" w:rsidR="008A7923" w:rsidRPr="00562F67" w:rsidRDefault="00F52823" w:rsidP="00F52823">
      <w:pPr>
        <w:spacing w:after="200"/>
      </w:pPr>
      <w:r w:rsidRPr="00562F67">
        <w:t xml:space="preserve">One of the main goals of the Technical Coordination </w:t>
      </w:r>
      <w:r w:rsidR="008A7923" w:rsidRPr="00562F67">
        <w:t xml:space="preserve">Work Package </w:t>
      </w:r>
      <w:r w:rsidRPr="00562F67">
        <w:t>(WP10) in the EOSC-hub project is to play a supportive role to the participant</w:t>
      </w:r>
      <w:r w:rsidR="008A7923" w:rsidRPr="00562F67">
        <w:t>s</w:t>
      </w:r>
      <w:r w:rsidRPr="00562F67">
        <w:t xml:space="preserve"> (thematic services, competence </w:t>
      </w:r>
      <w:r w:rsidR="00DE6805" w:rsidRPr="00562F67">
        <w:t>centres</w:t>
      </w:r>
      <w:r w:rsidR="008A7923" w:rsidRPr="00562F67">
        <w:t xml:space="preserve"> and </w:t>
      </w:r>
      <w:r w:rsidRPr="00562F67">
        <w:t xml:space="preserve">business </w:t>
      </w:r>
      <w:r w:rsidR="008A7923" w:rsidRPr="00562F67">
        <w:t>pilots</w:t>
      </w:r>
      <w:r w:rsidRPr="00562F67">
        <w:t>) and external user communities</w:t>
      </w:r>
      <w:r w:rsidR="00A841A6" w:rsidRPr="00562F67">
        <w:t xml:space="preserve"> (not directly involved in the project but engaged through other channels, e.g. the EOSC Portal)</w:t>
      </w:r>
      <w:r w:rsidRPr="00562F67">
        <w:t xml:space="preserve"> in the integration of their services into the Hub. In order to</w:t>
      </w:r>
      <w:r w:rsidR="008A7923" w:rsidRPr="00562F67">
        <w:t xml:space="preserve"> </w:t>
      </w:r>
      <w:r w:rsidR="008A7923" w:rsidRPr="00562F67">
        <w:rPr>
          <w:rFonts w:cs="Open Sans"/>
        </w:rPr>
        <w:t>better structure and</w:t>
      </w:r>
      <w:r w:rsidRPr="00562F67">
        <w:t xml:space="preserve"> consolidate this support, WP10 has defined and is currently operating procedures to elicit, assess and track the technical requirements of such communities</w:t>
      </w:r>
      <w:r w:rsidR="00337C0A" w:rsidRPr="00562F67">
        <w:t xml:space="preserve"> and, consequently, provide adequate </w:t>
      </w:r>
      <w:r w:rsidR="0016272F" w:rsidRPr="00562F67">
        <w:t>assistance to the user communities to adopt the service of the Hub</w:t>
      </w:r>
      <w:r w:rsidR="00337C0A" w:rsidRPr="00562F67">
        <w:t>.</w:t>
      </w:r>
      <w:r w:rsidR="0015014E" w:rsidRPr="00562F67">
        <w:t xml:space="preserve"> </w:t>
      </w:r>
      <w:r w:rsidR="00D91967" w:rsidRPr="00562F67">
        <w:t xml:space="preserve">The procedure </w:t>
      </w:r>
      <w:r w:rsidR="008A7923" w:rsidRPr="00562F67">
        <w:t xml:space="preserve">described in this document </w:t>
      </w:r>
      <w:r w:rsidR="00D91967" w:rsidRPr="00562F67">
        <w:t>cover also the case</w:t>
      </w:r>
      <w:r w:rsidR="00A473D1" w:rsidRPr="00562F67">
        <w:t>s</w:t>
      </w:r>
      <w:r w:rsidR="00D91967" w:rsidRPr="00562F67">
        <w:t xml:space="preserve"> when </w:t>
      </w:r>
      <w:r w:rsidR="00A473D1" w:rsidRPr="00562F67">
        <w:t>gaps (</w:t>
      </w:r>
      <w:r w:rsidR="008A7923" w:rsidRPr="00562F67">
        <w:t xml:space="preserve">e.g. </w:t>
      </w:r>
      <w:r w:rsidR="00A473D1" w:rsidRPr="00562F67">
        <w:t>lacking one or more features) have been identified in the EOSC-hub service offer</w:t>
      </w:r>
      <w:r w:rsidR="008A7923" w:rsidRPr="00562F67">
        <w:t xml:space="preserve"> </w:t>
      </w:r>
      <w:r w:rsidR="008A7923" w:rsidRPr="00562F67">
        <w:rPr>
          <w:rFonts w:cs="Open Sans"/>
        </w:rPr>
        <w:t>and, eventually,</w:t>
      </w:r>
      <w:r w:rsidR="00A473D1" w:rsidRPr="00562F67">
        <w:t xml:space="preserve"> after the analysis of a use case</w:t>
      </w:r>
      <w:r w:rsidR="008A7923" w:rsidRPr="00562F67">
        <w:t>,</w:t>
      </w:r>
      <w:r w:rsidR="00A473D1" w:rsidRPr="00562F67">
        <w:t xml:space="preserve"> triggering other project activities that will take care of extending the offer accordingly.</w:t>
      </w:r>
    </w:p>
    <w:p w14:paraId="06D577B9" w14:textId="3376109F" w:rsidR="00570AE8" w:rsidRPr="00562F67" w:rsidRDefault="00A473D1" w:rsidP="00337C0A">
      <w:r w:rsidRPr="00562F67">
        <w:t xml:space="preserve">The </w:t>
      </w:r>
      <w:r w:rsidR="0015014E" w:rsidRPr="00562F67">
        <w:t>T10.3</w:t>
      </w:r>
      <w:r w:rsidR="00337C0A" w:rsidRPr="00562F67">
        <w:t xml:space="preserve"> procedures</w:t>
      </w:r>
      <w:r w:rsidR="0015014E" w:rsidRPr="00562F67">
        <w:t xml:space="preserve"> to support customers</w:t>
      </w:r>
      <w:r w:rsidR="00337C0A" w:rsidRPr="00562F67">
        <w:t xml:space="preserve"> have </w:t>
      </w:r>
      <w:r w:rsidRPr="00562F67">
        <w:t>well-</w:t>
      </w:r>
      <w:r w:rsidR="00337C0A" w:rsidRPr="00562F67">
        <w:t>defined interfaces towards other project activities and processes of the EOSC Service Management System (SMS)</w:t>
      </w:r>
      <w:r w:rsidR="00497064" w:rsidRPr="00562F67">
        <w:t xml:space="preserve">. These </w:t>
      </w:r>
      <w:r w:rsidR="004002D6" w:rsidRPr="00562F67">
        <w:t xml:space="preserve">interfaces </w:t>
      </w:r>
      <w:r w:rsidR="00497064" w:rsidRPr="00562F67">
        <w:t>are shortly described below:</w:t>
      </w:r>
    </w:p>
    <w:p w14:paraId="4005C96D" w14:textId="0AD78B69" w:rsidR="00337C0A" w:rsidRPr="00562F67" w:rsidRDefault="0015014E" w:rsidP="00570AE8">
      <w:pPr>
        <w:pStyle w:val="ListParagraph"/>
        <w:numPr>
          <w:ilvl w:val="0"/>
          <w:numId w:val="31"/>
        </w:numPr>
      </w:pPr>
      <w:r w:rsidRPr="00562F67">
        <w:t xml:space="preserve">Interface towards the </w:t>
      </w:r>
      <w:r w:rsidR="00C57178" w:rsidRPr="00562F67">
        <w:rPr>
          <w:i/>
        </w:rPr>
        <w:t>Service Order and Customer Relationship Management</w:t>
      </w:r>
      <w:r w:rsidR="00C57178" w:rsidRPr="00562F67">
        <w:t xml:space="preserve"> (</w:t>
      </w:r>
      <w:r w:rsidR="00570AE8" w:rsidRPr="00562F67">
        <w:t>SOCRM</w:t>
      </w:r>
      <w:r w:rsidR="00C57178" w:rsidRPr="00562F67">
        <w:t>)</w:t>
      </w:r>
      <w:r w:rsidR="00570AE8" w:rsidRPr="00562F67">
        <w:t xml:space="preserve"> process (T4.2) and WP7 (Thematic services), WP8 (Competence </w:t>
      </w:r>
      <w:r w:rsidR="007629EC" w:rsidRPr="00562F67">
        <w:t>Centres</w:t>
      </w:r>
      <w:r w:rsidR="00570AE8" w:rsidRPr="00562F67">
        <w:t>), WP9 (Business pilots) to receive new use cases and technical requirements.</w:t>
      </w:r>
    </w:p>
    <w:p w14:paraId="33EADFE9" w14:textId="147132AB" w:rsidR="00570AE8" w:rsidRPr="00562F67" w:rsidRDefault="0015014E" w:rsidP="00570AE8">
      <w:pPr>
        <w:pStyle w:val="ListParagraph"/>
        <w:numPr>
          <w:ilvl w:val="0"/>
          <w:numId w:val="31"/>
        </w:numPr>
      </w:pPr>
      <w:r w:rsidRPr="00562F67">
        <w:t xml:space="preserve">Interface towards </w:t>
      </w:r>
      <w:r w:rsidR="00C57178" w:rsidRPr="00562F67">
        <w:rPr>
          <w:i/>
        </w:rPr>
        <w:t>Service Portfolio Management</w:t>
      </w:r>
      <w:r w:rsidR="00C57178" w:rsidRPr="00562F67">
        <w:t xml:space="preserve"> (</w:t>
      </w:r>
      <w:r w:rsidR="00570AE8" w:rsidRPr="00562F67">
        <w:t>SPM</w:t>
      </w:r>
      <w:r w:rsidR="00C57178" w:rsidRPr="00562F67">
        <w:t>)</w:t>
      </w:r>
      <w:r w:rsidR="00570AE8" w:rsidRPr="00562F67">
        <w:t xml:space="preserve"> process (T2.2), T10.1 </w:t>
      </w:r>
      <w:r w:rsidR="00570AE8" w:rsidRPr="00562F67">
        <w:rPr>
          <w:i/>
        </w:rPr>
        <w:t>Technical Roadmap</w:t>
      </w:r>
      <w:r w:rsidR="00570AE8" w:rsidRPr="00562F67">
        <w:t xml:space="preserve"> and T10.2 </w:t>
      </w:r>
      <w:r w:rsidR="00570AE8" w:rsidRPr="00562F67">
        <w:rPr>
          <w:i/>
        </w:rPr>
        <w:t>Service Catalogue Technical Evolution</w:t>
      </w:r>
      <w:r w:rsidR="00570AE8" w:rsidRPr="00562F67">
        <w:t xml:space="preserve"> to extend the service offer of the Hub when gaps</w:t>
      </w:r>
      <w:r w:rsidR="00961416" w:rsidRPr="00562F67">
        <w:t xml:space="preserve"> </w:t>
      </w:r>
      <w:r w:rsidR="00570AE8" w:rsidRPr="00562F67">
        <w:t>have been identified after the analysis of a use case.</w:t>
      </w:r>
      <w:r w:rsidR="0016272F" w:rsidRPr="00562F67">
        <w:t xml:space="preserve"> This extension can be achieved either enhancing services already available in the </w:t>
      </w:r>
      <w:r w:rsidR="00B61D40" w:rsidRPr="00562F67">
        <w:t xml:space="preserve">service </w:t>
      </w:r>
      <w:r w:rsidR="0016272F" w:rsidRPr="00562F67">
        <w:t>catalogue or enriching the catalogue with new services</w:t>
      </w:r>
      <w:r w:rsidR="008740F6" w:rsidRPr="00562F67">
        <w:t>.</w:t>
      </w:r>
    </w:p>
    <w:p w14:paraId="4351DAA5" w14:textId="7DEB0032" w:rsidR="00570AE8" w:rsidRPr="00562F67" w:rsidRDefault="0015014E" w:rsidP="00570AE8">
      <w:pPr>
        <w:pStyle w:val="ListParagraph"/>
        <w:numPr>
          <w:ilvl w:val="0"/>
          <w:numId w:val="31"/>
        </w:numPr>
      </w:pPr>
      <w:r w:rsidRPr="00562F67">
        <w:t xml:space="preserve">Interface towards the </w:t>
      </w:r>
      <w:r w:rsidRPr="00562F67">
        <w:rPr>
          <w:i/>
        </w:rPr>
        <w:t>Change Management</w:t>
      </w:r>
      <w:r w:rsidRPr="00562F67">
        <w:t xml:space="preserve"> (</w:t>
      </w:r>
      <w:r w:rsidR="00961416" w:rsidRPr="00562F67">
        <w:t>CHM</w:t>
      </w:r>
      <w:r w:rsidRPr="00562F67">
        <w:t>)</w:t>
      </w:r>
      <w:r w:rsidR="00961416" w:rsidRPr="00562F67">
        <w:t xml:space="preserve"> and </w:t>
      </w:r>
      <w:r w:rsidRPr="00562F67">
        <w:rPr>
          <w:i/>
        </w:rPr>
        <w:t xml:space="preserve">Release and Deploy Management </w:t>
      </w:r>
      <w:r w:rsidRPr="00562F67">
        <w:t>(</w:t>
      </w:r>
      <w:r w:rsidR="00961416" w:rsidRPr="00562F67">
        <w:t>RDM</w:t>
      </w:r>
      <w:r w:rsidRPr="00562F67">
        <w:t>)</w:t>
      </w:r>
      <w:r w:rsidR="00961416" w:rsidRPr="00562F67">
        <w:t xml:space="preserve"> processes</w:t>
      </w:r>
      <w:r w:rsidR="0016272F" w:rsidRPr="00562F67">
        <w:t xml:space="preserve"> (T4.6)</w:t>
      </w:r>
      <w:r w:rsidR="00961416" w:rsidRPr="00562F67">
        <w:t xml:space="preserve"> to implement changes on the services to satisfy customer requirements.</w:t>
      </w:r>
    </w:p>
    <w:p w14:paraId="4D289C73" w14:textId="3505C719" w:rsidR="0016272F" w:rsidRPr="00562F67" w:rsidRDefault="0016272F" w:rsidP="0016272F">
      <w:r w:rsidRPr="00562F67">
        <w:t xml:space="preserve">When a new request from a user community is identified, through one of the above mentioned </w:t>
      </w:r>
      <w:r w:rsidR="008A7923" w:rsidRPr="00562F67">
        <w:t>interfaces</w:t>
      </w:r>
      <w:r w:rsidRPr="00562F67">
        <w:t xml:space="preserve">, T10.3 starts a process to gather technical requirements inspired in an agile software development top-down approach where, starting from the high-level </w:t>
      </w:r>
      <w:r w:rsidRPr="00562F67">
        <w:rPr>
          <w:i/>
        </w:rPr>
        <w:t>user stories</w:t>
      </w:r>
      <w:r w:rsidRPr="00562F67">
        <w:t xml:space="preserve">,  </w:t>
      </w:r>
      <w:r w:rsidRPr="00562F67">
        <w:rPr>
          <w:i/>
        </w:rPr>
        <w:t>use cases</w:t>
      </w:r>
      <w:r w:rsidRPr="00562F67">
        <w:t xml:space="preserve"> are defined and linked to the </w:t>
      </w:r>
      <w:r w:rsidRPr="00562F67">
        <w:rPr>
          <w:i/>
        </w:rPr>
        <w:t>technical requirements</w:t>
      </w:r>
      <w:r w:rsidRPr="00562F67">
        <w:t xml:space="preserve"> that derive from them. This information is stored in the Community Requirements DB</w:t>
      </w:r>
      <w:r w:rsidR="008A7923" w:rsidRPr="00562F67">
        <w:rPr>
          <w:rStyle w:val="FootnoteReference"/>
        </w:rPr>
        <w:footnoteReference w:id="1"/>
      </w:r>
      <w:r w:rsidRPr="00562F67">
        <w:t xml:space="preserve"> and permanently reviewed by the technical support team in collaboration with the community stakeholders. Once the requirements are eligible for a deeper technical assessment, T10.3 creates an associated, one-to-one, issue in the Activity dashboard in JIRA</w:t>
      </w:r>
      <w:r w:rsidR="008A7923" w:rsidRPr="00562F67">
        <w:rPr>
          <w:rStyle w:val="FootnoteReference"/>
        </w:rPr>
        <w:footnoteReference w:id="2"/>
      </w:r>
      <w:r w:rsidRPr="00562F67">
        <w:t>.</w:t>
      </w:r>
    </w:p>
    <w:p w14:paraId="2A106440" w14:textId="45639B53" w:rsidR="00B029E5" w:rsidRPr="00562F67" w:rsidRDefault="00C57178" w:rsidP="00564D14">
      <w:r w:rsidRPr="00562F67">
        <w:lastRenderedPageBreak/>
        <w:t xml:space="preserve">All the </w:t>
      </w:r>
      <w:r w:rsidR="00497064" w:rsidRPr="00562F67">
        <w:t xml:space="preserve">defined </w:t>
      </w:r>
      <w:r w:rsidRPr="00562F67">
        <w:t xml:space="preserve">steps </w:t>
      </w:r>
      <w:r w:rsidR="00A841A6" w:rsidRPr="00562F67">
        <w:t>to provide technical support</w:t>
      </w:r>
      <w:r w:rsidR="003E389E" w:rsidRPr="00562F67">
        <w:t>,</w:t>
      </w:r>
      <w:r w:rsidR="00A841A6" w:rsidRPr="00562F67">
        <w:t xml:space="preserve"> and the related interfaces</w:t>
      </w:r>
      <w:r w:rsidR="00497064" w:rsidRPr="00562F67">
        <w:t xml:space="preserve"> towards processes and project activities</w:t>
      </w:r>
      <w:r w:rsidR="003E389E" w:rsidRPr="00562F67">
        <w:t>,</w:t>
      </w:r>
      <w:r w:rsidRPr="00562F67">
        <w:t xml:space="preserve"> have been embedded in a procedure (SOCRM-04</w:t>
      </w:r>
      <w:r w:rsidR="008A7923" w:rsidRPr="00562F67">
        <w:rPr>
          <w:rStyle w:val="FootnoteReference"/>
        </w:rPr>
        <w:footnoteReference w:id="3"/>
      </w:r>
      <w:r w:rsidRPr="00562F67">
        <w:t>) of the SOCRM process</w:t>
      </w:r>
      <w:r w:rsidR="008A7923" w:rsidRPr="00562F67">
        <w:rPr>
          <w:rStyle w:val="FootnoteReference"/>
        </w:rPr>
        <w:footnoteReference w:id="4"/>
      </w:r>
      <w:r w:rsidRPr="00562F67">
        <w:t xml:space="preserve"> of the EOSC SMS</w:t>
      </w:r>
      <w:r w:rsidR="001D428D" w:rsidRPr="00562F67">
        <w:t xml:space="preserve"> with the aim to</w:t>
      </w:r>
      <w:r w:rsidR="00B029E5" w:rsidRPr="00562F67">
        <w:t>:</w:t>
      </w:r>
    </w:p>
    <w:p w14:paraId="629D002E" w14:textId="39B3E51F" w:rsidR="00B029E5" w:rsidRPr="00562F67" w:rsidRDefault="001D428D" w:rsidP="003410C6">
      <w:pPr>
        <w:pStyle w:val="ListParagraph"/>
        <w:numPr>
          <w:ilvl w:val="0"/>
          <w:numId w:val="32"/>
        </w:numPr>
      </w:pPr>
      <w:r w:rsidRPr="00562F67">
        <w:t xml:space="preserve"> create </w:t>
      </w:r>
      <w:r w:rsidR="00C57178" w:rsidRPr="00562F67">
        <w:t xml:space="preserve">a well-defined communication channel between the technical support team and </w:t>
      </w:r>
      <w:r w:rsidR="00497064" w:rsidRPr="00562F67">
        <w:t xml:space="preserve">people on the </w:t>
      </w:r>
      <w:r w:rsidR="00C57178" w:rsidRPr="00562F67">
        <w:t>first line of support</w:t>
      </w:r>
      <w:r w:rsidR="00497064" w:rsidRPr="00562F67">
        <w:t>,</w:t>
      </w:r>
      <w:r w:rsidR="00C57178" w:rsidRPr="00562F67">
        <w:t xml:space="preserve"> working with requests from user communities received through the EOSC Portal or other channels</w:t>
      </w:r>
      <w:r w:rsidR="00B029E5" w:rsidRPr="00562F67">
        <w:t>.</w:t>
      </w:r>
      <w:r w:rsidRPr="00562F67">
        <w:t xml:space="preserve">, </w:t>
      </w:r>
    </w:p>
    <w:p w14:paraId="3E270CF1" w14:textId="4569A456" w:rsidR="00B029E5" w:rsidRPr="00562F67" w:rsidRDefault="00C57178" w:rsidP="003410C6">
      <w:pPr>
        <w:pStyle w:val="ListParagraph"/>
        <w:numPr>
          <w:ilvl w:val="0"/>
          <w:numId w:val="32"/>
        </w:numPr>
      </w:pPr>
      <w:r w:rsidRPr="00562F67">
        <w:t>make homogeneous the communication with the different customers</w:t>
      </w:r>
      <w:r w:rsidR="00B029E5" w:rsidRPr="00562F67">
        <w:t>,</w:t>
      </w:r>
      <w:r w:rsidR="001D428D" w:rsidRPr="00562F67">
        <w:t xml:space="preserve"> and </w:t>
      </w:r>
    </w:p>
    <w:p w14:paraId="5916317B" w14:textId="210A1275" w:rsidR="007074B4" w:rsidRPr="00562F67" w:rsidRDefault="00B029E5" w:rsidP="003410C6">
      <w:pPr>
        <w:pStyle w:val="ListParagraph"/>
        <w:numPr>
          <w:ilvl w:val="0"/>
          <w:numId w:val="32"/>
        </w:numPr>
      </w:pPr>
      <w:r w:rsidRPr="00562F67">
        <w:t>s</w:t>
      </w:r>
      <w:r w:rsidR="00C57178" w:rsidRPr="00562F67">
        <w:t>implify the work of the technical supporters that have clear guidelines to follow.</w:t>
      </w:r>
    </w:p>
    <w:p w14:paraId="71447C93" w14:textId="5E70597A" w:rsidR="005D3D12" w:rsidRPr="00562F67" w:rsidRDefault="001D428D" w:rsidP="001D428D">
      <w:r w:rsidRPr="00562F67">
        <w:t xml:space="preserve">The technical support activity is operating since the first months of the project and the Community Requirements DB already provides detailed information about a relevant number of use cases analysed by WP10. Likewise, </w:t>
      </w:r>
      <w:r w:rsidR="003E389E" w:rsidRPr="00562F67">
        <w:t xml:space="preserve">the </w:t>
      </w:r>
      <w:r w:rsidRPr="00562F67">
        <w:t xml:space="preserve">JIRA issue tracking system contains the discussions and technical information (knowledge base) gathered throughout the lifetime of each technical requirement. This allowed to extract metrics, </w:t>
      </w:r>
      <w:r w:rsidR="00497064" w:rsidRPr="00562F67">
        <w:t xml:space="preserve">suitable to </w:t>
      </w:r>
      <w:r w:rsidRPr="00562F67">
        <w:t>depict the advancement achieved by each use case in the EOSC-hub integration path</w:t>
      </w:r>
      <w:r w:rsidR="00B029E5" w:rsidRPr="00562F67">
        <w:t>.</w:t>
      </w:r>
      <w:r w:rsidRPr="00562F67">
        <w:t xml:space="preserve"> </w:t>
      </w:r>
      <w:r w:rsidR="00B029E5" w:rsidRPr="00562F67">
        <w:t xml:space="preserve">These metrics </w:t>
      </w:r>
      <w:r w:rsidRPr="00562F67">
        <w:t>are reported in this document</w:t>
      </w:r>
      <w:r w:rsidR="00DB5710" w:rsidRPr="00562F67">
        <w:t xml:space="preserve"> (Section 6)</w:t>
      </w:r>
      <w:r w:rsidRPr="00562F67">
        <w:t xml:space="preserve">. Finally, more details are provided about the outcome of the technical support activities for three exemplars use cases: DODAS and OPENCoastS thematic services and the ELIXIR competence </w:t>
      </w:r>
      <w:r w:rsidR="00914331" w:rsidRPr="00562F67">
        <w:t>centre</w:t>
      </w:r>
      <w:r w:rsidRPr="00562F67">
        <w:t>.</w:t>
      </w:r>
    </w:p>
    <w:p w14:paraId="0BB4A8C5" w14:textId="77777777" w:rsidR="00A30A98" w:rsidRPr="00562F67" w:rsidRDefault="00247395" w:rsidP="005959F1">
      <w:pPr>
        <w:pStyle w:val="Heading1"/>
      </w:pPr>
      <w:bookmarkStart w:id="3" w:name="_Ref6480230"/>
      <w:bookmarkStart w:id="4" w:name="_Toc12371647"/>
      <w:r w:rsidRPr="00562F67">
        <w:lastRenderedPageBreak/>
        <w:t>Introduction</w:t>
      </w:r>
      <w:bookmarkEnd w:id="3"/>
      <w:bookmarkEnd w:id="4"/>
      <w:r w:rsidRPr="00562F67">
        <w:t xml:space="preserve"> </w:t>
      </w:r>
    </w:p>
    <w:bookmarkEnd w:id="2"/>
    <w:p w14:paraId="25AA00F5" w14:textId="14AD6B1A" w:rsidR="00A30A98" w:rsidRPr="00562F67" w:rsidRDefault="005D3D12" w:rsidP="00E334D9">
      <w:r w:rsidRPr="00562F67">
        <w:t>The present document contains the first series of the Requirements and Gap Analysis report</w:t>
      </w:r>
      <w:r w:rsidR="00BD6C67" w:rsidRPr="00562F67">
        <w:t>. Overall, th</w:t>
      </w:r>
      <w:r w:rsidR="0094281E" w:rsidRPr="00562F67">
        <w:t>i</w:t>
      </w:r>
      <w:r w:rsidR="00BD6C67" w:rsidRPr="00562F67">
        <w:t>s report</w:t>
      </w:r>
      <w:r w:rsidRPr="00562F67">
        <w:t xml:space="preserve"> focus</w:t>
      </w:r>
      <w:r w:rsidR="0094281E" w:rsidRPr="00562F67">
        <w:t>es</w:t>
      </w:r>
      <w:r w:rsidRPr="00562F67">
        <w:t xml:space="preserve"> on describing the initial procedures elaborated and followed by WP10 in order to operate the whole requirement analysis workflow. The interfaces with the connecting processes -</w:t>
      </w:r>
      <w:r w:rsidR="00F77E50" w:rsidRPr="00562F67">
        <w:t xml:space="preserve"> </w:t>
      </w:r>
      <w:r w:rsidRPr="00562F67">
        <w:t>both internal and external to the WP</w:t>
      </w:r>
      <w:r w:rsidR="00F77E50" w:rsidRPr="00562F67">
        <w:t xml:space="preserve"> </w:t>
      </w:r>
      <w:r w:rsidRPr="00562F67">
        <w:t>- are described, as well as the shared tools required to implement them. Finally, an up-to-date report about the progress in the EOSC-hub integration path of each use case is provided</w:t>
      </w:r>
      <w:r w:rsidR="00211038" w:rsidRPr="00562F67">
        <w:t xml:space="preserve"> with three exemplars use cases described in detail</w:t>
      </w:r>
      <w:r w:rsidRPr="00562F67">
        <w:t>.</w:t>
      </w:r>
    </w:p>
    <w:p w14:paraId="3FB95BA5" w14:textId="0DA70A2B" w:rsidR="00564D14" w:rsidRPr="00562F67" w:rsidRDefault="00564D14" w:rsidP="00564D14">
      <w:pPr>
        <w:pStyle w:val="Heading1"/>
      </w:pPr>
      <w:bookmarkStart w:id="5" w:name="_Ref6503642"/>
      <w:bookmarkStart w:id="6" w:name="_Toc12371648"/>
      <w:r w:rsidRPr="00562F67">
        <w:lastRenderedPageBreak/>
        <w:t>Interfaces with other</w:t>
      </w:r>
      <w:r w:rsidR="00B13F8D" w:rsidRPr="00562F67">
        <w:t xml:space="preserve"> project activities and EOSC SMS</w:t>
      </w:r>
      <w:r w:rsidRPr="00562F67">
        <w:t xml:space="preserve"> processes</w:t>
      </w:r>
      <w:bookmarkEnd w:id="5"/>
      <w:bookmarkEnd w:id="6"/>
    </w:p>
    <w:p w14:paraId="3CF16F5C" w14:textId="3D0F5B86" w:rsidR="003E389E" w:rsidRPr="00562F67" w:rsidRDefault="00564D14" w:rsidP="00564D14">
      <w:r w:rsidRPr="00562F67">
        <w:t xml:space="preserve">The technical support activity (T10.3) receives requests for support through different channels </w:t>
      </w:r>
      <w:r w:rsidR="003E389E" w:rsidRPr="00562F67">
        <w:t>including:</w:t>
      </w:r>
    </w:p>
    <w:p w14:paraId="2F2C41EA" w14:textId="77777777" w:rsidR="003E389E" w:rsidRPr="00562F67" w:rsidRDefault="00564D14" w:rsidP="003410C6">
      <w:pPr>
        <w:pStyle w:val="ListParagraph"/>
        <w:numPr>
          <w:ilvl w:val="0"/>
          <w:numId w:val="33"/>
        </w:numPr>
      </w:pPr>
      <w:r w:rsidRPr="00562F67">
        <w:t>SOCRM process</w:t>
      </w:r>
      <w:r w:rsidR="00E67821" w:rsidRPr="00562F67">
        <w:t xml:space="preserve"> behind the EOSC Portal</w:t>
      </w:r>
      <w:r w:rsidRPr="00562F67">
        <w:t xml:space="preserve">, </w:t>
      </w:r>
    </w:p>
    <w:p w14:paraId="489DF496" w14:textId="77777777" w:rsidR="003E389E" w:rsidRPr="00562F67" w:rsidRDefault="00564D14" w:rsidP="003410C6">
      <w:pPr>
        <w:pStyle w:val="ListParagraph"/>
        <w:numPr>
          <w:ilvl w:val="0"/>
          <w:numId w:val="33"/>
        </w:numPr>
      </w:pPr>
      <w:r w:rsidRPr="00562F67">
        <w:t xml:space="preserve">WP7 Thematic Services, </w:t>
      </w:r>
    </w:p>
    <w:p w14:paraId="64F9AABE" w14:textId="77777777" w:rsidR="003E389E" w:rsidRPr="00562F67" w:rsidRDefault="00564D14" w:rsidP="003410C6">
      <w:pPr>
        <w:pStyle w:val="ListParagraph"/>
        <w:numPr>
          <w:ilvl w:val="0"/>
          <w:numId w:val="33"/>
        </w:numPr>
      </w:pPr>
      <w:r w:rsidRPr="00562F67">
        <w:t xml:space="preserve">WP8 Competence </w:t>
      </w:r>
      <w:r w:rsidR="00914331" w:rsidRPr="00562F67">
        <w:t>Centres</w:t>
      </w:r>
      <w:r w:rsidRPr="00562F67">
        <w:t xml:space="preserve">, </w:t>
      </w:r>
    </w:p>
    <w:p w14:paraId="1109B8BB" w14:textId="77777777" w:rsidR="003E389E" w:rsidRPr="00562F67" w:rsidRDefault="00564D14" w:rsidP="003410C6">
      <w:pPr>
        <w:pStyle w:val="ListParagraph"/>
        <w:numPr>
          <w:ilvl w:val="0"/>
          <w:numId w:val="33"/>
        </w:numPr>
      </w:pPr>
      <w:r w:rsidRPr="00562F67">
        <w:t xml:space="preserve">WP9 Digital Innovation Hub, </w:t>
      </w:r>
      <w:r w:rsidR="003E389E" w:rsidRPr="00562F67">
        <w:t>and</w:t>
      </w:r>
    </w:p>
    <w:p w14:paraId="16116892" w14:textId="4A2AB1D9" w:rsidR="003E389E" w:rsidRPr="00562F67" w:rsidRDefault="00564D14" w:rsidP="003410C6">
      <w:pPr>
        <w:pStyle w:val="ListParagraph"/>
        <w:numPr>
          <w:ilvl w:val="0"/>
          <w:numId w:val="33"/>
        </w:numPr>
      </w:pPr>
      <w:r w:rsidRPr="00562F67">
        <w:t>WP3 Stakeholder Engagement)</w:t>
      </w:r>
      <w:r w:rsidR="003E389E" w:rsidRPr="00562F67">
        <w:t>.</w:t>
      </w:r>
    </w:p>
    <w:p w14:paraId="34BB53E7" w14:textId="078E7323" w:rsidR="008626D6" w:rsidRPr="00562F67" w:rsidRDefault="003E389E" w:rsidP="003E389E">
      <w:r w:rsidRPr="00562F67">
        <w:t>A</w:t>
      </w:r>
      <w:r w:rsidR="00564D14" w:rsidRPr="00562F67">
        <w:t>fter the cases are analysed</w:t>
      </w:r>
      <w:r w:rsidRPr="00562F67">
        <w:t xml:space="preserve"> T10.3</w:t>
      </w:r>
      <w:r w:rsidR="008626D6" w:rsidRPr="00562F67">
        <w:t xml:space="preserve"> take cares of providing </w:t>
      </w:r>
      <w:r w:rsidRPr="00562F67">
        <w:t xml:space="preserve">technical </w:t>
      </w:r>
      <w:r w:rsidR="008626D6" w:rsidRPr="00562F67">
        <w:t>assistance to the user communities to adopt the service of the Hub leveraging, when needed, on the support given by the other project activities.</w:t>
      </w:r>
    </w:p>
    <w:p w14:paraId="63963506" w14:textId="64A78515" w:rsidR="008626D6" w:rsidRPr="00562F67" w:rsidRDefault="008626D6" w:rsidP="00564D14">
      <w:r w:rsidRPr="00562F67">
        <w:t>Furthermore, when a gap has been identified, T10.3,</w:t>
      </w:r>
      <w:r w:rsidR="00564D14" w:rsidRPr="00562F67">
        <w:t xml:space="preserve"> in conjunction with the gap analysis activity (T10.4), collaborates with other project technical activities (WP5, WP6 and WP7) to exten</w:t>
      </w:r>
      <w:r w:rsidR="001D7532" w:rsidRPr="00562F67">
        <w:t>d</w:t>
      </w:r>
      <w:r w:rsidR="00564D14" w:rsidRPr="00562F67">
        <w:t xml:space="preserve"> the service offer of the Hub</w:t>
      </w:r>
      <w:r w:rsidR="001D7532" w:rsidRPr="00562F67">
        <w:t>. This extension</w:t>
      </w:r>
      <w:r w:rsidR="00564D14" w:rsidRPr="00562F67">
        <w:t xml:space="preserve"> could be achieved either enhancing services already available in the </w:t>
      </w:r>
      <w:r w:rsidR="003E389E" w:rsidRPr="00562F67">
        <w:t xml:space="preserve">service </w:t>
      </w:r>
      <w:r w:rsidR="00564D14" w:rsidRPr="00562F67">
        <w:t>catalogue or enriching the catalogue with new services that satisfy users’ needs.</w:t>
      </w:r>
    </w:p>
    <w:p w14:paraId="44FDAD92" w14:textId="502CCF1E" w:rsidR="00564D14" w:rsidRPr="00562F67" w:rsidRDefault="008626D6" w:rsidP="00564D14">
      <w:r w:rsidRPr="00562F67">
        <w:t>For these reasons</w:t>
      </w:r>
      <w:r w:rsidR="00564D14" w:rsidRPr="00562F67">
        <w:t>, a successful coordination is requested between the involved work packages, as described hereunder:</w:t>
      </w:r>
    </w:p>
    <w:p w14:paraId="52F891B4" w14:textId="77777777" w:rsidR="00564D14" w:rsidRPr="00562F67" w:rsidRDefault="00564D14" w:rsidP="00564D14">
      <w:pPr>
        <w:pStyle w:val="ListParagraph"/>
        <w:numPr>
          <w:ilvl w:val="0"/>
          <w:numId w:val="21"/>
        </w:numPr>
      </w:pPr>
      <w:r w:rsidRPr="00562F67">
        <w:t>Strategy and Business Development (WP2)</w:t>
      </w:r>
    </w:p>
    <w:p w14:paraId="24FA942A" w14:textId="00C08145" w:rsidR="00564D14" w:rsidRPr="00562F67" w:rsidRDefault="00564D14" w:rsidP="00564D14">
      <w:pPr>
        <w:pStyle w:val="ListParagraph"/>
        <w:numPr>
          <w:ilvl w:val="1"/>
          <w:numId w:val="21"/>
        </w:numPr>
      </w:pPr>
      <w:r w:rsidRPr="00562F67">
        <w:t>In particular</w:t>
      </w:r>
      <w:r w:rsidR="001D7532" w:rsidRPr="00562F67">
        <w:t>,</w:t>
      </w:r>
      <w:r w:rsidRPr="00562F67">
        <w:t xml:space="preserve"> the task </w:t>
      </w:r>
      <w:r w:rsidRPr="00562F67">
        <w:rPr>
          <w:i/>
        </w:rPr>
        <w:t>Service Roadmap, Service Portfolio and Service Catalogue activity</w:t>
      </w:r>
      <w:r w:rsidRPr="00562F67">
        <w:t xml:space="preserve"> (T2.2) manages the service roadmap and both internal and external service catalogues, in coordination with the Technology Committee (TCOM), designed by the </w:t>
      </w:r>
      <w:r w:rsidRPr="00562F67">
        <w:rPr>
          <w:i/>
        </w:rPr>
        <w:t>Technical Roadmap</w:t>
      </w:r>
      <w:r w:rsidRPr="00562F67">
        <w:t xml:space="preserve"> activity (T10.1).</w:t>
      </w:r>
    </w:p>
    <w:p w14:paraId="3C12C6B5" w14:textId="77777777" w:rsidR="00564D14" w:rsidRPr="00562F67" w:rsidRDefault="00564D14" w:rsidP="00564D14">
      <w:pPr>
        <w:pStyle w:val="ListParagraph"/>
        <w:numPr>
          <w:ilvl w:val="0"/>
          <w:numId w:val="21"/>
        </w:numPr>
      </w:pPr>
      <w:r w:rsidRPr="00562F67">
        <w:t>Federated Service Management (WP4)</w:t>
      </w:r>
    </w:p>
    <w:p w14:paraId="375DD11E" w14:textId="00C4B62B" w:rsidR="00564D14" w:rsidRPr="00562F67" w:rsidRDefault="00564D14" w:rsidP="00564D14">
      <w:pPr>
        <w:pStyle w:val="ListParagraph"/>
        <w:numPr>
          <w:ilvl w:val="1"/>
          <w:numId w:val="21"/>
        </w:numPr>
      </w:pPr>
      <w:r w:rsidRPr="00562F67">
        <w:t xml:space="preserve">The </w:t>
      </w:r>
      <w:r w:rsidRPr="00562F67">
        <w:rPr>
          <w:i/>
        </w:rPr>
        <w:t>Service Order and Customer Relationship Management</w:t>
      </w:r>
      <w:r w:rsidRPr="00562F67">
        <w:t xml:space="preserve"> (SOCRM, T4.2) process of the EOSC SMS handles orders initiated by customers from user communities</w:t>
      </w:r>
      <w:r w:rsidR="001D7532" w:rsidRPr="00562F67">
        <w:t xml:space="preserve"> from the EOSC Portal</w:t>
      </w:r>
      <w:r w:rsidRPr="00562F67">
        <w:t>. Orders can be requests for the usage of specific services or more sophisticated demands that involve multiple services (integrations and/or customisations) that may exist or not in the service catalogue.</w:t>
      </w:r>
    </w:p>
    <w:p w14:paraId="252C2AB1" w14:textId="77777777" w:rsidR="00564D14" w:rsidRPr="00562F67" w:rsidRDefault="00564D14" w:rsidP="00564D14">
      <w:pPr>
        <w:pStyle w:val="ListParagraph"/>
        <w:numPr>
          <w:ilvl w:val="1"/>
          <w:numId w:val="21"/>
        </w:numPr>
      </w:pPr>
      <w:r w:rsidRPr="00562F67">
        <w:t xml:space="preserve">The </w:t>
      </w:r>
      <w:r w:rsidRPr="00562F67">
        <w:rPr>
          <w:i/>
        </w:rPr>
        <w:t>Configuration Management, Change Management, Release and Deployment Management</w:t>
      </w:r>
      <w:r w:rsidRPr="00562F67">
        <w:t xml:space="preserve"> process of the EOSC SMS (T4.6) defines and implements ITSM best practices for the proper maintenance and update of the services and service components.</w:t>
      </w:r>
    </w:p>
    <w:p w14:paraId="2A6E8405" w14:textId="77777777" w:rsidR="00564D14" w:rsidRPr="00562F67" w:rsidRDefault="00564D14" w:rsidP="00564D14">
      <w:pPr>
        <w:pStyle w:val="ListParagraph"/>
        <w:numPr>
          <w:ilvl w:val="0"/>
          <w:numId w:val="21"/>
        </w:numPr>
      </w:pPr>
      <w:r w:rsidRPr="00562F67">
        <w:t>Technical Coordination (WP10), where:</w:t>
      </w:r>
    </w:p>
    <w:p w14:paraId="6CCB84BD" w14:textId="77777777" w:rsidR="00564D14" w:rsidRPr="00562F67" w:rsidRDefault="00564D14" w:rsidP="00564D14">
      <w:pPr>
        <w:pStyle w:val="ListParagraph"/>
        <w:numPr>
          <w:ilvl w:val="1"/>
          <w:numId w:val="21"/>
        </w:numPr>
      </w:pPr>
      <w:r w:rsidRPr="00562F67">
        <w:t>T10.1 provides the technical roadmap leveraging the expertise of the TCOM to scout emerging technologies, analyse and prioritise requirements to be proposed for AMB/PMB approval. Major changes in the service catalogue are agreed with T2.2.</w:t>
      </w:r>
    </w:p>
    <w:p w14:paraId="56B02718" w14:textId="77777777" w:rsidR="00564D14" w:rsidRPr="00562F67" w:rsidRDefault="00564D14" w:rsidP="00564D14">
      <w:pPr>
        <w:pStyle w:val="ListParagraph"/>
        <w:numPr>
          <w:ilvl w:val="1"/>
          <w:numId w:val="21"/>
        </w:numPr>
      </w:pPr>
      <w:r w:rsidRPr="00562F67">
        <w:t>T10.2 defines and assesses conformance of services to the Rules of Participation.</w:t>
      </w:r>
    </w:p>
    <w:p w14:paraId="3ED894DE" w14:textId="5DFBABB9" w:rsidR="00564D14" w:rsidRPr="00562F67" w:rsidRDefault="00564D14" w:rsidP="00564D14">
      <w:pPr>
        <w:pStyle w:val="ListParagraph"/>
        <w:numPr>
          <w:ilvl w:val="1"/>
          <w:numId w:val="21"/>
        </w:numPr>
      </w:pPr>
      <w:r w:rsidRPr="00562F67">
        <w:lastRenderedPageBreak/>
        <w:t>T10.3 gathers, in a first phase, technical requirements from use cases, both internal (</w:t>
      </w:r>
      <w:r w:rsidR="00120CA8" w:rsidRPr="00562F67">
        <w:t>e.g.: T</w:t>
      </w:r>
      <w:r w:rsidRPr="00562F67">
        <w:t xml:space="preserve">hematic </w:t>
      </w:r>
      <w:r w:rsidR="00120CA8" w:rsidRPr="00562F67">
        <w:t>S</w:t>
      </w:r>
      <w:r w:rsidRPr="00562F67">
        <w:t xml:space="preserve">ervices, </w:t>
      </w:r>
      <w:r w:rsidR="00120CA8" w:rsidRPr="00562F67">
        <w:t>C</w:t>
      </w:r>
      <w:r w:rsidRPr="00562F67">
        <w:t xml:space="preserve">ompetence </w:t>
      </w:r>
      <w:r w:rsidR="00120CA8" w:rsidRPr="00562F67">
        <w:t>C</w:t>
      </w:r>
      <w:r w:rsidR="005D2C21" w:rsidRPr="00562F67">
        <w:t>entres</w:t>
      </w:r>
      <w:r w:rsidRPr="00562F67">
        <w:t xml:space="preserve">, </w:t>
      </w:r>
      <w:r w:rsidR="00120CA8" w:rsidRPr="00562F67">
        <w:t>B</w:t>
      </w:r>
      <w:r w:rsidRPr="00562F67">
        <w:t xml:space="preserve">usiness </w:t>
      </w:r>
      <w:r w:rsidR="00120CA8" w:rsidRPr="00562F67">
        <w:t>P</w:t>
      </w:r>
      <w:r w:rsidRPr="00562F67">
        <w:t>ilots) and external to the project (e.g.</w:t>
      </w:r>
      <w:r w:rsidR="00120CA8" w:rsidRPr="00562F67">
        <w:t>:</w:t>
      </w:r>
      <w:r w:rsidRPr="00562F67">
        <w:t xml:space="preserve"> identified by the Stakeholder Engagement activity or through an order received from the EOSC Portal). Further requirement analysis, tracking and technical support is provided in order to allow customers to fully exploit the services in the catalogue.</w:t>
      </w:r>
    </w:p>
    <w:p w14:paraId="15D3D7A0" w14:textId="695390BC" w:rsidR="00564D14" w:rsidRPr="00562F67" w:rsidRDefault="00564D14" w:rsidP="00564D14">
      <w:pPr>
        <w:pStyle w:val="ListParagraph"/>
        <w:numPr>
          <w:ilvl w:val="1"/>
          <w:numId w:val="21"/>
        </w:numPr>
      </w:pPr>
      <w:r w:rsidRPr="00562F67">
        <w:t xml:space="preserve">T10.4 performs a deeper analysis of the requirements not satisfied by the current service catalogue. These requirements are first identified by T10.3, flagged as technical gaps and handed over to </w:t>
      </w:r>
      <w:r w:rsidR="001D7532" w:rsidRPr="00562F67">
        <w:t>this task</w:t>
      </w:r>
      <w:r w:rsidRPr="00562F67">
        <w:t xml:space="preserve"> for further evaluation. Solutions that imply major changes in the service catalogue are evaluated in collaboration with T2.2.</w:t>
      </w:r>
    </w:p>
    <w:p w14:paraId="7B03D9D5" w14:textId="08869106" w:rsidR="00564D14" w:rsidRPr="00562F67" w:rsidRDefault="00564D14" w:rsidP="00564D14">
      <w:r w:rsidRPr="00562F67">
        <w:fldChar w:fldCharType="begin"/>
      </w:r>
      <w:r w:rsidRPr="00562F67">
        <w:instrText xml:space="preserve"> REF _Ref6478966 \h </w:instrText>
      </w:r>
      <w:r w:rsidRPr="00562F67">
        <w:fldChar w:fldCharType="separate"/>
      </w:r>
      <w:r w:rsidR="00167EB3" w:rsidRPr="00562F67">
        <w:t xml:space="preserve">Figure </w:t>
      </w:r>
      <w:r w:rsidR="00167EB3">
        <w:rPr>
          <w:noProof/>
        </w:rPr>
        <w:t>1</w:t>
      </w:r>
      <w:r w:rsidRPr="00562F67">
        <w:fldChar w:fldCharType="end"/>
      </w:r>
      <w:r w:rsidRPr="00562F67">
        <w:t xml:space="preserve"> describes interfaces between T10.3 and T10.4 with other project activities and EOSC-hub SMS processes, highlighting the impact of the requirement and gap analysis on the service catalogue and on its evolution. All the interactions are described later in this section.</w:t>
      </w:r>
    </w:p>
    <w:p w14:paraId="64BF135D" w14:textId="6FABCA00" w:rsidR="001D7532" w:rsidRPr="00562F67" w:rsidRDefault="00933263" w:rsidP="00564D14">
      <w:r w:rsidRPr="004111F8">
        <w:rPr>
          <w:noProof/>
        </w:rPr>
        <w:drawing>
          <wp:anchor distT="0" distB="0" distL="114300" distR="114300" simplePos="0" relativeHeight="251659776" behindDoc="0" locked="0" layoutInCell="1" allowOverlap="1" wp14:anchorId="3FCFD962" wp14:editId="6603D28A">
            <wp:simplePos x="0" y="0"/>
            <wp:positionH relativeFrom="column">
              <wp:posOffset>-438150</wp:posOffset>
            </wp:positionH>
            <wp:positionV relativeFrom="paragraph">
              <wp:posOffset>276225</wp:posOffset>
            </wp:positionV>
            <wp:extent cx="6772275" cy="377253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72275" cy="3772535"/>
                    </a:xfrm>
                    <a:prstGeom prst="rect">
                      <a:avLst/>
                    </a:prstGeom>
                  </pic:spPr>
                </pic:pic>
              </a:graphicData>
            </a:graphic>
            <wp14:sizeRelH relativeFrom="margin">
              <wp14:pctWidth>0</wp14:pctWidth>
            </wp14:sizeRelH>
            <wp14:sizeRelV relativeFrom="margin">
              <wp14:pctHeight>0</wp14:pctHeight>
            </wp14:sizeRelV>
          </wp:anchor>
        </w:drawing>
      </w:r>
    </w:p>
    <w:p w14:paraId="5DC8AFDF" w14:textId="7558EDE8" w:rsidR="00564D14" w:rsidRPr="00562F67" w:rsidRDefault="00564D14" w:rsidP="004111F8">
      <w:pPr>
        <w:keepNext/>
        <w:jc w:val="center"/>
      </w:pPr>
    </w:p>
    <w:p w14:paraId="770FE2A3" w14:textId="767B2E00" w:rsidR="00564D14" w:rsidRPr="00562F67" w:rsidRDefault="00564D14" w:rsidP="00564D14">
      <w:pPr>
        <w:pStyle w:val="Caption"/>
        <w:jc w:val="center"/>
      </w:pPr>
      <w:bookmarkStart w:id="7" w:name="_Ref6478966"/>
      <w:r w:rsidRPr="00562F67">
        <w:t xml:space="preserve">Figure </w:t>
      </w:r>
      <w:fldSimple w:instr=" SEQ Figure \* ARABIC ">
        <w:r w:rsidR="00167EB3">
          <w:rPr>
            <w:noProof/>
          </w:rPr>
          <w:t>1</w:t>
        </w:r>
      </w:fldSimple>
      <w:bookmarkEnd w:id="7"/>
      <w:r w:rsidRPr="00562F67">
        <w:t>. Evolution of the service catalogue driven by the requirements and gap analysis.</w:t>
      </w:r>
    </w:p>
    <w:p w14:paraId="3776853F" w14:textId="77777777" w:rsidR="00564D14" w:rsidRPr="00562F67" w:rsidRDefault="00564D14" w:rsidP="00564D14">
      <w:pPr>
        <w:pStyle w:val="Heading2"/>
      </w:pPr>
      <w:bookmarkStart w:id="8" w:name="_Toc12371649"/>
      <w:r w:rsidRPr="00562F67">
        <w:lastRenderedPageBreak/>
        <w:t>WP10 link with use cases (WP7, WP8, WP9) and SOCRM process (T4.2)</w:t>
      </w:r>
      <w:bookmarkEnd w:id="8"/>
    </w:p>
    <w:p w14:paraId="58E28971" w14:textId="41793759" w:rsidR="00564D14" w:rsidRPr="00562F67" w:rsidRDefault="004111F8" w:rsidP="004111F8">
      <w:pPr>
        <w:keepNext/>
        <w:jc w:val="center"/>
      </w:pPr>
      <w:r w:rsidRPr="004111F8">
        <w:rPr>
          <w:noProof/>
        </w:rPr>
        <w:drawing>
          <wp:inline distT="0" distB="0" distL="0" distR="0" wp14:anchorId="624D30DD" wp14:editId="00F331AB">
            <wp:extent cx="5731510" cy="7512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751205"/>
                    </a:xfrm>
                    <a:prstGeom prst="rect">
                      <a:avLst/>
                    </a:prstGeom>
                  </pic:spPr>
                </pic:pic>
              </a:graphicData>
            </a:graphic>
          </wp:inline>
        </w:drawing>
      </w:r>
    </w:p>
    <w:p w14:paraId="05BF9FCD" w14:textId="6B82ECBE" w:rsidR="00564D14" w:rsidRPr="00562F67" w:rsidRDefault="00564D14" w:rsidP="00564D14">
      <w:pPr>
        <w:pStyle w:val="Caption"/>
        <w:jc w:val="center"/>
      </w:pPr>
      <w:bookmarkStart w:id="9" w:name="_Ref6479252"/>
      <w:r w:rsidRPr="00562F67">
        <w:t xml:space="preserve">Figure </w:t>
      </w:r>
      <w:fldSimple w:instr=" SEQ Figure \* ARABIC ">
        <w:r w:rsidR="00167EB3">
          <w:rPr>
            <w:noProof/>
          </w:rPr>
          <w:t>2</w:t>
        </w:r>
      </w:fldSimple>
      <w:bookmarkEnd w:id="9"/>
      <w:r w:rsidRPr="00562F67">
        <w:t>. WP10 analyses and supports requirements from both internal and external use cases.</w:t>
      </w:r>
    </w:p>
    <w:p w14:paraId="23623698" w14:textId="5F41F065" w:rsidR="00564D14" w:rsidRPr="00562F67" w:rsidRDefault="00564D14" w:rsidP="00564D14">
      <w:r w:rsidRPr="00562F67">
        <w:t xml:space="preserve">As furtherly explained in the Section </w:t>
      </w:r>
      <w:r w:rsidRPr="00562F67">
        <w:fldChar w:fldCharType="begin"/>
      </w:r>
      <w:r w:rsidRPr="00562F67">
        <w:instrText xml:space="preserve"> REF _Ref6493196 \r \h </w:instrText>
      </w:r>
      <w:r w:rsidRPr="00562F67">
        <w:fldChar w:fldCharType="separate"/>
      </w:r>
      <w:r w:rsidR="00167EB3">
        <w:t>4</w:t>
      </w:r>
      <w:r w:rsidRPr="00562F67">
        <w:fldChar w:fldCharType="end"/>
      </w:r>
      <w:r w:rsidRPr="00562F67">
        <w:t xml:space="preserve">, WP10 manages the process of gathering, analysing and tracking technical requirements extracted from the feedback that is continuously obtained from the project’s use cases, i.e. Thematic Services (WP7), Competence </w:t>
      </w:r>
      <w:r w:rsidR="00AF5C70" w:rsidRPr="00562F67">
        <w:t>Centres</w:t>
      </w:r>
      <w:r w:rsidRPr="00562F67">
        <w:t xml:space="preserve"> (WP8) and Business Pilots (WP9), together with those identified by the SOCRM process and the WP3 Stakeholder Engagement activity. </w:t>
      </w:r>
      <w:r w:rsidRPr="00562F67">
        <w:fldChar w:fldCharType="begin"/>
      </w:r>
      <w:r w:rsidRPr="00562F67">
        <w:instrText xml:space="preserve"> REF _Ref6479252 \h </w:instrText>
      </w:r>
      <w:r w:rsidRPr="00562F67">
        <w:fldChar w:fldCharType="separate"/>
      </w:r>
      <w:r w:rsidR="00167EB3" w:rsidRPr="00562F67">
        <w:t xml:space="preserve">Figure </w:t>
      </w:r>
      <w:r w:rsidR="00167EB3">
        <w:rPr>
          <w:noProof/>
        </w:rPr>
        <w:t>2</w:t>
      </w:r>
      <w:r w:rsidRPr="00562F67">
        <w:fldChar w:fldCharType="end"/>
      </w:r>
      <w:r w:rsidRPr="00562F67">
        <w:t xml:space="preserve"> depicts the different sources from which the requests for requirement handling may come from.</w:t>
      </w:r>
    </w:p>
    <w:p w14:paraId="09D524C3" w14:textId="288322B9" w:rsidR="00564D14" w:rsidRPr="00562F67" w:rsidRDefault="00564D14" w:rsidP="00564D14">
      <w:r w:rsidRPr="00562F67">
        <w:t xml:space="preserve">In what regards to orders coming from external communities, they are received from a single point of access, represented by the EOSC marketplace (a key component of the EOSC Portal), and subsequently processed by the SOCRM process (T4.2). SOCRM </w:t>
      </w:r>
      <w:r w:rsidR="00055312" w:rsidRPr="00562F67">
        <w:t xml:space="preserve">uses </w:t>
      </w:r>
      <w:r w:rsidRPr="00562F67">
        <w:t xml:space="preserve">the same ticketing system (see </w:t>
      </w:r>
      <w:r w:rsidR="0062666B" w:rsidRPr="00562F67">
        <w:t>S</w:t>
      </w:r>
      <w:r w:rsidRPr="00562F67">
        <w:t xml:space="preserve">ection </w:t>
      </w:r>
      <w:r w:rsidRPr="00562F67">
        <w:fldChar w:fldCharType="begin"/>
      </w:r>
      <w:r w:rsidRPr="00562F67">
        <w:instrText xml:space="preserve"> REF _Ref6493155 \r \h </w:instrText>
      </w:r>
      <w:r w:rsidRPr="00562F67">
        <w:fldChar w:fldCharType="separate"/>
      </w:r>
      <w:r w:rsidR="00167EB3">
        <w:t>4</w:t>
      </w:r>
      <w:r w:rsidRPr="00562F67">
        <w:fldChar w:fldCharType="end"/>
      </w:r>
      <w:r w:rsidR="0062666B" w:rsidRPr="00562F67">
        <w:t xml:space="preserve"> –</w:t>
      </w:r>
      <w:r w:rsidRPr="00562F67">
        <w:t xml:space="preserve"> </w:t>
      </w:r>
      <w:r w:rsidRPr="00562F67">
        <w:rPr>
          <w:i/>
        </w:rPr>
        <w:t>Tools to record and handle requirements</w:t>
      </w:r>
      <w:r w:rsidRPr="00562F67">
        <w:t xml:space="preserve">) </w:t>
      </w:r>
      <w:r w:rsidR="00055312" w:rsidRPr="00562F67">
        <w:t xml:space="preserve">to tracks each order and </w:t>
      </w:r>
      <w:r w:rsidRPr="00562F67">
        <w:t xml:space="preserve"> handle the internal requirements. Consequently, whenever a technical assessment is required, T4.2 </w:t>
      </w:r>
      <w:r w:rsidR="001D7532" w:rsidRPr="00562F67">
        <w:t>can</w:t>
      </w:r>
      <w:r w:rsidRPr="00562F67">
        <w:t xml:space="preserve"> assign the ticket to WP10.3 that will perform the requirements and gap analysis.</w:t>
      </w:r>
    </w:p>
    <w:p w14:paraId="50F00184" w14:textId="77777777" w:rsidR="00564D14" w:rsidRPr="00562F67" w:rsidRDefault="00564D14" w:rsidP="00570AE8">
      <w:pPr>
        <w:pStyle w:val="Heading3"/>
      </w:pPr>
      <w:r w:rsidRPr="00562F67">
        <w:t>SOCRM process (T4.2) and Technical Support (T10.3) interaction</w:t>
      </w:r>
    </w:p>
    <w:p w14:paraId="2276F308" w14:textId="1AA0537A" w:rsidR="00564D14" w:rsidRPr="00562F67" w:rsidRDefault="00055312" w:rsidP="00564D14">
      <w:r w:rsidRPr="00562F67">
        <w:t>By the time of writing of this document, a</w:t>
      </w:r>
      <w:r w:rsidR="00564D14" w:rsidRPr="00562F67">
        <w:t>ccording to the number of services requested, we can distinguish three different types of orders:</w:t>
      </w:r>
    </w:p>
    <w:p w14:paraId="485637B9" w14:textId="77777777" w:rsidR="00564D14" w:rsidRPr="00562F67" w:rsidRDefault="00564D14" w:rsidP="00564D14">
      <w:pPr>
        <w:pStyle w:val="ListParagraph"/>
        <w:numPr>
          <w:ilvl w:val="0"/>
          <w:numId w:val="22"/>
        </w:numPr>
      </w:pPr>
      <w:r w:rsidRPr="00562F67">
        <w:t>Orders related to a unique service or, more in general, to a unique provider;</w:t>
      </w:r>
    </w:p>
    <w:p w14:paraId="2EA4886E" w14:textId="77777777" w:rsidR="00564D14" w:rsidRPr="00562F67" w:rsidRDefault="00564D14" w:rsidP="00564D14">
      <w:pPr>
        <w:pStyle w:val="ListParagraph"/>
        <w:numPr>
          <w:ilvl w:val="0"/>
          <w:numId w:val="22"/>
        </w:numPr>
      </w:pPr>
      <w:r w:rsidRPr="00562F67">
        <w:t>Orders that involve multiple services managed by more than a single provider;</w:t>
      </w:r>
    </w:p>
    <w:p w14:paraId="79129DBA" w14:textId="77777777" w:rsidR="00564D14" w:rsidRPr="00562F67" w:rsidRDefault="00564D14" w:rsidP="00564D14">
      <w:pPr>
        <w:pStyle w:val="ListParagraph"/>
        <w:numPr>
          <w:ilvl w:val="0"/>
          <w:numId w:val="22"/>
        </w:numPr>
      </w:pPr>
      <w:r w:rsidRPr="00562F67">
        <w:t>Orders that do not or incorrectly identify services.</w:t>
      </w:r>
    </w:p>
    <w:p w14:paraId="5A39EA7F" w14:textId="5E573B4F" w:rsidR="00564D14" w:rsidRPr="00562F67" w:rsidRDefault="00564D14" w:rsidP="00564D14">
      <w:r w:rsidRPr="00562F67">
        <w:t>T10.3 intervention is required when the SOCRM receives a not well-defined order (e.g. the customer want</w:t>
      </w:r>
      <w:r w:rsidR="0062666B" w:rsidRPr="00562F67">
        <w:t>s</w:t>
      </w:r>
      <w:r w:rsidRPr="00562F67">
        <w:t xml:space="preserve"> to achieve something without a clear idea of which services should use)</w:t>
      </w:r>
      <w:r w:rsidR="002F56E0" w:rsidRPr="00562F67">
        <w:t>,</w:t>
      </w:r>
      <w:r w:rsidRPr="00562F67">
        <w:t xml:space="preserve"> or an order that requires the combined usage of services from different providers </w:t>
      </w:r>
      <w:r w:rsidR="001D7532" w:rsidRPr="00562F67">
        <w:t xml:space="preserve">because </w:t>
      </w:r>
      <w:r w:rsidRPr="00562F67">
        <w:t xml:space="preserve">this could raise the need to </w:t>
      </w:r>
      <w:r w:rsidR="001D7532" w:rsidRPr="00562F67">
        <w:t xml:space="preserve">implement or enable </w:t>
      </w:r>
      <w:r w:rsidRPr="00562F67">
        <w:t xml:space="preserve">integration </w:t>
      </w:r>
      <w:r w:rsidR="001D7532" w:rsidRPr="00562F67">
        <w:t>between services</w:t>
      </w:r>
      <w:r w:rsidRPr="00562F67">
        <w:t>.</w:t>
      </w:r>
    </w:p>
    <w:p w14:paraId="7AE5E2C6" w14:textId="2E6003E2" w:rsidR="00564D14" w:rsidRPr="00562F67" w:rsidRDefault="00564D14" w:rsidP="00564D14">
      <w:r w:rsidRPr="00562F67">
        <w:t xml:space="preserve">When multiple services from different providers are required, T10.3 evaluates the suitability of the solution by </w:t>
      </w:r>
      <w:r w:rsidR="00562F67" w:rsidRPr="00562F67">
        <w:t>analysing</w:t>
      </w:r>
      <w:r w:rsidRPr="00562F67">
        <w:t xml:space="preserve"> compatibility issues, identifying the potential technical gaps, and suggesting alternative options when needed. In those cases where orders do not detail the individual services</w:t>
      </w:r>
      <w:r w:rsidR="002F56E0" w:rsidRPr="00562F67">
        <w:t>,</w:t>
      </w:r>
      <w:r w:rsidRPr="00562F67">
        <w:t xml:space="preserve"> or they are wrongly formulated, T10.3 is involved by SOCRM to help on identifying the most suitable services. This is done with dedicated meetings with the communities, interviews, sharing of information about services, etc.</w:t>
      </w:r>
    </w:p>
    <w:p w14:paraId="6039C18F" w14:textId="77777777" w:rsidR="00564D14" w:rsidRPr="00562F67" w:rsidRDefault="00564D14" w:rsidP="00564D14">
      <w:pPr>
        <w:pStyle w:val="Heading2"/>
      </w:pPr>
      <w:bookmarkStart w:id="10" w:name="_Toc12371650"/>
      <w:r w:rsidRPr="00562F67">
        <w:lastRenderedPageBreak/>
        <w:t>WP10 and SPM process interaction</w:t>
      </w:r>
      <w:bookmarkEnd w:id="10"/>
    </w:p>
    <w:p w14:paraId="22C38010" w14:textId="2B5369D5" w:rsidR="00564D14" w:rsidRPr="00562F67" w:rsidRDefault="00AB420E" w:rsidP="00AB420E">
      <w:pPr>
        <w:keepNext/>
        <w:jc w:val="center"/>
      </w:pPr>
      <w:r w:rsidRPr="00AB420E">
        <w:rPr>
          <w:noProof/>
        </w:rPr>
        <w:drawing>
          <wp:inline distT="0" distB="0" distL="0" distR="0" wp14:anchorId="3A0FD324" wp14:editId="180BF0C5">
            <wp:extent cx="5731510" cy="2798445"/>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798445"/>
                    </a:xfrm>
                    <a:prstGeom prst="rect">
                      <a:avLst/>
                    </a:prstGeom>
                  </pic:spPr>
                </pic:pic>
              </a:graphicData>
            </a:graphic>
          </wp:inline>
        </w:drawing>
      </w:r>
    </w:p>
    <w:p w14:paraId="4114BBFB" w14:textId="44E90419" w:rsidR="00564D14" w:rsidRPr="00562F67" w:rsidRDefault="00564D14" w:rsidP="00564D14">
      <w:pPr>
        <w:pStyle w:val="Caption"/>
        <w:jc w:val="center"/>
      </w:pPr>
      <w:r w:rsidRPr="00562F67">
        <w:t xml:space="preserve">Figure </w:t>
      </w:r>
      <w:fldSimple w:instr=" SEQ Figure \* ARABIC ">
        <w:r w:rsidR="00167EB3">
          <w:rPr>
            <w:noProof/>
          </w:rPr>
          <w:t>3</w:t>
        </w:r>
      </w:fldSimple>
      <w:r w:rsidRPr="00562F67">
        <w:t>. Workflows initiated (gap and no gap) by WP10 to tackle the technical requirements implementation.</w:t>
      </w:r>
    </w:p>
    <w:p w14:paraId="537C61AD" w14:textId="66749323" w:rsidR="00564D14" w:rsidRPr="00562F67" w:rsidRDefault="00564D14" w:rsidP="00564D14">
      <w:r w:rsidRPr="00562F67">
        <w:t xml:space="preserve">Technical requirements can be either satisfied by the set of services existing in the </w:t>
      </w:r>
      <w:r w:rsidR="002F56E0" w:rsidRPr="00562F67">
        <w:t xml:space="preserve">service </w:t>
      </w:r>
      <w:r w:rsidRPr="00562F67">
        <w:t>portfolio or conversely, the required functionality cannot be addressed by extending the present services but only by the usage of off-the-shelf software. In the latter case, a technical gap is issued by the support groups in T10.3.</w:t>
      </w:r>
      <w:r w:rsidR="00056FF7" w:rsidRPr="00562F67">
        <w:t xml:space="preserve"> </w:t>
      </w:r>
      <w:r w:rsidRPr="00562F67">
        <w:t xml:space="preserve"> Gap analysis is performed by T10.4 in partnership with T10.2, </w:t>
      </w:r>
      <w:r w:rsidR="008F55AE" w:rsidRPr="00562F67">
        <w:t>leveraging on the expertise of Technical Committee (TCOM) and technical groups (from WP5, WP6 and WP7)</w:t>
      </w:r>
      <w:r w:rsidR="00056FF7" w:rsidRPr="00562F67">
        <w:t xml:space="preserve"> and </w:t>
      </w:r>
      <w:r w:rsidR="008F55AE" w:rsidRPr="00562F67">
        <w:t>tak</w:t>
      </w:r>
      <w:r w:rsidR="00056FF7" w:rsidRPr="00562F67">
        <w:t>ing</w:t>
      </w:r>
      <w:r w:rsidR="008F55AE" w:rsidRPr="00562F67">
        <w:t xml:space="preserve"> </w:t>
      </w:r>
      <w:r w:rsidRPr="00562F67">
        <w:t xml:space="preserve">into account advice on standards and best practices. </w:t>
      </w:r>
      <w:r w:rsidR="00056FF7" w:rsidRPr="00562F67">
        <w:t xml:space="preserve">The outcome of this gap analysis is the agreement on the solutions required revised from state-of-the-art open source technologies, once the analysis of the change impact in the EOSC-hub catalogue and the compliance with standards and best practices have been assessed. In case no solutions are identified during this analysis, WP5. WP6 and WP7 will be initially contacted to implement the missing features. Other solutions, outside EOSC-hub, will be investigated in case the WP5, WP6 and WP7 effort requested to implement the new solution is not enough. </w:t>
      </w:r>
      <w:r w:rsidRPr="00562F67">
        <w:t>Solutions that imply major changes to the service portfolio are ultimately evaluated in collaboration with T2.2, as part of the portfolio management. In the latter case, a Service Description Transition Package (SDTP) is created in order to ensure proper evaluation, define the necessary pieces of information regarding the service design, delivery and transition planning according to</w:t>
      </w:r>
      <w:r w:rsidR="008626D6" w:rsidRPr="00562F67">
        <w:t xml:space="preserve"> the</w:t>
      </w:r>
      <w:r w:rsidRPr="00562F67">
        <w:t xml:space="preserve"> SPM process of the EOSC SMS.</w:t>
      </w:r>
    </w:p>
    <w:p w14:paraId="65BC0D5A" w14:textId="05B62768" w:rsidR="00564D14" w:rsidRPr="00562F67" w:rsidRDefault="00564D14" w:rsidP="00564D14">
      <w:r w:rsidRPr="00562F67">
        <w:t>When there are no technical gaps in one or several services from the catalogue, T10.3 assigns the requirement to the Technical Groups in WP5, WP6 and WP7 in order to be</w:t>
      </w:r>
      <w:r w:rsidR="008626D6" w:rsidRPr="00562F67">
        <w:t xml:space="preserve"> prioritised and, eventually,</w:t>
      </w:r>
      <w:r w:rsidRPr="00562F67">
        <w:t xml:space="preserve"> implemented.</w:t>
      </w:r>
    </w:p>
    <w:p w14:paraId="7A5917EC" w14:textId="77777777" w:rsidR="00564D14" w:rsidRPr="00562F67" w:rsidRDefault="00564D14" w:rsidP="00564D14">
      <w:pPr>
        <w:pStyle w:val="Heading2"/>
      </w:pPr>
      <w:bookmarkStart w:id="11" w:name="_Toc12371651"/>
      <w:r w:rsidRPr="00562F67">
        <w:lastRenderedPageBreak/>
        <w:t>WP10 and CHM/RDM processes interaction</w:t>
      </w:r>
      <w:bookmarkEnd w:id="11"/>
    </w:p>
    <w:p w14:paraId="46F7BDF5" w14:textId="4B161BB0" w:rsidR="00564D14" w:rsidRPr="00562F67" w:rsidRDefault="00AB420E" w:rsidP="00AB420E">
      <w:pPr>
        <w:keepNext/>
        <w:jc w:val="center"/>
      </w:pPr>
      <w:r w:rsidRPr="00AB420E">
        <w:rPr>
          <w:noProof/>
        </w:rPr>
        <w:drawing>
          <wp:inline distT="0" distB="0" distL="0" distR="0" wp14:anchorId="2A30FC91" wp14:editId="38DB6904">
            <wp:extent cx="5731510" cy="30118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011805"/>
                    </a:xfrm>
                    <a:prstGeom prst="rect">
                      <a:avLst/>
                    </a:prstGeom>
                  </pic:spPr>
                </pic:pic>
              </a:graphicData>
            </a:graphic>
          </wp:inline>
        </w:drawing>
      </w:r>
    </w:p>
    <w:p w14:paraId="293F3859" w14:textId="169C4E71" w:rsidR="00564D14" w:rsidRPr="00562F67" w:rsidRDefault="00564D14" w:rsidP="00564D14">
      <w:pPr>
        <w:pStyle w:val="Caption"/>
        <w:jc w:val="center"/>
      </w:pPr>
      <w:r w:rsidRPr="00562F67">
        <w:t xml:space="preserve">Figure </w:t>
      </w:r>
      <w:fldSimple w:instr=" SEQ Figure \* ARABIC ">
        <w:r w:rsidR="00167EB3">
          <w:rPr>
            <w:noProof/>
          </w:rPr>
          <w:t>4</w:t>
        </w:r>
      </w:fldSimple>
      <w:r w:rsidRPr="00562F67">
        <w:t>. WP4 drives the implementation and release of each new change that may be derived from the assessment of the technical requirements.</w:t>
      </w:r>
    </w:p>
    <w:p w14:paraId="796167B9" w14:textId="647D94F7" w:rsidR="00564D14" w:rsidRPr="00562F67" w:rsidRDefault="00564D14" w:rsidP="00564D14">
      <w:r w:rsidRPr="00562F67">
        <w:t xml:space="preserve">In order to proceed with the implementation, </w:t>
      </w:r>
      <w:r w:rsidR="00CF30EE" w:rsidRPr="00562F67">
        <w:t>Technical Groups</w:t>
      </w:r>
      <w:r w:rsidR="00CF30EE" w:rsidRPr="00562F67" w:rsidDel="00CF30EE">
        <w:t xml:space="preserve"> </w:t>
      </w:r>
      <w:r w:rsidRPr="00562F67">
        <w:t>first perform an initial risk assessment of the change before being registered as a change request, and prioritized, in the Change Management (CHM) process of the EOSC SMS.</w:t>
      </w:r>
    </w:p>
    <w:p w14:paraId="355BBA6C" w14:textId="28D529A8" w:rsidR="00564D14" w:rsidRPr="00562F67" w:rsidRDefault="00564D14" w:rsidP="00564D14">
      <w:r w:rsidRPr="00562F67">
        <w:t>The actual implementation of changes and new functionalities are organized and managed by software developers within WP5, WP6 and WP7. The development and delivery of new software changes will follow the Release and Deployment Management (RDM) guidelines, as the final step before making these new functionalities available to the communities that requested them.</w:t>
      </w:r>
    </w:p>
    <w:p w14:paraId="05F371E7" w14:textId="1FB6F9C3" w:rsidR="00A30A98" w:rsidRPr="00562F67" w:rsidRDefault="00E334D9" w:rsidP="00E334D9">
      <w:pPr>
        <w:pStyle w:val="Heading1"/>
      </w:pPr>
      <w:bookmarkStart w:id="12" w:name="_Ref6480237"/>
      <w:bookmarkStart w:id="13" w:name="_Ref6482407"/>
      <w:bookmarkStart w:id="14" w:name="_Ref6482936"/>
      <w:bookmarkStart w:id="15" w:name="_Toc12371652"/>
      <w:bookmarkStart w:id="16" w:name="_Hlk515956693"/>
      <w:r w:rsidRPr="00562F67">
        <w:lastRenderedPageBreak/>
        <w:t>Gathering technical requirements</w:t>
      </w:r>
      <w:bookmarkEnd w:id="12"/>
      <w:bookmarkEnd w:id="13"/>
      <w:bookmarkEnd w:id="14"/>
      <w:bookmarkEnd w:id="15"/>
    </w:p>
    <w:bookmarkEnd w:id="16"/>
    <w:p w14:paraId="798BEF0A" w14:textId="36D7FB55" w:rsidR="00E334D9" w:rsidRPr="00562F67" w:rsidRDefault="008132B2" w:rsidP="00E334D9">
      <w:r w:rsidRPr="00562F67">
        <w:t>When</w:t>
      </w:r>
      <w:r w:rsidR="001B2652" w:rsidRPr="00562F67">
        <w:t xml:space="preserve"> a new request from a user community is identified, as described in the previous section, T10.3 starts t</w:t>
      </w:r>
      <w:r w:rsidR="00E334D9" w:rsidRPr="00562F67">
        <w:t xml:space="preserve">he process </w:t>
      </w:r>
      <w:r w:rsidR="001B2652" w:rsidRPr="00562F67">
        <w:t>to</w:t>
      </w:r>
      <w:r w:rsidR="00E334D9" w:rsidRPr="00562F67">
        <w:t xml:space="preserve"> gather technical requirements</w:t>
      </w:r>
      <w:r w:rsidR="001B2652" w:rsidRPr="00562F67">
        <w:t>.</w:t>
      </w:r>
      <w:r w:rsidR="00E334D9" w:rsidRPr="00562F67">
        <w:t xml:space="preserve"> </w:t>
      </w:r>
      <w:r w:rsidR="001B2652" w:rsidRPr="00562F67">
        <w:t xml:space="preserve">It </w:t>
      </w:r>
      <w:r w:rsidR="00E334D9" w:rsidRPr="00562F67">
        <w:t xml:space="preserve">is inspired in an agile software development top-down approach where, starting from the high-level </w:t>
      </w:r>
      <w:r w:rsidR="00E334D9" w:rsidRPr="00562F67">
        <w:rPr>
          <w:i/>
        </w:rPr>
        <w:t>user stories</w:t>
      </w:r>
      <w:r w:rsidR="00E334D9" w:rsidRPr="00562F67">
        <w:t xml:space="preserve">, the </w:t>
      </w:r>
      <w:r w:rsidR="00E334D9" w:rsidRPr="00562F67">
        <w:rPr>
          <w:i/>
        </w:rPr>
        <w:t>use cases</w:t>
      </w:r>
      <w:r w:rsidR="00E334D9" w:rsidRPr="00562F67">
        <w:t xml:space="preserve"> are defined and linked to the </w:t>
      </w:r>
      <w:r w:rsidR="00E334D9" w:rsidRPr="00562F67">
        <w:rPr>
          <w:i/>
        </w:rPr>
        <w:t>technical requirements</w:t>
      </w:r>
      <w:r w:rsidR="00E334D9" w:rsidRPr="00562F67">
        <w:t xml:space="preserve"> that derive from them. This information is compiled in a document for each analy</w:t>
      </w:r>
      <w:r w:rsidR="008626D6" w:rsidRPr="00562F67">
        <w:t>s</w:t>
      </w:r>
      <w:r w:rsidR="00E334D9" w:rsidRPr="00562F67">
        <w:t>ed use case</w:t>
      </w:r>
      <w:r w:rsidR="0016272F" w:rsidRPr="00562F67">
        <w:t xml:space="preserve"> and</w:t>
      </w:r>
      <w:r w:rsidR="00E334D9" w:rsidRPr="00562F67">
        <w:t xml:space="preserve"> stored in the Community Requirements DB as described in </w:t>
      </w:r>
      <w:r w:rsidR="001B2652" w:rsidRPr="00562F67">
        <w:t>S</w:t>
      </w:r>
      <w:r w:rsidR="00E334D9" w:rsidRPr="00562F67">
        <w:t>ection</w:t>
      </w:r>
      <w:r w:rsidR="001B2652" w:rsidRPr="00562F67">
        <w:t xml:space="preserve"> </w:t>
      </w:r>
      <w:r w:rsidR="001B2652" w:rsidRPr="00562F67">
        <w:fldChar w:fldCharType="begin"/>
      </w:r>
      <w:r w:rsidR="001B2652" w:rsidRPr="00562F67">
        <w:instrText xml:space="preserve"> REF _Ref6493155 \r \h </w:instrText>
      </w:r>
      <w:r w:rsidR="001B2652" w:rsidRPr="00562F67">
        <w:fldChar w:fldCharType="separate"/>
      </w:r>
      <w:r w:rsidR="00167EB3">
        <w:t>4</w:t>
      </w:r>
      <w:r w:rsidR="001B2652" w:rsidRPr="00562F67">
        <w:fldChar w:fldCharType="end"/>
      </w:r>
      <w:r w:rsidR="00E334D9" w:rsidRPr="00562F67">
        <w:t>.</w:t>
      </w:r>
    </w:p>
    <w:p w14:paraId="38899852" w14:textId="40C8A7CA" w:rsidR="00B67479" w:rsidRPr="00562F67" w:rsidRDefault="00B67479" w:rsidP="00E334D9">
      <w:r w:rsidRPr="00562F67">
        <w:t>User stories and use</w:t>
      </w:r>
      <w:r w:rsidR="00BE58A4" w:rsidRPr="00562F67">
        <w:t xml:space="preserve"> </w:t>
      </w:r>
      <w:r w:rsidRPr="00562F67">
        <w:t>cases are periodically reviewed by the community stakeholders to keep them updated. Technical requirements will be updated accordingly.</w:t>
      </w:r>
    </w:p>
    <w:p w14:paraId="59546B4C" w14:textId="6CD9C4F9" w:rsidR="00564D14" w:rsidRPr="00562F67" w:rsidRDefault="00564D14" w:rsidP="00E334D9">
      <w:r w:rsidRPr="00562F67">
        <w:t xml:space="preserve">For the sake of completeness, </w:t>
      </w:r>
      <w:r w:rsidR="00BE58A4" w:rsidRPr="00562F67">
        <w:t xml:space="preserve">in the next session, </w:t>
      </w:r>
      <w:r w:rsidRPr="00562F67">
        <w:t xml:space="preserve">we will briefly review the three aforementioned pieces of information that, once extracted, help to identify the expected objectives and outcomes of the different stakeholders involved (i.e. customers and development teams) and </w:t>
      </w:r>
      <w:r w:rsidR="00BE58A4" w:rsidRPr="00562F67">
        <w:t xml:space="preserve">facilitate the </w:t>
      </w:r>
      <w:r w:rsidRPr="00562F67">
        <w:t>communication among them.</w:t>
      </w:r>
    </w:p>
    <w:p w14:paraId="6765558D" w14:textId="7D48E79F" w:rsidR="0060134C" w:rsidRPr="00562F67" w:rsidRDefault="00525DC3" w:rsidP="00E334D9">
      <w:pPr>
        <w:pStyle w:val="Heading2"/>
      </w:pPr>
      <w:bookmarkStart w:id="17" w:name="_Toc12371653"/>
      <w:r w:rsidRPr="00562F67">
        <w:t>User stories</w:t>
      </w:r>
      <w:bookmarkEnd w:id="17"/>
    </w:p>
    <w:p w14:paraId="211F5EC3" w14:textId="66740026" w:rsidR="00AC42BD" w:rsidRPr="00562F67" w:rsidRDefault="00AC42BD" w:rsidP="001B2652">
      <w:r w:rsidRPr="00562F67">
        <w:rPr>
          <w:i/>
        </w:rPr>
        <w:t>User stories</w:t>
      </w:r>
      <w:r w:rsidRPr="00562F67">
        <w:t xml:space="preserve"> are informal, natural language description of one or more features of a software system. They can be characterized by:</w:t>
      </w:r>
    </w:p>
    <w:p w14:paraId="0B7AA8C5" w14:textId="77777777" w:rsidR="00BB07D2" w:rsidRPr="00562F67" w:rsidRDefault="00BB07D2" w:rsidP="001B2652">
      <w:pPr>
        <w:pStyle w:val="ListParagraph"/>
        <w:numPr>
          <w:ilvl w:val="0"/>
          <w:numId w:val="21"/>
        </w:numPr>
      </w:pPr>
      <w:r w:rsidRPr="00562F67">
        <w:t>Description of the benefit and value to the user.</w:t>
      </w:r>
    </w:p>
    <w:p w14:paraId="7BA94FCD" w14:textId="77777777" w:rsidR="00BB07D2" w:rsidRPr="00562F67" w:rsidRDefault="00BB07D2" w:rsidP="001B2652">
      <w:pPr>
        <w:pStyle w:val="ListParagraph"/>
        <w:numPr>
          <w:ilvl w:val="0"/>
          <w:numId w:val="21"/>
        </w:numPr>
      </w:pPr>
      <w:r w:rsidRPr="00562F67">
        <w:t>Outline, in a non-technical language, of the desired outcome of a customer’s or user’s end goal.</w:t>
      </w:r>
    </w:p>
    <w:p w14:paraId="29675B31" w14:textId="77777777" w:rsidR="00BB07D2" w:rsidRPr="00562F67" w:rsidRDefault="00BB07D2" w:rsidP="001B2652">
      <w:pPr>
        <w:pStyle w:val="ListParagraph"/>
        <w:numPr>
          <w:ilvl w:val="0"/>
          <w:numId w:val="21"/>
        </w:numPr>
      </w:pPr>
      <w:r w:rsidRPr="00562F67">
        <w:t>User stories might take the following forms:</w:t>
      </w:r>
    </w:p>
    <w:p w14:paraId="63B34F50" w14:textId="77777777" w:rsidR="00BB07D2" w:rsidRPr="00562F67" w:rsidRDefault="00BB07D2" w:rsidP="001B2652">
      <w:pPr>
        <w:pStyle w:val="ListParagraph"/>
        <w:numPr>
          <w:ilvl w:val="1"/>
          <w:numId w:val="21"/>
        </w:numPr>
      </w:pPr>
      <w:r w:rsidRPr="00562F67">
        <w:t>"As a &lt;role&gt;, I want &lt;capability&gt; so that &lt;receive benefit&gt;"</w:t>
      </w:r>
    </w:p>
    <w:p w14:paraId="70F69C42" w14:textId="77777777" w:rsidR="00BB07D2" w:rsidRPr="00562F67" w:rsidRDefault="00BB07D2" w:rsidP="001B2652">
      <w:pPr>
        <w:pStyle w:val="ListParagraph"/>
        <w:numPr>
          <w:ilvl w:val="1"/>
          <w:numId w:val="21"/>
        </w:numPr>
      </w:pPr>
      <w:r w:rsidRPr="00562F67">
        <w:t>"In order to &lt;receive benefit&gt; as a &lt;role&gt;, I want &lt;goal/desire&gt;"</w:t>
      </w:r>
    </w:p>
    <w:p w14:paraId="0B369AEF" w14:textId="7325D5C1" w:rsidR="00AC42BD" w:rsidRPr="00562F67" w:rsidRDefault="00BB07D2" w:rsidP="001B2652">
      <w:pPr>
        <w:pStyle w:val="ListParagraph"/>
        <w:numPr>
          <w:ilvl w:val="1"/>
          <w:numId w:val="21"/>
        </w:numPr>
      </w:pPr>
      <w:r w:rsidRPr="00562F67">
        <w:t xml:space="preserve">"As &lt;persona&gt;, I want &lt;what?&gt; so that &lt;why?&gt;" where a persona is a fictional stakeholder (e.g. user). A persona may include a name, picture; characteristics, </w:t>
      </w:r>
      <w:r w:rsidR="00562F67" w:rsidRPr="00562F67">
        <w:t>behaviours</w:t>
      </w:r>
      <w:r w:rsidRPr="00562F67">
        <w:t>, attitudes, and a goal which the product should help them achieve.</w:t>
      </w:r>
    </w:p>
    <w:p w14:paraId="3B289E92" w14:textId="7206888D" w:rsidR="00BB07D2" w:rsidRPr="00562F67" w:rsidRDefault="00BB07D2" w:rsidP="00BB07D2">
      <w:r w:rsidRPr="00562F67">
        <w:t>The following is an example of user story: “</w:t>
      </w:r>
      <w:r w:rsidRPr="00562F67">
        <w:rPr>
          <w:i/>
        </w:rPr>
        <w:t>As provider of the Climate gateway I want to empower researchers from academia to interact with data</w:t>
      </w:r>
      <w:r w:rsidR="00636BCE" w:rsidRPr="00562F67">
        <w:rPr>
          <w:i/>
        </w:rPr>
        <w:t xml:space="preserve"> </w:t>
      </w:r>
      <w:r w:rsidRPr="00562F67">
        <w:rPr>
          <w:i/>
        </w:rPr>
        <w:t xml:space="preserve">sets stored in the Climate Catalogue and bring their own applications to </w:t>
      </w:r>
      <w:r w:rsidR="00562F67" w:rsidRPr="00562F67">
        <w:rPr>
          <w:i/>
        </w:rPr>
        <w:t>analyse</w:t>
      </w:r>
      <w:r w:rsidRPr="00562F67">
        <w:rPr>
          <w:i/>
        </w:rPr>
        <w:t xml:space="preserve"> this data on remote cloud servers offered via EGI.</w:t>
      </w:r>
      <w:r w:rsidRPr="00562F67">
        <w:t>”</w:t>
      </w:r>
    </w:p>
    <w:p w14:paraId="2284CEB6" w14:textId="1F3A4CA2" w:rsidR="00564D14" w:rsidRPr="00562F67" w:rsidRDefault="00564D14" w:rsidP="00564D14">
      <w:pPr>
        <w:pStyle w:val="Heading2"/>
      </w:pPr>
      <w:bookmarkStart w:id="18" w:name="_Toc12371654"/>
      <w:r w:rsidRPr="00562F67">
        <w:t>Use cases</w:t>
      </w:r>
      <w:bookmarkEnd w:id="18"/>
    </w:p>
    <w:p w14:paraId="77AD128F" w14:textId="7D875BFE" w:rsidR="00EF6E76" w:rsidRPr="00562F67" w:rsidRDefault="00E85EBD" w:rsidP="001B2652">
      <w:r w:rsidRPr="00562F67">
        <w:rPr>
          <w:i/>
        </w:rPr>
        <w:t>Use cases</w:t>
      </w:r>
      <w:r w:rsidRPr="00562F67">
        <w:t xml:space="preserve"> are action lists or event steps typically defining the interactions between a role/actor and a system to achieve a goal. They:</w:t>
      </w:r>
    </w:p>
    <w:p w14:paraId="0E3F815B" w14:textId="77777777" w:rsidR="00E85EBD" w:rsidRPr="00562F67" w:rsidRDefault="00E85EBD" w:rsidP="001B2652">
      <w:pPr>
        <w:pStyle w:val="ListParagraph"/>
        <w:numPr>
          <w:ilvl w:val="0"/>
          <w:numId w:val="21"/>
        </w:numPr>
      </w:pPr>
      <w:r w:rsidRPr="00562F67">
        <w:t>Describe the interaction between the actor and a system.</w:t>
      </w:r>
    </w:p>
    <w:p w14:paraId="35522EE4" w14:textId="77777777" w:rsidR="00E85EBD" w:rsidRPr="00562F67" w:rsidRDefault="00E85EBD" w:rsidP="001B2652">
      <w:pPr>
        <w:pStyle w:val="ListParagraph"/>
        <w:numPr>
          <w:ilvl w:val="0"/>
          <w:numId w:val="21"/>
        </w:numPr>
      </w:pPr>
      <w:r w:rsidRPr="00562F67">
        <w:t>Refer to the list of actions, derived from the user stories, between a role or actor and a system to achieve the goal (where ‘actor’ can be people or other systems).</w:t>
      </w:r>
    </w:p>
    <w:p w14:paraId="2CDDA876" w14:textId="77777777" w:rsidR="00E85EBD" w:rsidRPr="00562F67" w:rsidRDefault="00E85EBD" w:rsidP="001B2652">
      <w:pPr>
        <w:pStyle w:val="ListParagraph"/>
        <w:numPr>
          <w:ilvl w:val="0"/>
          <w:numId w:val="21"/>
        </w:numPr>
      </w:pPr>
      <w:r w:rsidRPr="00562F67">
        <w:t>Since a system is involved, the dependencies with EOSC-hub services for each action are already identified at this stage.</w:t>
      </w:r>
    </w:p>
    <w:p w14:paraId="4E948338" w14:textId="10466D57" w:rsidR="00E85EBD" w:rsidRPr="00562F67" w:rsidRDefault="00E85EBD" w:rsidP="001B2652">
      <w:pPr>
        <w:pStyle w:val="ListParagraph"/>
        <w:numPr>
          <w:ilvl w:val="0"/>
          <w:numId w:val="21"/>
        </w:numPr>
      </w:pPr>
      <w:r w:rsidRPr="00562F67">
        <w:lastRenderedPageBreak/>
        <w:t>Use case descriptions do not follow a specific format as user stories do, they describe a single action which implies a subject-verb-object structure and the system that is involved in the action.</w:t>
      </w:r>
    </w:p>
    <w:p w14:paraId="4CE10F5E" w14:textId="4DE8D989" w:rsidR="00E85EBD" w:rsidRPr="00562F67" w:rsidRDefault="00E85EBD" w:rsidP="00E85EBD">
      <w:r w:rsidRPr="00562F67">
        <w:t xml:space="preserve">A simple example of a use case is the following: </w:t>
      </w:r>
      <w:r w:rsidR="001B2652" w:rsidRPr="00562F67">
        <w:t>“</w:t>
      </w:r>
      <w:r w:rsidRPr="00562F67">
        <w:rPr>
          <w:i/>
        </w:rPr>
        <w:t>1) Data are selected; 2) Software selected/uploaded; 3) Data staging at HPC resources; 4)</w:t>
      </w:r>
      <w:r w:rsidR="00204939" w:rsidRPr="00562F67">
        <w:rPr>
          <w:i/>
        </w:rPr>
        <w:t xml:space="preserve"> </w:t>
      </w:r>
      <w:r w:rsidRPr="00562F67">
        <w:rPr>
          <w:i/>
        </w:rPr>
        <w:t>Processing of data; 5) Results presented</w:t>
      </w:r>
      <w:r w:rsidR="001B2652" w:rsidRPr="00562F67">
        <w:t>”</w:t>
      </w:r>
      <w:r w:rsidRPr="00562F67">
        <w:t>.</w:t>
      </w:r>
    </w:p>
    <w:p w14:paraId="3C5CCE73" w14:textId="7F05313B" w:rsidR="00564D14" w:rsidRPr="00562F67" w:rsidRDefault="00564D14" w:rsidP="00564D14">
      <w:pPr>
        <w:pStyle w:val="Heading2"/>
      </w:pPr>
      <w:bookmarkStart w:id="19" w:name="_Toc12371655"/>
      <w:r w:rsidRPr="00562F67">
        <w:t>Technical requirements</w:t>
      </w:r>
      <w:bookmarkEnd w:id="19"/>
    </w:p>
    <w:p w14:paraId="11F3EF4E" w14:textId="6EF3A496" w:rsidR="00E85EBD" w:rsidRPr="00562F67" w:rsidRDefault="00E85EBD" w:rsidP="001B2652">
      <w:r w:rsidRPr="00562F67">
        <w:rPr>
          <w:i/>
        </w:rPr>
        <w:t>Technical requirements</w:t>
      </w:r>
      <w:r w:rsidRPr="00562F67">
        <w:t xml:space="preserve"> describe the technical work that needs to be implemented on the EOSC-hub services to enable the use cases.</w:t>
      </w:r>
    </w:p>
    <w:p w14:paraId="3F4D181E" w14:textId="77777777" w:rsidR="00E85EBD" w:rsidRPr="00562F67" w:rsidRDefault="00E85EBD" w:rsidP="001B2652">
      <w:pPr>
        <w:pStyle w:val="ListParagraph"/>
        <w:numPr>
          <w:ilvl w:val="0"/>
          <w:numId w:val="21"/>
        </w:numPr>
      </w:pPr>
      <w:r w:rsidRPr="00562F67">
        <w:t>Technical requirements are the small units of development or integration work to be done by the technical groups and product teams within WP5, WP6 and WP7.</w:t>
      </w:r>
    </w:p>
    <w:p w14:paraId="0BA30640" w14:textId="77777777" w:rsidR="00E85EBD" w:rsidRPr="00562F67" w:rsidRDefault="00E85EBD" w:rsidP="001B2652">
      <w:pPr>
        <w:pStyle w:val="ListParagraph"/>
        <w:numPr>
          <w:ilvl w:val="0"/>
          <w:numId w:val="21"/>
        </w:numPr>
      </w:pPr>
      <w:r w:rsidRPr="00562F67">
        <w:t>A JIRA issue must be created for each identified new technical requirement.</w:t>
      </w:r>
    </w:p>
    <w:p w14:paraId="08338671" w14:textId="77777777" w:rsidR="00E85EBD" w:rsidRPr="00562F67" w:rsidRDefault="00E85EBD" w:rsidP="001B2652">
      <w:pPr>
        <w:pStyle w:val="ListParagraph"/>
        <w:numPr>
          <w:ilvl w:val="0"/>
          <w:numId w:val="21"/>
        </w:numPr>
      </w:pPr>
      <w:r w:rsidRPr="00562F67">
        <w:t>Each requirement contains the following information:</w:t>
      </w:r>
    </w:p>
    <w:p w14:paraId="466CC230" w14:textId="4899A47C" w:rsidR="00E85EBD" w:rsidRPr="00562F67" w:rsidRDefault="00E85EBD" w:rsidP="001B2652">
      <w:pPr>
        <w:pStyle w:val="ListParagraph"/>
        <w:numPr>
          <w:ilvl w:val="1"/>
          <w:numId w:val="21"/>
        </w:numPr>
      </w:pPr>
      <w:r w:rsidRPr="00562F67">
        <w:t>Formal description</w:t>
      </w:r>
      <w:r w:rsidR="009702C1" w:rsidRPr="00562F67">
        <w:t>.</w:t>
      </w:r>
    </w:p>
    <w:p w14:paraId="55627ED5" w14:textId="49480F53" w:rsidR="00E85EBD" w:rsidRPr="00562F67" w:rsidRDefault="00E85EBD" w:rsidP="001B2652">
      <w:pPr>
        <w:pStyle w:val="ListParagraph"/>
        <w:numPr>
          <w:ilvl w:val="1"/>
          <w:numId w:val="21"/>
        </w:numPr>
      </w:pPr>
      <w:r w:rsidRPr="00562F67">
        <w:t>Source Use case</w:t>
      </w:r>
      <w:r w:rsidR="009702C1" w:rsidRPr="00562F67">
        <w:t>.</w:t>
      </w:r>
    </w:p>
    <w:p w14:paraId="3EA89196" w14:textId="6C80D1AB" w:rsidR="00E85EBD" w:rsidRPr="00562F67" w:rsidRDefault="00E85EBD" w:rsidP="001B2652">
      <w:pPr>
        <w:pStyle w:val="ListParagraph"/>
        <w:numPr>
          <w:ilvl w:val="1"/>
          <w:numId w:val="21"/>
        </w:numPr>
      </w:pPr>
      <w:r w:rsidRPr="00562F67">
        <w:t>JIRA issue reference</w:t>
      </w:r>
      <w:r w:rsidR="009702C1" w:rsidRPr="00562F67">
        <w:t>.</w:t>
      </w:r>
    </w:p>
    <w:p w14:paraId="2493AB0D" w14:textId="1E6925BA" w:rsidR="00A30A98" w:rsidRPr="00562F67" w:rsidRDefault="00E85EBD" w:rsidP="00915721">
      <w:pPr>
        <w:pStyle w:val="ListParagraph"/>
        <w:numPr>
          <w:ilvl w:val="0"/>
          <w:numId w:val="21"/>
        </w:numPr>
      </w:pPr>
      <w:r w:rsidRPr="00562F67">
        <w:t>Technical support people</w:t>
      </w:r>
      <w:r w:rsidR="00C12EC1" w:rsidRPr="00562F67">
        <w:rPr>
          <w:rStyle w:val="FootnoteReference"/>
        </w:rPr>
        <w:footnoteReference w:id="5"/>
      </w:r>
      <w:r w:rsidRPr="00562F67">
        <w:t xml:space="preserve"> oversee the implementation of the requirements identifying the best technical solution to satisfy each requirement and acting as a bridge between the customer and the product teams.</w:t>
      </w:r>
    </w:p>
    <w:p w14:paraId="5015DCBA" w14:textId="055D597A" w:rsidR="00A30A98" w:rsidRPr="00562F67" w:rsidRDefault="00915721" w:rsidP="00915721">
      <w:pPr>
        <w:pStyle w:val="Heading1"/>
      </w:pPr>
      <w:bookmarkStart w:id="20" w:name="_Ref6493155"/>
      <w:bookmarkStart w:id="21" w:name="_Ref6493196"/>
      <w:bookmarkStart w:id="22" w:name="_Toc12371656"/>
      <w:r w:rsidRPr="00562F67">
        <w:lastRenderedPageBreak/>
        <w:t>Tools to record and handle requirements</w:t>
      </w:r>
      <w:bookmarkEnd w:id="20"/>
      <w:bookmarkEnd w:id="21"/>
      <w:bookmarkEnd w:id="22"/>
    </w:p>
    <w:p w14:paraId="68A6BD07" w14:textId="77777777" w:rsidR="00915721" w:rsidRPr="00562F67" w:rsidRDefault="00915721" w:rsidP="00915721">
      <w:r w:rsidRPr="00562F67">
        <w:t>EOSC-hub main tools for documentation and issue tracking are, respectively, Confluence and JIRA. WP10 relies on the tight integration among these two tools in order to connect requirement descriptions (Confluence) together with their associated integration and development activities (JIRA). Consequently, customers appear as involved actors within those activities, following their progress, and being able to provide and receive timely feedback.</w:t>
      </w:r>
    </w:p>
    <w:p w14:paraId="71C19E97" w14:textId="546EE51C" w:rsidR="00A30A98" w:rsidRPr="00562F67" w:rsidRDefault="00915721" w:rsidP="00915721">
      <w:r w:rsidRPr="00562F67">
        <w:t xml:space="preserve">Each </w:t>
      </w:r>
      <w:r w:rsidR="00843A07" w:rsidRPr="00562F67">
        <w:t>community</w:t>
      </w:r>
      <w:r w:rsidRPr="00562F67">
        <w:t xml:space="preserve"> has assigned a unique WP10 contact. The main role of this responsible person is driving the integration of the service in the </w:t>
      </w:r>
      <w:r w:rsidR="001B2652" w:rsidRPr="00562F67">
        <w:t>H</w:t>
      </w:r>
      <w:r w:rsidRPr="00562F67">
        <w:t xml:space="preserve">ub by bridging users and development teams, leading the coordination of the technical activities. The main </w:t>
      </w:r>
      <w:r w:rsidR="008C5208" w:rsidRPr="00562F67">
        <w:t xml:space="preserve">WP10 </w:t>
      </w:r>
      <w:r w:rsidRPr="00562F67">
        <w:t>contact is backed by a team composed by 4/5 additional technical experts from WP10 that are selected, after the use case analysis, according to the specific needs of the customers.</w:t>
      </w:r>
    </w:p>
    <w:p w14:paraId="2BEDEA96" w14:textId="618ABF3C" w:rsidR="00A070B9" w:rsidRPr="00562F67" w:rsidRDefault="00873EB6" w:rsidP="00873EB6">
      <w:pPr>
        <w:pStyle w:val="Heading2"/>
      </w:pPr>
      <w:bookmarkStart w:id="23" w:name="_Toc12371657"/>
      <w:r w:rsidRPr="00562F67">
        <w:t>Community Requirements DB</w:t>
      </w:r>
      <w:bookmarkEnd w:id="23"/>
    </w:p>
    <w:p w14:paraId="54D05F8C" w14:textId="0661CF20" w:rsidR="00095BD8" w:rsidRPr="00562F67" w:rsidRDefault="00095BD8" w:rsidP="00095BD8">
      <w:r w:rsidRPr="00562F67">
        <w:t>The primary source of information is the Community Requirements DB. Each entry in the database points to a document containing an analysis of the technical requirements of an internal (</w:t>
      </w:r>
      <w:r w:rsidR="008C5208" w:rsidRPr="00562F67">
        <w:t>e.</w:t>
      </w:r>
      <w:r w:rsidR="00F12750" w:rsidRPr="00562F67">
        <w:t>g.</w:t>
      </w:r>
      <w:r w:rsidR="008C5208" w:rsidRPr="00562F67">
        <w:t xml:space="preserve"> T</w:t>
      </w:r>
      <w:r w:rsidRPr="00562F67">
        <w:t>hematic</w:t>
      </w:r>
      <w:r w:rsidR="008C5208" w:rsidRPr="00562F67">
        <w:t xml:space="preserve"> Service</w:t>
      </w:r>
      <w:r w:rsidRPr="00562F67">
        <w:t xml:space="preserve">, </w:t>
      </w:r>
      <w:r w:rsidR="008C5208" w:rsidRPr="00562F67">
        <w:t>C</w:t>
      </w:r>
      <w:r w:rsidRPr="00562F67">
        <w:t xml:space="preserve">ompetence </w:t>
      </w:r>
      <w:r w:rsidR="008C5208" w:rsidRPr="00562F67">
        <w:t>C</w:t>
      </w:r>
      <w:r w:rsidR="00F438A7" w:rsidRPr="00562F67">
        <w:t>entre</w:t>
      </w:r>
      <w:r w:rsidRPr="00562F67">
        <w:t xml:space="preserve"> </w:t>
      </w:r>
      <w:r w:rsidR="008C5208" w:rsidRPr="00562F67">
        <w:t>B</w:t>
      </w:r>
      <w:r w:rsidRPr="00562F67">
        <w:t xml:space="preserve">usiness </w:t>
      </w:r>
      <w:r w:rsidR="008C5208" w:rsidRPr="00562F67">
        <w:t>P</w:t>
      </w:r>
      <w:r w:rsidRPr="00562F67">
        <w:t xml:space="preserve">ilot) or external use case. The structure of this document has three main sections corresponding to the three core components of the agile process described in </w:t>
      </w:r>
      <w:r w:rsidR="00EA6CD9" w:rsidRPr="00562F67">
        <w:t>S</w:t>
      </w:r>
      <w:r w:rsidRPr="00562F67">
        <w:t xml:space="preserve">ection </w:t>
      </w:r>
      <w:r w:rsidRPr="00562F67">
        <w:fldChar w:fldCharType="begin"/>
      </w:r>
      <w:r w:rsidRPr="00562F67">
        <w:instrText xml:space="preserve"> REF _Ref6480237 \r \h </w:instrText>
      </w:r>
      <w:r w:rsidRPr="00562F67">
        <w:fldChar w:fldCharType="separate"/>
      </w:r>
      <w:r w:rsidR="00167EB3">
        <w:t>3</w:t>
      </w:r>
      <w:r w:rsidRPr="00562F67">
        <w:fldChar w:fldCharType="end"/>
      </w:r>
      <w:r w:rsidRPr="00562F67">
        <w:t xml:space="preserve"> (i.e. user stories, use cases and technical requirements). </w:t>
      </w:r>
    </w:p>
    <w:p w14:paraId="614D4D57" w14:textId="44DDFFC2" w:rsidR="00A30A98" w:rsidRPr="00562F67" w:rsidRDefault="00095BD8" w:rsidP="00095BD8">
      <w:r w:rsidRPr="00562F67">
        <w:t>Whenever a new use case comes in, WP10 initially holds an interview with the user community’s main contacts in order to build a shared understanding that will yield to the elaboration of the user stories. In subsequent iterations, the WP10 responsible will break down the stories into use cases and use cases into technical requirements. The whole process will be transparent for the customers as WP10 works directly in the document --stored in the Community Requirements DB-- at this stage in the technical evaluation process.</w:t>
      </w:r>
    </w:p>
    <w:p w14:paraId="2164DE79" w14:textId="00144EB4" w:rsidR="00095BD8" w:rsidRPr="00562F67" w:rsidRDefault="00095BD8" w:rsidP="00095BD8">
      <w:pPr>
        <w:keepNext/>
      </w:pPr>
    </w:p>
    <w:p w14:paraId="6D9CDC11" w14:textId="217CE62B" w:rsidR="00A30A98" w:rsidRPr="00562F67" w:rsidRDefault="00095BD8" w:rsidP="00095BD8">
      <w:pPr>
        <w:pStyle w:val="Heading2"/>
      </w:pPr>
      <w:bookmarkStart w:id="24" w:name="_Toc12371658"/>
      <w:r w:rsidRPr="00562F67">
        <w:t>Activity dashboard</w:t>
      </w:r>
      <w:bookmarkEnd w:id="24"/>
    </w:p>
    <w:p w14:paraId="66E38865" w14:textId="782740CA" w:rsidR="00095BD8" w:rsidRPr="00562F67" w:rsidRDefault="00095BD8" w:rsidP="00095BD8">
      <w:r w:rsidRPr="00562F67">
        <w:t>Once the requirements are eligible for a deeper technical assessment, the WP10 contact creates the associated, one-to-one, issues in the Activity dashboard in JIRA, under a specific queue</w:t>
      </w:r>
      <w:r w:rsidR="00003D98" w:rsidRPr="00562F67">
        <w:rPr>
          <w:rStyle w:val="FootnoteReference"/>
        </w:rPr>
        <w:footnoteReference w:id="6"/>
      </w:r>
      <w:r w:rsidRPr="00562F67">
        <w:t xml:space="preserve"> (</w:t>
      </w:r>
      <w:r w:rsidRPr="00562F67">
        <w:rPr>
          <w:i/>
        </w:rPr>
        <w:t>project</w:t>
      </w:r>
      <w:r w:rsidRPr="00562F67">
        <w:t xml:space="preserve"> in JIRA terminology) for WP10 (</w:t>
      </w:r>
      <w:r w:rsidRPr="00562F67">
        <w:rPr>
          <w:i/>
        </w:rPr>
        <w:t>EOSCWP10</w:t>
      </w:r>
      <w:r w:rsidRPr="00562F67">
        <w:t xml:space="preserve">). </w:t>
      </w:r>
    </w:p>
    <w:p w14:paraId="4F96C5E7" w14:textId="6DE9A853" w:rsidR="00095BD8" w:rsidRPr="00562F67" w:rsidRDefault="00095BD8" w:rsidP="00095BD8">
      <w:r w:rsidRPr="00562F67">
        <w:t>Each issue contains additional relevant information, such as:</w:t>
      </w:r>
    </w:p>
    <w:p w14:paraId="5648C50A" w14:textId="169021CA" w:rsidR="00E35D64" w:rsidRPr="00562F67" w:rsidRDefault="00E35D64" w:rsidP="00E35D64">
      <w:pPr>
        <w:pStyle w:val="ListParagraph"/>
        <w:numPr>
          <w:ilvl w:val="0"/>
          <w:numId w:val="23"/>
        </w:numPr>
      </w:pPr>
      <w:r w:rsidRPr="00562F67">
        <w:t>Components or services involved from the catalogue</w:t>
      </w:r>
      <w:r w:rsidR="008C5208" w:rsidRPr="00562F67">
        <w:t>.</w:t>
      </w:r>
    </w:p>
    <w:p w14:paraId="40BBF171" w14:textId="52800FA7" w:rsidR="00E35D64" w:rsidRPr="00562F67" w:rsidRDefault="00E35D64" w:rsidP="00E35D64">
      <w:pPr>
        <w:pStyle w:val="ListParagraph"/>
        <w:numPr>
          <w:ilvl w:val="0"/>
          <w:numId w:val="23"/>
        </w:numPr>
      </w:pPr>
      <w:r w:rsidRPr="00562F67">
        <w:t xml:space="preserve">Project tasks </w:t>
      </w:r>
      <w:r w:rsidR="00562F67" w:rsidRPr="00562F67">
        <w:t>involved.</w:t>
      </w:r>
    </w:p>
    <w:p w14:paraId="052A499B" w14:textId="1AC75796" w:rsidR="00E35D64" w:rsidRPr="00562F67" w:rsidRDefault="00E35D64" w:rsidP="00E35D64">
      <w:pPr>
        <w:pStyle w:val="ListParagraph"/>
        <w:numPr>
          <w:ilvl w:val="0"/>
          <w:numId w:val="23"/>
        </w:numPr>
      </w:pPr>
      <w:r w:rsidRPr="00562F67">
        <w:t>Gap assessment</w:t>
      </w:r>
      <w:r w:rsidR="008C5208" w:rsidRPr="00562F67">
        <w:t>.</w:t>
      </w:r>
    </w:p>
    <w:p w14:paraId="425672B6" w14:textId="15E5547C" w:rsidR="00E35D64" w:rsidRPr="00562F67" w:rsidRDefault="00E35D64" w:rsidP="00E35D64">
      <w:pPr>
        <w:pStyle w:val="ListParagraph"/>
        <w:numPr>
          <w:ilvl w:val="0"/>
          <w:numId w:val="23"/>
        </w:numPr>
      </w:pPr>
      <w:r w:rsidRPr="00562F67">
        <w:t>Technical committee (TCOM) area</w:t>
      </w:r>
      <w:r w:rsidR="008C5208" w:rsidRPr="00562F67">
        <w:t>.</w:t>
      </w:r>
      <w:r w:rsidR="00562F67" w:rsidRPr="00562F67">
        <w:t xml:space="preserve"> </w:t>
      </w:r>
    </w:p>
    <w:p w14:paraId="774CF9CF" w14:textId="77777777" w:rsidR="00CD6220" w:rsidRPr="00562F67" w:rsidRDefault="00CD6220" w:rsidP="00CD6220">
      <w:r w:rsidRPr="00562F67">
        <w:lastRenderedPageBreak/>
        <w:t>Each JIRA issue is then mapped back to the associated requirement definition described in the Community Requirements DB.</w:t>
      </w:r>
    </w:p>
    <w:p w14:paraId="50FE6706" w14:textId="56D072FA" w:rsidR="00CD6220" w:rsidRPr="00562F67" w:rsidRDefault="00CD6220" w:rsidP="00CD6220">
      <w:r w:rsidRPr="00562F67">
        <w:t xml:space="preserve">A set of dashboards </w:t>
      </w:r>
      <w:r w:rsidR="008C5208" w:rsidRPr="00562F67">
        <w:t>were</w:t>
      </w:r>
      <w:r w:rsidRPr="00562F67">
        <w:t xml:space="preserve"> created to facilitate the management of the JIRA issues per involved WPs, tasks and technical areas. The following pictures show parts of the dashboards that group JIRA issue</w:t>
      </w:r>
      <w:r w:rsidR="001C08C2" w:rsidRPr="00562F67">
        <w:t>s</w:t>
      </w:r>
      <w:r w:rsidRPr="00562F67">
        <w:t xml:space="preserve"> per WP6 tasks and technical areas.</w:t>
      </w:r>
    </w:p>
    <w:p w14:paraId="1C0BD0BD" w14:textId="77777777" w:rsidR="00CD6220" w:rsidRPr="00562F67" w:rsidRDefault="00CD6220" w:rsidP="00CD6220">
      <w:pPr>
        <w:keepNext/>
      </w:pPr>
      <w:r w:rsidRPr="00562F67">
        <w:rPr>
          <w:noProof/>
          <w:lang w:eastAsia="en-GB"/>
        </w:rPr>
        <w:drawing>
          <wp:inline distT="0" distB="0" distL="0" distR="0" wp14:anchorId="334749CC" wp14:editId="191BB469">
            <wp:extent cx="5729605" cy="31242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9605" cy="3124200"/>
                    </a:xfrm>
                    <a:prstGeom prst="rect">
                      <a:avLst/>
                    </a:prstGeom>
                    <a:noFill/>
                    <a:ln>
                      <a:noFill/>
                    </a:ln>
                  </pic:spPr>
                </pic:pic>
              </a:graphicData>
            </a:graphic>
          </wp:inline>
        </w:drawing>
      </w:r>
    </w:p>
    <w:p w14:paraId="7978F775" w14:textId="26C1209E" w:rsidR="00CD6220" w:rsidRPr="00562F67" w:rsidRDefault="00CD6220" w:rsidP="00CD6220">
      <w:pPr>
        <w:pStyle w:val="Caption"/>
      </w:pPr>
      <w:r w:rsidRPr="00562F67">
        <w:t xml:space="preserve">Figure </w:t>
      </w:r>
      <w:fldSimple w:instr=" SEQ Figure \* ARABIC ">
        <w:r w:rsidR="00167EB3">
          <w:rPr>
            <w:noProof/>
          </w:rPr>
          <w:t>5</w:t>
        </w:r>
      </w:fldSimple>
      <w:r w:rsidRPr="00562F67">
        <w:t xml:space="preserve">. Dashboard grouping JIRA issues per WP6 tasks. This picture shows the part of the dashboard related to the T6.1 </w:t>
      </w:r>
      <w:r w:rsidRPr="00562F67">
        <w:rPr>
          <w:i/>
        </w:rPr>
        <w:t xml:space="preserve">Discovery and </w:t>
      </w:r>
      <w:r w:rsidRPr="00562F67">
        <w:t xml:space="preserve">access and T6.2 </w:t>
      </w:r>
      <w:r w:rsidRPr="00562F67">
        <w:rPr>
          <w:i/>
        </w:rPr>
        <w:t>Cloud Compute</w:t>
      </w:r>
      <w:r w:rsidRPr="00562F67">
        <w:t>.</w:t>
      </w:r>
    </w:p>
    <w:p w14:paraId="715E3A6B" w14:textId="77777777" w:rsidR="00CD6220" w:rsidRPr="00562F67" w:rsidRDefault="00CD6220" w:rsidP="00CD6220">
      <w:pPr>
        <w:keepNext/>
      </w:pPr>
      <w:r w:rsidRPr="00562F67">
        <w:rPr>
          <w:rFonts w:ascii="Arial" w:hAnsi="Arial" w:cs="Arial"/>
          <w:noProof/>
          <w:color w:val="000000"/>
          <w:lang w:eastAsia="en-GB"/>
        </w:rPr>
        <w:drawing>
          <wp:inline distT="0" distB="0" distL="0" distR="0" wp14:anchorId="6305C416" wp14:editId="3FB9B76B">
            <wp:extent cx="5731510" cy="3322955"/>
            <wp:effectExtent l="0" t="0" r="2540" b="0"/>
            <wp:docPr id="11" name="Picture 11" descr="https://lh5.googleusercontent.com/KHQ-uoK281BzTgWhHdJHkcYXjDjPYTSR4vwVasPrkPCXFCN17ZJoF0qGLVklDcEKXyi3grKD6HhDErk9FBdZXxJ9A2DtebAT4ndayytfs7t7vc3UA_B-5EZo9evGVc8KavlN0y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KHQ-uoK281BzTgWhHdJHkcYXjDjPYTSR4vwVasPrkPCXFCN17ZJoF0qGLVklDcEKXyi3grKD6HhDErk9FBdZXxJ9A2DtebAT4ndayytfs7t7vc3UA_B-5EZo9evGVc8KavlN0y0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322955"/>
                    </a:xfrm>
                    <a:prstGeom prst="rect">
                      <a:avLst/>
                    </a:prstGeom>
                    <a:noFill/>
                    <a:ln>
                      <a:noFill/>
                    </a:ln>
                  </pic:spPr>
                </pic:pic>
              </a:graphicData>
            </a:graphic>
          </wp:inline>
        </w:drawing>
      </w:r>
    </w:p>
    <w:p w14:paraId="20569461" w14:textId="75A57F33" w:rsidR="00CD6220" w:rsidRPr="00562F67" w:rsidRDefault="00CD6220" w:rsidP="00CD6220">
      <w:pPr>
        <w:pStyle w:val="Caption"/>
      </w:pPr>
      <w:r w:rsidRPr="00562F67">
        <w:t xml:space="preserve">Figure </w:t>
      </w:r>
      <w:fldSimple w:instr=" SEQ Figure \* ARABIC ">
        <w:r w:rsidR="00167EB3">
          <w:rPr>
            <w:noProof/>
          </w:rPr>
          <w:t>6</w:t>
        </w:r>
      </w:fldSimple>
      <w:r w:rsidRPr="00562F67">
        <w:t xml:space="preserve">. Dashboard grouping JIRA issues per technical areas. This picture shows the part of the dashboard related to the </w:t>
      </w:r>
      <w:r w:rsidRPr="00562F67">
        <w:rPr>
          <w:i/>
        </w:rPr>
        <w:t>Federation tools</w:t>
      </w:r>
      <w:r w:rsidRPr="00562F67">
        <w:t xml:space="preserve"> and </w:t>
      </w:r>
      <w:r w:rsidRPr="00562F67">
        <w:rPr>
          <w:i/>
        </w:rPr>
        <w:t>Cloud Compute</w:t>
      </w:r>
      <w:r w:rsidRPr="00562F67">
        <w:t xml:space="preserve"> technical areas.</w:t>
      </w:r>
    </w:p>
    <w:p w14:paraId="35B373BC" w14:textId="4B54BDDA" w:rsidR="00A30A98" w:rsidRPr="00562F67" w:rsidRDefault="000723AB" w:rsidP="0060134C">
      <w:pPr>
        <w:pStyle w:val="Heading2"/>
      </w:pPr>
      <w:bookmarkStart w:id="25" w:name="_Ref6503670"/>
      <w:bookmarkStart w:id="26" w:name="_Ref6503688"/>
      <w:bookmarkStart w:id="27" w:name="_Toc12371659"/>
      <w:r w:rsidRPr="00562F67">
        <w:lastRenderedPageBreak/>
        <w:t>Handle technical requirements</w:t>
      </w:r>
      <w:bookmarkEnd w:id="25"/>
      <w:bookmarkEnd w:id="26"/>
      <w:bookmarkEnd w:id="27"/>
    </w:p>
    <w:p w14:paraId="0D0432FC" w14:textId="1465D850" w:rsidR="000723AB" w:rsidRPr="00562F67" w:rsidRDefault="000723AB" w:rsidP="000723AB">
      <w:r w:rsidRPr="00562F67">
        <w:t>Technical support starts once the identified requirements have been registered in the WP10 queue as JIRA issues. At that point in time, WP10 support teams supervise and monitor the overall operation throughout the issue life cycle. This may imply further discussion and/or negotiation with the service developers, especially if multiple services are involved. From WP10 point of view, supervision of open issues cover</w:t>
      </w:r>
      <w:r w:rsidR="001B2652" w:rsidRPr="00562F67">
        <w:t>s</w:t>
      </w:r>
      <w:r w:rsidR="002E42AD" w:rsidRPr="00562F67">
        <w:t xml:space="preserve"> the following tasks</w:t>
      </w:r>
      <w:r w:rsidRPr="00562F67">
        <w:t>:</w:t>
      </w:r>
    </w:p>
    <w:p w14:paraId="512BF9D3" w14:textId="77777777" w:rsidR="000723AB" w:rsidRPr="00562F67" w:rsidRDefault="000723AB" w:rsidP="000723AB">
      <w:pPr>
        <w:pStyle w:val="ListParagraph"/>
        <w:numPr>
          <w:ilvl w:val="0"/>
          <w:numId w:val="24"/>
        </w:numPr>
      </w:pPr>
      <w:r w:rsidRPr="00562F67">
        <w:t>Assign issues to a suitable technical contact that could support the case for each service the customer is going to test/use:</w:t>
      </w:r>
    </w:p>
    <w:p w14:paraId="484730CB" w14:textId="77777777" w:rsidR="000723AB" w:rsidRPr="00562F67" w:rsidRDefault="000723AB" w:rsidP="000723AB">
      <w:pPr>
        <w:pStyle w:val="ListParagraph"/>
        <w:numPr>
          <w:ilvl w:val="1"/>
          <w:numId w:val="24"/>
        </w:numPr>
      </w:pPr>
      <w:r w:rsidRPr="00562F67">
        <w:t>A suitable technical expert from T10.3.</w:t>
      </w:r>
    </w:p>
    <w:p w14:paraId="7E785ACF" w14:textId="59DB7592" w:rsidR="00A30A98" w:rsidRPr="00562F67" w:rsidRDefault="000723AB" w:rsidP="000723AB">
      <w:pPr>
        <w:pStyle w:val="ListParagraph"/>
        <w:numPr>
          <w:ilvl w:val="1"/>
          <w:numId w:val="24"/>
        </w:numPr>
      </w:pPr>
      <w:r w:rsidRPr="00562F67">
        <w:t xml:space="preserve">Leader of the technical team that is maintaining and developing the service in case the requirement triggers technical development or integration activities or there is </w:t>
      </w:r>
      <w:r w:rsidR="00562F67" w:rsidRPr="00562F67">
        <w:t>not</w:t>
      </w:r>
      <w:r w:rsidRPr="00562F67">
        <w:t xml:space="preserve"> </w:t>
      </w:r>
      <w:r w:rsidR="001B2652" w:rsidRPr="00562F67">
        <w:t>enough</w:t>
      </w:r>
      <w:r w:rsidRPr="00562F67">
        <w:t xml:space="preserve"> expertise within T10.3.</w:t>
      </w:r>
    </w:p>
    <w:p w14:paraId="5DE2DC1C" w14:textId="58273536" w:rsidR="000723AB" w:rsidRPr="00562F67" w:rsidRDefault="000723AB" w:rsidP="000723AB">
      <w:pPr>
        <w:pStyle w:val="ListParagraph"/>
        <w:numPr>
          <w:ilvl w:val="0"/>
          <w:numId w:val="24"/>
        </w:numPr>
      </w:pPr>
      <w:r w:rsidRPr="00562F67">
        <w:t>Act as an interface between customers and technical teams:</w:t>
      </w:r>
    </w:p>
    <w:p w14:paraId="15643A6B" w14:textId="77777777" w:rsidR="000723AB" w:rsidRPr="00562F67" w:rsidRDefault="000723AB" w:rsidP="000723AB">
      <w:pPr>
        <w:pStyle w:val="ListParagraph"/>
        <w:numPr>
          <w:ilvl w:val="1"/>
          <w:numId w:val="24"/>
        </w:numPr>
      </w:pPr>
      <w:r w:rsidRPr="00562F67">
        <w:t>Timely reporting to user communities through the JIRA issues, online meetings, etc.</w:t>
      </w:r>
    </w:p>
    <w:p w14:paraId="4121C62E" w14:textId="77777777" w:rsidR="000723AB" w:rsidRPr="00562F67" w:rsidRDefault="000723AB" w:rsidP="000723AB">
      <w:pPr>
        <w:pStyle w:val="ListParagraph"/>
        <w:numPr>
          <w:ilvl w:val="1"/>
          <w:numId w:val="24"/>
        </w:numPr>
      </w:pPr>
      <w:r w:rsidRPr="00562F67">
        <w:t>Setup testbed to allow customers to try and validate services.</w:t>
      </w:r>
    </w:p>
    <w:p w14:paraId="47BCAC1A" w14:textId="77777777" w:rsidR="000723AB" w:rsidRPr="00562F67" w:rsidRDefault="000723AB" w:rsidP="000723AB">
      <w:pPr>
        <w:pStyle w:val="ListParagraph"/>
        <w:numPr>
          <w:ilvl w:val="1"/>
          <w:numId w:val="24"/>
        </w:numPr>
      </w:pPr>
      <w:r w:rsidRPr="00562F67">
        <w:t>Digest the technical feedback (documentation, etc.) --received by technical groups-- to extract the relevant parts that need to be understood by the supported communities.</w:t>
      </w:r>
    </w:p>
    <w:p w14:paraId="73313C1F" w14:textId="14437637" w:rsidR="000723AB" w:rsidRPr="00562F67" w:rsidRDefault="000723AB" w:rsidP="000723AB">
      <w:pPr>
        <w:pStyle w:val="ListParagraph"/>
        <w:numPr>
          <w:ilvl w:val="0"/>
          <w:numId w:val="24"/>
        </w:numPr>
      </w:pPr>
      <w:r w:rsidRPr="00562F67">
        <w:t>Report on the status of the technical activities in T10.3 meeting:</w:t>
      </w:r>
    </w:p>
    <w:p w14:paraId="01871CD2" w14:textId="77777777" w:rsidR="000723AB" w:rsidRPr="00562F67" w:rsidRDefault="000723AB" w:rsidP="000723AB">
      <w:pPr>
        <w:pStyle w:val="ListParagraph"/>
        <w:numPr>
          <w:ilvl w:val="1"/>
          <w:numId w:val="24"/>
        </w:numPr>
      </w:pPr>
      <w:r w:rsidRPr="00562F67">
        <w:t>Report about achievements.</w:t>
      </w:r>
    </w:p>
    <w:p w14:paraId="7B1AC5A3" w14:textId="37694AE1" w:rsidR="000723AB" w:rsidRPr="00562F67" w:rsidRDefault="000723AB" w:rsidP="000723AB">
      <w:pPr>
        <w:pStyle w:val="ListParagraph"/>
        <w:numPr>
          <w:ilvl w:val="1"/>
          <w:numId w:val="24"/>
        </w:numPr>
      </w:pPr>
      <w:r w:rsidRPr="00562F67">
        <w:t>Describe open issues and showstoppers.</w:t>
      </w:r>
    </w:p>
    <w:p w14:paraId="1C2A9562" w14:textId="6E000CA8" w:rsidR="00A30A98" w:rsidRPr="00562F67" w:rsidRDefault="002738EA" w:rsidP="005959F1">
      <w:pPr>
        <w:pStyle w:val="Heading1"/>
      </w:pPr>
      <w:bookmarkStart w:id="28" w:name="_Toc12371660"/>
      <w:r w:rsidRPr="00562F67">
        <w:lastRenderedPageBreak/>
        <w:t>Procedure to provide technical support</w:t>
      </w:r>
      <w:bookmarkEnd w:id="28"/>
    </w:p>
    <w:p w14:paraId="52CB89B5" w14:textId="7C5682FD" w:rsidR="0022538D" w:rsidRPr="00562F67" w:rsidRDefault="0022538D" w:rsidP="0022538D">
      <w:r w:rsidRPr="00562F67">
        <w:t xml:space="preserve">A procedure to provide technical support (SOCRM-04) has been defined as part of the Service Order and Customer Relationship Management (SOCRM) process of the EOSC SMS. Aim of this procedure is creating a </w:t>
      </w:r>
      <w:r w:rsidR="001B2652" w:rsidRPr="00562F67">
        <w:t>well-defined</w:t>
      </w:r>
      <w:r w:rsidRPr="00562F67">
        <w:t xml:space="preserve"> communication channel between the technical support team and first line of support working with requests from user communities received through the EOSC Portal, identified by the Stakeholder Engagement activity (T3.2) or by other channels, implementing the interfaces described in </w:t>
      </w:r>
      <w:r w:rsidR="001B2652" w:rsidRPr="00562F67">
        <w:t>S</w:t>
      </w:r>
      <w:r w:rsidRPr="00562F67">
        <w:t xml:space="preserve">ection </w:t>
      </w:r>
      <w:r w:rsidR="001B2652" w:rsidRPr="00562F67">
        <w:fldChar w:fldCharType="begin"/>
      </w:r>
      <w:r w:rsidR="001B2652" w:rsidRPr="00562F67">
        <w:instrText xml:space="preserve"> REF _Ref6503642 \r \h </w:instrText>
      </w:r>
      <w:r w:rsidR="001B2652" w:rsidRPr="00562F67">
        <w:fldChar w:fldCharType="separate"/>
      </w:r>
      <w:r w:rsidR="00167EB3">
        <w:t>2</w:t>
      </w:r>
      <w:r w:rsidR="001B2652" w:rsidRPr="00562F67">
        <w:fldChar w:fldCharType="end"/>
      </w:r>
      <w:r w:rsidRPr="00562F67">
        <w:t xml:space="preserve">. Furthermore, the procedure defines formal steps to support use cases, implementing the concepts described in </w:t>
      </w:r>
      <w:r w:rsidR="001B2652" w:rsidRPr="00562F67">
        <w:t>S</w:t>
      </w:r>
      <w:r w:rsidRPr="00562F67">
        <w:t>ection</w:t>
      </w:r>
      <w:r w:rsidR="001B2652" w:rsidRPr="00562F67">
        <w:t xml:space="preserve"> </w:t>
      </w:r>
      <w:r w:rsidR="001B2652" w:rsidRPr="00562F67">
        <w:fldChar w:fldCharType="begin"/>
      </w:r>
      <w:r w:rsidR="001B2652" w:rsidRPr="00562F67">
        <w:instrText xml:space="preserve"> REF _Ref6503688 \r \h </w:instrText>
      </w:r>
      <w:r w:rsidR="001B2652" w:rsidRPr="00562F67">
        <w:fldChar w:fldCharType="separate"/>
      </w:r>
      <w:r w:rsidR="00167EB3">
        <w:t xml:space="preserve">4.3 </w:t>
      </w:r>
      <w:r w:rsidR="001B2652" w:rsidRPr="00562F67">
        <w:fldChar w:fldCharType="end"/>
      </w:r>
      <w:r w:rsidRPr="00562F67">
        <w:t xml:space="preserve">, and provides standard materials (e.g. e-mail templates) to make homogeneous the communication with the different customers, simplifying the work of the technical supporters (the </w:t>
      </w:r>
      <w:r w:rsidRPr="00562F67">
        <w:rPr>
          <w:i/>
        </w:rPr>
        <w:t>technical support shifters</w:t>
      </w:r>
      <w:r w:rsidRPr="00562F67">
        <w:t>) that have clear guidelines to follow.</w:t>
      </w:r>
    </w:p>
    <w:p w14:paraId="12F289E9" w14:textId="5F031BF0" w:rsidR="002738EA" w:rsidRPr="00562F67" w:rsidRDefault="0022538D" w:rsidP="0022538D">
      <w:r w:rsidRPr="00562F67">
        <w:t>The SOCRM-04 procedure is described in the Confluence area of the EOSC SMS</w:t>
      </w:r>
      <w:r w:rsidRPr="00562F67">
        <w:rPr>
          <w:rStyle w:val="FootnoteReference"/>
        </w:rPr>
        <w:footnoteReference w:id="7"/>
      </w:r>
      <w:r w:rsidRPr="00562F67">
        <w:t xml:space="preserve"> and is summarised below:</w:t>
      </w:r>
    </w:p>
    <w:p w14:paraId="0F1BCF9E" w14:textId="54D3E1A8" w:rsidR="0022538D" w:rsidRPr="00562F67" w:rsidRDefault="0022538D" w:rsidP="0022538D">
      <w:pPr>
        <w:pStyle w:val="ListParagraph"/>
        <w:numPr>
          <w:ilvl w:val="0"/>
          <w:numId w:val="26"/>
        </w:numPr>
      </w:pPr>
      <w:r w:rsidRPr="00562F67">
        <w:t>When a new request for technical support arrives, a technical support shifter is identified in T10.3 by the task leader</w:t>
      </w:r>
      <w:r w:rsidRPr="00562F67">
        <w:rPr>
          <w:rStyle w:val="FootnoteReference"/>
        </w:rPr>
        <w:footnoteReference w:id="8"/>
      </w:r>
      <w:r w:rsidRPr="00562F67">
        <w:t>.</w:t>
      </w:r>
    </w:p>
    <w:p w14:paraId="38F886D6" w14:textId="1171C65F" w:rsidR="0022538D" w:rsidRPr="00562F67" w:rsidRDefault="0022538D" w:rsidP="0022538D">
      <w:pPr>
        <w:pStyle w:val="ListParagraph"/>
        <w:numPr>
          <w:ilvl w:val="0"/>
          <w:numId w:val="26"/>
        </w:numPr>
      </w:pPr>
      <w:r w:rsidRPr="00562F67">
        <w:t>The shifter creates a new blank entry in the Community requirements DB.</w:t>
      </w:r>
    </w:p>
    <w:p w14:paraId="3159A08D" w14:textId="20CB07E8" w:rsidR="0022538D" w:rsidRPr="00562F67" w:rsidRDefault="0022538D" w:rsidP="0022538D">
      <w:pPr>
        <w:pStyle w:val="ListParagraph"/>
        <w:numPr>
          <w:ilvl w:val="0"/>
          <w:numId w:val="26"/>
        </w:numPr>
      </w:pPr>
      <w:r w:rsidRPr="00562F67">
        <w:t>The shifter contacts the customer by e-mail and invite him/her to a teleconference attaching materials/documentation related to services the customer is interested in.</w:t>
      </w:r>
    </w:p>
    <w:p w14:paraId="56710EC6" w14:textId="27FB24C7" w:rsidR="0022538D" w:rsidRPr="00562F67" w:rsidRDefault="0022538D" w:rsidP="0022538D">
      <w:pPr>
        <w:pStyle w:val="ListParagraph"/>
        <w:numPr>
          <w:ilvl w:val="0"/>
          <w:numId w:val="26"/>
        </w:numPr>
      </w:pPr>
      <w:r w:rsidRPr="00562F67">
        <w:t>The shifter defines an agenda and run the teleconference. The meeting is structured as follows:</w:t>
      </w:r>
    </w:p>
    <w:p w14:paraId="71ACFFBE" w14:textId="4F06486F" w:rsidR="0022538D" w:rsidRPr="00562F67" w:rsidRDefault="0022538D" w:rsidP="0022538D">
      <w:pPr>
        <w:pStyle w:val="ListParagraph"/>
        <w:numPr>
          <w:ilvl w:val="1"/>
          <w:numId w:val="26"/>
        </w:numPr>
      </w:pPr>
      <w:r w:rsidRPr="00562F67">
        <w:t>Customer present the technical case</w:t>
      </w:r>
      <w:r w:rsidR="00E544EE" w:rsidRPr="00562F67">
        <w:t>.</w:t>
      </w:r>
    </w:p>
    <w:p w14:paraId="14DC1F9A" w14:textId="3AF1A052" w:rsidR="0022538D" w:rsidRPr="00562F67" w:rsidRDefault="0022538D" w:rsidP="0022538D">
      <w:pPr>
        <w:pStyle w:val="ListParagraph"/>
        <w:numPr>
          <w:ilvl w:val="1"/>
          <w:numId w:val="26"/>
        </w:numPr>
      </w:pPr>
      <w:r w:rsidRPr="00562F67">
        <w:t>Open discussion to identify the services that best fit with the customer's requirements</w:t>
      </w:r>
      <w:r w:rsidR="00E544EE" w:rsidRPr="00562F67">
        <w:t>.</w:t>
      </w:r>
    </w:p>
    <w:p w14:paraId="5BB508EC" w14:textId="37FEF84B" w:rsidR="0022538D" w:rsidRPr="00562F67" w:rsidRDefault="0022538D" w:rsidP="0022538D">
      <w:pPr>
        <w:pStyle w:val="ListParagraph"/>
        <w:numPr>
          <w:ilvl w:val="1"/>
          <w:numId w:val="26"/>
        </w:numPr>
      </w:pPr>
      <w:r w:rsidRPr="00562F67">
        <w:t>If requested by the customer: present certain EOSC-hub services</w:t>
      </w:r>
      <w:r w:rsidR="00E544EE" w:rsidRPr="00562F67">
        <w:t>.</w:t>
      </w:r>
    </w:p>
    <w:p w14:paraId="4B24257E" w14:textId="77777777" w:rsidR="0022538D" w:rsidRPr="00562F67" w:rsidRDefault="0022538D" w:rsidP="0022538D">
      <w:pPr>
        <w:pStyle w:val="ListParagraph"/>
        <w:numPr>
          <w:ilvl w:val="1"/>
          <w:numId w:val="26"/>
        </w:numPr>
      </w:pPr>
      <w:r w:rsidRPr="00562F67">
        <w:t>Agree on the next steps before closing the meeting.</w:t>
      </w:r>
    </w:p>
    <w:p w14:paraId="1553BD54" w14:textId="01492D00" w:rsidR="0022538D" w:rsidRPr="00562F67" w:rsidRDefault="0022538D" w:rsidP="0022538D">
      <w:pPr>
        <w:pStyle w:val="ListParagraph"/>
        <w:numPr>
          <w:ilvl w:val="0"/>
          <w:numId w:val="26"/>
        </w:numPr>
      </w:pPr>
      <w:r w:rsidRPr="00562F67">
        <w:t>After the teleconference, the shifter will:</w:t>
      </w:r>
    </w:p>
    <w:p w14:paraId="4478A0FB" w14:textId="77777777" w:rsidR="0022538D" w:rsidRPr="00562F67" w:rsidRDefault="0022538D" w:rsidP="0022538D">
      <w:pPr>
        <w:pStyle w:val="ListParagraph"/>
        <w:numPr>
          <w:ilvl w:val="1"/>
          <w:numId w:val="26"/>
        </w:numPr>
      </w:pPr>
      <w:r w:rsidRPr="00562F67">
        <w:t>Complete/finalise the meeting notes.</w:t>
      </w:r>
    </w:p>
    <w:p w14:paraId="62C49C6A" w14:textId="77777777" w:rsidR="0022538D" w:rsidRPr="00562F67" w:rsidRDefault="0022538D" w:rsidP="0022538D">
      <w:pPr>
        <w:pStyle w:val="ListParagraph"/>
        <w:numPr>
          <w:ilvl w:val="1"/>
          <w:numId w:val="26"/>
        </w:numPr>
      </w:pPr>
      <w:r w:rsidRPr="00562F67">
        <w:t>Identify the next steps.</w:t>
      </w:r>
    </w:p>
    <w:p w14:paraId="2BB1898B" w14:textId="4B881E13" w:rsidR="0022538D" w:rsidRPr="00562F67" w:rsidRDefault="0022538D" w:rsidP="0022538D">
      <w:pPr>
        <w:pStyle w:val="ListParagraph"/>
        <w:numPr>
          <w:ilvl w:val="1"/>
          <w:numId w:val="26"/>
        </w:numPr>
      </w:pPr>
      <w:r w:rsidRPr="00562F67">
        <w:t>Fill in the customer database entry with the information collected during the meeting.</w:t>
      </w:r>
    </w:p>
    <w:p w14:paraId="54F656B6" w14:textId="77777777" w:rsidR="0022538D" w:rsidRPr="00562F67" w:rsidRDefault="0022538D" w:rsidP="0022538D">
      <w:pPr>
        <w:pStyle w:val="ListParagraph"/>
        <w:numPr>
          <w:ilvl w:val="1"/>
          <w:numId w:val="26"/>
        </w:numPr>
      </w:pPr>
      <w:r w:rsidRPr="00562F67">
        <w:t>Create technical requirements in the WP10 JIRA queue if needed.</w:t>
      </w:r>
    </w:p>
    <w:p w14:paraId="09696D52" w14:textId="77777777" w:rsidR="0022538D" w:rsidRPr="00562F67" w:rsidRDefault="0022538D" w:rsidP="0022538D">
      <w:pPr>
        <w:pStyle w:val="ListParagraph"/>
        <w:numPr>
          <w:ilvl w:val="1"/>
          <w:numId w:val="26"/>
        </w:numPr>
      </w:pPr>
      <w:r w:rsidRPr="00562F67">
        <w:t>Identify a technical person that could support the case for each service the customer is going to test/use:</w:t>
      </w:r>
    </w:p>
    <w:p w14:paraId="7AA14D45" w14:textId="77777777" w:rsidR="0022538D" w:rsidRPr="00562F67" w:rsidRDefault="0022538D" w:rsidP="0022538D">
      <w:pPr>
        <w:pStyle w:val="ListParagraph"/>
        <w:numPr>
          <w:ilvl w:val="2"/>
          <w:numId w:val="26"/>
        </w:numPr>
      </w:pPr>
      <w:r w:rsidRPr="00562F67">
        <w:t>The same shifter if with an adequate knowledge of the service.</w:t>
      </w:r>
    </w:p>
    <w:p w14:paraId="191E51B2" w14:textId="77777777" w:rsidR="0022538D" w:rsidRPr="00562F67" w:rsidRDefault="0022538D" w:rsidP="0022538D">
      <w:pPr>
        <w:pStyle w:val="ListParagraph"/>
        <w:numPr>
          <w:ilvl w:val="2"/>
          <w:numId w:val="26"/>
        </w:numPr>
      </w:pPr>
      <w:r w:rsidRPr="00562F67">
        <w:t>A member of the T10.3 team or, if needed, on WP5, WP6 and WP7 teams.</w:t>
      </w:r>
    </w:p>
    <w:p w14:paraId="6F4FFBEA" w14:textId="0BA0568A" w:rsidR="0022538D" w:rsidRPr="00562F67" w:rsidRDefault="0022538D" w:rsidP="0022538D">
      <w:pPr>
        <w:pStyle w:val="ListParagraph"/>
        <w:numPr>
          <w:ilvl w:val="1"/>
          <w:numId w:val="26"/>
        </w:numPr>
      </w:pPr>
      <w:r w:rsidRPr="00562F67">
        <w:t>Send a follow-up e-mail where for each service requested by the customer are identified:</w:t>
      </w:r>
    </w:p>
    <w:p w14:paraId="7D429CED" w14:textId="77777777" w:rsidR="0022538D" w:rsidRPr="00562F67" w:rsidRDefault="0022538D" w:rsidP="0022538D">
      <w:pPr>
        <w:pStyle w:val="ListParagraph"/>
        <w:numPr>
          <w:ilvl w:val="2"/>
          <w:numId w:val="26"/>
        </w:numPr>
      </w:pPr>
      <w:r w:rsidRPr="00562F67">
        <w:t>A technical expert that support the communities.</w:t>
      </w:r>
    </w:p>
    <w:p w14:paraId="7F8B3A7D" w14:textId="77777777" w:rsidR="0022538D" w:rsidRPr="00562F67" w:rsidRDefault="0022538D" w:rsidP="0022538D">
      <w:pPr>
        <w:pStyle w:val="ListParagraph"/>
        <w:numPr>
          <w:ilvl w:val="2"/>
          <w:numId w:val="26"/>
        </w:numPr>
      </w:pPr>
      <w:r w:rsidRPr="00562F67">
        <w:lastRenderedPageBreak/>
        <w:t>The main phases of the technical support activity needed to allow the customer to exploit the service.</w:t>
      </w:r>
    </w:p>
    <w:p w14:paraId="1B4FBA22" w14:textId="77777777" w:rsidR="0022538D" w:rsidRPr="00562F67" w:rsidRDefault="0022538D" w:rsidP="0022538D">
      <w:pPr>
        <w:pStyle w:val="ListParagraph"/>
        <w:numPr>
          <w:ilvl w:val="2"/>
          <w:numId w:val="26"/>
        </w:numPr>
      </w:pPr>
      <w:r w:rsidRPr="00562F67">
        <w:t>Timeline to have a testbed ready and steps to access.</w:t>
      </w:r>
    </w:p>
    <w:p w14:paraId="5CA47368" w14:textId="77777777" w:rsidR="0022538D" w:rsidRPr="00562F67" w:rsidRDefault="0022538D" w:rsidP="0022538D">
      <w:pPr>
        <w:pStyle w:val="ListParagraph"/>
        <w:numPr>
          <w:ilvl w:val="2"/>
          <w:numId w:val="26"/>
        </w:numPr>
      </w:pPr>
      <w:r w:rsidRPr="00562F67">
        <w:t>Next actions.</w:t>
      </w:r>
    </w:p>
    <w:p w14:paraId="2124A71B" w14:textId="757EDDF7" w:rsidR="0022538D" w:rsidRPr="00562F67" w:rsidRDefault="0022538D" w:rsidP="0022538D">
      <w:pPr>
        <w:pStyle w:val="ListParagraph"/>
        <w:numPr>
          <w:ilvl w:val="0"/>
          <w:numId w:val="26"/>
        </w:numPr>
      </w:pPr>
      <w:r w:rsidRPr="00562F67">
        <w:t xml:space="preserve">After that, the shifter will start to monitor the use case. He/she periodically checks the progresses contacting the customer. He can also organise a </w:t>
      </w:r>
      <w:r w:rsidR="00E544EE" w:rsidRPr="00562F67">
        <w:t>new teleconference</w:t>
      </w:r>
      <w:r w:rsidRPr="00562F67">
        <w:t>, as is needed, as described in step 3 or involve more technical experts.</w:t>
      </w:r>
    </w:p>
    <w:p w14:paraId="628604E2" w14:textId="09ABF0F5" w:rsidR="0022538D" w:rsidRPr="00562F67" w:rsidRDefault="0022538D" w:rsidP="0022538D">
      <w:pPr>
        <w:pStyle w:val="ListParagraph"/>
        <w:numPr>
          <w:ilvl w:val="0"/>
          <w:numId w:val="26"/>
        </w:numPr>
      </w:pPr>
      <w:r w:rsidRPr="00562F67">
        <w:t>The shifter will close the use case when:</w:t>
      </w:r>
    </w:p>
    <w:p w14:paraId="43A8F397" w14:textId="27741E9D" w:rsidR="0022538D" w:rsidRPr="00562F67" w:rsidRDefault="0022538D" w:rsidP="0022538D">
      <w:pPr>
        <w:pStyle w:val="ListParagraph"/>
        <w:numPr>
          <w:ilvl w:val="1"/>
          <w:numId w:val="26"/>
        </w:numPr>
      </w:pPr>
      <w:r w:rsidRPr="00562F67">
        <w:t>The user is happy with the services and would like to move to production. In this case the SOCRM process will be notified</w:t>
      </w:r>
      <w:r w:rsidR="00E544EE" w:rsidRPr="00562F67">
        <w:t xml:space="preserve"> to take care of the next steps to finalise the order</w:t>
      </w:r>
      <w:r w:rsidRPr="00562F67">
        <w:t>.</w:t>
      </w:r>
    </w:p>
    <w:p w14:paraId="24478E91" w14:textId="1454B959" w:rsidR="0022538D" w:rsidRPr="00562F67" w:rsidRDefault="0022538D" w:rsidP="0022538D">
      <w:pPr>
        <w:pStyle w:val="ListParagraph"/>
        <w:numPr>
          <w:ilvl w:val="1"/>
          <w:numId w:val="26"/>
        </w:numPr>
      </w:pPr>
      <w:r w:rsidRPr="00562F67">
        <w:t>The user considered completed the test phase for now and no immediate follow-up is planned. The use case can be considered closed and SOCRM process is notified. In this case, the shifter will invite the customer to submit an order through the EOSC marketplace whether he/she is interested to use the tested services in the future.</w:t>
      </w:r>
    </w:p>
    <w:p w14:paraId="28B17E89" w14:textId="6362BD51" w:rsidR="00A30A98" w:rsidRPr="00562F67" w:rsidRDefault="0022538D" w:rsidP="0022538D">
      <w:pPr>
        <w:pStyle w:val="Heading1"/>
      </w:pPr>
      <w:bookmarkStart w:id="29" w:name="_Toc12371661"/>
      <w:r w:rsidRPr="00562F67">
        <w:lastRenderedPageBreak/>
        <w:t>Use case analysis</w:t>
      </w:r>
      <w:bookmarkEnd w:id="29"/>
    </w:p>
    <w:p w14:paraId="5E05B805" w14:textId="73E4CC3A" w:rsidR="009C627B" w:rsidRPr="00562F67" w:rsidRDefault="009C627B" w:rsidP="009C627B">
      <w:r w:rsidRPr="00562F67">
        <w:t>The Community Requirements DB already provides detailed information about each of the use cases being analysed by WP10 in this first period. Likewise, JIRA issue tracking system contains the discussions and technical information (knowledge base) gathered throughout the lifetime of each technical requirement. To sum up, the following tables provide the suitable metrics that depict the advancement achieved by each use case in the EOSC-hub integration path.</w:t>
      </w:r>
    </w:p>
    <w:p w14:paraId="59E98901" w14:textId="21ADD831" w:rsidR="009C627B" w:rsidRPr="00562F67" w:rsidRDefault="009C627B" w:rsidP="00DD2B0C">
      <w:pPr>
        <w:rPr>
          <w:b/>
        </w:rPr>
      </w:pPr>
      <w:r w:rsidRPr="00562F67">
        <w:rPr>
          <w:b/>
        </w:rPr>
        <w:t>Thematic services</w:t>
      </w:r>
    </w:p>
    <w:p w14:paraId="5381E9F6" w14:textId="68F85686" w:rsidR="009C627B" w:rsidRPr="00562F67" w:rsidRDefault="009C627B" w:rsidP="009C627B">
      <w:pPr>
        <w:pStyle w:val="Caption"/>
        <w:keepNext/>
        <w:jc w:val="center"/>
      </w:pPr>
      <w:r w:rsidRPr="00562F67">
        <w:t xml:space="preserve">Table </w:t>
      </w:r>
      <w:fldSimple w:instr=" SEQ Table \* ARABIC ">
        <w:r w:rsidR="00167EB3">
          <w:rPr>
            <w:noProof/>
          </w:rPr>
          <w:t>1</w:t>
        </w:r>
      </w:fldSimple>
      <w:r w:rsidRPr="00562F67">
        <w:t>. Summary of progress achieved by the Thematic Services in EOSC-hub.</w:t>
      </w:r>
    </w:p>
    <w:tbl>
      <w:tblPr>
        <w:tblW w:w="0" w:type="auto"/>
        <w:tblCellMar>
          <w:top w:w="15" w:type="dxa"/>
          <w:left w:w="15" w:type="dxa"/>
          <w:bottom w:w="15" w:type="dxa"/>
          <w:right w:w="15" w:type="dxa"/>
        </w:tblCellMar>
        <w:tblLook w:val="04A0" w:firstRow="1" w:lastRow="0" w:firstColumn="1" w:lastColumn="0" w:noHBand="0" w:noVBand="1"/>
      </w:tblPr>
      <w:tblGrid>
        <w:gridCol w:w="1545"/>
        <w:gridCol w:w="2000"/>
        <w:gridCol w:w="1931"/>
        <w:gridCol w:w="690"/>
        <w:gridCol w:w="1351"/>
        <w:gridCol w:w="616"/>
        <w:gridCol w:w="873"/>
      </w:tblGrid>
      <w:tr w:rsidR="009C627B" w:rsidRPr="00562F67" w14:paraId="7EDF908A" w14:textId="77777777" w:rsidTr="009C627B">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F39D04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Community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F89A6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748FEA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5ED35F" w14:textId="7E15169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r w:rsidRPr="00562F67">
              <w:rPr>
                <w:rStyle w:val="FootnoteReference"/>
                <w:rFonts w:ascii="Arial" w:eastAsia="Times New Roman" w:hAnsi="Arial" w:cs="Arial"/>
                <w:color w:val="000000"/>
                <w:spacing w:val="0"/>
              </w:rPr>
              <w:footnoteReference w:id="9"/>
            </w:r>
          </w:p>
        </w:tc>
      </w:tr>
      <w:tr w:rsidR="009C627B" w:rsidRPr="00562F67" w14:paraId="51CDFF13" w14:textId="77777777" w:rsidTr="009C627B">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B904B4"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F64FED"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64E51B"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6B60485"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FD80F4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ECEC9A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E1B8BC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9C627B" w:rsidRPr="00562F67" w14:paraId="7C8AC3AE"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F551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CLARIN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F4CD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46C0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1867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12E7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183BE"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8066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67C471CD"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1ECB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3D25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86E8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509B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153E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D33F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E7FA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r>
      <w:tr w:rsidR="009C627B" w:rsidRPr="00562F67" w14:paraId="680E023B"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EA58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ECAS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1270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207A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DB8D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9CC8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8338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CBB6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r>
      <w:tr w:rsidR="009C627B" w:rsidRPr="00562F67" w14:paraId="3C090B97"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88AE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GEOSS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5378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002B2"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43988"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0129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4F768"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40323"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58AD718D"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E6A5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22DD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5B80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27282"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FD06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9C32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F6AB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r>
      <w:tr w:rsidR="009C627B" w:rsidRPr="00562F67" w14:paraId="3FE724D9"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A193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WeNMR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661D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56A6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FA27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9BB0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7D92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3559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r>
      <w:tr w:rsidR="009C627B" w:rsidRPr="00562F67" w14:paraId="75BA3F15"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D6C0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EO Pillar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52DA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5C1A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F6E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7414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02BB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9ED1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56D37543" w14:textId="77777777" w:rsidTr="009C627B">
        <w:trPr>
          <w:trHeight w:val="6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308C3"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DARIAH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3C55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612F7" w14:textId="2294F99F"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2535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400A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8FA0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CBAB5"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bl>
    <w:p w14:paraId="5BC69D8D" w14:textId="2347A65A" w:rsidR="009C627B" w:rsidRPr="00562F67" w:rsidRDefault="009C627B" w:rsidP="009C627B">
      <w:pPr>
        <w:rPr>
          <w:b/>
        </w:rPr>
      </w:pPr>
    </w:p>
    <w:p w14:paraId="0EC58A17" w14:textId="6400DA7C" w:rsidR="004756FB" w:rsidRPr="00562F67" w:rsidRDefault="004756FB" w:rsidP="009C627B">
      <w:r w:rsidRPr="00562F67">
        <w:rPr>
          <w:b/>
        </w:rPr>
        <w:t>Competence Centers</w:t>
      </w:r>
    </w:p>
    <w:p w14:paraId="5E2B138F"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p w14:paraId="2CBFF35C" w14:textId="5EA05279" w:rsidR="004756FB" w:rsidRPr="00562F67" w:rsidRDefault="004756FB" w:rsidP="004756FB">
      <w:pPr>
        <w:pStyle w:val="Caption"/>
        <w:keepNext/>
        <w:jc w:val="center"/>
      </w:pPr>
      <w:r w:rsidRPr="00562F67">
        <w:t xml:space="preserve">Table </w:t>
      </w:r>
      <w:fldSimple w:instr=" SEQ Table \* ARABIC ">
        <w:r w:rsidR="00167EB3">
          <w:rPr>
            <w:noProof/>
          </w:rPr>
          <w:t>2</w:t>
        </w:r>
      </w:fldSimple>
      <w:r w:rsidRPr="00562F67">
        <w:t>. Summary of progress achieved by the Competence Centers in EOSC-hub.</w:t>
      </w:r>
    </w:p>
    <w:tbl>
      <w:tblPr>
        <w:tblW w:w="0" w:type="auto"/>
        <w:tblCellMar>
          <w:top w:w="15" w:type="dxa"/>
          <w:left w:w="15" w:type="dxa"/>
          <w:bottom w:w="15" w:type="dxa"/>
          <w:right w:w="15" w:type="dxa"/>
        </w:tblCellMar>
        <w:tblLook w:val="04A0" w:firstRow="1" w:lastRow="0" w:firstColumn="1" w:lastColumn="0" w:noHBand="0" w:noVBand="1"/>
      </w:tblPr>
      <w:tblGrid>
        <w:gridCol w:w="1696"/>
        <w:gridCol w:w="1934"/>
        <w:gridCol w:w="1869"/>
        <w:gridCol w:w="690"/>
        <w:gridCol w:w="1328"/>
        <w:gridCol w:w="616"/>
        <w:gridCol w:w="873"/>
      </w:tblGrid>
      <w:tr w:rsidR="004756FB" w:rsidRPr="00562F67" w14:paraId="6DAAD160" w14:textId="77777777" w:rsidTr="004756FB">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59A3FA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Community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9888FF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7077CE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54E7351" w14:textId="6069691F"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r w:rsidRPr="00562F67">
              <w:rPr>
                <w:rStyle w:val="FootnoteReference"/>
                <w:rFonts w:ascii="Arial" w:eastAsia="Times New Roman" w:hAnsi="Arial" w:cs="Arial"/>
                <w:color w:val="000000"/>
                <w:spacing w:val="0"/>
              </w:rPr>
              <w:footnoteReference w:id="10"/>
            </w:r>
          </w:p>
        </w:tc>
      </w:tr>
      <w:tr w:rsidR="004756FB" w:rsidRPr="00562F67" w14:paraId="164649EA" w14:textId="77777777" w:rsidTr="004756FB">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2F3FBE"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AD3D35"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11E449"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E6F89A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801A4C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21BA54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9A0BB8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4756FB" w:rsidRPr="00562F67" w14:paraId="5EE0EF58"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E47C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ELIXIR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3CEB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D47C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6565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BD77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509F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BB1C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516A7B65"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AF62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1572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98D7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4282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6376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8BB0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B7CA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7B0CDA02"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CB24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Marine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0067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3DCD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B079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EA7D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8916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E26A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271AC67D"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471B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EISCAT_3D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C58F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DFED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6EC7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9F04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3172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CF54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4756FB" w:rsidRPr="00562F67" w14:paraId="5F050A03"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D82A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EPOS-ORFEUS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A00F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38AFF"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84A3A"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47AF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F600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2D86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49659CA0"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DF51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Radio astronomy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FA787"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AC6C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886E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B1D4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E5DA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C4A2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76DC9BCC"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6738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ICOS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ACDD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8B6F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FB1D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660F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2D81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8EDE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4756FB" w:rsidRPr="00562F67" w14:paraId="652F3633"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1E73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Disaster Mitigation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0A1A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6F1C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6B5F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F879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0A06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6DB1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bl>
    <w:p w14:paraId="0FCAB126" w14:textId="3119C8A2" w:rsidR="004756FB" w:rsidRPr="00562F67" w:rsidRDefault="004756FB" w:rsidP="009C627B"/>
    <w:p w14:paraId="4A046404" w14:textId="77777777" w:rsidR="004756FB" w:rsidRPr="00562F67" w:rsidRDefault="004756FB" w:rsidP="004756FB">
      <w:pPr>
        <w:rPr>
          <w:b/>
        </w:rPr>
      </w:pPr>
      <w:r w:rsidRPr="00562F67">
        <w:rPr>
          <w:b/>
        </w:rPr>
        <w:t>Business Pilots</w:t>
      </w:r>
    </w:p>
    <w:p w14:paraId="257DCA84" w14:textId="77777777" w:rsidR="004756FB" w:rsidRPr="00562F67" w:rsidRDefault="004756FB" w:rsidP="004756FB">
      <w:r w:rsidRPr="00562F67">
        <w:t>During this first period, EOSC-hub business pilots have been directly supported by technical experts involved on WP9 and have not being assessed by the technical support teams in WP10.</w:t>
      </w:r>
    </w:p>
    <w:p w14:paraId="65CEF45B" w14:textId="77777777" w:rsidR="004756FB" w:rsidRPr="00562F67" w:rsidRDefault="004756FB" w:rsidP="004756FB">
      <w:pPr>
        <w:rPr>
          <w:b/>
        </w:rPr>
      </w:pPr>
      <w:r w:rsidRPr="00562F67">
        <w:rPr>
          <w:b/>
        </w:rPr>
        <w:t>External communities</w:t>
      </w:r>
    </w:p>
    <w:p w14:paraId="4F812F0F" w14:textId="6829BFDC" w:rsidR="004756FB" w:rsidRPr="00562F67" w:rsidRDefault="004756FB" w:rsidP="004756FB">
      <w:r w:rsidRPr="00562F67">
        <w:t xml:space="preserve">Technical support is not limited to communities participating in the project. WP10 might receive requests to support additional communities interested in the EOSC-hub service catalogue, both for usage and integration purposes. As described in Section </w:t>
      </w:r>
      <w:r w:rsidRPr="00562F67">
        <w:fldChar w:fldCharType="begin"/>
      </w:r>
      <w:r w:rsidRPr="00562F67">
        <w:instrText xml:space="preserve"> REF _Ref6482407 \r \h </w:instrText>
      </w:r>
      <w:r w:rsidRPr="00562F67">
        <w:fldChar w:fldCharType="separate"/>
      </w:r>
      <w:r w:rsidR="00167EB3">
        <w:t>3</w:t>
      </w:r>
      <w:r w:rsidRPr="00562F67">
        <w:fldChar w:fldCharType="end"/>
      </w:r>
      <w:r w:rsidRPr="00562F67">
        <w:t xml:space="preserve"> </w:t>
      </w:r>
      <w:r w:rsidRPr="00562F67">
        <w:rPr>
          <w:i/>
        </w:rPr>
        <w:t>Interfaces with other processes</w:t>
      </w:r>
      <w:r w:rsidR="00E94069" w:rsidRPr="00562F67">
        <w:rPr>
          <w:i/>
        </w:rPr>
        <w:t>,</w:t>
      </w:r>
      <w:r w:rsidRPr="00562F67">
        <w:t xml:space="preserve"> new communities’ requests are coming through </w:t>
      </w:r>
      <w:r w:rsidR="00337C0A" w:rsidRPr="00562F67">
        <w:t>SO</w:t>
      </w:r>
      <w:r w:rsidRPr="00562F67">
        <w:t>CRM activities but they are also proactively reached by the Stakeholder Engagement Programme (from task WP3.2) or even by task WP10.3 itself.</w:t>
      </w:r>
    </w:p>
    <w:p w14:paraId="4532C1B9" w14:textId="59D68DED" w:rsidR="004756FB" w:rsidRPr="00562F67" w:rsidRDefault="004756FB" w:rsidP="004756FB">
      <w:r w:rsidRPr="00562F67">
        <w:t>During this period, t</w:t>
      </w:r>
      <w:r w:rsidR="00E94069" w:rsidRPr="00562F67">
        <w:t>he following</w:t>
      </w:r>
      <w:r w:rsidRPr="00562F67">
        <w:t xml:space="preserve"> external communities</w:t>
      </w:r>
      <w:r w:rsidR="00E94069" w:rsidRPr="00562F67">
        <w:t>:</w:t>
      </w:r>
      <w:r w:rsidRPr="00562F67">
        <w:t xml:space="preserve"> MaX Centre of Excellence</w:t>
      </w:r>
      <w:r w:rsidRPr="00562F67">
        <w:rPr>
          <w:rStyle w:val="FootnoteReference"/>
        </w:rPr>
        <w:footnoteReference w:id="11"/>
      </w:r>
      <w:r w:rsidRPr="00562F67">
        <w:t xml:space="preserve"> and Raman Spectroscopy Data</w:t>
      </w:r>
      <w:r w:rsidRPr="00562F67">
        <w:rPr>
          <w:rStyle w:val="FootnoteReference"/>
        </w:rPr>
        <w:footnoteReference w:id="12"/>
      </w:r>
      <w:r w:rsidRPr="00562F67">
        <w:t>, have been incorporated in the requirement and gap analysis processes. While initial contacts have only being done with the former community, Raman Spectroscopy Data use case is in a more advanced state. The following metrics correspond to this latter community:</w:t>
      </w:r>
    </w:p>
    <w:p w14:paraId="1A4EB5F6" w14:textId="730B87B9"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p w14:paraId="1C62C503" w14:textId="142CC0DC"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13EF7750" w14:textId="64C10529"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5BEFF293" w14:textId="1F39D4D6"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08A6CAA5" w14:textId="01B8D890"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2B58BDC4" w14:textId="77777777"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1DE91BAF" w14:textId="7293C32B" w:rsidR="00505BF5" w:rsidRPr="00562F67" w:rsidRDefault="00505BF5" w:rsidP="00505BF5">
      <w:pPr>
        <w:pStyle w:val="Caption"/>
        <w:keepNext/>
        <w:jc w:val="center"/>
      </w:pPr>
      <w:r w:rsidRPr="00562F67">
        <w:lastRenderedPageBreak/>
        <w:t xml:space="preserve">Table </w:t>
      </w:r>
      <w:fldSimple w:instr=" SEQ Table \* ARABIC ">
        <w:r w:rsidR="00167EB3">
          <w:rPr>
            <w:noProof/>
          </w:rPr>
          <w:t>3</w:t>
        </w:r>
      </w:fldSimple>
      <w:r w:rsidRPr="00562F67">
        <w:t>. Technical support metrics for Raman Spectroscopy Data use case.</w:t>
      </w:r>
    </w:p>
    <w:tbl>
      <w:tblPr>
        <w:tblW w:w="0" w:type="auto"/>
        <w:tblCellMar>
          <w:top w:w="15" w:type="dxa"/>
          <w:left w:w="15" w:type="dxa"/>
          <w:bottom w:w="15" w:type="dxa"/>
          <w:right w:w="15" w:type="dxa"/>
        </w:tblCellMar>
        <w:tblLook w:val="04A0" w:firstRow="1" w:lastRow="0" w:firstColumn="1" w:lastColumn="0" w:noHBand="0" w:noVBand="1"/>
      </w:tblPr>
      <w:tblGrid>
        <w:gridCol w:w="2678"/>
        <w:gridCol w:w="2561"/>
        <w:gridCol w:w="690"/>
        <w:gridCol w:w="1588"/>
        <w:gridCol w:w="616"/>
        <w:gridCol w:w="873"/>
      </w:tblGrid>
      <w:tr w:rsidR="00505BF5" w:rsidRPr="00562F67" w14:paraId="0B2B4F2F" w14:textId="77777777" w:rsidTr="00505BF5">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8A75B95"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7714C54"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08A0D41"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p>
        </w:tc>
      </w:tr>
      <w:tr w:rsidR="00505BF5" w:rsidRPr="00562F67" w14:paraId="50D3EB02" w14:textId="77777777" w:rsidTr="00505BF5">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896604" w14:textId="77777777"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1B53D0" w14:textId="77777777"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C6B1A6B"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3E15C20"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7982F22"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45520B1"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505BF5" w:rsidRPr="00562F67" w14:paraId="14BBA76A" w14:textId="77777777" w:rsidTr="00505B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B9B38"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E97F9"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90333"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C89E8"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33C9B"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8F069"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bl>
    <w:p w14:paraId="6B8B24C3" w14:textId="14FB8830" w:rsidR="00A30A98" w:rsidRPr="00562F67" w:rsidRDefault="00A30A98" w:rsidP="00505BF5">
      <w:pPr>
        <w:pStyle w:val="Caption1"/>
        <w:jc w:val="both"/>
      </w:pPr>
    </w:p>
    <w:p w14:paraId="540E37C3" w14:textId="18DC343C" w:rsidR="00A30A98" w:rsidRPr="00562F67" w:rsidRDefault="00505BF5" w:rsidP="00505BF5">
      <w:pPr>
        <w:pStyle w:val="Heading1"/>
      </w:pPr>
      <w:bookmarkStart w:id="30" w:name="_Toc12371662"/>
      <w:r w:rsidRPr="00562F67">
        <w:lastRenderedPageBreak/>
        <w:t>Sample use cases</w:t>
      </w:r>
      <w:bookmarkEnd w:id="30"/>
    </w:p>
    <w:p w14:paraId="52CC97E5" w14:textId="36C1DEF4" w:rsidR="00505BF5" w:rsidRPr="00562F67" w:rsidRDefault="00505BF5" w:rsidP="00505BF5">
      <w:r w:rsidRPr="00562F67">
        <w:t>This section describes</w:t>
      </w:r>
      <w:r w:rsidR="000B7BD0" w:rsidRPr="00562F67">
        <w:t>,</w:t>
      </w:r>
      <w:r w:rsidRPr="00562F67">
        <w:t xml:space="preserve"> in detail</w:t>
      </w:r>
      <w:r w:rsidR="000B7BD0" w:rsidRPr="00562F67">
        <w:t>,</w:t>
      </w:r>
      <w:r w:rsidRPr="00562F67">
        <w:t xml:space="preserve"> the technical support activities for three </w:t>
      </w:r>
      <w:r w:rsidR="00337C0A" w:rsidRPr="00562F67">
        <w:t>exemplars</w:t>
      </w:r>
      <w:r w:rsidRPr="00562F67">
        <w:t xml:space="preserve"> use cases, DODAS and OPENCoastS </w:t>
      </w:r>
      <w:r w:rsidR="000B7BD0" w:rsidRPr="00562F67">
        <w:t>T</w:t>
      </w:r>
      <w:r w:rsidRPr="00562F67">
        <w:t xml:space="preserve">hematic </w:t>
      </w:r>
      <w:r w:rsidR="000B7BD0" w:rsidRPr="00562F67">
        <w:t>S</w:t>
      </w:r>
      <w:r w:rsidRPr="00562F67">
        <w:t xml:space="preserve">ervices and the ELIXIR </w:t>
      </w:r>
      <w:r w:rsidR="000B7BD0" w:rsidRPr="00562F67">
        <w:t>C</w:t>
      </w:r>
      <w:r w:rsidRPr="00562F67">
        <w:t xml:space="preserve">ompetence </w:t>
      </w:r>
      <w:r w:rsidR="000B7BD0" w:rsidRPr="00562F67">
        <w:t>C</w:t>
      </w:r>
      <w:r w:rsidRPr="00562F67">
        <w:t>enter, giving information about identified user stories, use cases and technical requirements with the related status.</w:t>
      </w:r>
    </w:p>
    <w:p w14:paraId="35A7597C" w14:textId="10A1AABE" w:rsidR="00505BF5" w:rsidRPr="00562F67" w:rsidRDefault="00DB780A" w:rsidP="00DB780A">
      <w:pPr>
        <w:pStyle w:val="Heading2"/>
      </w:pPr>
      <w:bookmarkStart w:id="31" w:name="_Toc12371663"/>
      <w:r w:rsidRPr="00562F67">
        <w:t xml:space="preserve">Dynamic On Demand Analysis Service (DODAS) </w:t>
      </w:r>
      <w:r w:rsidR="000B7BD0" w:rsidRPr="00562F67">
        <w:t>T</w:t>
      </w:r>
      <w:r w:rsidRPr="00562F67">
        <w:t xml:space="preserve">hematic </w:t>
      </w:r>
      <w:r w:rsidR="000B7BD0" w:rsidRPr="00562F67">
        <w:t>S</w:t>
      </w:r>
      <w:r w:rsidRPr="00562F67">
        <w:t>ervice</w:t>
      </w:r>
      <w:bookmarkEnd w:id="31"/>
    </w:p>
    <w:p w14:paraId="70A6189E" w14:textId="7C9392D9" w:rsidR="00DB780A" w:rsidRPr="00562F67" w:rsidRDefault="00DB780A" w:rsidP="00DB780A">
      <w:r w:rsidRPr="00562F67">
        <w:t xml:space="preserve">The Compact Muon Solenoid (CMS) is one of the two general-purpose experiments at the Large Hadron Collider (LHC) at CERN in Geneva. CMS relies on the distributed computing capacities of the Worldwide LHC Computing Grid in order to process and </w:t>
      </w:r>
      <w:r w:rsidR="00562F67" w:rsidRPr="00562F67">
        <w:t>analyse</w:t>
      </w:r>
      <w:r w:rsidRPr="00562F67">
        <w:t xml:space="preserve"> the collision data taken during LHC live time. Solutions having the potential to provide additional computing capacity to the LHC experiments</w:t>
      </w:r>
      <w:r w:rsidR="000B7BD0" w:rsidRPr="00562F67">
        <w:t>,</w:t>
      </w:r>
      <w:r w:rsidRPr="00562F67">
        <w:t xml:space="preserve"> and hence to CMS</w:t>
      </w:r>
      <w:r w:rsidR="000B7BD0" w:rsidRPr="00562F67">
        <w:t>,</w:t>
      </w:r>
      <w:r w:rsidRPr="00562F67">
        <w:t xml:space="preserve"> are of extreme interest to address the future data and computing challenges of the next generation High Luminosity LHC.</w:t>
      </w:r>
    </w:p>
    <w:p w14:paraId="5BEB4C6D" w14:textId="56903614" w:rsidR="00DB780A" w:rsidRPr="00562F67" w:rsidRDefault="00DB780A" w:rsidP="00DB780A">
      <w:r w:rsidRPr="00562F67">
        <w:t xml:space="preserve">DODAS provides the end-user with an automated system that simplifies the process of provisioning, creating, managing and accessing a pool of heterogeneous (possibly opportunistic) computing resources. At the state of the art, DODAS provides multi-virtual platforms support for </w:t>
      </w:r>
      <w:r w:rsidR="000B7BD0" w:rsidRPr="00562F67">
        <w:t xml:space="preserve">a wide plethora of </w:t>
      </w:r>
      <w:r w:rsidRPr="00562F67">
        <w:t>cloud systems such as</w:t>
      </w:r>
      <w:r w:rsidR="000B7BD0" w:rsidRPr="00562F67">
        <w:t>:</w:t>
      </w:r>
      <w:r w:rsidRPr="00562F67">
        <w:t xml:space="preserve"> </w:t>
      </w:r>
      <w:r w:rsidR="000B7BD0" w:rsidRPr="00562F67">
        <w:t xml:space="preserve">the </w:t>
      </w:r>
      <w:r w:rsidRPr="00562F67">
        <w:t>EGI Federated Cloud, OpenStack, OpenNebula, Amazon AWS and Microsoft Azure.</w:t>
      </w:r>
    </w:p>
    <w:p w14:paraId="1CE94FC3" w14:textId="77777777" w:rsidR="00DB780A" w:rsidRPr="00562F67" w:rsidRDefault="00DB780A" w:rsidP="00DB780A">
      <w:pPr>
        <w:rPr>
          <w:b/>
        </w:rPr>
      </w:pPr>
      <w:r w:rsidRPr="00562F67">
        <w:rPr>
          <w:b/>
        </w:rPr>
        <w:t>Technical support activity</w:t>
      </w:r>
    </w:p>
    <w:p w14:paraId="625C4047" w14:textId="5A79E0F4" w:rsidR="00A30A98" w:rsidRPr="00562F67" w:rsidRDefault="00DB780A" w:rsidP="00DB780A">
      <w:r w:rsidRPr="00562F67">
        <w:t xml:space="preserve">As described in Section </w:t>
      </w:r>
      <w:r w:rsidRPr="00562F67">
        <w:fldChar w:fldCharType="begin"/>
      </w:r>
      <w:r w:rsidRPr="00562F67">
        <w:instrText xml:space="preserve"> REF _Ref6482936 \r \h </w:instrText>
      </w:r>
      <w:r w:rsidRPr="00562F67">
        <w:fldChar w:fldCharType="separate"/>
      </w:r>
      <w:r w:rsidR="00167EB3">
        <w:t>3</w:t>
      </w:r>
      <w:r w:rsidRPr="00562F67">
        <w:fldChar w:fldCharType="end"/>
      </w:r>
      <w:r w:rsidRPr="00562F67">
        <w:t xml:space="preserve">, these technical requirements result from a former identification of the user stories and, </w:t>
      </w:r>
      <w:r w:rsidR="00562F67" w:rsidRPr="00562F67">
        <w:t>subsequently, use</w:t>
      </w:r>
      <w:r w:rsidRPr="00562F67">
        <w:t xml:space="preserve"> cases. Detailed data about user stories and use cases collected for DODAS service are reported in the following tables, while Table 4 showcases the links between these and the resultant technical requirements, gathered by the T10.3 support team in the initial round of contacts with the DODAS service owners.</w:t>
      </w:r>
    </w:p>
    <w:p w14:paraId="21DA832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p>
    <w:p w14:paraId="282B441E" w14:textId="3C75355E" w:rsidR="00DB780A" w:rsidRPr="00562F67" w:rsidRDefault="00DB780A" w:rsidP="00DB780A">
      <w:pPr>
        <w:pStyle w:val="Caption"/>
        <w:keepNext/>
        <w:jc w:val="center"/>
      </w:pPr>
      <w:r w:rsidRPr="00562F67">
        <w:t xml:space="preserve">Table </w:t>
      </w:r>
      <w:fldSimple w:instr=" SEQ Table \* ARABIC ">
        <w:r w:rsidR="00167EB3">
          <w:rPr>
            <w:noProof/>
          </w:rPr>
          <w:t>4</w:t>
        </w:r>
      </w:fldSimple>
      <w:r w:rsidRPr="00562F67">
        <w:t>. User stories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B780A" w:rsidRPr="00562F67" w14:paraId="41B07CC9"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6E5C5E2"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E545B8"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B780A" w:rsidRPr="00562F67" w14:paraId="2479A59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AAFF5CD"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57797"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user I want a service that simplifies the process of provisioning, creating, managing and accessing a pool of heterogeneous computing resources, including private and public clouds.</w:t>
            </w:r>
          </w:p>
        </w:tc>
      </w:tr>
      <w:tr w:rsidR="00DB780A" w:rsidRPr="00562F67" w14:paraId="771F7C7B"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9D23B24"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3B12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administrator, I want to be able to monitor DODAS services (DODAS Core services)</w:t>
            </w:r>
          </w:p>
        </w:tc>
      </w:tr>
      <w:tr w:rsidR="00DB780A" w:rsidRPr="00562F67" w14:paraId="7E63056B"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DF762B0"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1B1E8" w14:textId="777E1C4B"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administrator I want to be able to monitor processes and services running on the </w:t>
            </w:r>
            <w:r w:rsidR="000F7417" w:rsidRPr="00562F67">
              <w:rPr>
                <w:rFonts w:ascii="Arial" w:eastAsia="Times New Roman" w:hAnsi="Arial" w:cs="Arial"/>
                <w:color w:val="000000"/>
                <w:spacing w:val="0"/>
              </w:rPr>
              <w:t xml:space="preserve">DODAS </w:t>
            </w:r>
            <w:r w:rsidRPr="00562F67">
              <w:rPr>
                <w:rFonts w:ascii="Arial" w:eastAsia="Times New Roman" w:hAnsi="Arial" w:cs="Arial"/>
                <w:color w:val="000000"/>
                <w:spacing w:val="0"/>
              </w:rPr>
              <w:t>clusters (check status resources consumption etc.)</w:t>
            </w:r>
          </w:p>
        </w:tc>
      </w:tr>
      <w:tr w:rsidR="00DB780A" w:rsidRPr="00562F67" w14:paraId="59FDE23F"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7D3C88A"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13AE9"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end user (e.g. physicist) I want to transparently access my remote data</w:t>
            </w:r>
          </w:p>
        </w:tc>
      </w:tr>
      <w:tr w:rsidR="00DB780A" w:rsidRPr="00562F67" w14:paraId="05B47C0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BDD7069"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E7110" w14:textId="3C1064A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end user (e.g. physicist) I want to temporary cache input and output data from </w:t>
            </w:r>
            <w:r w:rsidR="000F7417" w:rsidRPr="00562F67">
              <w:rPr>
                <w:rFonts w:ascii="Arial" w:eastAsia="Times New Roman" w:hAnsi="Arial" w:cs="Arial"/>
                <w:color w:val="000000"/>
                <w:spacing w:val="0"/>
              </w:rPr>
              <w:t xml:space="preserve">DODAS </w:t>
            </w:r>
            <w:r w:rsidRPr="00562F67">
              <w:rPr>
                <w:rFonts w:ascii="Arial" w:eastAsia="Times New Roman" w:hAnsi="Arial" w:cs="Arial"/>
                <w:color w:val="000000"/>
                <w:spacing w:val="0"/>
              </w:rPr>
              <w:t>cluster</w:t>
            </w:r>
          </w:p>
        </w:tc>
      </w:tr>
      <w:tr w:rsidR="00DB780A" w:rsidRPr="00562F67" w14:paraId="62E69D0D"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80622AD"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D51C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community adopting DODAS, I want to be able to globally share libraries and software (e.g. runtime environment) more in general.  </w:t>
            </w:r>
          </w:p>
        </w:tc>
      </w:tr>
      <w:tr w:rsidR="00DB780A" w:rsidRPr="00562F67" w14:paraId="49B2797C"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23D530"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667A2" w14:textId="54D74D69"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user of DODAS I want to be able to move my sandboxes (input/output) through </w:t>
            </w:r>
            <w:r w:rsidR="000F7417" w:rsidRPr="00562F67">
              <w:rPr>
                <w:rFonts w:ascii="Arial" w:eastAsia="Times New Roman" w:hAnsi="Arial" w:cs="Arial"/>
                <w:color w:val="000000"/>
                <w:spacing w:val="0"/>
              </w:rPr>
              <w:t xml:space="preserve">Dropbox </w:t>
            </w:r>
            <w:r w:rsidRPr="00562F67">
              <w:rPr>
                <w:rFonts w:ascii="Arial" w:eastAsia="Times New Roman" w:hAnsi="Arial" w:cs="Arial"/>
                <w:color w:val="000000"/>
                <w:spacing w:val="0"/>
              </w:rPr>
              <w:t>like solution</w:t>
            </w:r>
          </w:p>
        </w:tc>
      </w:tr>
      <w:tr w:rsidR="00DB780A" w:rsidRPr="00562F67" w14:paraId="113F1CCA"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EEB5666"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E646B"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user, I want to be able to access all my portals using the same credentials, including authentication through the EGI CheckIn when desired.</w:t>
            </w:r>
          </w:p>
        </w:tc>
      </w:tr>
    </w:tbl>
    <w:p w14:paraId="6BF530FC" w14:textId="38651567" w:rsidR="00DB780A" w:rsidRPr="00562F67" w:rsidRDefault="00DB780A" w:rsidP="00DB780A"/>
    <w:p w14:paraId="7FE36203"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p>
    <w:p w14:paraId="4A26FEEE" w14:textId="1136D672" w:rsidR="00DB780A" w:rsidRPr="00562F67" w:rsidRDefault="00DB780A" w:rsidP="00DB780A">
      <w:pPr>
        <w:pStyle w:val="Caption"/>
        <w:keepNext/>
        <w:jc w:val="center"/>
      </w:pPr>
      <w:r w:rsidRPr="00562F67">
        <w:t xml:space="preserve">Table </w:t>
      </w:r>
      <w:fldSimple w:instr=" SEQ Table \* ARABIC ">
        <w:r w:rsidR="00167EB3">
          <w:rPr>
            <w:noProof/>
          </w:rPr>
          <w:t>5</w:t>
        </w:r>
      </w:fldSimple>
      <w:r w:rsidRPr="00562F67">
        <w:t>. Use cases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B780A" w:rsidRPr="00562F67" w14:paraId="2CB8EA38"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34008E"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3061DFA"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B780A" w:rsidRPr="00562F67" w14:paraId="4B01C0B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CFE3D7C"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9A167"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The DODAS admin requests the automated deployment of a DODAS cluster</w:t>
            </w:r>
          </w:p>
        </w:tc>
      </w:tr>
      <w:tr w:rsidR="00DB780A" w:rsidRPr="00562F67" w14:paraId="3C707BE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D4AED39"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B54C9"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The DODAS admin checks the status of the DODAS core services</w:t>
            </w:r>
          </w:p>
        </w:tc>
      </w:tr>
      <w:tr w:rsidR="00DB780A" w:rsidRPr="00562F67" w14:paraId="745F7942"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4D7746"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5A108"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 users access remote stored data from the DODAS cluster</w:t>
            </w:r>
          </w:p>
        </w:tc>
      </w:tr>
      <w:tr w:rsidR="00DB780A" w:rsidRPr="00562F67" w14:paraId="6685F77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DBBD283"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7B70A"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running on DODAS clusters store temporary data on local cluster</w:t>
            </w:r>
          </w:p>
        </w:tc>
      </w:tr>
      <w:tr w:rsidR="00DB780A" w:rsidRPr="00562F67" w14:paraId="11470C71"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C735B62"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59F8F"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running on DODAS clusters access software from specific file system path</w:t>
            </w:r>
          </w:p>
        </w:tc>
      </w:tr>
      <w:tr w:rsidR="00DB780A" w:rsidRPr="00562F67" w14:paraId="520B2615"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DB4F635"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64112"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require to move input and output sandbox without the needs of moving data through storages (manually)</w:t>
            </w:r>
          </w:p>
        </w:tc>
      </w:tr>
      <w:tr w:rsidR="00DB780A" w:rsidRPr="00562F67" w14:paraId="3E8E099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C0C59B"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973D8"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 admin and users authenticate against a single AAI system</w:t>
            </w:r>
          </w:p>
        </w:tc>
      </w:tr>
      <w:tr w:rsidR="00DB780A" w:rsidRPr="00562F67" w14:paraId="645CDBEC"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A1219A7"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EFFEC"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Resource providers authenticate and authorize DODAS requests with INDIGO-IAM tokens</w:t>
            </w:r>
          </w:p>
        </w:tc>
      </w:tr>
      <w:tr w:rsidR="00DB780A" w:rsidRPr="00562F67" w14:paraId="1D46FC20"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96DC8BF"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B2352"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Accounting data are gathered from the resource providers</w:t>
            </w:r>
          </w:p>
        </w:tc>
      </w:tr>
    </w:tbl>
    <w:p w14:paraId="18F2F2F4" w14:textId="44E9B669" w:rsidR="00DB780A" w:rsidRPr="00562F67" w:rsidRDefault="00DB780A" w:rsidP="00DB780A"/>
    <w:p w14:paraId="5507B362" w14:textId="229AE542" w:rsidR="00DB780A" w:rsidRPr="00562F67" w:rsidRDefault="00B0753D" w:rsidP="00DB780A">
      <w:r w:rsidRPr="00562F67">
        <w:t>Relationship between user stories, use cases and technical requirements are show</w:t>
      </w:r>
      <w:r w:rsidR="000B7BD0" w:rsidRPr="00562F67">
        <w:t>n</w:t>
      </w:r>
      <w:r w:rsidRPr="00562F67">
        <w:t xml:space="preserve"> in Table 5. Once the requirement is </w:t>
      </w:r>
      <w:r w:rsidR="00C5760A" w:rsidRPr="00562F67">
        <w:t xml:space="preserve">well </w:t>
      </w:r>
      <w:r w:rsidRPr="00562F67">
        <w:t>defined, the support team identifies the services from the EOSC-Hub catalogue that could satisfy it</w:t>
      </w:r>
      <w:r w:rsidR="00C5760A" w:rsidRPr="00562F67">
        <w:t xml:space="preserve"> and creates a JIRA issue</w:t>
      </w:r>
      <w:r w:rsidRPr="00562F67">
        <w:t xml:space="preserve">. In some cases, either the functionality of the service is not yet present, so a technical gap is </w:t>
      </w:r>
      <w:r w:rsidR="00562F67" w:rsidRPr="00562F67">
        <w:t>signalled</w:t>
      </w:r>
      <w:r w:rsidRPr="00562F67">
        <w:t>. As previously discussed, an identified gap may not be solved by the designated service, thus a further analysis is required.</w:t>
      </w:r>
    </w:p>
    <w:p w14:paraId="0858905F"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p w14:paraId="22450530" w14:textId="74BA2126" w:rsidR="00B0753D" w:rsidRPr="00562F67" w:rsidRDefault="00B0753D" w:rsidP="00B0753D">
      <w:pPr>
        <w:pStyle w:val="Caption"/>
        <w:keepNext/>
      </w:pPr>
      <w:r w:rsidRPr="00562F67">
        <w:t xml:space="preserve">Table </w:t>
      </w:r>
      <w:fldSimple w:instr=" SEQ Table \* ARABIC ">
        <w:r w:rsidR="00167EB3">
          <w:rPr>
            <w:noProof/>
          </w:rPr>
          <w:t>6</w:t>
        </w:r>
      </w:fldSimple>
      <w:r w:rsidRPr="00562F67">
        <w:t>. Relationship between user stories, use cases and technical requirements for DODAS Thematic Service, according to their IDs. Note that UC9/RQ9 was added as a general requirement for all the EOSC-hub services.</w:t>
      </w:r>
    </w:p>
    <w:tbl>
      <w:tblPr>
        <w:tblW w:w="9026" w:type="dxa"/>
        <w:tblCellMar>
          <w:top w:w="15" w:type="dxa"/>
          <w:left w:w="15" w:type="dxa"/>
          <w:bottom w:w="15" w:type="dxa"/>
          <w:right w:w="15" w:type="dxa"/>
        </w:tblCellMar>
        <w:tblLook w:val="04A0" w:firstRow="1" w:lastRow="0" w:firstColumn="1" w:lastColumn="0" w:noHBand="0" w:noVBand="1"/>
      </w:tblPr>
      <w:tblGrid>
        <w:gridCol w:w="2780"/>
        <w:gridCol w:w="2582"/>
        <w:gridCol w:w="3664"/>
      </w:tblGrid>
      <w:tr w:rsidR="00B0753D" w:rsidRPr="00562F67" w14:paraId="0BB9FC9D"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8A7319A"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26B76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557288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B0753D" w:rsidRPr="00562F67" w14:paraId="242B8EAB"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CD06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3D030"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6BA7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B0753D" w:rsidRPr="00562F67" w14:paraId="2BF092D1" w14:textId="77777777" w:rsidTr="00B0753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CF52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51057"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9E2A"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B0753D" w:rsidRPr="00562F67" w14:paraId="409C3485" w14:textId="77777777" w:rsidTr="00B0753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D2295"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6492FC"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6793C2"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r>
      <w:tr w:rsidR="00B0753D" w:rsidRPr="00562F67" w14:paraId="4BE0262B"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7B140"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7C36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060D8"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RQ3</w:t>
            </w:r>
          </w:p>
        </w:tc>
      </w:tr>
      <w:tr w:rsidR="00B0753D" w:rsidRPr="00562F67" w14:paraId="1FB15334"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52871"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D7BA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E62CF"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RQ4</w:t>
            </w:r>
          </w:p>
        </w:tc>
      </w:tr>
      <w:tr w:rsidR="00B0753D" w:rsidRPr="00562F67" w14:paraId="6AE24C84"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1A79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814F1"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8326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RQ5</w:t>
            </w:r>
          </w:p>
        </w:tc>
      </w:tr>
      <w:tr w:rsidR="00B0753D" w:rsidRPr="00562F67" w14:paraId="44476DB3"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E5F84"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2EC4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FF2EE"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RQ6</w:t>
            </w:r>
          </w:p>
        </w:tc>
      </w:tr>
      <w:tr w:rsidR="00B0753D" w:rsidRPr="00562F67" w14:paraId="0F1FB29B" w14:textId="77777777" w:rsidTr="00B0753D">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852AF"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8B13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3097B"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B0753D" w:rsidRPr="00562F67" w14:paraId="2DB779C1" w14:textId="77777777" w:rsidTr="00B0753D">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13A353"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77C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8D1DB"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B0753D" w:rsidRPr="00562F67" w14:paraId="0A50AE0E"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6A79E"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955AE"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8C2A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RQ9</w:t>
            </w:r>
          </w:p>
        </w:tc>
      </w:tr>
    </w:tbl>
    <w:p w14:paraId="37391AB8" w14:textId="102AAFA8" w:rsidR="00B0753D" w:rsidRPr="00562F67" w:rsidRDefault="00B0753D" w:rsidP="00DB780A"/>
    <w:p w14:paraId="58F456C1" w14:textId="77777777" w:rsidR="00B0753D" w:rsidRPr="00562F67" w:rsidRDefault="00B0753D" w:rsidP="00B0753D">
      <w:pPr>
        <w:spacing w:after="0"/>
        <w:jc w:val="left"/>
        <w:rPr>
          <w:rFonts w:ascii="Times New Roman" w:hAnsi="Times New Roman"/>
          <w:spacing w:val="0"/>
        </w:rPr>
      </w:pPr>
    </w:p>
    <w:p w14:paraId="21CA776C" w14:textId="763DB8BF" w:rsidR="00B0753D" w:rsidRPr="00562F67" w:rsidRDefault="00B0753D" w:rsidP="00B0753D">
      <w:pPr>
        <w:pStyle w:val="Caption"/>
        <w:keepNext/>
        <w:jc w:val="center"/>
      </w:pPr>
      <w:r w:rsidRPr="00562F67">
        <w:t xml:space="preserve">Table </w:t>
      </w:r>
      <w:fldSimple w:instr=" SEQ Table \* ARABIC ">
        <w:r w:rsidR="00167EB3">
          <w:rPr>
            <w:noProof/>
          </w:rPr>
          <w:t>7</w:t>
        </w:r>
      </w:fldSimple>
      <w:r w:rsidRPr="00562F67">
        <w:t>. List of technical requirements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653"/>
        <w:gridCol w:w="3810"/>
        <w:gridCol w:w="1276"/>
        <w:gridCol w:w="616"/>
        <w:gridCol w:w="1547"/>
        <w:gridCol w:w="1104"/>
      </w:tblGrid>
      <w:tr w:rsidR="00B0753D" w:rsidRPr="00562F67" w14:paraId="5BD9A2DA"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0B122C0"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68EE42A"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2D3CC85"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259B2B5"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6297990"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0294F72" w14:textId="65D3A4A2"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Status</w:t>
            </w:r>
            <w:r w:rsidR="00393322" w:rsidRPr="00562F67">
              <w:rPr>
                <w:rStyle w:val="FootnoteReference"/>
                <w:rFonts w:ascii="Arial" w:hAnsi="Arial" w:cs="Arial"/>
                <w:color w:val="000000"/>
                <w:sz w:val="22"/>
                <w:szCs w:val="22"/>
                <w:lang w:val="en-GB"/>
              </w:rPr>
              <w:footnoteReference w:id="13"/>
            </w:r>
          </w:p>
        </w:tc>
      </w:tr>
      <w:tr w:rsidR="00B0753D" w:rsidRPr="00562F67" w14:paraId="6DD9F31F"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7496840"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13E08"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Automated deployment of the DODAS cluster on top of heterogeneous cloud environments through TOSCA orchestration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5B07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INDIGO PaaS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0A7B7"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EFE6F" w14:textId="77777777" w:rsidR="00B0753D" w:rsidRPr="00562F67" w:rsidRDefault="00E06C0D">
            <w:pPr>
              <w:pStyle w:val="NormalWeb"/>
              <w:spacing w:before="0" w:beforeAutospacing="0" w:after="0" w:afterAutospacing="0"/>
              <w:jc w:val="center"/>
              <w:rPr>
                <w:lang w:val="en-GB"/>
              </w:rPr>
            </w:pPr>
            <w:hyperlink r:id="rId20" w:history="1">
              <w:r w:rsidR="00B0753D" w:rsidRPr="00562F67">
                <w:rPr>
                  <w:rStyle w:val="Hyperlink"/>
                  <w:rFonts w:ascii="Arial" w:eastAsiaTheme="majorEastAsia" w:hAnsi="Arial" w:cs="Arial"/>
                  <w:color w:val="000000"/>
                  <w:sz w:val="22"/>
                  <w:szCs w:val="22"/>
                  <w:lang w:val="en-GB"/>
                </w:rPr>
                <w:t>EOSCWP10-37</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3B1D4"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B0753D" w:rsidRPr="00562F67" w14:paraId="75A6F23F"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D50D5A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28A4C"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Monitoring information gathering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0326B"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ARGO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AFE2C"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5D860" w14:textId="77777777" w:rsidR="00B0753D" w:rsidRPr="00562F67" w:rsidRDefault="00E06C0D">
            <w:pPr>
              <w:pStyle w:val="NormalWeb"/>
              <w:spacing w:before="0" w:beforeAutospacing="0" w:after="0" w:afterAutospacing="0"/>
              <w:jc w:val="center"/>
              <w:rPr>
                <w:lang w:val="en-GB"/>
              </w:rPr>
            </w:pPr>
            <w:hyperlink r:id="rId21"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AE319"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524E9EF4"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0A8559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97C9D"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User data remote access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E9AA8"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OneData</w:t>
            </w:r>
          </w:p>
          <w:p w14:paraId="145FF02E"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XRootD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DE3B0"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49BA6" w14:textId="2C06D93F" w:rsidR="00B0753D" w:rsidRPr="00562F67" w:rsidRDefault="00B0753D" w:rsidP="00B0753D">
            <w:pPr>
              <w:pStyle w:val="NormalWeb"/>
              <w:spacing w:before="0" w:beforeAutospacing="0" w:after="0" w:afterAutospacing="0"/>
              <w:jc w:val="center"/>
              <w:rPr>
                <w:lang w:val="en-GB"/>
              </w:rPr>
            </w:pPr>
            <w:r w:rsidRPr="00562F67">
              <w:rPr>
                <w:lang w:val="en-GB"/>
              </w:rPr>
              <w:t>N.A.</w:t>
            </w:r>
            <w:r w:rsidR="00C5760A" w:rsidRPr="00562F67">
              <w:rPr>
                <w:rStyle w:val="FootnoteReference"/>
                <w:lang w:val="en-GB"/>
              </w:rPr>
              <w:footnoteReference w:id="14"/>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3F86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4B54A5BA"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D34CE4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B741B"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Store temporary data locally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20D9E"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OneData</w:t>
            </w:r>
          </w:p>
          <w:p w14:paraId="34D15020"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XRootD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B9A6A"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FB697" w14:textId="3577D9C3"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C8FC7"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75602A80"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966A1A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3FEF3"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Usage of specific global file system for software distribution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8791B" w14:textId="77777777" w:rsidR="00B0753D" w:rsidRPr="00562F67" w:rsidRDefault="00B0753D" w:rsidP="00B0753D">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CVMFS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AEFEE"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33F3F" w14:textId="3CF0B254"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E4028"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7DA8F596"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54B66E4"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6EC01"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Job input and output sandbox data movement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8BE8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OneData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2048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58850" w14:textId="7FB780E2"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B3EE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11979F53"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5E27B6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lastRenderedPageBreak/>
              <w:t>RQ7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4ADED"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Provide authN/authZ for DODAS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14DF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INDIGO-IAM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7DF4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E9B7C" w14:textId="462FCD7B"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FD05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B0753D" w:rsidRPr="00562F67" w14:paraId="5D6F4C81"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0C7FC3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35AEB"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Resource providers integration with INDIGO-IAM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39ECC"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ESACO</w:t>
            </w:r>
          </w:p>
          <w:p w14:paraId="5ECFCAA4"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AAI EOSC-hub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DE58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B0765" w14:textId="77777777" w:rsidR="00B0753D" w:rsidRPr="00562F67" w:rsidRDefault="00E06C0D" w:rsidP="00B0753D">
            <w:pPr>
              <w:pStyle w:val="NormalWeb"/>
              <w:spacing w:before="0" w:beforeAutospacing="0" w:after="0" w:afterAutospacing="0"/>
              <w:jc w:val="center"/>
              <w:rPr>
                <w:lang w:val="en-GB"/>
              </w:rPr>
            </w:pPr>
            <w:hyperlink r:id="rId22"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76CA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B0753D" w:rsidRPr="00562F67" w14:paraId="3DF37F89" w14:textId="77777777" w:rsidTr="00B0753D">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1D6DFE9"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8A876"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Accounting data gathering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3A743"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APEL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47A80"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C4D15" w14:textId="77777777" w:rsidR="00B0753D" w:rsidRPr="00562F67" w:rsidRDefault="00E06C0D" w:rsidP="00B0753D">
            <w:pPr>
              <w:pStyle w:val="NormalWeb"/>
              <w:spacing w:before="0" w:beforeAutospacing="0" w:after="0" w:afterAutospacing="0"/>
              <w:jc w:val="center"/>
              <w:rPr>
                <w:lang w:val="en-GB"/>
              </w:rPr>
            </w:pPr>
            <w:hyperlink r:id="rId23"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5C42C"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bl>
    <w:p w14:paraId="50A17933" w14:textId="77777777" w:rsidR="00B0753D" w:rsidRPr="00562F67" w:rsidRDefault="00B0753D" w:rsidP="00DB780A"/>
    <w:p w14:paraId="0D81E87C" w14:textId="4241A046" w:rsidR="00DB780A" w:rsidRPr="00562F67" w:rsidRDefault="00C5760A" w:rsidP="00C5760A">
      <w:pPr>
        <w:pStyle w:val="Heading2"/>
      </w:pPr>
      <w:bookmarkStart w:id="32" w:name="_Toc12371664"/>
      <w:r w:rsidRPr="00562F67">
        <w:t>ELIXIR Competence Center</w:t>
      </w:r>
      <w:bookmarkEnd w:id="32"/>
    </w:p>
    <w:p w14:paraId="6AAE7E4F" w14:textId="72623E54" w:rsidR="00C5760A" w:rsidRPr="00562F67" w:rsidRDefault="00C5760A" w:rsidP="00C5760A">
      <w:r w:rsidRPr="00562F67">
        <w:t xml:space="preserve">The </w:t>
      </w:r>
      <w:r w:rsidR="009103DF" w:rsidRPr="00562F67">
        <w:t xml:space="preserve">ELIXIR </w:t>
      </w:r>
      <w:r w:rsidRPr="00562F67">
        <w:t xml:space="preserve">Competence Center will </w:t>
      </w:r>
      <w:r w:rsidR="009103DF" w:rsidRPr="00562F67">
        <w:t>contribute</w:t>
      </w:r>
      <w:r w:rsidRPr="00562F67">
        <w:t xml:space="preserve"> to establish an ELIXIR Compute Platform (ECP) which </w:t>
      </w:r>
      <w:r w:rsidR="009103DF" w:rsidRPr="00562F67">
        <w:t xml:space="preserve">will </w:t>
      </w:r>
      <w:r w:rsidRPr="00562F67">
        <w:t>allow ELIXIR cloud and data providers to share cloud compute and storage capacity to replicate and share reference data</w:t>
      </w:r>
      <w:r w:rsidR="00636BCE" w:rsidRPr="00562F67">
        <w:t xml:space="preserve"> </w:t>
      </w:r>
      <w:r w:rsidRPr="00562F67">
        <w:t xml:space="preserve">sets with each other and with their users. The platform aims to enable researchers to combine technical components of the ELIXIR Compute Platform services into a seamless ecosystem, thereby creating a science ready, </w:t>
      </w:r>
      <w:r w:rsidR="00562F67" w:rsidRPr="00562F67">
        <w:t>standardized</w:t>
      </w:r>
      <w:r w:rsidRPr="00562F67">
        <w:t xml:space="preserve"> interface to the key resources and technological capabilities that are available for </w:t>
      </w:r>
      <w:r w:rsidR="009103DF" w:rsidRPr="00562F67">
        <w:t>L</w:t>
      </w:r>
      <w:r w:rsidRPr="00562F67">
        <w:t xml:space="preserve">ife </w:t>
      </w:r>
      <w:r w:rsidR="009103DF" w:rsidRPr="00562F67">
        <w:t>S</w:t>
      </w:r>
      <w:r w:rsidRPr="00562F67">
        <w:t>ciences</w:t>
      </w:r>
      <w:r w:rsidR="009103DF" w:rsidRPr="00562F67">
        <w:t xml:space="preserve"> community</w:t>
      </w:r>
      <w:r w:rsidRPr="00562F67">
        <w:t>. The ECP aims to leverage the EOSC Service Catalogue to enable two related yet distinct activities for ELIXIR.</w:t>
      </w:r>
    </w:p>
    <w:p w14:paraId="5FFBBC8A" w14:textId="77777777" w:rsidR="00C5760A" w:rsidRPr="00562F67" w:rsidRDefault="00C5760A" w:rsidP="00C5760A">
      <w:pPr>
        <w:rPr>
          <w:b/>
        </w:rPr>
      </w:pPr>
      <w:r w:rsidRPr="00562F67">
        <w:rPr>
          <w:b/>
        </w:rPr>
        <w:t>Technical support activity</w:t>
      </w:r>
    </w:p>
    <w:p w14:paraId="7F66D310" w14:textId="7FBFA0CC" w:rsidR="00C5760A" w:rsidRPr="00562F67" w:rsidRDefault="00C5760A" w:rsidP="00C5760A">
      <w:r w:rsidRPr="00562F67">
        <w:t>As outcome of the technical support activity performed by the T10.3 in collaboration with the competence center, two user stories and four use cases were identified. They are detailed in the following tables.</w:t>
      </w:r>
    </w:p>
    <w:p w14:paraId="13DAAB31"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1C1DD1F" w14:textId="24429BBB" w:rsidR="00F02DBE" w:rsidRPr="00562F67" w:rsidRDefault="00F02DBE" w:rsidP="00F02DBE">
      <w:pPr>
        <w:pStyle w:val="Caption"/>
        <w:keepNext/>
        <w:jc w:val="center"/>
      </w:pPr>
      <w:r w:rsidRPr="00562F67">
        <w:t xml:space="preserve">Table </w:t>
      </w:r>
      <w:fldSimple w:instr=" SEQ Table \* ARABIC ">
        <w:r w:rsidR="00167EB3">
          <w:rPr>
            <w:noProof/>
          </w:rPr>
          <w:t>8</w:t>
        </w:r>
      </w:fldSimple>
      <w:r w:rsidRPr="00562F67">
        <w:t>. User stories for the ELIXIR Competence Center.</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F02DBE" w:rsidRPr="00562F67" w14:paraId="51FA7B16"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6E62688"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60FDEF"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F02DBE" w:rsidRPr="00562F67" w14:paraId="34BEF8EF"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150DCDA"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55336" w14:textId="77777777"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26C62B6A"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1B7C5175" w14:textId="517C4A2A"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Centrally provided and curated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can ensure high-quality research in any of the partner states/regions. Researchers can go to their 'local' ELIXIR cloud provider, choose an already pre-staged ELIXIR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or request the staging of an ELIXIR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choose an application of their choice (from a VM catalogue or container catalogue), maybe upload some additional data and then perform data analysis/analytics.</w:t>
            </w:r>
          </w:p>
          <w:p w14:paraId="0B4DC814"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201612F" w14:textId="77777777"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Different conditions of access may apply at the different cloud sites, but it is expected that the cloud compute resources would be free at the point of use for </w:t>
            </w:r>
            <w:r w:rsidRPr="00562F67">
              <w:rPr>
                <w:rFonts w:ascii="Arial" w:eastAsia="Times New Roman" w:hAnsi="Arial" w:cs="Arial"/>
                <w:color w:val="000000"/>
                <w:spacing w:val="0"/>
              </w:rPr>
              <w:lastRenderedPageBreak/>
              <w:t xml:space="preserve">national/local researchers, while pay-for-use or other special conditions apply for foreigners. </w:t>
            </w:r>
          </w:p>
          <w:p w14:paraId="49FA3193"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1E4CA4A7" w14:textId="478035D2"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replication of community assets to national cloud providers </w:t>
            </w:r>
            <w:r w:rsidR="00562F67" w:rsidRPr="00562F67">
              <w:rPr>
                <w:rFonts w:ascii="Arial" w:eastAsia="Times New Roman" w:hAnsi="Arial" w:cs="Arial"/>
                <w:color w:val="000000"/>
                <w:spacing w:val="0"/>
              </w:rPr>
              <w:t>maximizes</w:t>
            </w:r>
            <w:r w:rsidRPr="00562F67">
              <w:rPr>
                <w:rFonts w:ascii="Arial" w:eastAsia="Times New Roman" w:hAnsi="Arial" w:cs="Arial"/>
                <w:color w:val="000000"/>
                <w:spacing w:val="0"/>
              </w:rPr>
              <w:t xml:space="preserve"> the </w:t>
            </w:r>
            <w:r w:rsidR="00562F67" w:rsidRPr="00562F67">
              <w:rPr>
                <w:rFonts w:ascii="Arial" w:eastAsia="Times New Roman" w:hAnsi="Arial" w:cs="Arial"/>
                <w:color w:val="000000"/>
                <w:spacing w:val="0"/>
              </w:rPr>
              <w:t>utilization</w:t>
            </w:r>
            <w:r w:rsidRPr="00562F67">
              <w:rPr>
                <w:rFonts w:ascii="Arial" w:eastAsia="Times New Roman" w:hAnsi="Arial" w:cs="Arial"/>
                <w:color w:val="000000"/>
                <w:spacing w:val="0"/>
              </w:rPr>
              <w:t xml:space="preserve"> of national funding and lowers the total cost of access for researchers.</w:t>
            </w:r>
          </w:p>
          <w:p w14:paraId="7D5562BF"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FBA2F8C" w14:textId="30E5B025"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services in the setup should </w:t>
            </w:r>
            <w:r w:rsidR="00562F67" w:rsidRPr="00562F67">
              <w:rPr>
                <w:rFonts w:ascii="Arial" w:eastAsia="Times New Roman" w:hAnsi="Arial" w:cs="Arial"/>
                <w:color w:val="000000"/>
                <w:spacing w:val="0"/>
              </w:rPr>
              <w:t>recognize</w:t>
            </w:r>
            <w:r w:rsidRPr="00562F67">
              <w:rPr>
                <w:rFonts w:ascii="Arial" w:eastAsia="Times New Roman" w:hAnsi="Arial" w:cs="Arial"/>
                <w:color w:val="000000"/>
                <w:spacing w:val="0"/>
              </w:rPr>
              <w:t xml:space="preserve"> users via their ELIXIR identity, therefore ELIXIR AAI (Life science AAI) should be integrated with the RDSDS as well as with the national clouds.</w:t>
            </w:r>
          </w:p>
        </w:tc>
      </w:tr>
      <w:tr w:rsidR="00F02DBE" w:rsidRPr="00562F67" w14:paraId="0BAEC868"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D60B1F5"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7C246" w14:textId="03AD68EF"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cloud federation can be also equipped with a ‘container replication and orchestration service’ that enables application providers to deploy </w:t>
            </w:r>
            <w:r w:rsidR="00562F67" w:rsidRPr="00562F67">
              <w:rPr>
                <w:rFonts w:ascii="Arial" w:eastAsia="Times New Roman" w:hAnsi="Arial" w:cs="Arial"/>
                <w:color w:val="000000"/>
                <w:spacing w:val="0"/>
              </w:rPr>
              <w:t>containerized</w:t>
            </w:r>
            <w:r w:rsidRPr="00562F67">
              <w:rPr>
                <w:rFonts w:ascii="Arial" w:eastAsia="Times New Roman" w:hAnsi="Arial" w:cs="Arial"/>
                <w:color w:val="000000"/>
                <w:spacing w:val="0"/>
              </w:rPr>
              <w:t xml:space="preserve"> community/reference applications to any of the federated cloud sites, and users to instantiate and use the applications on those sites.</w:t>
            </w:r>
          </w:p>
          <w:p w14:paraId="5604A8BB"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0BC9FBB5" w14:textId="71A70CDD"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Having a centrally managed</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or self-managed</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container orchestration service will allow users</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who do not have access to cloud resources of their own</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to deploy </w:t>
            </w:r>
            <w:r w:rsidR="00562F67" w:rsidRPr="00562F67">
              <w:rPr>
                <w:rFonts w:ascii="Arial" w:eastAsia="Times New Roman" w:hAnsi="Arial" w:cs="Arial"/>
                <w:color w:val="000000"/>
                <w:spacing w:val="0"/>
              </w:rPr>
              <w:t>containerized</w:t>
            </w:r>
            <w:r w:rsidRPr="00562F67">
              <w:rPr>
                <w:rFonts w:ascii="Arial" w:eastAsia="Times New Roman" w:hAnsi="Arial" w:cs="Arial"/>
                <w:color w:val="000000"/>
                <w:spacing w:val="0"/>
              </w:rPr>
              <w:t xml:space="preserve"> workflows co-located with existing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in cloud locations.</w:t>
            </w:r>
          </w:p>
          <w:p w14:paraId="5ECA0633"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075CBC41" w14:textId="560470D6"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services in the setup should recognise users via their ELIXIR identity, therefore ELIXIR AAI (Life </w:t>
            </w:r>
            <w:r w:rsidR="009103DF" w:rsidRPr="00562F67">
              <w:rPr>
                <w:rFonts w:ascii="Arial" w:eastAsia="Times New Roman" w:hAnsi="Arial" w:cs="Arial"/>
                <w:color w:val="000000"/>
                <w:spacing w:val="0"/>
              </w:rPr>
              <w:t>S</w:t>
            </w:r>
            <w:r w:rsidRPr="00562F67">
              <w:rPr>
                <w:rFonts w:ascii="Arial" w:eastAsia="Times New Roman" w:hAnsi="Arial" w:cs="Arial"/>
                <w:color w:val="000000"/>
                <w:spacing w:val="0"/>
              </w:rPr>
              <w:t>cience</w:t>
            </w:r>
            <w:r w:rsidR="009103DF" w:rsidRPr="00562F67">
              <w:rPr>
                <w:rFonts w:ascii="Arial" w:eastAsia="Times New Roman" w:hAnsi="Arial" w:cs="Arial"/>
                <w:color w:val="000000"/>
                <w:spacing w:val="0"/>
              </w:rPr>
              <w:t>s</w:t>
            </w:r>
            <w:r w:rsidRPr="00562F67">
              <w:rPr>
                <w:rFonts w:ascii="Arial" w:eastAsia="Times New Roman" w:hAnsi="Arial" w:cs="Arial"/>
                <w:color w:val="000000"/>
                <w:spacing w:val="0"/>
              </w:rPr>
              <w:t xml:space="preserve"> AAI) should be integrated with the RDSDS as well as with the national clouds.</w:t>
            </w:r>
          </w:p>
        </w:tc>
      </w:tr>
    </w:tbl>
    <w:p w14:paraId="7588A56C" w14:textId="77777777" w:rsidR="00F02DBE" w:rsidRPr="00562F67" w:rsidRDefault="00F02DBE" w:rsidP="00C5760A"/>
    <w:p w14:paraId="681BD3E7"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25643A0C" w14:textId="16AD0BA5" w:rsidR="006372AE" w:rsidRPr="00562F67" w:rsidRDefault="006372AE" w:rsidP="006372AE">
      <w:pPr>
        <w:pStyle w:val="Caption"/>
        <w:keepNext/>
        <w:jc w:val="center"/>
      </w:pPr>
      <w:r w:rsidRPr="00562F67">
        <w:t xml:space="preserve">Table </w:t>
      </w:r>
      <w:fldSimple w:instr=" SEQ Table \* ARABIC ">
        <w:r w:rsidR="00167EB3">
          <w:rPr>
            <w:noProof/>
          </w:rPr>
          <w:t>9</w:t>
        </w:r>
      </w:fldSimple>
      <w:r w:rsidRPr="00562F67">
        <w:t>. Use cases for ELIXIR Competence Center.</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6372AE" w:rsidRPr="00562F67" w14:paraId="46A578D2"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E9D21C2"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D24C4FA"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6372AE" w:rsidRPr="00562F67" w14:paraId="4B477C6B"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518ED80"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C1FD7"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Joining the cloud federation with a cloud site (cloud provider perspective):</w:t>
            </w:r>
          </w:p>
          <w:p w14:paraId="413E5ADD"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1030AF5F" w14:textId="3C7219A2"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AAI integration between ELIXIR and EOSC</w:t>
            </w:r>
            <w:r w:rsidR="009103DF" w:rsidRPr="00562F67">
              <w:rPr>
                <w:rFonts w:ascii="Arial" w:eastAsia="Times New Roman" w:hAnsi="Arial" w:cs="Arial"/>
                <w:color w:val="000000"/>
                <w:spacing w:val="0"/>
              </w:rPr>
              <w:t>.</w:t>
            </w:r>
          </w:p>
          <w:p w14:paraId="36C4963F" w14:textId="004E426F"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Connect ELIXIR cloud compute or data storage location with EOSC</w:t>
            </w:r>
            <w:r w:rsidR="009103DF" w:rsidRPr="00562F67">
              <w:rPr>
                <w:rFonts w:ascii="Arial" w:eastAsia="Times New Roman" w:hAnsi="Arial" w:cs="Arial"/>
                <w:color w:val="000000"/>
                <w:spacing w:val="0"/>
              </w:rPr>
              <w:t>.</w:t>
            </w:r>
          </w:p>
          <w:p w14:paraId="2EC4B459" w14:textId="555742FC"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Policy compliance with policies (ELIXIR, EGI cloud, and EOSC-hub policies)</w:t>
            </w:r>
            <w:r w:rsidR="009103DF" w:rsidRPr="00562F67">
              <w:rPr>
                <w:rFonts w:ascii="Arial" w:eastAsia="Times New Roman" w:hAnsi="Arial" w:cs="Arial"/>
                <w:color w:val="000000"/>
                <w:spacing w:val="0"/>
              </w:rPr>
              <w:t>.</w:t>
            </w:r>
          </w:p>
        </w:tc>
      </w:tr>
      <w:tr w:rsidR="006372AE" w:rsidRPr="00562F67" w14:paraId="5757862F"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7CF6A8"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F4015" w14:textId="0FB1B344"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Making reference/core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available for replication to the federated cloud providers (data provider perspective):</w:t>
            </w:r>
          </w:p>
          <w:p w14:paraId="551A302E"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68B74AA5" w14:textId="675F4719"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Data provider publishes reference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RDSDS using ELIXIR AAI</w:t>
            </w:r>
            <w:r w:rsidR="009103DF" w:rsidRPr="00562F67">
              <w:rPr>
                <w:rFonts w:ascii="Arial" w:eastAsia="Times New Roman" w:hAnsi="Arial" w:cs="Arial"/>
                <w:color w:val="000000"/>
                <w:spacing w:val="0"/>
              </w:rPr>
              <w:t>.</w:t>
            </w:r>
          </w:p>
          <w:p w14:paraId="5AB79865" w14:textId="650ED7B8"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Based on a defined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replication policy RDSDS triggers one or more data transfer/synchronisation process via a central EOSC FTS service</w:t>
            </w:r>
            <w:r w:rsidR="009103DF" w:rsidRPr="00562F67">
              <w:rPr>
                <w:rFonts w:ascii="Arial" w:eastAsia="Times New Roman" w:hAnsi="Arial" w:cs="Arial"/>
                <w:color w:val="000000"/>
                <w:spacing w:val="0"/>
              </w:rPr>
              <w:t>.</w:t>
            </w:r>
          </w:p>
          <w:p w14:paraId="505E4F94" w14:textId="05768FB4"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EOSC FTS manages the transfer process between source and location and notifies RDSDS on completion</w:t>
            </w:r>
            <w:r w:rsidR="009103DF" w:rsidRPr="00562F67">
              <w:rPr>
                <w:rFonts w:ascii="Arial" w:eastAsia="Times New Roman" w:hAnsi="Arial" w:cs="Arial"/>
                <w:color w:val="000000"/>
                <w:spacing w:val="0"/>
              </w:rPr>
              <w:t>.</w:t>
            </w:r>
          </w:p>
          <w:p w14:paraId="4D1FC864" w14:textId="159A3D2F"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RDSDS notifies Data Provider that the data has been synchronised and/or any errors</w:t>
            </w:r>
            <w:r w:rsidR="009103DF" w:rsidRPr="00562F67">
              <w:rPr>
                <w:rFonts w:ascii="Arial" w:eastAsia="Times New Roman" w:hAnsi="Arial" w:cs="Arial"/>
                <w:color w:val="000000"/>
                <w:spacing w:val="0"/>
              </w:rPr>
              <w:t>.</w:t>
            </w:r>
            <w:r w:rsidR="00636BCE" w:rsidRPr="00562F67">
              <w:rPr>
                <w:rFonts w:ascii="Arial" w:eastAsia="Times New Roman" w:hAnsi="Arial" w:cs="Arial"/>
                <w:color w:val="000000"/>
                <w:spacing w:val="0"/>
              </w:rPr>
              <w:t xml:space="preserve"> </w:t>
            </w:r>
          </w:p>
        </w:tc>
      </w:tr>
      <w:tr w:rsidR="006372AE" w:rsidRPr="00562F67" w14:paraId="5C1A12B4"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3C39B74"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F9DF1" w14:textId="5929EE24"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Requesting the replication of a reference/core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my local cloud (researcher perspective):</w:t>
            </w:r>
          </w:p>
          <w:p w14:paraId="47CAD023"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4A9FA149" w14:textId="3315D9F6"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searches and finds for a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with the RDSDS catalogue</w:t>
            </w:r>
            <w:r w:rsidR="00636BCE" w:rsidRPr="00562F67">
              <w:rPr>
                <w:rFonts w:ascii="Arial" w:eastAsia="Times New Roman" w:hAnsi="Arial" w:cs="Arial"/>
                <w:color w:val="000000"/>
                <w:spacing w:val="0"/>
              </w:rPr>
              <w:t>.</w:t>
            </w:r>
          </w:p>
          <w:p w14:paraId="68FB4DCD" w14:textId="06DE4528"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 xml:space="preserve">User initiates a transfer of </w:t>
            </w:r>
            <w:r w:rsidR="00CF30EE" w:rsidRPr="00562F67">
              <w:rPr>
                <w:rFonts w:ascii="Arial" w:eastAsia="Times New Roman" w:hAnsi="Arial" w:cs="Arial"/>
                <w:color w:val="000000"/>
                <w:spacing w:val="0"/>
              </w:rPr>
              <w:t xml:space="preserve">the </w:t>
            </w:r>
            <w:r w:rsidRPr="00562F67">
              <w:rPr>
                <w:rFonts w:ascii="Arial" w:eastAsia="Times New Roman" w:hAnsi="Arial" w:cs="Arial"/>
                <w:color w:val="000000"/>
                <w:spacing w:val="0"/>
              </w:rPr>
              <w:t>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their local cloud resource using the EOSC central FTS</w:t>
            </w:r>
            <w:r w:rsidR="00636BCE" w:rsidRPr="00562F67">
              <w:rPr>
                <w:rFonts w:ascii="Arial" w:eastAsia="Times New Roman" w:hAnsi="Arial" w:cs="Arial"/>
                <w:color w:val="000000"/>
                <w:spacing w:val="0"/>
              </w:rPr>
              <w:t>.</w:t>
            </w:r>
          </w:p>
          <w:p w14:paraId="0BE49AFA" w14:textId="6470429B"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EOSC FTS notifies the completion of the data transfer and/or errors</w:t>
            </w:r>
            <w:r w:rsidR="00636BCE" w:rsidRPr="00562F67">
              <w:rPr>
                <w:rFonts w:ascii="Arial" w:eastAsia="Times New Roman" w:hAnsi="Arial" w:cs="Arial"/>
                <w:color w:val="000000"/>
                <w:spacing w:val="0"/>
              </w:rPr>
              <w:t>.</w:t>
            </w:r>
          </w:p>
        </w:tc>
      </w:tr>
      <w:tr w:rsidR="006372AE" w:rsidRPr="00562F67" w14:paraId="479A54DA"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F4C71D5"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7EE8A"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Making virtualised, reference/core applications available for replication and orchestration on the federated cloud providers (data provider perspective):</w:t>
            </w:r>
          </w:p>
          <w:p w14:paraId="45470F35"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521F2D62" w14:textId="41B82035"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searches the EOSC Service Catalogue to identify a container orchestration service</w:t>
            </w:r>
            <w:r w:rsidR="00636BCE" w:rsidRPr="00562F67">
              <w:rPr>
                <w:rFonts w:ascii="Arial" w:eastAsia="Times New Roman" w:hAnsi="Arial" w:cs="Arial"/>
                <w:color w:val="000000"/>
                <w:spacing w:val="0"/>
              </w:rPr>
              <w:t>.</w:t>
            </w:r>
          </w:p>
          <w:p w14:paraId="111CED3C" w14:textId="4FB85A4F"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The user uses their ELIXIR credentials to instantiate a container orchestration service</w:t>
            </w:r>
            <w:r w:rsidR="00636BCE" w:rsidRPr="00562F67">
              <w:rPr>
                <w:rFonts w:ascii="Arial" w:eastAsia="Times New Roman" w:hAnsi="Arial" w:cs="Arial"/>
                <w:color w:val="000000"/>
                <w:spacing w:val="0"/>
              </w:rPr>
              <w:t>.</w:t>
            </w:r>
          </w:p>
          <w:p w14:paraId="1DC5C81A" w14:textId="6E6D665B"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deploys a containerised application or workload to the container orchestration service</w:t>
            </w:r>
            <w:r w:rsidR="00636BCE" w:rsidRPr="00562F67">
              <w:rPr>
                <w:rFonts w:ascii="Arial" w:eastAsia="Times New Roman" w:hAnsi="Arial" w:cs="Arial"/>
                <w:color w:val="000000"/>
                <w:spacing w:val="0"/>
              </w:rPr>
              <w:t>.</w:t>
            </w:r>
          </w:p>
        </w:tc>
      </w:tr>
    </w:tbl>
    <w:p w14:paraId="16B98AB9" w14:textId="198CA326" w:rsidR="00C5760A" w:rsidRPr="00562F67" w:rsidRDefault="00C5760A" w:rsidP="00C5760A"/>
    <w:p w14:paraId="435B9D7B" w14:textId="5E8C6575" w:rsidR="00C5760A" w:rsidRPr="00562F67" w:rsidRDefault="00463578" w:rsidP="00C5760A">
      <w:r w:rsidRPr="00562F67">
        <w:t>Two technical requirements were already identified from the use cases. They are described in the following tables, the first showing the relationship between the requirements, the use cases and the user stories, the latter with a short description of the requirements and their current state.</w:t>
      </w:r>
    </w:p>
    <w:p w14:paraId="705F6CBF"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p w14:paraId="0F465F0D" w14:textId="49E3E0B7" w:rsidR="00463578" w:rsidRPr="00562F67" w:rsidRDefault="00463578" w:rsidP="00463578">
      <w:pPr>
        <w:pStyle w:val="Caption"/>
        <w:keepNext/>
      </w:pPr>
      <w:r w:rsidRPr="00562F67">
        <w:t xml:space="preserve">Table </w:t>
      </w:r>
      <w:fldSimple w:instr=" SEQ Table \* ARABIC ">
        <w:r w:rsidR="00167EB3">
          <w:rPr>
            <w:noProof/>
          </w:rPr>
          <w:t>10</w:t>
        </w:r>
      </w:fldSimple>
      <w:r w:rsidRPr="00562F67">
        <w:t xml:space="preserve">. Relationship between user stories, use cases and technical requirements for ELIXIR Competence </w:t>
      </w:r>
      <w:r w:rsidR="004A207A" w:rsidRPr="00562F67">
        <w:t>Centres</w:t>
      </w:r>
      <w:r w:rsidRPr="00562F67">
        <w:t>, according to their IDs.</w:t>
      </w:r>
    </w:p>
    <w:tbl>
      <w:tblPr>
        <w:tblW w:w="9026" w:type="dxa"/>
        <w:tblCellMar>
          <w:top w:w="15" w:type="dxa"/>
          <w:left w:w="15" w:type="dxa"/>
          <w:bottom w:w="15" w:type="dxa"/>
          <w:right w:w="15" w:type="dxa"/>
        </w:tblCellMar>
        <w:tblLook w:val="04A0" w:firstRow="1" w:lastRow="0" w:firstColumn="1" w:lastColumn="0" w:noHBand="0" w:noVBand="1"/>
      </w:tblPr>
      <w:tblGrid>
        <w:gridCol w:w="2710"/>
        <w:gridCol w:w="2745"/>
        <w:gridCol w:w="3571"/>
      </w:tblGrid>
      <w:tr w:rsidR="00463578" w:rsidRPr="00562F67" w14:paraId="38AC1B33"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DBBF6B"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44B323A"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3D2CA6A"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463578" w:rsidRPr="00562F67" w14:paraId="5E4B8EDC" w14:textId="77777777" w:rsidTr="0046357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C5370"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9B659"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 UC2, UCS3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532D3"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463578" w:rsidRPr="00562F67" w14:paraId="20983EE4" w14:textId="77777777" w:rsidTr="00463578">
        <w:trPr>
          <w:trHeight w:val="509"/>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46F55"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FC874"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9C2F0"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463578" w:rsidRPr="00562F67" w14:paraId="5D7116A2" w14:textId="77777777" w:rsidTr="00463578">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B1722B"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759E15"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3E69E4"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r>
    </w:tbl>
    <w:p w14:paraId="4B1D2DCB" w14:textId="77777777" w:rsidR="00463578" w:rsidRPr="00562F67" w:rsidRDefault="00463578" w:rsidP="00C5760A"/>
    <w:p w14:paraId="6B1FF572" w14:textId="77777777" w:rsidR="00463578" w:rsidRPr="00562F67" w:rsidRDefault="00463578" w:rsidP="00463578">
      <w:pPr>
        <w:spacing w:after="0"/>
        <w:jc w:val="left"/>
        <w:rPr>
          <w:rFonts w:ascii="Times New Roman" w:hAnsi="Times New Roman"/>
          <w:spacing w:val="0"/>
        </w:rPr>
      </w:pPr>
    </w:p>
    <w:p w14:paraId="49591CB5" w14:textId="6CC0706A" w:rsidR="00463578" w:rsidRPr="00562F67" w:rsidRDefault="00463578" w:rsidP="00463578">
      <w:pPr>
        <w:pStyle w:val="Caption"/>
        <w:keepNext/>
        <w:jc w:val="center"/>
      </w:pPr>
      <w:r w:rsidRPr="00562F67">
        <w:t xml:space="preserve">Table </w:t>
      </w:r>
      <w:fldSimple w:instr=" SEQ Table \* ARABIC ">
        <w:r w:rsidR="00167EB3">
          <w:rPr>
            <w:noProof/>
          </w:rPr>
          <w:t>11</w:t>
        </w:r>
      </w:fldSimple>
      <w:r w:rsidRPr="00562F67">
        <w:t>. List of technical requirements for the ELIXIR Competence Center.</w:t>
      </w:r>
    </w:p>
    <w:tbl>
      <w:tblPr>
        <w:tblW w:w="0" w:type="auto"/>
        <w:tblCellMar>
          <w:top w:w="15" w:type="dxa"/>
          <w:left w:w="15" w:type="dxa"/>
          <w:bottom w:w="15" w:type="dxa"/>
          <w:right w:w="15" w:type="dxa"/>
        </w:tblCellMar>
        <w:tblLook w:val="04A0" w:firstRow="1" w:lastRow="0" w:firstColumn="1" w:lastColumn="0" w:noHBand="0" w:noVBand="1"/>
      </w:tblPr>
      <w:tblGrid>
        <w:gridCol w:w="653"/>
        <w:gridCol w:w="2913"/>
        <w:gridCol w:w="2054"/>
        <w:gridCol w:w="616"/>
        <w:gridCol w:w="1605"/>
        <w:gridCol w:w="1165"/>
      </w:tblGrid>
      <w:tr w:rsidR="00463578" w:rsidRPr="00562F67" w14:paraId="1881AA37"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417FC3E"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734AAAA"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A843B49"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DE33F33"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1FC8602"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FADC595"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Status</w:t>
            </w:r>
          </w:p>
        </w:tc>
      </w:tr>
      <w:tr w:rsidR="00463578" w:rsidRPr="00562F67" w14:paraId="628D440C"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16BC597"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801E1"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1"/>
                <w:szCs w:val="21"/>
                <w:shd w:val="clear" w:color="auto" w:fill="FFFFFF"/>
                <w:lang w:val="en-GB"/>
              </w:rPr>
              <w:t>EOSC-hub to provide an FTS data transfer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CEE48"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EGI FTS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DF5F4"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17B84" w14:textId="77777777" w:rsidR="00463578" w:rsidRPr="00562F67" w:rsidRDefault="00E06C0D">
            <w:pPr>
              <w:pStyle w:val="NormalWeb"/>
              <w:spacing w:before="0" w:beforeAutospacing="0" w:after="0" w:afterAutospacing="0"/>
              <w:jc w:val="center"/>
              <w:rPr>
                <w:lang w:val="en-GB"/>
              </w:rPr>
            </w:pPr>
            <w:hyperlink r:id="rId24" w:history="1">
              <w:r w:rsidR="00463578" w:rsidRPr="00562F67">
                <w:rPr>
                  <w:rStyle w:val="Hyperlink"/>
                  <w:rFonts w:ascii="Arial" w:eastAsiaTheme="majorEastAsia" w:hAnsi="Arial" w:cs="Arial"/>
                  <w:color w:val="000000"/>
                  <w:sz w:val="22"/>
                  <w:szCs w:val="22"/>
                  <w:lang w:val="en-GB"/>
                </w:rPr>
                <w:t>EOSCWP10-21</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C43AF"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r w:rsidR="00463578" w:rsidRPr="00562F67" w14:paraId="2306C579"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0787865"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F9416"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EOSC-hub to provide Kubernetes as a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0B7DA"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EGI Cloud Container Compute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A1850"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3810A" w14:textId="77777777" w:rsidR="00463578" w:rsidRPr="00562F67" w:rsidRDefault="00E06C0D">
            <w:pPr>
              <w:pStyle w:val="NormalWeb"/>
              <w:spacing w:before="0" w:beforeAutospacing="0" w:after="0" w:afterAutospacing="0"/>
              <w:jc w:val="center"/>
              <w:rPr>
                <w:lang w:val="en-GB"/>
              </w:rPr>
            </w:pPr>
            <w:hyperlink r:id="rId25" w:history="1">
              <w:r w:rsidR="00463578" w:rsidRPr="00562F67">
                <w:rPr>
                  <w:rStyle w:val="Hyperlink"/>
                  <w:rFonts w:ascii="Arial" w:eastAsiaTheme="majorEastAsia" w:hAnsi="Arial" w:cs="Arial"/>
                  <w:color w:val="000000"/>
                  <w:sz w:val="22"/>
                  <w:szCs w:val="22"/>
                  <w:lang w:val="en-GB"/>
                </w:rPr>
                <w:t>EOSCWP10-3</w:t>
              </w:r>
            </w:hyperlink>
            <w:r w:rsidR="00463578" w:rsidRPr="00562F67">
              <w:rPr>
                <w:rFonts w:ascii="Arial" w:hAnsi="Arial" w:cs="Arial"/>
                <w:color w:val="000000"/>
                <w:sz w:val="22"/>
                <w:szCs w:val="22"/>
                <w:lang w:val="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A3D84"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bl>
    <w:p w14:paraId="510D5362" w14:textId="7EC99AE1" w:rsidR="00C5760A" w:rsidRPr="00562F67" w:rsidRDefault="00C5760A" w:rsidP="00C5760A"/>
    <w:p w14:paraId="1747B362" w14:textId="479219D3" w:rsidR="00463578" w:rsidRPr="00562F67" w:rsidRDefault="00463578" w:rsidP="00463578">
      <w:pPr>
        <w:pStyle w:val="Heading2"/>
      </w:pPr>
      <w:bookmarkStart w:id="33" w:name="_Toc12371665"/>
      <w:r w:rsidRPr="00562F67">
        <w:lastRenderedPageBreak/>
        <w:t>OPENCoastS Thematic Service</w:t>
      </w:r>
      <w:bookmarkEnd w:id="33"/>
    </w:p>
    <w:p w14:paraId="4AF59835" w14:textId="66FFC079" w:rsidR="00463578" w:rsidRPr="00562F67" w:rsidRDefault="0080140F" w:rsidP="00463578">
      <w:r w:rsidRPr="00562F67">
        <w:t>The OPENCoastS (On-demand Operational Coastal Circulation Forecast Service) service builds on-demand circulation forecast systems for user-selected sections of the North Atlantic coast and maintain them running operationally for the timeframe defined by the user. This daily service generates forecasts of water levels, 2D velocities and wave parameters over the spatial region of interest for periods of 72 hours, based on numerical simulations of all relevant physical processes. Currently, the service is deployed at a single computing site (NCG-INGRID-PT). Enlarging the service to international access requires additional computing capacity for scaling and resiliency (service continuity). Furthermore, it requires access to distributed data. Consequently, integration with more sophisticated distributed data management services is necessary.</w:t>
      </w:r>
    </w:p>
    <w:p w14:paraId="13C6FB2B" w14:textId="77777777" w:rsidR="00CA69B6" w:rsidRPr="00562F67" w:rsidRDefault="00CA69B6" w:rsidP="00463578">
      <w:pPr>
        <w:rPr>
          <w:b/>
        </w:rPr>
      </w:pPr>
    </w:p>
    <w:p w14:paraId="089C03D8" w14:textId="5BF23ACD" w:rsidR="00463578" w:rsidRPr="00562F67" w:rsidRDefault="00463578" w:rsidP="00463578">
      <w:r w:rsidRPr="00562F67">
        <w:rPr>
          <w:b/>
        </w:rPr>
        <w:t>Technical support activity</w:t>
      </w:r>
    </w:p>
    <w:p w14:paraId="7770BC87" w14:textId="4C95F50C" w:rsidR="00463578" w:rsidRPr="00562F67" w:rsidRDefault="00463578" w:rsidP="00463578">
      <w:r w:rsidRPr="00562F67">
        <w:t>As outcome of the technical support activity performed by the T10.3 in collaboration with the thematic service, eleven user stories and fourteen use cases were identified. They are detailed in the following tables.</w:t>
      </w:r>
    </w:p>
    <w:p w14:paraId="7ADE7677"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
    <w:p w14:paraId="32C4647E" w14:textId="0C55995C" w:rsidR="00DC49AA" w:rsidRPr="00562F67" w:rsidRDefault="00DC49AA" w:rsidP="00DC49AA">
      <w:pPr>
        <w:pStyle w:val="Caption"/>
        <w:keepNext/>
        <w:jc w:val="center"/>
      </w:pPr>
      <w:r w:rsidRPr="00562F67">
        <w:t xml:space="preserve">Table </w:t>
      </w:r>
      <w:fldSimple w:instr=" SEQ Table \* ARABIC ">
        <w:r w:rsidR="00167EB3">
          <w:rPr>
            <w:noProof/>
          </w:rPr>
          <w:t>12</w:t>
        </w:r>
      </w:fldSimple>
      <w:r w:rsidRPr="00562F67">
        <w:t>. User stories for OPENCoastS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C49AA" w:rsidRPr="00562F67" w14:paraId="77671E4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373A97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392C5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C49AA" w:rsidRPr="00562F67" w14:paraId="5BD462D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A029D9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431B9" w14:textId="75FCB33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log into the OPENCoastS web portal through my home institution credentials</w:t>
            </w:r>
            <w:r w:rsidR="00636BCE" w:rsidRPr="00562F67">
              <w:rPr>
                <w:rFonts w:ascii="Arial" w:eastAsia="Times New Roman" w:hAnsi="Arial" w:cs="Arial"/>
                <w:color w:val="000000"/>
                <w:spacing w:val="0"/>
              </w:rPr>
              <w:t>.</w:t>
            </w:r>
          </w:p>
        </w:tc>
      </w:tr>
      <w:tr w:rsidR="00DC49AA" w:rsidRPr="00562F67" w14:paraId="4048137D"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DDFD93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E2041" w14:textId="7A73E5B9"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download data from the simulation of the model</w:t>
            </w:r>
            <w:r w:rsidR="00636BCE" w:rsidRPr="00562F67">
              <w:rPr>
                <w:rFonts w:ascii="Arial" w:eastAsia="Times New Roman" w:hAnsi="Arial" w:cs="Arial"/>
                <w:color w:val="000000"/>
                <w:spacing w:val="0"/>
              </w:rPr>
              <w:t>.</w:t>
            </w:r>
          </w:p>
        </w:tc>
      </w:tr>
      <w:tr w:rsidR="00DC49AA" w:rsidRPr="00562F67" w14:paraId="786E8F8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8206CE4"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E2F6E" w14:textId="4B40D29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preserve high-quality/premium forecasts to be offered for re-analysis</w:t>
            </w:r>
            <w:r w:rsidR="00636BCE" w:rsidRPr="00562F67">
              <w:rPr>
                <w:rFonts w:ascii="Arial" w:eastAsia="Times New Roman" w:hAnsi="Arial" w:cs="Arial"/>
                <w:color w:val="000000"/>
                <w:spacing w:val="0"/>
              </w:rPr>
              <w:t>.</w:t>
            </w:r>
          </w:p>
        </w:tc>
      </w:tr>
      <w:tr w:rsidR="00DC49AA" w:rsidRPr="00562F67" w14:paraId="184D484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856F4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B0861" w14:textId="10DB790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publish the catalogue of high-quality/premium forecasts to be offered to the service users</w:t>
            </w:r>
            <w:r w:rsidR="00636BCE" w:rsidRPr="00562F67">
              <w:rPr>
                <w:rFonts w:ascii="Arial" w:eastAsia="Times New Roman" w:hAnsi="Arial" w:cs="Arial"/>
                <w:color w:val="000000"/>
                <w:spacing w:val="0"/>
              </w:rPr>
              <w:t>.</w:t>
            </w:r>
          </w:p>
        </w:tc>
      </w:tr>
      <w:tr w:rsidR="00DC49AA" w:rsidRPr="00562F67" w14:paraId="09CBBB7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7DBB4B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F59F" w14:textId="4EBE74F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be able to search the forecast catalogue based on a given set of characteristics</w:t>
            </w:r>
            <w:r w:rsidR="00636BCE" w:rsidRPr="00562F67">
              <w:rPr>
                <w:rFonts w:ascii="Arial" w:eastAsia="Times New Roman" w:hAnsi="Arial" w:cs="Arial"/>
                <w:color w:val="000000"/>
                <w:spacing w:val="0"/>
              </w:rPr>
              <w:t>.</w:t>
            </w:r>
          </w:p>
        </w:tc>
      </w:tr>
      <w:tr w:rsidR="00DC49AA" w:rsidRPr="00562F67" w14:paraId="6E0A415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7E48572"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05ADA" w14:textId="7B99A10F"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promote the simulation data as Open Data</w:t>
            </w:r>
            <w:r w:rsidR="00636BCE" w:rsidRPr="00562F67">
              <w:rPr>
                <w:rFonts w:ascii="Arial" w:eastAsia="Times New Roman" w:hAnsi="Arial" w:cs="Arial"/>
                <w:color w:val="000000"/>
                <w:spacing w:val="0"/>
              </w:rPr>
              <w:t>.</w:t>
            </w:r>
          </w:p>
        </w:tc>
      </w:tr>
      <w:tr w:rsidR="00DC49AA" w:rsidRPr="00562F67" w14:paraId="06ED92C3"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A7AD41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77CD9" w14:textId="4FC4B648"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estimate 40TB per month of storage consumption</w:t>
            </w:r>
            <w:r w:rsidR="00636BCE" w:rsidRPr="00562F67">
              <w:rPr>
                <w:rFonts w:ascii="Arial" w:eastAsia="Times New Roman" w:hAnsi="Arial" w:cs="Arial"/>
                <w:color w:val="000000"/>
                <w:spacing w:val="0"/>
              </w:rPr>
              <w:t>.</w:t>
            </w:r>
          </w:p>
        </w:tc>
      </w:tr>
      <w:tr w:rsidR="00DC49AA" w:rsidRPr="00562F67" w14:paraId="30F3213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323F51D"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F552A" w14:textId="4891CF5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run my simulations up to 72 hours</w:t>
            </w:r>
            <w:r w:rsidR="00636BCE" w:rsidRPr="00562F67">
              <w:rPr>
                <w:rFonts w:ascii="Arial" w:eastAsia="Times New Roman" w:hAnsi="Arial" w:cs="Arial"/>
                <w:color w:val="000000"/>
                <w:spacing w:val="0"/>
              </w:rPr>
              <w:t>.</w:t>
            </w:r>
          </w:p>
        </w:tc>
      </w:tr>
      <w:tr w:rsidR="00DC49AA" w:rsidRPr="00562F67" w14:paraId="727AB56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A4E5002"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067CC" w14:textId="1CCBCE4B"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run jobs in HTC, Grid and Cloud environments</w:t>
            </w:r>
            <w:r w:rsidR="00636BCE" w:rsidRPr="00562F67">
              <w:rPr>
                <w:rFonts w:ascii="Arial" w:eastAsia="Times New Roman" w:hAnsi="Arial" w:cs="Arial"/>
                <w:color w:val="000000"/>
                <w:spacing w:val="0"/>
              </w:rPr>
              <w:t>.</w:t>
            </w:r>
          </w:p>
        </w:tc>
      </w:tr>
      <w:tr w:rsidR="00DC49AA" w:rsidRPr="00562F67" w14:paraId="5343AB3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88D33E3"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C69CE" w14:textId="51B5C1A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be able to deploy the service in an automated way using the Cloud</w:t>
            </w:r>
            <w:r w:rsidR="00636BCE" w:rsidRPr="00562F67">
              <w:rPr>
                <w:rFonts w:ascii="Arial" w:eastAsia="Times New Roman" w:hAnsi="Arial" w:cs="Arial"/>
                <w:color w:val="000000"/>
                <w:spacing w:val="0"/>
              </w:rPr>
              <w:t>.</w:t>
            </w:r>
          </w:p>
        </w:tc>
      </w:tr>
      <w:tr w:rsidR="00DC49AA" w:rsidRPr="00562F67" w14:paraId="21A7DF8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60D7E8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CF24A" w14:textId="44D201AC"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obtain monitoring and accounting information of my running service</w:t>
            </w:r>
            <w:r w:rsidR="00636BCE" w:rsidRPr="00562F67">
              <w:rPr>
                <w:rFonts w:ascii="Arial" w:eastAsia="Times New Roman" w:hAnsi="Arial" w:cs="Arial"/>
                <w:color w:val="000000"/>
                <w:spacing w:val="0"/>
              </w:rPr>
              <w:t>.</w:t>
            </w:r>
          </w:p>
        </w:tc>
      </w:tr>
    </w:tbl>
    <w:p w14:paraId="2FE69943" w14:textId="486D1D42" w:rsidR="00DC49AA" w:rsidRPr="00562F67" w:rsidRDefault="00DC49AA" w:rsidP="00463578"/>
    <w:p w14:paraId="0F738148"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
    <w:p w14:paraId="709C8677" w14:textId="7CDB0D68" w:rsidR="00DC49AA" w:rsidRPr="00562F67" w:rsidRDefault="00DC49AA" w:rsidP="00DC49AA">
      <w:pPr>
        <w:pStyle w:val="Caption"/>
        <w:keepNext/>
        <w:jc w:val="center"/>
      </w:pPr>
      <w:r w:rsidRPr="00562F67">
        <w:t xml:space="preserve">Table </w:t>
      </w:r>
      <w:fldSimple w:instr=" SEQ Table \* ARABIC ">
        <w:r w:rsidR="00167EB3">
          <w:rPr>
            <w:noProof/>
          </w:rPr>
          <w:t>13</w:t>
        </w:r>
      </w:fldSimple>
      <w:r w:rsidRPr="00562F67">
        <w:t>. Use cases for OPENCoastS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C49AA" w:rsidRPr="00562F67" w14:paraId="49509007"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D3366F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8031530"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C49AA" w:rsidRPr="00562F67" w14:paraId="427AF48B"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2B2423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34AD6" w14:textId="4797089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logs in the OPENCoastS service using eduGAIN</w:t>
            </w:r>
            <w:r w:rsidR="00636BCE" w:rsidRPr="00562F67">
              <w:rPr>
                <w:rFonts w:ascii="Arial" w:eastAsia="Times New Roman" w:hAnsi="Arial" w:cs="Arial"/>
                <w:color w:val="000000"/>
                <w:spacing w:val="0"/>
              </w:rPr>
              <w:t>.</w:t>
            </w:r>
          </w:p>
        </w:tc>
      </w:tr>
      <w:tr w:rsidR="00DC49AA" w:rsidRPr="00562F67" w14:paraId="2247FAD8"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045BA1"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BEEE0" w14:textId="0830576E"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manages the authorization/attribute provision</w:t>
            </w:r>
            <w:r w:rsidR="00636BCE" w:rsidRPr="00562F67">
              <w:rPr>
                <w:rFonts w:ascii="Arial" w:eastAsia="Times New Roman" w:hAnsi="Arial" w:cs="Arial"/>
                <w:color w:val="000000"/>
                <w:spacing w:val="0"/>
              </w:rPr>
              <w:t>.</w:t>
            </w:r>
          </w:p>
        </w:tc>
      </w:tr>
      <w:tr w:rsidR="00DC49AA" w:rsidRPr="00562F67" w14:paraId="0440BB7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E6EF76D"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6EAF6"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obtains a x509 certificate for Grid submission</w:t>
            </w:r>
          </w:p>
        </w:tc>
      </w:tr>
      <w:tr w:rsidR="00DC49AA" w:rsidRPr="00562F67" w14:paraId="01C2A7B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64340C"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D8136" w14:textId="4196C5A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constructs a broadcast simulation</w:t>
            </w:r>
            <w:r w:rsidR="00636BCE" w:rsidRPr="00562F67">
              <w:rPr>
                <w:rFonts w:ascii="Arial" w:eastAsia="Times New Roman" w:hAnsi="Arial" w:cs="Arial"/>
                <w:color w:val="000000"/>
                <w:spacing w:val="0"/>
              </w:rPr>
              <w:t>.</w:t>
            </w:r>
          </w:p>
        </w:tc>
      </w:tr>
      <w:tr w:rsidR="00DC49AA" w:rsidRPr="00562F67" w14:paraId="0D97CA10"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3A9130A"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C2E45" w14:textId="502904A3"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submits jobs with the broadcast simulation</w:t>
            </w:r>
            <w:r w:rsidR="00636BCE" w:rsidRPr="00562F67">
              <w:rPr>
                <w:rFonts w:ascii="Arial" w:eastAsia="Times New Roman" w:hAnsi="Arial" w:cs="Arial"/>
                <w:color w:val="000000"/>
                <w:spacing w:val="0"/>
              </w:rPr>
              <w:t>.</w:t>
            </w:r>
          </w:p>
        </w:tc>
      </w:tr>
      <w:tr w:rsidR="00DC49AA" w:rsidRPr="00562F67" w14:paraId="01FD601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2F75BF"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E121" w14:textId="50A3B5CF"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may support docker container execution</w:t>
            </w:r>
            <w:r w:rsidR="00636BCE" w:rsidRPr="00562F67">
              <w:rPr>
                <w:rFonts w:ascii="Arial" w:eastAsia="Times New Roman" w:hAnsi="Arial" w:cs="Arial"/>
                <w:color w:val="000000"/>
                <w:spacing w:val="0"/>
              </w:rPr>
              <w:t>.</w:t>
            </w:r>
          </w:p>
        </w:tc>
      </w:tr>
      <w:tr w:rsidR="00DC49AA" w:rsidRPr="00562F67" w14:paraId="2798307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05B450A"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47ACE" w14:textId="3382A2D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obtains outputs from the simulation for the next (at most) 72h</w:t>
            </w:r>
            <w:r w:rsidR="00636BCE" w:rsidRPr="00562F67">
              <w:rPr>
                <w:rFonts w:ascii="Arial" w:eastAsia="Times New Roman" w:hAnsi="Arial" w:cs="Arial"/>
                <w:color w:val="000000"/>
                <w:spacing w:val="0"/>
              </w:rPr>
              <w:t>.</w:t>
            </w:r>
          </w:p>
        </w:tc>
      </w:tr>
      <w:tr w:rsidR="00DC49AA" w:rsidRPr="00562F67" w14:paraId="3997E91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4871F6B"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D0079" w14:textId="35ACCC8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automatically performs quality checks to identify high-quality/premium forecasts</w:t>
            </w:r>
            <w:r w:rsidR="00636BCE" w:rsidRPr="00562F67">
              <w:rPr>
                <w:rFonts w:ascii="Arial" w:eastAsia="Times New Roman" w:hAnsi="Arial" w:cs="Arial"/>
                <w:color w:val="000000"/>
                <w:spacing w:val="0"/>
              </w:rPr>
              <w:t>.</w:t>
            </w:r>
          </w:p>
        </w:tc>
      </w:tr>
      <w:tr w:rsidR="00DC49AA" w:rsidRPr="00562F67" w14:paraId="137A33E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D4F31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F7361" w14:textId="412EE4AE"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stores high-quality/premium forecasts</w:t>
            </w:r>
            <w:r w:rsidR="00636BCE" w:rsidRPr="00562F67">
              <w:rPr>
                <w:rFonts w:ascii="Arial" w:eastAsia="Times New Roman" w:hAnsi="Arial" w:cs="Arial"/>
                <w:color w:val="000000"/>
                <w:spacing w:val="0"/>
              </w:rPr>
              <w:t>.</w:t>
            </w:r>
          </w:p>
        </w:tc>
      </w:tr>
      <w:tr w:rsidR="00DC49AA" w:rsidRPr="00562F67" w14:paraId="53858C5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225A22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A4A00" w14:textId="3F07C34C"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searches the catalogue of high-quality/premium forecasts for re-analysis</w:t>
            </w:r>
            <w:r w:rsidR="00636BCE" w:rsidRPr="00562F67">
              <w:rPr>
                <w:rFonts w:ascii="Arial" w:eastAsia="Times New Roman" w:hAnsi="Arial" w:cs="Arial"/>
                <w:color w:val="000000"/>
                <w:spacing w:val="0"/>
              </w:rPr>
              <w:t>.</w:t>
            </w:r>
          </w:p>
        </w:tc>
      </w:tr>
      <w:tr w:rsidR="00DC49AA" w:rsidRPr="00562F67" w14:paraId="2DC03E3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5658AC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98500" w14:textId="27DC1D8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is deployed automatically</w:t>
            </w:r>
            <w:r w:rsidR="00636BCE" w:rsidRPr="00562F67">
              <w:rPr>
                <w:rFonts w:ascii="Arial" w:eastAsia="Times New Roman" w:hAnsi="Arial" w:cs="Arial"/>
                <w:color w:val="000000"/>
                <w:spacing w:val="0"/>
              </w:rPr>
              <w:t>.</w:t>
            </w:r>
          </w:p>
        </w:tc>
      </w:tr>
      <w:tr w:rsidR="00DC49AA" w:rsidRPr="00562F67" w14:paraId="15D02E5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320CA4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D0C5D" w14:textId="426521CD"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is deployed in the Cloud as a long-running service</w:t>
            </w:r>
            <w:r w:rsidR="00636BCE" w:rsidRPr="00562F67">
              <w:rPr>
                <w:rFonts w:ascii="Arial" w:eastAsia="Times New Roman" w:hAnsi="Arial" w:cs="Arial"/>
                <w:color w:val="000000"/>
                <w:spacing w:val="0"/>
              </w:rPr>
              <w:t>.</w:t>
            </w:r>
          </w:p>
        </w:tc>
      </w:tr>
      <w:tr w:rsidR="00DC49AA" w:rsidRPr="00562F67" w14:paraId="62174F5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E8DADCB"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132D1" w14:textId="3CCE8EF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is monitored</w:t>
            </w:r>
            <w:r w:rsidR="00636BCE" w:rsidRPr="00562F67">
              <w:rPr>
                <w:rFonts w:ascii="Arial" w:eastAsia="Times New Roman" w:hAnsi="Arial" w:cs="Arial"/>
                <w:color w:val="000000"/>
                <w:spacing w:val="0"/>
              </w:rPr>
              <w:t>.</w:t>
            </w:r>
          </w:p>
        </w:tc>
      </w:tr>
      <w:tr w:rsidR="00DC49AA" w:rsidRPr="00562F67" w14:paraId="408C16F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34ADD00"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D052B" w14:textId="5B4E6261"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resource consumption (compute, data) is tracked and accessible</w:t>
            </w:r>
            <w:r w:rsidR="00636BCE" w:rsidRPr="00562F67">
              <w:rPr>
                <w:rFonts w:ascii="Arial" w:eastAsia="Times New Roman" w:hAnsi="Arial" w:cs="Arial"/>
                <w:color w:val="000000"/>
                <w:spacing w:val="0"/>
              </w:rPr>
              <w:t>.</w:t>
            </w:r>
          </w:p>
        </w:tc>
      </w:tr>
    </w:tbl>
    <w:p w14:paraId="1D08488B" w14:textId="77777777" w:rsidR="00DC49AA" w:rsidRPr="00562F67" w:rsidRDefault="00DC49AA" w:rsidP="00463578"/>
    <w:p w14:paraId="4C09E631" w14:textId="2592ED16" w:rsidR="00463578" w:rsidRPr="00562F67" w:rsidRDefault="00DF4156" w:rsidP="00C5760A">
      <w:r w:rsidRPr="00562F67">
        <w:t>Fourteen technical requirements were already identified from the use cases. They are described in the following tables, the first showing the relationship between the requirements, the use cases and the user stories, the latter with a short description of the requirements and their current state.</w:t>
      </w:r>
    </w:p>
    <w:p w14:paraId="6BAC9C2A"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p w14:paraId="1C8901B5" w14:textId="565C1D5D" w:rsidR="00DF4156" w:rsidRPr="00562F67" w:rsidRDefault="00DF4156" w:rsidP="00DF4156">
      <w:pPr>
        <w:pStyle w:val="Caption"/>
        <w:keepNext/>
      </w:pPr>
      <w:r w:rsidRPr="00562F67">
        <w:t xml:space="preserve">Table </w:t>
      </w:r>
      <w:fldSimple w:instr=" SEQ Table \* ARABIC ">
        <w:r w:rsidR="00167EB3">
          <w:rPr>
            <w:noProof/>
          </w:rPr>
          <w:t>14</w:t>
        </w:r>
      </w:fldSimple>
      <w:r w:rsidRPr="00562F67">
        <w:t>. Relationship between user stories, use cases and technical requirements for OPENCoastS Thematic Service, according to their IDs.</w:t>
      </w:r>
    </w:p>
    <w:tbl>
      <w:tblPr>
        <w:tblW w:w="9026" w:type="dxa"/>
        <w:tblCellMar>
          <w:top w:w="15" w:type="dxa"/>
          <w:left w:w="15" w:type="dxa"/>
          <w:bottom w:w="15" w:type="dxa"/>
          <w:right w:w="15" w:type="dxa"/>
        </w:tblCellMar>
        <w:tblLook w:val="04A0" w:firstRow="1" w:lastRow="0" w:firstColumn="1" w:lastColumn="0" w:noHBand="0" w:noVBand="1"/>
      </w:tblPr>
      <w:tblGrid>
        <w:gridCol w:w="2780"/>
        <w:gridCol w:w="2582"/>
        <w:gridCol w:w="3664"/>
      </w:tblGrid>
      <w:tr w:rsidR="00DF4156" w:rsidRPr="00562F67" w14:paraId="5595D9BA"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EFE55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93D9AE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B6CBCD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DF4156" w:rsidRPr="00562F67" w14:paraId="45430CB8"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E88F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84D4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8B05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DF4156" w:rsidRPr="00562F67" w14:paraId="3F42368A"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4BD160"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C243E"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74C9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DF4156" w:rsidRPr="00562F67" w14:paraId="3CAFFFD8"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33255F"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D942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9E341"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RQ4</w:t>
            </w:r>
          </w:p>
        </w:tc>
      </w:tr>
      <w:tr w:rsidR="00DF4156" w:rsidRPr="00562F67" w14:paraId="5DDCBA72" w14:textId="77777777" w:rsidTr="00DF415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6C30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4E14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30C5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DF4156" w:rsidRPr="00562F67" w14:paraId="288C708B" w14:textId="77777777" w:rsidTr="00DF415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98FA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8537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67111"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25090DCA"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65665"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D28A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C43F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43D4DA9D"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2BFCB"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4BE8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E8E45"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RQ9, RQ10</w:t>
            </w:r>
          </w:p>
        </w:tc>
      </w:tr>
      <w:tr w:rsidR="00DF4156" w:rsidRPr="00562F67" w14:paraId="03E7EC8F"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3821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28A0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5973D"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DF4156" w:rsidRPr="00562F67" w14:paraId="7AECCABE"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AE4EA"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CE356"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3DA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48BB765C"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AE45D"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7C20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BD5F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5BA837EF"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B89245"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03BA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D66A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RQ14</w:t>
            </w:r>
          </w:p>
        </w:tc>
      </w:tr>
      <w:tr w:rsidR="00DF4156" w:rsidRPr="00562F67" w14:paraId="265CCA73"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6C42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027CB"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37AD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RQ3</w:t>
            </w:r>
          </w:p>
        </w:tc>
      </w:tr>
      <w:tr w:rsidR="00DF4156" w:rsidRPr="00562F67" w14:paraId="30B7260E"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CF5BAB"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C8A4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2D4B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RQ5</w:t>
            </w:r>
          </w:p>
        </w:tc>
      </w:tr>
      <w:tr w:rsidR="00DF4156" w:rsidRPr="00562F67" w14:paraId="400AAAFF"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3BBC0D"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A3E2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01D2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DF4156" w:rsidRPr="00562F67" w14:paraId="3BEF35FE"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EC5F6"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D599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2CCF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RQ6</w:t>
            </w:r>
          </w:p>
        </w:tc>
      </w:tr>
      <w:tr w:rsidR="00DF4156" w:rsidRPr="00562F67" w14:paraId="4F878C29"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F72591"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912C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233B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RQ12</w:t>
            </w:r>
          </w:p>
        </w:tc>
      </w:tr>
      <w:tr w:rsidR="00DF4156" w:rsidRPr="00562F67" w14:paraId="3F7CAD7A"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8EB1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ED3C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F42A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RQ11</w:t>
            </w:r>
          </w:p>
        </w:tc>
      </w:tr>
      <w:tr w:rsidR="00DF4156" w:rsidRPr="00562F67" w14:paraId="62D36410"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7ECA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D7EA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0C64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RQ13</w:t>
            </w:r>
          </w:p>
        </w:tc>
      </w:tr>
      <w:tr w:rsidR="00DF4156" w:rsidRPr="00562F67" w14:paraId="370863C3"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B2A495"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0E21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F414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RQ14</w:t>
            </w:r>
          </w:p>
        </w:tc>
      </w:tr>
    </w:tbl>
    <w:p w14:paraId="109E2090" w14:textId="677FA9E4" w:rsidR="00DF4156" w:rsidRPr="00562F67" w:rsidRDefault="00DF4156" w:rsidP="00C5760A"/>
    <w:p w14:paraId="6DB0A3C4" w14:textId="77777777" w:rsidR="00DF4156" w:rsidRPr="00562F67" w:rsidRDefault="00DF4156" w:rsidP="00DF4156">
      <w:pPr>
        <w:spacing w:after="0"/>
        <w:jc w:val="left"/>
        <w:rPr>
          <w:rFonts w:ascii="Times New Roman" w:hAnsi="Times New Roman"/>
          <w:spacing w:val="0"/>
        </w:rPr>
      </w:pPr>
    </w:p>
    <w:p w14:paraId="12A60892" w14:textId="0F53E74A" w:rsidR="00DF4156" w:rsidRPr="00562F67" w:rsidRDefault="00DF4156" w:rsidP="00DF4156">
      <w:pPr>
        <w:pStyle w:val="Caption"/>
        <w:keepNext/>
        <w:jc w:val="center"/>
      </w:pPr>
      <w:r w:rsidRPr="00562F67">
        <w:t xml:space="preserve">Table </w:t>
      </w:r>
      <w:fldSimple w:instr=" SEQ Table \* ARABIC ">
        <w:r w:rsidR="00167EB3">
          <w:rPr>
            <w:noProof/>
          </w:rPr>
          <w:t>15</w:t>
        </w:r>
      </w:fldSimple>
      <w:r w:rsidRPr="00562F67">
        <w:t>. List of technical requirements for OPENCoastS Thematic Service.</w:t>
      </w:r>
    </w:p>
    <w:tbl>
      <w:tblPr>
        <w:tblW w:w="0" w:type="auto"/>
        <w:tblCellMar>
          <w:top w:w="15" w:type="dxa"/>
          <w:left w:w="15" w:type="dxa"/>
          <w:bottom w:w="15" w:type="dxa"/>
          <w:right w:w="15" w:type="dxa"/>
        </w:tblCellMar>
        <w:tblLook w:val="04A0" w:firstRow="1" w:lastRow="0" w:firstColumn="1" w:lastColumn="0" w:noHBand="0" w:noVBand="1"/>
      </w:tblPr>
      <w:tblGrid>
        <w:gridCol w:w="775"/>
        <w:gridCol w:w="2774"/>
        <w:gridCol w:w="2421"/>
        <w:gridCol w:w="616"/>
        <w:gridCol w:w="1531"/>
        <w:gridCol w:w="889"/>
      </w:tblGrid>
      <w:tr w:rsidR="00DF4156" w:rsidRPr="00562F67" w14:paraId="5ED1DAE6"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C87881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67CDE2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F636B6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41C94E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89422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BAA82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Status</w:t>
            </w:r>
          </w:p>
        </w:tc>
      </w:tr>
      <w:tr w:rsidR="00DF4156" w:rsidRPr="00562F67" w14:paraId="646C96C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3C797A0"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0A873"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eduGAIN support for EOSC-hub AAI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AF6A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EGI Check-in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54B5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75CC9" w14:textId="77777777" w:rsidR="00DF4156" w:rsidRPr="00562F67" w:rsidRDefault="00E06C0D">
            <w:pPr>
              <w:pStyle w:val="NormalWeb"/>
              <w:spacing w:before="0" w:beforeAutospacing="0" w:after="0" w:afterAutospacing="0"/>
              <w:jc w:val="center"/>
              <w:rPr>
                <w:lang w:val="en-GB"/>
              </w:rPr>
            </w:pPr>
            <w:hyperlink r:id="rId26" w:history="1">
              <w:r w:rsidR="00DF4156" w:rsidRPr="00562F67">
                <w:rPr>
                  <w:rStyle w:val="Hyperlink"/>
                  <w:rFonts w:ascii="Arial" w:eastAsiaTheme="majorEastAsia" w:hAnsi="Arial" w:cs="Arial"/>
                  <w:color w:val="1155CC"/>
                  <w:sz w:val="22"/>
                  <w:szCs w:val="22"/>
                  <w:lang w:val="en-GB"/>
                </w:rPr>
                <w:t>EOSCWP10-19</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F5640"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49D23219"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4E280EE"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8FC5B"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Attribute provision for 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61D5A"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0EDE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443AF" w14:textId="77777777" w:rsidR="00DF4156" w:rsidRPr="00562F67" w:rsidRDefault="00E06C0D">
            <w:pPr>
              <w:pStyle w:val="NormalWeb"/>
              <w:spacing w:before="0" w:beforeAutospacing="0" w:after="0" w:afterAutospacing="0"/>
              <w:jc w:val="center"/>
              <w:rPr>
                <w:lang w:val="en-GB"/>
              </w:rPr>
            </w:pPr>
            <w:hyperlink r:id="rId27" w:history="1">
              <w:r w:rsidR="00DF4156" w:rsidRPr="00562F67">
                <w:rPr>
                  <w:rStyle w:val="Hyperlink"/>
                  <w:rFonts w:ascii="Arial" w:eastAsiaTheme="majorEastAsia" w:hAnsi="Arial" w:cs="Arial"/>
                  <w:color w:val="1155CC"/>
                  <w:sz w:val="22"/>
                  <w:szCs w:val="22"/>
                  <w:lang w:val="en-GB"/>
                </w:rPr>
                <w:t>EOSCWP10-19</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57F51"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0EB492B0"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FD8C39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lastRenderedPageBreak/>
              <w:t>RQ3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4883E"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Forecast simulation composition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B8D3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43C0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FF7B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E13A5" w14:textId="77777777" w:rsidR="00DF4156" w:rsidRPr="00562F67" w:rsidRDefault="00DF4156"/>
        </w:tc>
      </w:tr>
      <w:tr w:rsidR="00DF4156" w:rsidRPr="00562F67" w14:paraId="4E8E6F8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06C133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A4EC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OpenID Connect token translation to x509 certificate for Grid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CA5F9" w14:textId="77777777" w:rsidR="00DF4156" w:rsidRPr="00562F67" w:rsidRDefault="00DF4156">
            <w:pPr>
              <w:pStyle w:val="NormalWeb"/>
              <w:spacing w:before="0" w:beforeAutospacing="0" w:after="0" w:afterAutospacing="0"/>
              <w:rPr>
                <w:lang w:val="en-GB"/>
              </w:rPr>
            </w:pPr>
            <w:r w:rsidRPr="00562F67">
              <w:rPr>
                <w:rStyle w:val="apple-tab-span"/>
                <w:rFonts w:ascii="Arial" w:eastAsiaTheme="majorEastAsia" w:hAnsi="Arial" w:cs="Arial"/>
                <w:color w:val="000000"/>
                <w:sz w:val="22"/>
                <w:szCs w:val="22"/>
                <w:lang w:val="en-GB"/>
              </w:rPr>
              <w:tab/>
            </w:r>
          </w:p>
          <w:p w14:paraId="0518031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WaTTS/MasterPortal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8E0F"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57CDC" w14:textId="77777777" w:rsidR="00DF4156" w:rsidRPr="00562F67" w:rsidRDefault="00E06C0D">
            <w:pPr>
              <w:pStyle w:val="NormalWeb"/>
              <w:spacing w:before="0" w:beforeAutospacing="0" w:after="0" w:afterAutospacing="0"/>
              <w:jc w:val="center"/>
              <w:rPr>
                <w:lang w:val="en-GB"/>
              </w:rPr>
            </w:pPr>
            <w:hyperlink r:id="rId28" w:history="1">
              <w:r w:rsidR="00DF4156" w:rsidRPr="00562F67">
                <w:rPr>
                  <w:rStyle w:val="Hyperlink"/>
                  <w:rFonts w:ascii="Arial" w:eastAsiaTheme="majorEastAsia" w:hAnsi="Arial" w:cs="Arial"/>
                  <w:color w:val="1155CC"/>
                  <w:sz w:val="22"/>
                  <w:szCs w:val="22"/>
                  <w:lang w:val="en-GB"/>
                </w:rPr>
                <w:t>EOSCWP10-26</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3F298"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1B952FBB"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95A9F9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900C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Multi-site job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FB07A" w14:textId="77777777" w:rsidR="00DF4156" w:rsidRPr="00562F67" w:rsidRDefault="00DF4156">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DIRAC4EGI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1E8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9CB3A" w14:textId="77777777" w:rsidR="00DF4156" w:rsidRPr="00562F67" w:rsidRDefault="00E06C0D">
            <w:pPr>
              <w:pStyle w:val="NormalWeb"/>
              <w:spacing w:before="0" w:beforeAutospacing="0" w:after="0" w:afterAutospacing="0"/>
              <w:jc w:val="center"/>
              <w:rPr>
                <w:lang w:val="en-GB"/>
              </w:rPr>
            </w:pPr>
            <w:hyperlink r:id="rId29" w:history="1">
              <w:r w:rsidR="00DF4156" w:rsidRPr="00562F67">
                <w:rPr>
                  <w:rStyle w:val="Hyperlink"/>
                  <w:rFonts w:ascii="Arial" w:eastAsiaTheme="majorEastAsia" w:hAnsi="Arial" w:cs="Arial"/>
                  <w:color w:val="1155CC"/>
                  <w:sz w:val="22"/>
                  <w:szCs w:val="22"/>
                  <w:lang w:val="en-GB"/>
                </w:rPr>
                <w:t>EOSCWP10-18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6541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7D2EB8C0"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554DAF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050BA"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User-space Docker container execution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5CF1C"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udocker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708F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0A501" w14:textId="77777777" w:rsidR="00DF4156" w:rsidRPr="00562F67" w:rsidRDefault="00E06C0D">
            <w:pPr>
              <w:pStyle w:val="NormalWeb"/>
              <w:spacing w:before="0" w:beforeAutospacing="0" w:after="0" w:afterAutospacing="0"/>
              <w:jc w:val="center"/>
              <w:rPr>
                <w:lang w:val="en-GB"/>
              </w:rPr>
            </w:pPr>
            <w:hyperlink r:id="rId30" w:history="1">
              <w:r w:rsidR="00DF4156" w:rsidRPr="00562F67">
                <w:rPr>
                  <w:rStyle w:val="Hyperlink"/>
                  <w:rFonts w:ascii="Arial" w:eastAsiaTheme="majorEastAsia" w:hAnsi="Arial" w:cs="Arial"/>
                  <w:color w:val="1155CC"/>
                  <w:sz w:val="22"/>
                  <w:szCs w:val="22"/>
                  <w:lang w:val="en-GB"/>
                </w:rPr>
                <w:t>EOSCWP10-23</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70D8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DF4156" w:rsidRPr="00562F67" w14:paraId="063339CE"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4728D3F"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1682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Job output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7D7" w14:textId="77777777" w:rsidR="00DF4156" w:rsidRPr="00562F67" w:rsidRDefault="00DF4156">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DIRAC4EGI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3142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8D39E" w14:textId="77777777" w:rsidR="00DF4156" w:rsidRPr="00562F67" w:rsidRDefault="00E06C0D">
            <w:pPr>
              <w:pStyle w:val="NormalWeb"/>
              <w:spacing w:before="0" w:beforeAutospacing="0" w:after="0" w:afterAutospacing="0"/>
              <w:jc w:val="center"/>
              <w:rPr>
                <w:lang w:val="en-GB"/>
              </w:rPr>
            </w:pPr>
            <w:hyperlink r:id="rId31" w:history="1">
              <w:r w:rsidR="00DF4156" w:rsidRPr="00562F67">
                <w:rPr>
                  <w:rStyle w:val="Hyperlink"/>
                  <w:rFonts w:ascii="Arial" w:eastAsiaTheme="majorEastAsia" w:hAnsi="Arial" w:cs="Arial"/>
                  <w:color w:val="1155CC"/>
                  <w:sz w:val="22"/>
                  <w:szCs w:val="22"/>
                  <w:lang w:val="en-GB"/>
                </w:rPr>
                <w:t>EOSCWP10-18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B262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574A5E9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63D379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9F4E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need to store high-quality/premium forecast archives in permanent storage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4BDA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B2SAFE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C559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C0B85" w14:textId="77777777" w:rsidR="00DF4156" w:rsidRPr="00562F67" w:rsidRDefault="00E06C0D">
            <w:pPr>
              <w:pStyle w:val="NormalWeb"/>
              <w:spacing w:before="0" w:beforeAutospacing="0" w:after="0" w:afterAutospacing="0"/>
              <w:jc w:val="center"/>
              <w:rPr>
                <w:lang w:val="en-GB"/>
              </w:rPr>
            </w:pPr>
            <w:hyperlink r:id="rId32" w:history="1">
              <w:r w:rsidR="00DF4156" w:rsidRPr="00562F67">
                <w:rPr>
                  <w:rStyle w:val="Hyperlink"/>
                  <w:rFonts w:ascii="Arial" w:eastAsiaTheme="majorEastAsia" w:hAnsi="Arial" w:cs="Arial"/>
                  <w:color w:val="1155CC"/>
                  <w:sz w:val="22"/>
                  <w:szCs w:val="22"/>
                  <w:lang w:val="en-GB"/>
                </w:rPr>
                <w:t>EOSCWP10-24</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2D7B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33DE25E7"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B1CDD1E"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B9C3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need to handle metadata for user access to historical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3EAE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EGI DataHub B2FIND B2NOTE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7775B"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ADD4A" w14:textId="77777777" w:rsidR="00DF4156" w:rsidRPr="00562F67" w:rsidRDefault="00E06C0D">
            <w:pPr>
              <w:pStyle w:val="NormalWeb"/>
              <w:spacing w:before="0" w:beforeAutospacing="0" w:after="0" w:afterAutospacing="0"/>
              <w:jc w:val="center"/>
              <w:rPr>
                <w:lang w:val="en-GB"/>
              </w:rPr>
            </w:pPr>
            <w:hyperlink r:id="rId33" w:history="1">
              <w:r w:rsidR="00DF4156" w:rsidRPr="00562F67">
                <w:rPr>
                  <w:rStyle w:val="Hyperlink"/>
                  <w:rFonts w:ascii="Arial" w:eastAsiaTheme="majorEastAsia" w:hAnsi="Arial" w:cs="Arial"/>
                  <w:color w:val="1155CC"/>
                  <w:sz w:val="22"/>
                  <w:szCs w:val="22"/>
                  <w:lang w:val="en-GB"/>
                </w:rPr>
                <w:t>EOSCWP10-27</w:t>
              </w:r>
            </w:hyperlink>
            <w:r w:rsidR="00DF4156" w:rsidRPr="00562F67">
              <w:rPr>
                <w:rFonts w:ascii="Arial" w:hAnsi="Arial" w:cs="Arial"/>
                <w:color w:val="1155CC"/>
                <w:sz w:val="22"/>
                <w:szCs w:val="22"/>
                <w:u w:val="single"/>
                <w:lang w:val="en-GB"/>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823B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4A9DEFF3"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C60D84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5C89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need to expose historial catalogue as Open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D876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B2HANDLE B2DROP B2SHARE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02A8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C21AE" w14:textId="77777777" w:rsidR="00DF4156" w:rsidRPr="00562F67" w:rsidRDefault="00E06C0D">
            <w:pPr>
              <w:pStyle w:val="NormalWeb"/>
              <w:spacing w:before="0" w:beforeAutospacing="0" w:after="0" w:afterAutospacing="0"/>
              <w:jc w:val="center"/>
              <w:rPr>
                <w:lang w:val="en-GB"/>
              </w:rPr>
            </w:pPr>
            <w:hyperlink r:id="rId34" w:history="1">
              <w:r w:rsidR="00DF4156" w:rsidRPr="00562F67">
                <w:rPr>
                  <w:rStyle w:val="Hyperlink"/>
                  <w:rFonts w:ascii="Arial" w:eastAsiaTheme="majorEastAsia" w:hAnsi="Arial" w:cs="Arial"/>
                  <w:color w:val="1155CC"/>
                  <w:sz w:val="22"/>
                  <w:szCs w:val="22"/>
                  <w:lang w:val="en-GB"/>
                </w:rPr>
                <w:t>EOSCWP10-27</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5099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5577D77C"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80B0E0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6DB3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Automated deployment using Ansible of OPENCoastS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4CCA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C36A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9748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8C41A" w14:textId="77777777" w:rsidR="00DF4156" w:rsidRPr="00562F67" w:rsidRDefault="00DF4156"/>
        </w:tc>
      </w:tr>
      <w:tr w:rsidR="00DF4156" w:rsidRPr="00562F67" w14:paraId="7BE79D87"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192992B"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B00C2"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service deployment in the 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8C8F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PaaS Orchestrator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1EE2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A914"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8418D" w14:textId="77777777" w:rsidR="00DF4156" w:rsidRPr="00562F67" w:rsidRDefault="00DF4156"/>
        </w:tc>
      </w:tr>
      <w:tr w:rsidR="00DF4156" w:rsidRPr="00562F67" w14:paraId="4A5C0061"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F93460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2F38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Monitoring as a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572A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ARGO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C977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B4A15" w14:textId="77777777" w:rsidR="00DF4156" w:rsidRPr="00562F67" w:rsidRDefault="00E06C0D">
            <w:pPr>
              <w:pStyle w:val="NormalWeb"/>
              <w:spacing w:before="0" w:beforeAutospacing="0" w:after="0" w:afterAutospacing="0"/>
              <w:jc w:val="center"/>
              <w:rPr>
                <w:lang w:val="en-GB"/>
              </w:rPr>
            </w:pPr>
            <w:hyperlink r:id="rId35" w:history="1">
              <w:r w:rsidR="00DF4156" w:rsidRPr="00562F67">
                <w:rPr>
                  <w:rStyle w:val="Hyperlink"/>
                  <w:rFonts w:ascii="Arial" w:eastAsiaTheme="majorEastAsia" w:hAnsi="Arial" w:cs="Arial"/>
                  <w:color w:val="1155CC"/>
                  <w:sz w:val="22"/>
                  <w:szCs w:val="22"/>
                  <w:lang w:val="en-GB"/>
                </w:rPr>
                <w:t>EOSCWP10-43</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5D4A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DF4156" w:rsidRPr="00562F67" w14:paraId="74CB1134"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68770C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ED04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Tracking compute and storage consumption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8CD91"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32018"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3328E" w14:textId="77777777" w:rsidR="00DF4156" w:rsidRPr="00562F67" w:rsidRDefault="00E06C0D">
            <w:pPr>
              <w:pStyle w:val="NormalWeb"/>
              <w:spacing w:before="0" w:beforeAutospacing="0" w:after="0" w:afterAutospacing="0"/>
              <w:jc w:val="center"/>
              <w:rPr>
                <w:lang w:val="en-GB"/>
              </w:rPr>
            </w:pPr>
            <w:hyperlink r:id="rId36" w:history="1">
              <w:r w:rsidR="00DF4156" w:rsidRPr="00562F67">
                <w:rPr>
                  <w:rStyle w:val="Hyperlink"/>
                  <w:rFonts w:ascii="Arial" w:eastAsiaTheme="majorEastAsia" w:hAnsi="Arial" w:cs="Arial"/>
                  <w:color w:val="1155CC"/>
                  <w:sz w:val="22"/>
                  <w:szCs w:val="22"/>
                  <w:lang w:val="en-GB"/>
                </w:rPr>
                <w:t>EOSCWP10-4</w:t>
              </w:r>
              <w:r w:rsidR="00DF4156" w:rsidRPr="00562F67">
                <w:rPr>
                  <w:rStyle w:val="Hyperlink"/>
                  <w:rFonts w:ascii="Arial" w:eastAsiaTheme="majorEastAsia" w:hAnsi="Arial" w:cs="Arial"/>
                  <w:color w:val="3572B0"/>
                  <w:sz w:val="21"/>
                  <w:szCs w:val="21"/>
                  <w:lang w:val="en-GB"/>
                </w:rPr>
                <w:t>2</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7328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bl>
    <w:p w14:paraId="27A56D0B" w14:textId="77777777" w:rsidR="00DF4156" w:rsidRPr="00562F67" w:rsidRDefault="00DF4156" w:rsidP="00C5760A"/>
    <w:p w14:paraId="7E22DC22" w14:textId="77777777" w:rsidR="004338C6" w:rsidRPr="00562F67" w:rsidRDefault="004338C6" w:rsidP="00A30A98"/>
    <w:sectPr w:rsidR="004338C6" w:rsidRPr="00562F67" w:rsidSect="00247395">
      <w:headerReference w:type="even" r:id="rId37"/>
      <w:headerReference w:type="default" r:id="rId38"/>
      <w:footerReference w:type="first" r:id="rId3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AE371" w14:textId="77777777" w:rsidR="00E06C0D" w:rsidRDefault="00E06C0D" w:rsidP="00835E24">
      <w:pPr>
        <w:spacing w:after="0" w:line="240" w:lineRule="auto"/>
      </w:pPr>
      <w:r>
        <w:separator/>
      </w:r>
    </w:p>
  </w:endnote>
  <w:endnote w:type="continuationSeparator" w:id="0">
    <w:p w14:paraId="75AFF03D" w14:textId="77777777" w:rsidR="00E06C0D" w:rsidRDefault="00E06C0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3410C6" w:rsidRPr="00980A57" w14:paraId="519186AF" w14:textId="77777777" w:rsidTr="00247395">
      <w:trPr>
        <w:trHeight w:val="475"/>
      </w:trPr>
      <w:tc>
        <w:tcPr>
          <w:tcW w:w="4632" w:type="pct"/>
          <w:shd w:val="clear" w:color="auto" w:fill="7DA9DF"/>
          <w:vAlign w:val="center"/>
        </w:tcPr>
        <w:p w14:paraId="13DB79CD" w14:textId="77777777" w:rsidR="003410C6" w:rsidRPr="00980A57" w:rsidRDefault="003410C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5DC5ABA" w14:textId="77777777" w:rsidR="003410C6" w:rsidRPr="00EE208C" w:rsidRDefault="003410C6" w:rsidP="00247395">
          <w:pPr>
            <w:pStyle w:val="Header"/>
            <w:jc w:val="right"/>
            <w:rPr>
              <w:color w:val="002060"/>
              <w:sz w:val="18"/>
            </w:rPr>
          </w:pPr>
        </w:p>
      </w:tc>
    </w:tr>
  </w:tbl>
  <w:p w14:paraId="56E8BDBE" w14:textId="77777777" w:rsidR="003410C6" w:rsidRDefault="003410C6">
    <w:pPr>
      <w:pStyle w:val="Footer"/>
    </w:pPr>
    <w:r w:rsidRPr="00980A57">
      <w:rPr>
        <w:noProof/>
        <w:lang w:eastAsia="en-GB"/>
      </w:rPr>
      <w:drawing>
        <wp:anchor distT="0" distB="0" distL="114300" distR="114300" simplePos="0" relativeHeight="251659264" behindDoc="0" locked="0" layoutInCell="1" allowOverlap="1" wp14:anchorId="209678BD" wp14:editId="47A2A32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3A83F" w14:textId="77777777" w:rsidR="00E06C0D" w:rsidRDefault="00E06C0D" w:rsidP="00835E24">
      <w:pPr>
        <w:spacing w:after="0" w:line="240" w:lineRule="auto"/>
      </w:pPr>
      <w:r>
        <w:separator/>
      </w:r>
    </w:p>
  </w:footnote>
  <w:footnote w:type="continuationSeparator" w:id="0">
    <w:p w14:paraId="65917C29" w14:textId="77777777" w:rsidR="00E06C0D" w:rsidRDefault="00E06C0D" w:rsidP="00835E24">
      <w:pPr>
        <w:spacing w:after="0" w:line="240" w:lineRule="auto"/>
      </w:pPr>
      <w:r>
        <w:continuationSeparator/>
      </w:r>
    </w:p>
  </w:footnote>
  <w:footnote w:id="1">
    <w:p w14:paraId="70B24E6F" w14:textId="4ACEBA73" w:rsidR="003410C6" w:rsidRPr="003410C6" w:rsidRDefault="003410C6">
      <w:pPr>
        <w:pStyle w:val="FootnoteText"/>
        <w:rPr>
          <w:lang w:val="en-US"/>
        </w:rPr>
      </w:pPr>
      <w:r>
        <w:rPr>
          <w:rStyle w:val="FootnoteReference"/>
        </w:rPr>
        <w:footnoteRef/>
      </w:r>
      <w:r>
        <w:t xml:space="preserve"> </w:t>
      </w:r>
      <w:hyperlink r:id="rId1" w:history="1">
        <w:r w:rsidRPr="00A62A18">
          <w:rPr>
            <w:rStyle w:val="Hyperlink"/>
          </w:rPr>
          <w:t>https://wiki.eosc-hub.eu/display/EOSC/Community+requirements+DB</w:t>
        </w:r>
      </w:hyperlink>
    </w:p>
  </w:footnote>
  <w:footnote w:id="2">
    <w:p w14:paraId="52D6A4C6" w14:textId="3A260531" w:rsidR="003410C6" w:rsidRPr="008A7923" w:rsidRDefault="003410C6">
      <w:pPr>
        <w:pStyle w:val="FootnoteText"/>
      </w:pPr>
      <w:r>
        <w:rPr>
          <w:rStyle w:val="FootnoteReference"/>
        </w:rPr>
        <w:footnoteRef/>
      </w:r>
      <w:r>
        <w:t xml:space="preserve"> </w:t>
      </w:r>
      <w:hyperlink r:id="rId2" w:history="1">
        <w:r>
          <w:rPr>
            <w:rStyle w:val="Hyperlink"/>
          </w:rPr>
          <w:t>https://jira.eosc-hub.eu/projects/EOSCWP10/summary</w:t>
        </w:r>
      </w:hyperlink>
    </w:p>
  </w:footnote>
  <w:footnote w:id="3">
    <w:p w14:paraId="43E0BA5A" w14:textId="28B65811" w:rsidR="003410C6" w:rsidRPr="008A7923" w:rsidRDefault="003410C6">
      <w:pPr>
        <w:pStyle w:val="FootnoteText"/>
      </w:pPr>
      <w:r>
        <w:rPr>
          <w:rStyle w:val="FootnoteReference"/>
        </w:rPr>
        <w:footnoteRef/>
      </w:r>
      <w:r>
        <w:t xml:space="preserve"> </w:t>
      </w:r>
      <w:hyperlink r:id="rId3" w:history="1">
        <w:r>
          <w:rPr>
            <w:rStyle w:val="Hyperlink"/>
          </w:rPr>
          <w:t>https://wiki.eosc-hub.eu/display/EOSC/SOCRM-04+Provide+technical+support</w:t>
        </w:r>
      </w:hyperlink>
    </w:p>
  </w:footnote>
  <w:footnote w:id="4">
    <w:p w14:paraId="194AA967" w14:textId="31098EA7" w:rsidR="003410C6" w:rsidRPr="008A7923" w:rsidRDefault="003410C6" w:rsidP="00562F67">
      <w:pPr>
        <w:pStyle w:val="FootnoteText"/>
        <w:jc w:val="left"/>
      </w:pPr>
      <w:r>
        <w:rPr>
          <w:rStyle w:val="FootnoteReference"/>
        </w:rPr>
        <w:footnoteRef/>
      </w:r>
      <w:r w:rsidR="00562F67">
        <w:t xml:space="preserve"> </w:t>
      </w:r>
      <w:hyperlink r:id="rId4" w:history="1">
        <w:r w:rsidR="00562F67" w:rsidRPr="002014DA">
          <w:rPr>
            <w:rStyle w:val="Hyperlink"/>
          </w:rPr>
          <w:t>https://wiki.eosc-hub.eu/display/EOSC/Service+Order+and+Customer+Relationship+Management+-+SOCRM</w:t>
        </w:r>
      </w:hyperlink>
    </w:p>
  </w:footnote>
  <w:footnote w:id="5">
    <w:p w14:paraId="42D90073" w14:textId="0A7903E1" w:rsidR="003410C6" w:rsidRPr="00C12EC1" w:rsidRDefault="003410C6">
      <w:pPr>
        <w:pStyle w:val="FootnoteText"/>
      </w:pPr>
      <w:r>
        <w:rPr>
          <w:rStyle w:val="FootnoteReference"/>
        </w:rPr>
        <w:footnoteRef/>
      </w:r>
      <w:r>
        <w:t xml:space="preserve"> Members of the technical support team was chosen according to their expertise with the aim to have enough knowledge of all the EOSC-hub services to properly oversee the requirement implementation.</w:t>
      </w:r>
    </w:p>
  </w:footnote>
  <w:footnote w:id="6">
    <w:p w14:paraId="14ED6B4A" w14:textId="171A4FBE" w:rsidR="003410C6" w:rsidRPr="00003D98" w:rsidRDefault="003410C6">
      <w:pPr>
        <w:pStyle w:val="FootnoteText"/>
        <w:rPr>
          <w:lang w:val="en-US"/>
        </w:rPr>
      </w:pPr>
      <w:r>
        <w:rPr>
          <w:rStyle w:val="FootnoteReference"/>
        </w:rPr>
        <w:footnoteRef/>
      </w:r>
      <w:r>
        <w:t xml:space="preserve"> </w:t>
      </w:r>
      <w:hyperlink r:id="rId5" w:history="1">
        <w:r w:rsidR="00562F67" w:rsidRPr="002014DA">
          <w:rPr>
            <w:rStyle w:val="Hyperlink"/>
            <w:rFonts w:ascii="Arial" w:hAnsi="Arial" w:cs="Arial"/>
          </w:rPr>
          <w:t>https://jira.eosc-hub.eu/projects/EOSCWP10/summary</w:t>
        </w:r>
      </w:hyperlink>
      <w:r w:rsidR="00562F67">
        <w:rPr>
          <w:rFonts w:ascii="Arial" w:hAnsi="Arial" w:cs="Arial"/>
          <w:color w:val="000000"/>
        </w:rPr>
        <w:t xml:space="preserve"> </w:t>
      </w:r>
    </w:p>
  </w:footnote>
  <w:footnote w:id="7">
    <w:p w14:paraId="1BC0FEF3" w14:textId="6F5D8D88" w:rsidR="003410C6" w:rsidRPr="0022538D" w:rsidRDefault="003410C6">
      <w:pPr>
        <w:pStyle w:val="FootnoteText"/>
        <w:rPr>
          <w:lang w:val="en-US"/>
        </w:rPr>
      </w:pPr>
      <w:r>
        <w:rPr>
          <w:rStyle w:val="FootnoteReference"/>
        </w:rPr>
        <w:footnoteRef/>
      </w:r>
      <w:r>
        <w:t xml:space="preserve"> </w:t>
      </w:r>
      <w:r w:rsidRPr="0022538D">
        <w:t xml:space="preserve">SOCRM-04 procedure: </w:t>
      </w:r>
      <w:hyperlink r:id="rId6" w:history="1">
        <w:r w:rsidR="00562F67" w:rsidRPr="002014DA">
          <w:rPr>
            <w:rStyle w:val="Hyperlink"/>
          </w:rPr>
          <w:t>https://wiki.esc-hub.eu/display/EOSC/SOCRM-04+Provide+technical+support</w:t>
        </w:r>
      </w:hyperlink>
      <w:r w:rsidR="00562F67">
        <w:t xml:space="preserve">   </w:t>
      </w:r>
    </w:p>
  </w:footnote>
  <w:footnote w:id="8">
    <w:p w14:paraId="5F84DE3E" w14:textId="2E12C2E1" w:rsidR="003410C6" w:rsidRPr="0022538D" w:rsidRDefault="003410C6">
      <w:pPr>
        <w:pStyle w:val="FootnoteText"/>
        <w:rPr>
          <w:lang w:val="en-US"/>
        </w:rPr>
      </w:pPr>
      <w:r>
        <w:rPr>
          <w:rStyle w:val="FootnoteReference"/>
        </w:rPr>
        <w:footnoteRef/>
      </w:r>
      <w:r>
        <w:t xml:space="preserve"> </w:t>
      </w:r>
      <w:r w:rsidRPr="0022538D">
        <w:t>A rota of technical shifters will be setup when the number of requests will increase.</w:t>
      </w:r>
    </w:p>
  </w:footnote>
  <w:footnote w:id="9">
    <w:p w14:paraId="0A1098FE" w14:textId="42D9F1C2" w:rsidR="003410C6" w:rsidRPr="009C627B" w:rsidRDefault="003410C6">
      <w:pPr>
        <w:pStyle w:val="FootnoteText"/>
        <w:rPr>
          <w:lang w:val="en-US"/>
        </w:rPr>
      </w:pPr>
      <w:r>
        <w:rPr>
          <w:rStyle w:val="FootnoteReference"/>
        </w:rPr>
        <w:footnoteRef/>
      </w:r>
      <w:r>
        <w:t xml:space="preserve"> </w:t>
      </w:r>
      <w:r w:rsidRPr="009C627B">
        <w:t>The number of technical requirements tracked in JIRA can be different from the total because some requirements could be not fully defined yet and, then, not ready to be handled by the technical support team</w:t>
      </w:r>
      <w:r>
        <w:t>.</w:t>
      </w:r>
    </w:p>
  </w:footnote>
  <w:footnote w:id="10">
    <w:p w14:paraId="46F2B602" w14:textId="288FD637" w:rsidR="003410C6" w:rsidRPr="004756FB" w:rsidRDefault="003410C6">
      <w:pPr>
        <w:pStyle w:val="FootnoteText"/>
        <w:rPr>
          <w:lang w:val="en-US"/>
        </w:rPr>
      </w:pPr>
      <w:r>
        <w:rPr>
          <w:rStyle w:val="FootnoteReference"/>
        </w:rPr>
        <w:footnoteRef/>
      </w:r>
      <w:r>
        <w:t xml:space="preserve"> </w:t>
      </w:r>
      <w:r w:rsidRPr="004756FB">
        <w:t>The number of technical requirements tracked in JIRA can be different from the total because some requirements could be not fully defined yet and, then, not ready to be handled by the technical support team</w:t>
      </w:r>
      <w:r>
        <w:t>.</w:t>
      </w:r>
    </w:p>
  </w:footnote>
  <w:footnote w:id="11">
    <w:p w14:paraId="670DFA2A" w14:textId="64AF7F74" w:rsidR="003410C6" w:rsidRPr="004E3131" w:rsidRDefault="003410C6" w:rsidP="003410C6">
      <w:pPr>
        <w:pStyle w:val="FootnoteText"/>
        <w:jc w:val="left"/>
        <w:rPr>
          <w:lang w:val="en-US"/>
        </w:rPr>
      </w:pPr>
      <w:r w:rsidRPr="004E3131">
        <w:rPr>
          <w:rStyle w:val="FootnoteReference"/>
        </w:rPr>
        <w:footnoteRef/>
      </w:r>
      <w:r w:rsidRPr="004E3131">
        <w:t xml:space="preserve"> </w:t>
      </w:r>
      <w:r w:rsidRPr="004E3131">
        <w:rPr>
          <w:lang w:val="en-US"/>
        </w:rPr>
        <w:t xml:space="preserve">Max Centre of Excellence community db entry: </w:t>
      </w:r>
      <w:r>
        <w:rPr>
          <w:lang w:val="en-US"/>
        </w:rPr>
        <w:br/>
      </w:r>
      <w:hyperlink r:id="rId7" w:history="1">
        <w:r w:rsidRPr="003410C6">
          <w:rPr>
            <w:color w:val="0000FF"/>
            <w:u w:val="single"/>
          </w:rPr>
          <w:t>https://wiki.eosc-hub.eu/display/EOSC/MaX+Centre+of+Excellence</w:t>
        </w:r>
      </w:hyperlink>
    </w:p>
  </w:footnote>
  <w:footnote w:id="12">
    <w:p w14:paraId="2D3E9E01" w14:textId="3BB97802" w:rsidR="003410C6" w:rsidRPr="004756FB" w:rsidRDefault="003410C6" w:rsidP="003410C6">
      <w:pPr>
        <w:pStyle w:val="FootnoteText"/>
        <w:jc w:val="left"/>
        <w:rPr>
          <w:lang w:val="en-US"/>
        </w:rPr>
      </w:pPr>
      <w:r w:rsidRPr="004E3131">
        <w:rPr>
          <w:rStyle w:val="FootnoteReference"/>
        </w:rPr>
        <w:footnoteRef/>
      </w:r>
      <w:r w:rsidRPr="004E3131">
        <w:t xml:space="preserve"> </w:t>
      </w:r>
      <w:r w:rsidRPr="004E3131">
        <w:rPr>
          <w:lang w:val="en-US"/>
        </w:rPr>
        <w:t xml:space="preserve"> </w:t>
      </w:r>
      <w:r w:rsidRPr="004E3131">
        <w:t xml:space="preserve">Raman Spectroscopy Data community db entry: </w:t>
      </w:r>
      <w:r>
        <w:br/>
      </w:r>
      <w:hyperlink r:id="rId8" w:history="1">
        <w:r w:rsidRPr="003410C6">
          <w:rPr>
            <w:color w:val="0000FF"/>
            <w:u w:val="single"/>
          </w:rPr>
          <w:t>https://wiki.eosc-hub.eu/display/EOSC/Raman+spectroscopy+data+-+CNRS+Saint-Gobain</w:t>
        </w:r>
      </w:hyperlink>
    </w:p>
  </w:footnote>
  <w:footnote w:id="13">
    <w:p w14:paraId="035FD6C9" w14:textId="4811A48B" w:rsidR="003410C6" w:rsidRPr="00393322" w:rsidRDefault="003410C6">
      <w:pPr>
        <w:pStyle w:val="FootnoteText"/>
      </w:pPr>
      <w:r>
        <w:rPr>
          <w:rStyle w:val="FootnoteReference"/>
        </w:rPr>
        <w:footnoteRef/>
      </w:r>
      <w:r>
        <w:t xml:space="preserve"> Requirements can be ‘on hold’ for different reasons, e.g. the implementation is on-going or the community is not ready yet to test the new features.</w:t>
      </w:r>
    </w:p>
  </w:footnote>
  <w:footnote w:id="14">
    <w:p w14:paraId="1DC90474" w14:textId="67282988" w:rsidR="003410C6" w:rsidRPr="00C5760A" w:rsidRDefault="003410C6">
      <w:pPr>
        <w:pStyle w:val="FootnoteText"/>
        <w:rPr>
          <w:lang w:val="en-US"/>
        </w:rPr>
      </w:pPr>
      <w:r>
        <w:rPr>
          <w:rStyle w:val="FootnoteReference"/>
        </w:rPr>
        <w:footnoteRef/>
      </w:r>
      <w:r>
        <w:t xml:space="preserve"> A JIRA issue will be created when t</w:t>
      </w:r>
      <w:r w:rsidRPr="00C5760A">
        <w:t xml:space="preserve">he requirement </w:t>
      </w:r>
      <w:r>
        <w:t>will</w:t>
      </w:r>
      <w:r w:rsidRPr="00C5760A">
        <w:t xml:space="preserve"> be better defined.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B218" w14:textId="77777777" w:rsidR="003410C6" w:rsidRDefault="003410C6" w:rsidP="00505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3F0688" w14:textId="77777777" w:rsidR="003410C6" w:rsidRDefault="003410C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F04C" w14:textId="77777777" w:rsidR="003410C6" w:rsidRDefault="003410C6" w:rsidP="00505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410C6" w14:paraId="358392E6" w14:textId="77777777" w:rsidTr="00D065EF">
      <w:tc>
        <w:tcPr>
          <w:tcW w:w="4621" w:type="dxa"/>
        </w:tcPr>
        <w:p w14:paraId="3BF166C8" w14:textId="77777777" w:rsidR="003410C6" w:rsidRDefault="003410C6" w:rsidP="007A21E4">
          <w:pPr>
            <w:ind w:right="360"/>
          </w:pPr>
        </w:p>
      </w:tc>
      <w:tc>
        <w:tcPr>
          <w:tcW w:w="4621" w:type="dxa"/>
        </w:tcPr>
        <w:p w14:paraId="3700D1F6" w14:textId="77777777" w:rsidR="003410C6" w:rsidRDefault="003410C6" w:rsidP="00D065EF">
          <w:pPr>
            <w:jc w:val="right"/>
          </w:pPr>
        </w:p>
      </w:tc>
    </w:tr>
  </w:tbl>
  <w:p w14:paraId="13A754CE" w14:textId="77777777" w:rsidR="003410C6" w:rsidRDefault="00341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D38BE"/>
    <w:multiLevelType w:val="multilevel"/>
    <w:tmpl w:val="08B0B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F35D3"/>
    <w:multiLevelType w:val="hybridMultilevel"/>
    <w:tmpl w:val="468CC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A18AE"/>
    <w:multiLevelType w:val="hybridMultilevel"/>
    <w:tmpl w:val="EF52D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378D1"/>
    <w:multiLevelType w:val="multilevel"/>
    <w:tmpl w:val="B10237F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F7407E"/>
    <w:multiLevelType w:val="hybridMultilevel"/>
    <w:tmpl w:val="E018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FE17B1A"/>
    <w:multiLevelType w:val="multilevel"/>
    <w:tmpl w:val="C176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E74B9D"/>
    <w:multiLevelType w:val="multilevel"/>
    <w:tmpl w:val="1C00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5E3B1C"/>
    <w:multiLevelType w:val="hybridMultilevel"/>
    <w:tmpl w:val="A572886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5B152D"/>
    <w:multiLevelType w:val="multilevel"/>
    <w:tmpl w:val="0256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820125"/>
    <w:multiLevelType w:val="hybridMultilevel"/>
    <w:tmpl w:val="66789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93535"/>
    <w:multiLevelType w:val="hybridMultilevel"/>
    <w:tmpl w:val="DA28F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7EC0DCB"/>
    <w:multiLevelType w:val="hybridMultilevel"/>
    <w:tmpl w:val="A3766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E3635"/>
    <w:multiLevelType w:val="hybridMultilevel"/>
    <w:tmpl w:val="B3AC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02F48"/>
    <w:multiLevelType w:val="hybridMultilevel"/>
    <w:tmpl w:val="3B442C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26"/>
  </w:num>
  <w:num w:numId="4">
    <w:abstractNumId w:val="0"/>
  </w:num>
  <w:num w:numId="5">
    <w:abstractNumId w:val="4"/>
  </w:num>
  <w:num w:numId="6">
    <w:abstractNumId w:val="13"/>
  </w:num>
  <w:num w:numId="7">
    <w:abstractNumId w:val="13"/>
    <w:lvlOverride w:ilvl="0">
      <w:startOverride w:val="1"/>
    </w:lvlOverride>
  </w:num>
  <w:num w:numId="8">
    <w:abstractNumId w:val="10"/>
  </w:num>
  <w:num w:numId="9">
    <w:abstractNumId w:val="6"/>
  </w:num>
  <w:num w:numId="10">
    <w:abstractNumId w:val="8"/>
  </w:num>
  <w:num w:numId="11">
    <w:abstractNumId w:val="3"/>
  </w:num>
  <w:num w:numId="12">
    <w:abstractNumId w:val="29"/>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1"/>
  </w:num>
  <w:num w:numId="18">
    <w:abstractNumId w:val="22"/>
  </w:num>
  <w:num w:numId="19">
    <w:abstractNumId w:val="7"/>
  </w:num>
  <w:num w:numId="20">
    <w:abstractNumId w:val="12"/>
  </w:num>
  <w:num w:numId="21">
    <w:abstractNumId w:val="19"/>
  </w:num>
  <w:num w:numId="22">
    <w:abstractNumId w:val="24"/>
  </w:num>
  <w:num w:numId="23">
    <w:abstractNumId w:val="9"/>
  </w:num>
  <w:num w:numId="24">
    <w:abstractNumId w:val="5"/>
  </w:num>
  <w:num w:numId="25">
    <w:abstractNumId w:val="27"/>
  </w:num>
  <w:num w:numId="26">
    <w:abstractNumId w:val="2"/>
  </w:num>
  <w:num w:numId="27">
    <w:abstractNumId w:val="11"/>
  </w:num>
  <w:num w:numId="28">
    <w:abstractNumId w:val="1"/>
  </w:num>
  <w:num w:numId="29">
    <w:abstractNumId w:val="18"/>
  </w:num>
  <w:num w:numId="30">
    <w:abstractNumId w:val="15"/>
  </w:num>
  <w:num w:numId="31">
    <w:abstractNumId w:val="16"/>
  </w:num>
  <w:num w:numId="32">
    <w:abstractNumId w:val="2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E4"/>
    <w:rsid w:val="00002363"/>
    <w:rsid w:val="00003D98"/>
    <w:rsid w:val="000502D5"/>
    <w:rsid w:val="00055312"/>
    <w:rsid w:val="00056FF7"/>
    <w:rsid w:val="00062C7D"/>
    <w:rsid w:val="00064FE4"/>
    <w:rsid w:val="00070C40"/>
    <w:rsid w:val="000723AB"/>
    <w:rsid w:val="000852E1"/>
    <w:rsid w:val="00087CA4"/>
    <w:rsid w:val="00095BD8"/>
    <w:rsid w:val="000A11DA"/>
    <w:rsid w:val="000A28D4"/>
    <w:rsid w:val="000B53A9"/>
    <w:rsid w:val="000B7BD0"/>
    <w:rsid w:val="000C55D6"/>
    <w:rsid w:val="000E00D2"/>
    <w:rsid w:val="000E17FC"/>
    <w:rsid w:val="000F7417"/>
    <w:rsid w:val="001013F4"/>
    <w:rsid w:val="0010672E"/>
    <w:rsid w:val="001170EE"/>
    <w:rsid w:val="00120CA8"/>
    <w:rsid w:val="00130F8B"/>
    <w:rsid w:val="001471A1"/>
    <w:rsid w:val="0015014E"/>
    <w:rsid w:val="001624FB"/>
    <w:rsid w:val="0016272F"/>
    <w:rsid w:val="00163455"/>
    <w:rsid w:val="00167EB3"/>
    <w:rsid w:val="00180B8D"/>
    <w:rsid w:val="001B2652"/>
    <w:rsid w:val="001C08C2"/>
    <w:rsid w:val="001C5A49"/>
    <w:rsid w:val="001C5D2E"/>
    <w:rsid w:val="001C68FD"/>
    <w:rsid w:val="001D1FF5"/>
    <w:rsid w:val="001D428D"/>
    <w:rsid w:val="001D7532"/>
    <w:rsid w:val="001F4463"/>
    <w:rsid w:val="00204939"/>
    <w:rsid w:val="00211038"/>
    <w:rsid w:val="002212FA"/>
    <w:rsid w:val="00221D0C"/>
    <w:rsid w:val="00221F36"/>
    <w:rsid w:val="0022538D"/>
    <w:rsid w:val="00227F47"/>
    <w:rsid w:val="00243304"/>
    <w:rsid w:val="00243317"/>
    <w:rsid w:val="002439A7"/>
    <w:rsid w:val="00247395"/>
    <w:rsid w:val="00252766"/>
    <w:rsid w:val="002539A4"/>
    <w:rsid w:val="002539A8"/>
    <w:rsid w:val="00263354"/>
    <w:rsid w:val="00264900"/>
    <w:rsid w:val="00264DAD"/>
    <w:rsid w:val="002738EA"/>
    <w:rsid w:val="002803A7"/>
    <w:rsid w:val="00281A10"/>
    <w:rsid w:val="00283160"/>
    <w:rsid w:val="002A3C5A"/>
    <w:rsid w:val="002A7241"/>
    <w:rsid w:val="002C25E9"/>
    <w:rsid w:val="002C4B0F"/>
    <w:rsid w:val="002D79A5"/>
    <w:rsid w:val="002E42AD"/>
    <w:rsid w:val="002E5F1F"/>
    <w:rsid w:val="002F56E0"/>
    <w:rsid w:val="00305015"/>
    <w:rsid w:val="00337C0A"/>
    <w:rsid w:val="00337DFA"/>
    <w:rsid w:val="003410C6"/>
    <w:rsid w:val="0035124F"/>
    <w:rsid w:val="0035647B"/>
    <w:rsid w:val="00361FCF"/>
    <w:rsid w:val="00380288"/>
    <w:rsid w:val="00393322"/>
    <w:rsid w:val="003B503F"/>
    <w:rsid w:val="003E389E"/>
    <w:rsid w:val="004002D6"/>
    <w:rsid w:val="004111F8"/>
    <w:rsid w:val="00412C7D"/>
    <w:rsid w:val="004161FD"/>
    <w:rsid w:val="00432117"/>
    <w:rsid w:val="004338C6"/>
    <w:rsid w:val="00454D75"/>
    <w:rsid w:val="00463578"/>
    <w:rsid w:val="004756FB"/>
    <w:rsid w:val="0049232C"/>
    <w:rsid w:val="00497064"/>
    <w:rsid w:val="004A207A"/>
    <w:rsid w:val="004A3ECF"/>
    <w:rsid w:val="004B04FF"/>
    <w:rsid w:val="004B4A72"/>
    <w:rsid w:val="004D249B"/>
    <w:rsid w:val="004D6DFA"/>
    <w:rsid w:val="004E24E2"/>
    <w:rsid w:val="004E3131"/>
    <w:rsid w:val="004F1638"/>
    <w:rsid w:val="004F1B72"/>
    <w:rsid w:val="00501130"/>
    <w:rsid w:val="00501E2A"/>
    <w:rsid w:val="005030A1"/>
    <w:rsid w:val="00505BF5"/>
    <w:rsid w:val="00525DC3"/>
    <w:rsid w:val="0052725F"/>
    <w:rsid w:val="00551BFA"/>
    <w:rsid w:val="00561312"/>
    <w:rsid w:val="00562F67"/>
    <w:rsid w:val="00564D14"/>
    <w:rsid w:val="0056751B"/>
    <w:rsid w:val="00570AE8"/>
    <w:rsid w:val="005927C3"/>
    <w:rsid w:val="005959F1"/>
    <w:rsid w:val="005962E0"/>
    <w:rsid w:val="005A339C"/>
    <w:rsid w:val="005A5BE8"/>
    <w:rsid w:val="005B05AC"/>
    <w:rsid w:val="005B0982"/>
    <w:rsid w:val="005B5622"/>
    <w:rsid w:val="005B78D7"/>
    <w:rsid w:val="005D14DF"/>
    <w:rsid w:val="005D18AA"/>
    <w:rsid w:val="005D2C21"/>
    <w:rsid w:val="005D3D12"/>
    <w:rsid w:val="005E5D31"/>
    <w:rsid w:val="0060134C"/>
    <w:rsid w:val="006014D2"/>
    <w:rsid w:val="00604F10"/>
    <w:rsid w:val="006063CB"/>
    <w:rsid w:val="0062666B"/>
    <w:rsid w:val="00636BCE"/>
    <w:rsid w:val="006372AE"/>
    <w:rsid w:val="0064292F"/>
    <w:rsid w:val="0066656C"/>
    <w:rsid w:val="006669E7"/>
    <w:rsid w:val="0069690B"/>
    <w:rsid w:val="006971E0"/>
    <w:rsid w:val="006C5298"/>
    <w:rsid w:val="006D3CEF"/>
    <w:rsid w:val="006D527C"/>
    <w:rsid w:val="006F5AEC"/>
    <w:rsid w:val="006F7556"/>
    <w:rsid w:val="007074B4"/>
    <w:rsid w:val="007103F7"/>
    <w:rsid w:val="0072045A"/>
    <w:rsid w:val="00733386"/>
    <w:rsid w:val="007629EC"/>
    <w:rsid w:val="00782A92"/>
    <w:rsid w:val="00797721"/>
    <w:rsid w:val="007A21E4"/>
    <w:rsid w:val="007B0D3B"/>
    <w:rsid w:val="007C78CA"/>
    <w:rsid w:val="007D1D57"/>
    <w:rsid w:val="00800878"/>
    <w:rsid w:val="0080140F"/>
    <w:rsid w:val="008041ED"/>
    <w:rsid w:val="00807121"/>
    <w:rsid w:val="008132B2"/>
    <w:rsid w:val="00813ED4"/>
    <w:rsid w:val="00826B23"/>
    <w:rsid w:val="00835E24"/>
    <w:rsid w:val="00840515"/>
    <w:rsid w:val="00843A07"/>
    <w:rsid w:val="008560A4"/>
    <w:rsid w:val="00857CFD"/>
    <w:rsid w:val="008626D6"/>
    <w:rsid w:val="00873234"/>
    <w:rsid w:val="00873EB6"/>
    <w:rsid w:val="008740F6"/>
    <w:rsid w:val="00877313"/>
    <w:rsid w:val="0089665B"/>
    <w:rsid w:val="008A7923"/>
    <w:rsid w:val="008B1E35"/>
    <w:rsid w:val="008B21DB"/>
    <w:rsid w:val="008B2F11"/>
    <w:rsid w:val="008C5208"/>
    <w:rsid w:val="008C68EC"/>
    <w:rsid w:val="008D1EC3"/>
    <w:rsid w:val="008E2AA9"/>
    <w:rsid w:val="008F50CC"/>
    <w:rsid w:val="008F55AE"/>
    <w:rsid w:val="008F6E93"/>
    <w:rsid w:val="009035AB"/>
    <w:rsid w:val="009103DF"/>
    <w:rsid w:val="009138D4"/>
    <w:rsid w:val="00914331"/>
    <w:rsid w:val="00915721"/>
    <w:rsid w:val="00931656"/>
    <w:rsid w:val="00933263"/>
    <w:rsid w:val="0094281E"/>
    <w:rsid w:val="00947A45"/>
    <w:rsid w:val="009514F8"/>
    <w:rsid w:val="00961416"/>
    <w:rsid w:val="009702C1"/>
    <w:rsid w:val="00971524"/>
    <w:rsid w:val="00976A73"/>
    <w:rsid w:val="00976EC5"/>
    <w:rsid w:val="00977F0A"/>
    <w:rsid w:val="00980A57"/>
    <w:rsid w:val="009925ED"/>
    <w:rsid w:val="009C627B"/>
    <w:rsid w:val="009C7E88"/>
    <w:rsid w:val="009D2103"/>
    <w:rsid w:val="009F1D83"/>
    <w:rsid w:val="009F1E23"/>
    <w:rsid w:val="00A070B9"/>
    <w:rsid w:val="00A25E60"/>
    <w:rsid w:val="00A27B65"/>
    <w:rsid w:val="00A30A98"/>
    <w:rsid w:val="00A312B2"/>
    <w:rsid w:val="00A473D1"/>
    <w:rsid w:val="00A5267D"/>
    <w:rsid w:val="00A53F7F"/>
    <w:rsid w:val="00A56645"/>
    <w:rsid w:val="00A60418"/>
    <w:rsid w:val="00A67816"/>
    <w:rsid w:val="00A841A6"/>
    <w:rsid w:val="00A8783E"/>
    <w:rsid w:val="00A91452"/>
    <w:rsid w:val="00AB042E"/>
    <w:rsid w:val="00AB420E"/>
    <w:rsid w:val="00AC42BD"/>
    <w:rsid w:val="00AD5134"/>
    <w:rsid w:val="00AD67E2"/>
    <w:rsid w:val="00AF5C70"/>
    <w:rsid w:val="00AF7E31"/>
    <w:rsid w:val="00B029E5"/>
    <w:rsid w:val="00B03644"/>
    <w:rsid w:val="00B0753D"/>
    <w:rsid w:val="00B107DD"/>
    <w:rsid w:val="00B13F8D"/>
    <w:rsid w:val="00B453BC"/>
    <w:rsid w:val="00B46C00"/>
    <w:rsid w:val="00B54668"/>
    <w:rsid w:val="00B60F00"/>
    <w:rsid w:val="00B61D40"/>
    <w:rsid w:val="00B67479"/>
    <w:rsid w:val="00B735D1"/>
    <w:rsid w:val="00B75013"/>
    <w:rsid w:val="00B80FB4"/>
    <w:rsid w:val="00B85B70"/>
    <w:rsid w:val="00B95CBF"/>
    <w:rsid w:val="00B9637E"/>
    <w:rsid w:val="00B964AE"/>
    <w:rsid w:val="00B96E8A"/>
    <w:rsid w:val="00BB07D2"/>
    <w:rsid w:val="00BB4D1A"/>
    <w:rsid w:val="00BB6AE8"/>
    <w:rsid w:val="00BD1982"/>
    <w:rsid w:val="00BD6C67"/>
    <w:rsid w:val="00BE0F92"/>
    <w:rsid w:val="00BE58A4"/>
    <w:rsid w:val="00C12EC1"/>
    <w:rsid w:val="00C242D0"/>
    <w:rsid w:val="00C40D39"/>
    <w:rsid w:val="00C55EFB"/>
    <w:rsid w:val="00C57178"/>
    <w:rsid w:val="00C5760A"/>
    <w:rsid w:val="00C63D9F"/>
    <w:rsid w:val="00C82428"/>
    <w:rsid w:val="00C96C8F"/>
    <w:rsid w:val="00CA69B6"/>
    <w:rsid w:val="00CB19EC"/>
    <w:rsid w:val="00CB1D9E"/>
    <w:rsid w:val="00CD57DB"/>
    <w:rsid w:val="00CD6220"/>
    <w:rsid w:val="00CE0301"/>
    <w:rsid w:val="00CE56EE"/>
    <w:rsid w:val="00CF1E31"/>
    <w:rsid w:val="00CF30EE"/>
    <w:rsid w:val="00CF3189"/>
    <w:rsid w:val="00D04EA5"/>
    <w:rsid w:val="00D065EF"/>
    <w:rsid w:val="00D075E1"/>
    <w:rsid w:val="00D07B31"/>
    <w:rsid w:val="00D25DB3"/>
    <w:rsid w:val="00D26F29"/>
    <w:rsid w:val="00D42568"/>
    <w:rsid w:val="00D541AE"/>
    <w:rsid w:val="00D6727A"/>
    <w:rsid w:val="00D75EB4"/>
    <w:rsid w:val="00D859A3"/>
    <w:rsid w:val="00D85E33"/>
    <w:rsid w:val="00D91967"/>
    <w:rsid w:val="00D9315C"/>
    <w:rsid w:val="00D95F48"/>
    <w:rsid w:val="00DA32F9"/>
    <w:rsid w:val="00DB5710"/>
    <w:rsid w:val="00DB780A"/>
    <w:rsid w:val="00DC49AA"/>
    <w:rsid w:val="00DD2B0C"/>
    <w:rsid w:val="00DD422B"/>
    <w:rsid w:val="00DE6805"/>
    <w:rsid w:val="00DF4156"/>
    <w:rsid w:val="00E04C11"/>
    <w:rsid w:val="00E06C0D"/>
    <w:rsid w:val="00E06D2A"/>
    <w:rsid w:val="00E120DF"/>
    <w:rsid w:val="00E13CE0"/>
    <w:rsid w:val="00E208DA"/>
    <w:rsid w:val="00E334D9"/>
    <w:rsid w:val="00E35D64"/>
    <w:rsid w:val="00E544EE"/>
    <w:rsid w:val="00E557B8"/>
    <w:rsid w:val="00E56EBE"/>
    <w:rsid w:val="00E57F0F"/>
    <w:rsid w:val="00E62B0B"/>
    <w:rsid w:val="00E67821"/>
    <w:rsid w:val="00E8128D"/>
    <w:rsid w:val="00E85EBD"/>
    <w:rsid w:val="00E94069"/>
    <w:rsid w:val="00E94FDB"/>
    <w:rsid w:val="00EA0FCD"/>
    <w:rsid w:val="00EA697D"/>
    <w:rsid w:val="00EA69BD"/>
    <w:rsid w:val="00EA6CD9"/>
    <w:rsid w:val="00EA73F8"/>
    <w:rsid w:val="00EB31FA"/>
    <w:rsid w:val="00EC504F"/>
    <w:rsid w:val="00EC75A5"/>
    <w:rsid w:val="00ED266B"/>
    <w:rsid w:val="00EE208C"/>
    <w:rsid w:val="00EF6E76"/>
    <w:rsid w:val="00F02DBE"/>
    <w:rsid w:val="00F06E24"/>
    <w:rsid w:val="00F12750"/>
    <w:rsid w:val="00F13A51"/>
    <w:rsid w:val="00F337DD"/>
    <w:rsid w:val="00F42F91"/>
    <w:rsid w:val="00F438A7"/>
    <w:rsid w:val="00F52823"/>
    <w:rsid w:val="00F5363A"/>
    <w:rsid w:val="00F7162A"/>
    <w:rsid w:val="00F77E50"/>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CD4408"/>
  <w15:docId w15:val="{6B3D532E-E711-4666-BF35-56FC4436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564D14"/>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564D14"/>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003D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3D98"/>
    <w:rPr>
      <w:rFonts w:ascii="Calibri" w:hAnsi="Calibri"/>
      <w:spacing w:val="2"/>
      <w:sz w:val="20"/>
      <w:szCs w:val="20"/>
    </w:rPr>
  </w:style>
  <w:style w:type="character" w:styleId="FootnoteReference">
    <w:name w:val="footnote reference"/>
    <w:basedOn w:val="DefaultParagraphFont"/>
    <w:uiPriority w:val="99"/>
    <w:semiHidden/>
    <w:unhideWhenUsed/>
    <w:rsid w:val="00003D98"/>
    <w:rPr>
      <w:vertAlign w:val="superscript"/>
    </w:rPr>
  </w:style>
  <w:style w:type="paragraph" w:styleId="NormalWeb">
    <w:name w:val="Normal (Web)"/>
    <w:basedOn w:val="Normal"/>
    <w:uiPriority w:val="99"/>
    <w:semiHidden/>
    <w:unhideWhenUsed/>
    <w:rsid w:val="009C627B"/>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character" w:customStyle="1" w:styleId="apple-tab-span">
    <w:name w:val="apple-tab-span"/>
    <w:basedOn w:val="DefaultParagraphFont"/>
    <w:rsid w:val="00DF4156"/>
  </w:style>
  <w:style w:type="character" w:customStyle="1" w:styleId="UnresolvedMention1">
    <w:name w:val="Unresolved Mention1"/>
    <w:basedOn w:val="DefaultParagraphFont"/>
    <w:uiPriority w:val="99"/>
    <w:semiHidden/>
    <w:unhideWhenUsed/>
    <w:rsid w:val="004B4A72"/>
    <w:rPr>
      <w:color w:val="605E5C"/>
      <w:shd w:val="clear" w:color="auto" w:fill="E1DFDD"/>
    </w:rPr>
  </w:style>
  <w:style w:type="character" w:styleId="UnresolvedMention">
    <w:name w:val="Unresolved Mention"/>
    <w:basedOn w:val="DefaultParagraphFont"/>
    <w:uiPriority w:val="99"/>
    <w:semiHidden/>
    <w:unhideWhenUsed/>
    <w:rsid w:val="00562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4980269">
      <w:bodyDiv w:val="1"/>
      <w:marLeft w:val="0"/>
      <w:marRight w:val="0"/>
      <w:marTop w:val="0"/>
      <w:marBottom w:val="0"/>
      <w:divBdr>
        <w:top w:val="none" w:sz="0" w:space="0" w:color="auto"/>
        <w:left w:val="none" w:sz="0" w:space="0" w:color="auto"/>
        <w:bottom w:val="none" w:sz="0" w:space="0" w:color="auto"/>
        <w:right w:val="none" w:sz="0" w:space="0" w:color="auto"/>
      </w:divBdr>
    </w:div>
    <w:div w:id="82335672">
      <w:bodyDiv w:val="1"/>
      <w:marLeft w:val="0"/>
      <w:marRight w:val="0"/>
      <w:marTop w:val="0"/>
      <w:marBottom w:val="0"/>
      <w:divBdr>
        <w:top w:val="none" w:sz="0" w:space="0" w:color="auto"/>
        <w:left w:val="none" w:sz="0" w:space="0" w:color="auto"/>
        <w:bottom w:val="none" w:sz="0" w:space="0" w:color="auto"/>
        <w:right w:val="none" w:sz="0" w:space="0" w:color="auto"/>
      </w:divBdr>
    </w:div>
    <w:div w:id="100300528">
      <w:bodyDiv w:val="1"/>
      <w:marLeft w:val="0"/>
      <w:marRight w:val="0"/>
      <w:marTop w:val="0"/>
      <w:marBottom w:val="0"/>
      <w:divBdr>
        <w:top w:val="none" w:sz="0" w:space="0" w:color="auto"/>
        <w:left w:val="none" w:sz="0" w:space="0" w:color="auto"/>
        <w:bottom w:val="none" w:sz="0" w:space="0" w:color="auto"/>
        <w:right w:val="none" w:sz="0" w:space="0" w:color="auto"/>
      </w:divBdr>
    </w:div>
    <w:div w:id="132335895">
      <w:bodyDiv w:val="1"/>
      <w:marLeft w:val="0"/>
      <w:marRight w:val="0"/>
      <w:marTop w:val="0"/>
      <w:marBottom w:val="0"/>
      <w:divBdr>
        <w:top w:val="none" w:sz="0" w:space="0" w:color="auto"/>
        <w:left w:val="none" w:sz="0" w:space="0" w:color="auto"/>
        <w:bottom w:val="none" w:sz="0" w:space="0" w:color="auto"/>
        <w:right w:val="none" w:sz="0" w:space="0" w:color="auto"/>
      </w:divBdr>
      <w:divsChild>
        <w:div w:id="210845607">
          <w:marLeft w:val="0"/>
          <w:marRight w:val="0"/>
          <w:marTop w:val="0"/>
          <w:marBottom w:val="0"/>
          <w:divBdr>
            <w:top w:val="none" w:sz="0" w:space="0" w:color="auto"/>
            <w:left w:val="none" w:sz="0" w:space="0" w:color="auto"/>
            <w:bottom w:val="none" w:sz="0" w:space="0" w:color="auto"/>
            <w:right w:val="none" w:sz="0" w:space="0" w:color="auto"/>
          </w:divBdr>
        </w:div>
      </w:divsChild>
    </w:div>
    <w:div w:id="175195449">
      <w:bodyDiv w:val="1"/>
      <w:marLeft w:val="0"/>
      <w:marRight w:val="0"/>
      <w:marTop w:val="0"/>
      <w:marBottom w:val="0"/>
      <w:divBdr>
        <w:top w:val="none" w:sz="0" w:space="0" w:color="auto"/>
        <w:left w:val="none" w:sz="0" w:space="0" w:color="auto"/>
        <w:bottom w:val="none" w:sz="0" w:space="0" w:color="auto"/>
        <w:right w:val="none" w:sz="0" w:space="0" w:color="auto"/>
      </w:divBdr>
    </w:div>
    <w:div w:id="176162573">
      <w:bodyDiv w:val="1"/>
      <w:marLeft w:val="0"/>
      <w:marRight w:val="0"/>
      <w:marTop w:val="0"/>
      <w:marBottom w:val="0"/>
      <w:divBdr>
        <w:top w:val="none" w:sz="0" w:space="0" w:color="auto"/>
        <w:left w:val="none" w:sz="0" w:space="0" w:color="auto"/>
        <w:bottom w:val="none" w:sz="0" w:space="0" w:color="auto"/>
        <w:right w:val="none" w:sz="0" w:space="0" w:color="auto"/>
      </w:divBdr>
    </w:div>
    <w:div w:id="223763841">
      <w:bodyDiv w:val="1"/>
      <w:marLeft w:val="0"/>
      <w:marRight w:val="0"/>
      <w:marTop w:val="0"/>
      <w:marBottom w:val="0"/>
      <w:divBdr>
        <w:top w:val="none" w:sz="0" w:space="0" w:color="auto"/>
        <w:left w:val="none" w:sz="0" w:space="0" w:color="auto"/>
        <w:bottom w:val="none" w:sz="0" w:space="0" w:color="auto"/>
        <w:right w:val="none" w:sz="0" w:space="0" w:color="auto"/>
      </w:divBdr>
      <w:divsChild>
        <w:div w:id="1882932850">
          <w:marLeft w:val="0"/>
          <w:marRight w:val="0"/>
          <w:marTop w:val="0"/>
          <w:marBottom w:val="0"/>
          <w:divBdr>
            <w:top w:val="none" w:sz="0" w:space="0" w:color="auto"/>
            <w:left w:val="none" w:sz="0" w:space="0" w:color="auto"/>
            <w:bottom w:val="none" w:sz="0" w:space="0" w:color="auto"/>
            <w:right w:val="none" w:sz="0" w:space="0" w:color="auto"/>
          </w:divBdr>
        </w:div>
      </w:divsChild>
    </w:div>
    <w:div w:id="240605728">
      <w:bodyDiv w:val="1"/>
      <w:marLeft w:val="0"/>
      <w:marRight w:val="0"/>
      <w:marTop w:val="0"/>
      <w:marBottom w:val="0"/>
      <w:divBdr>
        <w:top w:val="none" w:sz="0" w:space="0" w:color="auto"/>
        <w:left w:val="none" w:sz="0" w:space="0" w:color="auto"/>
        <w:bottom w:val="none" w:sz="0" w:space="0" w:color="auto"/>
        <w:right w:val="none" w:sz="0" w:space="0" w:color="auto"/>
      </w:divBdr>
    </w:div>
    <w:div w:id="323120863">
      <w:bodyDiv w:val="1"/>
      <w:marLeft w:val="0"/>
      <w:marRight w:val="0"/>
      <w:marTop w:val="0"/>
      <w:marBottom w:val="0"/>
      <w:divBdr>
        <w:top w:val="none" w:sz="0" w:space="0" w:color="auto"/>
        <w:left w:val="none" w:sz="0" w:space="0" w:color="auto"/>
        <w:bottom w:val="none" w:sz="0" w:space="0" w:color="auto"/>
        <w:right w:val="none" w:sz="0" w:space="0" w:color="auto"/>
      </w:divBdr>
      <w:divsChild>
        <w:div w:id="924724821">
          <w:marLeft w:val="0"/>
          <w:marRight w:val="0"/>
          <w:marTop w:val="0"/>
          <w:marBottom w:val="0"/>
          <w:divBdr>
            <w:top w:val="none" w:sz="0" w:space="0" w:color="auto"/>
            <w:left w:val="none" w:sz="0" w:space="0" w:color="auto"/>
            <w:bottom w:val="none" w:sz="0" w:space="0" w:color="auto"/>
            <w:right w:val="none" w:sz="0" w:space="0" w:color="auto"/>
          </w:divBdr>
        </w:div>
      </w:divsChild>
    </w:div>
    <w:div w:id="422068423">
      <w:bodyDiv w:val="1"/>
      <w:marLeft w:val="0"/>
      <w:marRight w:val="0"/>
      <w:marTop w:val="0"/>
      <w:marBottom w:val="0"/>
      <w:divBdr>
        <w:top w:val="none" w:sz="0" w:space="0" w:color="auto"/>
        <w:left w:val="none" w:sz="0" w:space="0" w:color="auto"/>
        <w:bottom w:val="none" w:sz="0" w:space="0" w:color="auto"/>
        <w:right w:val="none" w:sz="0" w:space="0" w:color="auto"/>
      </w:divBdr>
    </w:div>
    <w:div w:id="453906638">
      <w:bodyDiv w:val="1"/>
      <w:marLeft w:val="0"/>
      <w:marRight w:val="0"/>
      <w:marTop w:val="0"/>
      <w:marBottom w:val="0"/>
      <w:divBdr>
        <w:top w:val="none" w:sz="0" w:space="0" w:color="auto"/>
        <w:left w:val="none" w:sz="0" w:space="0" w:color="auto"/>
        <w:bottom w:val="none" w:sz="0" w:space="0" w:color="auto"/>
        <w:right w:val="none" w:sz="0" w:space="0" w:color="auto"/>
      </w:divBdr>
    </w:div>
    <w:div w:id="459155722">
      <w:bodyDiv w:val="1"/>
      <w:marLeft w:val="0"/>
      <w:marRight w:val="0"/>
      <w:marTop w:val="0"/>
      <w:marBottom w:val="0"/>
      <w:divBdr>
        <w:top w:val="none" w:sz="0" w:space="0" w:color="auto"/>
        <w:left w:val="none" w:sz="0" w:space="0" w:color="auto"/>
        <w:bottom w:val="none" w:sz="0" w:space="0" w:color="auto"/>
        <w:right w:val="none" w:sz="0" w:space="0" w:color="auto"/>
      </w:divBdr>
      <w:divsChild>
        <w:div w:id="1568151171">
          <w:marLeft w:val="0"/>
          <w:marRight w:val="0"/>
          <w:marTop w:val="0"/>
          <w:marBottom w:val="0"/>
          <w:divBdr>
            <w:top w:val="none" w:sz="0" w:space="0" w:color="auto"/>
            <w:left w:val="none" w:sz="0" w:space="0" w:color="auto"/>
            <w:bottom w:val="none" w:sz="0" w:space="0" w:color="auto"/>
            <w:right w:val="none" w:sz="0" w:space="0" w:color="auto"/>
          </w:divBdr>
        </w:div>
      </w:divsChild>
    </w:div>
    <w:div w:id="487523394">
      <w:bodyDiv w:val="1"/>
      <w:marLeft w:val="0"/>
      <w:marRight w:val="0"/>
      <w:marTop w:val="0"/>
      <w:marBottom w:val="0"/>
      <w:divBdr>
        <w:top w:val="none" w:sz="0" w:space="0" w:color="auto"/>
        <w:left w:val="none" w:sz="0" w:space="0" w:color="auto"/>
        <w:bottom w:val="none" w:sz="0" w:space="0" w:color="auto"/>
        <w:right w:val="none" w:sz="0" w:space="0" w:color="auto"/>
      </w:divBdr>
    </w:div>
    <w:div w:id="499925616">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8556735">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56417817">
      <w:bodyDiv w:val="1"/>
      <w:marLeft w:val="0"/>
      <w:marRight w:val="0"/>
      <w:marTop w:val="0"/>
      <w:marBottom w:val="0"/>
      <w:divBdr>
        <w:top w:val="none" w:sz="0" w:space="0" w:color="auto"/>
        <w:left w:val="none" w:sz="0" w:space="0" w:color="auto"/>
        <w:bottom w:val="none" w:sz="0" w:space="0" w:color="auto"/>
        <w:right w:val="none" w:sz="0" w:space="0" w:color="auto"/>
      </w:divBdr>
    </w:div>
    <w:div w:id="678653699">
      <w:bodyDiv w:val="1"/>
      <w:marLeft w:val="0"/>
      <w:marRight w:val="0"/>
      <w:marTop w:val="0"/>
      <w:marBottom w:val="0"/>
      <w:divBdr>
        <w:top w:val="none" w:sz="0" w:space="0" w:color="auto"/>
        <w:left w:val="none" w:sz="0" w:space="0" w:color="auto"/>
        <w:bottom w:val="none" w:sz="0" w:space="0" w:color="auto"/>
        <w:right w:val="none" w:sz="0" w:space="0" w:color="auto"/>
      </w:divBdr>
      <w:divsChild>
        <w:div w:id="1998921454">
          <w:marLeft w:val="0"/>
          <w:marRight w:val="0"/>
          <w:marTop w:val="0"/>
          <w:marBottom w:val="0"/>
          <w:divBdr>
            <w:top w:val="none" w:sz="0" w:space="0" w:color="auto"/>
            <w:left w:val="none" w:sz="0" w:space="0" w:color="auto"/>
            <w:bottom w:val="none" w:sz="0" w:space="0" w:color="auto"/>
            <w:right w:val="none" w:sz="0" w:space="0" w:color="auto"/>
          </w:divBdr>
        </w:div>
      </w:divsChild>
    </w:div>
    <w:div w:id="692069548">
      <w:bodyDiv w:val="1"/>
      <w:marLeft w:val="0"/>
      <w:marRight w:val="0"/>
      <w:marTop w:val="0"/>
      <w:marBottom w:val="0"/>
      <w:divBdr>
        <w:top w:val="none" w:sz="0" w:space="0" w:color="auto"/>
        <w:left w:val="none" w:sz="0" w:space="0" w:color="auto"/>
        <w:bottom w:val="none" w:sz="0" w:space="0" w:color="auto"/>
        <w:right w:val="none" w:sz="0" w:space="0" w:color="auto"/>
      </w:divBdr>
    </w:div>
    <w:div w:id="6957405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6437997">
      <w:bodyDiv w:val="1"/>
      <w:marLeft w:val="0"/>
      <w:marRight w:val="0"/>
      <w:marTop w:val="0"/>
      <w:marBottom w:val="0"/>
      <w:divBdr>
        <w:top w:val="none" w:sz="0" w:space="0" w:color="auto"/>
        <w:left w:val="none" w:sz="0" w:space="0" w:color="auto"/>
        <w:bottom w:val="none" w:sz="0" w:space="0" w:color="auto"/>
        <w:right w:val="none" w:sz="0" w:space="0" w:color="auto"/>
      </w:divBdr>
    </w:div>
    <w:div w:id="805122539">
      <w:bodyDiv w:val="1"/>
      <w:marLeft w:val="0"/>
      <w:marRight w:val="0"/>
      <w:marTop w:val="0"/>
      <w:marBottom w:val="0"/>
      <w:divBdr>
        <w:top w:val="none" w:sz="0" w:space="0" w:color="auto"/>
        <w:left w:val="none" w:sz="0" w:space="0" w:color="auto"/>
        <w:bottom w:val="none" w:sz="0" w:space="0" w:color="auto"/>
        <w:right w:val="none" w:sz="0" w:space="0" w:color="auto"/>
      </w:divBdr>
    </w:div>
    <w:div w:id="933129561">
      <w:bodyDiv w:val="1"/>
      <w:marLeft w:val="0"/>
      <w:marRight w:val="0"/>
      <w:marTop w:val="0"/>
      <w:marBottom w:val="0"/>
      <w:divBdr>
        <w:top w:val="none" w:sz="0" w:space="0" w:color="auto"/>
        <w:left w:val="none" w:sz="0" w:space="0" w:color="auto"/>
        <w:bottom w:val="none" w:sz="0" w:space="0" w:color="auto"/>
        <w:right w:val="none" w:sz="0" w:space="0" w:color="auto"/>
      </w:divBdr>
    </w:div>
    <w:div w:id="947200746">
      <w:bodyDiv w:val="1"/>
      <w:marLeft w:val="0"/>
      <w:marRight w:val="0"/>
      <w:marTop w:val="0"/>
      <w:marBottom w:val="0"/>
      <w:divBdr>
        <w:top w:val="none" w:sz="0" w:space="0" w:color="auto"/>
        <w:left w:val="none" w:sz="0" w:space="0" w:color="auto"/>
        <w:bottom w:val="none" w:sz="0" w:space="0" w:color="auto"/>
        <w:right w:val="none" w:sz="0" w:space="0" w:color="auto"/>
      </w:divBdr>
      <w:divsChild>
        <w:div w:id="119036359">
          <w:marLeft w:val="0"/>
          <w:marRight w:val="0"/>
          <w:marTop w:val="0"/>
          <w:marBottom w:val="0"/>
          <w:divBdr>
            <w:top w:val="none" w:sz="0" w:space="0" w:color="auto"/>
            <w:left w:val="none" w:sz="0" w:space="0" w:color="auto"/>
            <w:bottom w:val="none" w:sz="0" w:space="0" w:color="auto"/>
            <w:right w:val="none" w:sz="0" w:space="0" w:color="auto"/>
          </w:divBdr>
        </w:div>
      </w:divsChild>
    </w:div>
    <w:div w:id="994841296">
      <w:bodyDiv w:val="1"/>
      <w:marLeft w:val="0"/>
      <w:marRight w:val="0"/>
      <w:marTop w:val="0"/>
      <w:marBottom w:val="0"/>
      <w:divBdr>
        <w:top w:val="none" w:sz="0" w:space="0" w:color="auto"/>
        <w:left w:val="none" w:sz="0" w:space="0" w:color="auto"/>
        <w:bottom w:val="none" w:sz="0" w:space="0" w:color="auto"/>
        <w:right w:val="none" w:sz="0" w:space="0" w:color="auto"/>
      </w:divBdr>
    </w:div>
    <w:div w:id="1006250173">
      <w:bodyDiv w:val="1"/>
      <w:marLeft w:val="0"/>
      <w:marRight w:val="0"/>
      <w:marTop w:val="0"/>
      <w:marBottom w:val="0"/>
      <w:divBdr>
        <w:top w:val="none" w:sz="0" w:space="0" w:color="auto"/>
        <w:left w:val="none" w:sz="0" w:space="0" w:color="auto"/>
        <w:bottom w:val="none" w:sz="0" w:space="0" w:color="auto"/>
        <w:right w:val="none" w:sz="0" w:space="0" w:color="auto"/>
      </w:divBdr>
    </w:div>
    <w:div w:id="1006831900">
      <w:bodyDiv w:val="1"/>
      <w:marLeft w:val="0"/>
      <w:marRight w:val="0"/>
      <w:marTop w:val="0"/>
      <w:marBottom w:val="0"/>
      <w:divBdr>
        <w:top w:val="none" w:sz="0" w:space="0" w:color="auto"/>
        <w:left w:val="none" w:sz="0" w:space="0" w:color="auto"/>
        <w:bottom w:val="none" w:sz="0" w:space="0" w:color="auto"/>
        <w:right w:val="none" w:sz="0" w:space="0" w:color="auto"/>
      </w:divBdr>
    </w:div>
    <w:div w:id="1044061837">
      <w:bodyDiv w:val="1"/>
      <w:marLeft w:val="0"/>
      <w:marRight w:val="0"/>
      <w:marTop w:val="0"/>
      <w:marBottom w:val="0"/>
      <w:divBdr>
        <w:top w:val="none" w:sz="0" w:space="0" w:color="auto"/>
        <w:left w:val="none" w:sz="0" w:space="0" w:color="auto"/>
        <w:bottom w:val="none" w:sz="0" w:space="0" w:color="auto"/>
        <w:right w:val="none" w:sz="0" w:space="0" w:color="auto"/>
      </w:divBdr>
    </w:div>
    <w:div w:id="1044259195">
      <w:bodyDiv w:val="1"/>
      <w:marLeft w:val="0"/>
      <w:marRight w:val="0"/>
      <w:marTop w:val="0"/>
      <w:marBottom w:val="0"/>
      <w:divBdr>
        <w:top w:val="none" w:sz="0" w:space="0" w:color="auto"/>
        <w:left w:val="none" w:sz="0" w:space="0" w:color="auto"/>
        <w:bottom w:val="none" w:sz="0" w:space="0" w:color="auto"/>
        <w:right w:val="none" w:sz="0" w:space="0" w:color="auto"/>
      </w:divBdr>
    </w:div>
    <w:div w:id="1140076717">
      <w:bodyDiv w:val="1"/>
      <w:marLeft w:val="0"/>
      <w:marRight w:val="0"/>
      <w:marTop w:val="0"/>
      <w:marBottom w:val="0"/>
      <w:divBdr>
        <w:top w:val="none" w:sz="0" w:space="0" w:color="auto"/>
        <w:left w:val="none" w:sz="0" w:space="0" w:color="auto"/>
        <w:bottom w:val="none" w:sz="0" w:space="0" w:color="auto"/>
        <w:right w:val="none" w:sz="0" w:space="0" w:color="auto"/>
      </w:divBdr>
      <w:divsChild>
        <w:div w:id="201330117">
          <w:marLeft w:val="0"/>
          <w:marRight w:val="0"/>
          <w:marTop w:val="0"/>
          <w:marBottom w:val="0"/>
          <w:divBdr>
            <w:top w:val="none" w:sz="0" w:space="0" w:color="auto"/>
            <w:left w:val="none" w:sz="0" w:space="0" w:color="auto"/>
            <w:bottom w:val="none" w:sz="0" w:space="0" w:color="auto"/>
            <w:right w:val="none" w:sz="0" w:space="0" w:color="auto"/>
          </w:divBdr>
        </w:div>
      </w:divsChild>
    </w:div>
    <w:div w:id="1152453748">
      <w:bodyDiv w:val="1"/>
      <w:marLeft w:val="0"/>
      <w:marRight w:val="0"/>
      <w:marTop w:val="0"/>
      <w:marBottom w:val="0"/>
      <w:divBdr>
        <w:top w:val="none" w:sz="0" w:space="0" w:color="auto"/>
        <w:left w:val="none" w:sz="0" w:space="0" w:color="auto"/>
        <w:bottom w:val="none" w:sz="0" w:space="0" w:color="auto"/>
        <w:right w:val="none" w:sz="0" w:space="0" w:color="auto"/>
      </w:divBdr>
    </w:div>
    <w:div w:id="1157770035">
      <w:bodyDiv w:val="1"/>
      <w:marLeft w:val="0"/>
      <w:marRight w:val="0"/>
      <w:marTop w:val="0"/>
      <w:marBottom w:val="0"/>
      <w:divBdr>
        <w:top w:val="none" w:sz="0" w:space="0" w:color="auto"/>
        <w:left w:val="none" w:sz="0" w:space="0" w:color="auto"/>
        <w:bottom w:val="none" w:sz="0" w:space="0" w:color="auto"/>
        <w:right w:val="none" w:sz="0" w:space="0" w:color="auto"/>
      </w:divBdr>
      <w:divsChild>
        <w:div w:id="934509088">
          <w:marLeft w:val="0"/>
          <w:marRight w:val="0"/>
          <w:marTop w:val="0"/>
          <w:marBottom w:val="0"/>
          <w:divBdr>
            <w:top w:val="none" w:sz="0" w:space="0" w:color="auto"/>
            <w:left w:val="none" w:sz="0" w:space="0" w:color="auto"/>
            <w:bottom w:val="none" w:sz="0" w:space="0" w:color="auto"/>
            <w:right w:val="none" w:sz="0" w:space="0" w:color="auto"/>
          </w:divBdr>
        </w:div>
      </w:divsChild>
    </w:div>
    <w:div w:id="1209339548">
      <w:bodyDiv w:val="1"/>
      <w:marLeft w:val="0"/>
      <w:marRight w:val="0"/>
      <w:marTop w:val="0"/>
      <w:marBottom w:val="0"/>
      <w:divBdr>
        <w:top w:val="none" w:sz="0" w:space="0" w:color="auto"/>
        <w:left w:val="none" w:sz="0" w:space="0" w:color="auto"/>
        <w:bottom w:val="none" w:sz="0" w:space="0" w:color="auto"/>
        <w:right w:val="none" w:sz="0" w:space="0" w:color="auto"/>
      </w:divBdr>
      <w:divsChild>
        <w:div w:id="1144271864">
          <w:marLeft w:val="0"/>
          <w:marRight w:val="0"/>
          <w:marTop w:val="0"/>
          <w:marBottom w:val="0"/>
          <w:divBdr>
            <w:top w:val="none" w:sz="0" w:space="0" w:color="auto"/>
            <w:left w:val="none" w:sz="0" w:space="0" w:color="auto"/>
            <w:bottom w:val="none" w:sz="0" w:space="0" w:color="auto"/>
            <w:right w:val="none" w:sz="0" w:space="0" w:color="auto"/>
          </w:divBdr>
        </w:div>
      </w:divsChild>
    </w:div>
    <w:div w:id="1237014725">
      <w:bodyDiv w:val="1"/>
      <w:marLeft w:val="0"/>
      <w:marRight w:val="0"/>
      <w:marTop w:val="0"/>
      <w:marBottom w:val="0"/>
      <w:divBdr>
        <w:top w:val="none" w:sz="0" w:space="0" w:color="auto"/>
        <w:left w:val="none" w:sz="0" w:space="0" w:color="auto"/>
        <w:bottom w:val="none" w:sz="0" w:space="0" w:color="auto"/>
        <w:right w:val="none" w:sz="0" w:space="0" w:color="auto"/>
      </w:divBdr>
      <w:divsChild>
        <w:div w:id="393236381">
          <w:marLeft w:val="0"/>
          <w:marRight w:val="0"/>
          <w:marTop w:val="0"/>
          <w:marBottom w:val="0"/>
          <w:divBdr>
            <w:top w:val="none" w:sz="0" w:space="0" w:color="auto"/>
            <w:left w:val="none" w:sz="0" w:space="0" w:color="auto"/>
            <w:bottom w:val="none" w:sz="0" w:space="0" w:color="auto"/>
            <w:right w:val="none" w:sz="0" w:space="0" w:color="auto"/>
          </w:divBdr>
        </w:div>
      </w:divsChild>
    </w:div>
    <w:div w:id="1243874761">
      <w:bodyDiv w:val="1"/>
      <w:marLeft w:val="0"/>
      <w:marRight w:val="0"/>
      <w:marTop w:val="0"/>
      <w:marBottom w:val="0"/>
      <w:divBdr>
        <w:top w:val="none" w:sz="0" w:space="0" w:color="auto"/>
        <w:left w:val="none" w:sz="0" w:space="0" w:color="auto"/>
        <w:bottom w:val="none" w:sz="0" w:space="0" w:color="auto"/>
        <w:right w:val="none" w:sz="0" w:space="0" w:color="auto"/>
      </w:divBdr>
      <w:divsChild>
        <w:div w:id="1026444996">
          <w:marLeft w:val="0"/>
          <w:marRight w:val="0"/>
          <w:marTop w:val="0"/>
          <w:marBottom w:val="0"/>
          <w:divBdr>
            <w:top w:val="none" w:sz="0" w:space="0" w:color="auto"/>
            <w:left w:val="none" w:sz="0" w:space="0" w:color="auto"/>
            <w:bottom w:val="none" w:sz="0" w:space="0" w:color="auto"/>
            <w:right w:val="none" w:sz="0" w:space="0" w:color="auto"/>
          </w:divBdr>
        </w:div>
      </w:divsChild>
    </w:div>
    <w:div w:id="1318729958">
      <w:bodyDiv w:val="1"/>
      <w:marLeft w:val="0"/>
      <w:marRight w:val="0"/>
      <w:marTop w:val="0"/>
      <w:marBottom w:val="0"/>
      <w:divBdr>
        <w:top w:val="none" w:sz="0" w:space="0" w:color="auto"/>
        <w:left w:val="none" w:sz="0" w:space="0" w:color="auto"/>
        <w:bottom w:val="none" w:sz="0" w:space="0" w:color="auto"/>
        <w:right w:val="none" w:sz="0" w:space="0" w:color="auto"/>
      </w:divBdr>
    </w:div>
    <w:div w:id="1408455298">
      <w:bodyDiv w:val="1"/>
      <w:marLeft w:val="0"/>
      <w:marRight w:val="0"/>
      <w:marTop w:val="0"/>
      <w:marBottom w:val="0"/>
      <w:divBdr>
        <w:top w:val="none" w:sz="0" w:space="0" w:color="auto"/>
        <w:left w:val="none" w:sz="0" w:space="0" w:color="auto"/>
        <w:bottom w:val="none" w:sz="0" w:space="0" w:color="auto"/>
        <w:right w:val="none" w:sz="0" w:space="0" w:color="auto"/>
      </w:divBdr>
    </w:div>
    <w:div w:id="1418793864">
      <w:bodyDiv w:val="1"/>
      <w:marLeft w:val="0"/>
      <w:marRight w:val="0"/>
      <w:marTop w:val="0"/>
      <w:marBottom w:val="0"/>
      <w:divBdr>
        <w:top w:val="none" w:sz="0" w:space="0" w:color="auto"/>
        <w:left w:val="none" w:sz="0" w:space="0" w:color="auto"/>
        <w:bottom w:val="none" w:sz="0" w:space="0" w:color="auto"/>
        <w:right w:val="none" w:sz="0" w:space="0" w:color="auto"/>
      </w:divBdr>
      <w:divsChild>
        <w:div w:id="494229936">
          <w:marLeft w:val="0"/>
          <w:marRight w:val="0"/>
          <w:marTop w:val="0"/>
          <w:marBottom w:val="0"/>
          <w:divBdr>
            <w:top w:val="none" w:sz="0" w:space="0" w:color="auto"/>
            <w:left w:val="none" w:sz="0" w:space="0" w:color="auto"/>
            <w:bottom w:val="none" w:sz="0" w:space="0" w:color="auto"/>
            <w:right w:val="none" w:sz="0" w:space="0" w:color="auto"/>
          </w:divBdr>
        </w:div>
      </w:divsChild>
    </w:div>
    <w:div w:id="1422294714">
      <w:bodyDiv w:val="1"/>
      <w:marLeft w:val="0"/>
      <w:marRight w:val="0"/>
      <w:marTop w:val="0"/>
      <w:marBottom w:val="0"/>
      <w:divBdr>
        <w:top w:val="none" w:sz="0" w:space="0" w:color="auto"/>
        <w:left w:val="none" w:sz="0" w:space="0" w:color="auto"/>
        <w:bottom w:val="none" w:sz="0" w:space="0" w:color="auto"/>
        <w:right w:val="none" w:sz="0" w:space="0" w:color="auto"/>
      </w:divBdr>
    </w:div>
    <w:div w:id="1465124903">
      <w:bodyDiv w:val="1"/>
      <w:marLeft w:val="0"/>
      <w:marRight w:val="0"/>
      <w:marTop w:val="0"/>
      <w:marBottom w:val="0"/>
      <w:divBdr>
        <w:top w:val="none" w:sz="0" w:space="0" w:color="auto"/>
        <w:left w:val="none" w:sz="0" w:space="0" w:color="auto"/>
        <w:bottom w:val="none" w:sz="0" w:space="0" w:color="auto"/>
        <w:right w:val="none" w:sz="0" w:space="0" w:color="auto"/>
      </w:divBdr>
      <w:divsChild>
        <w:div w:id="183174633">
          <w:marLeft w:val="0"/>
          <w:marRight w:val="0"/>
          <w:marTop w:val="0"/>
          <w:marBottom w:val="0"/>
          <w:divBdr>
            <w:top w:val="none" w:sz="0" w:space="0" w:color="auto"/>
            <w:left w:val="none" w:sz="0" w:space="0" w:color="auto"/>
            <w:bottom w:val="none" w:sz="0" w:space="0" w:color="auto"/>
            <w:right w:val="none" w:sz="0" w:space="0" w:color="auto"/>
          </w:divBdr>
        </w:div>
      </w:divsChild>
    </w:div>
    <w:div w:id="1507863190">
      <w:bodyDiv w:val="1"/>
      <w:marLeft w:val="0"/>
      <w:marRight w:val="0"/>
      <w:marTop w:val="0"/>
      <w:marBottom w:val="0"/>
      <w:divBdr>
        <w:top w:val="none" w:sz="0" w:space="0" w:color="auto"/>
        <w:left w:val="none" w:sz="0" w:space="0" w:color="auto"/>
        <w:bottom w:val="none" w:sz="0" w:space="0" w:color="auto"/>
        <w:right w:val="none" w:sz="0" w:space="0" w:color="auto"/>
      </w:divBdr>
      <w:divsChild>
        <w:div w:id="707949575">
          <w:marLeft w:val="0"/>
          <w:marRight w:val="0"/>
          <w:marTop w:val="0"/>
          <w:marBottom w:val="0"/>
          <w:divBdr>
            <w:top w:val="none" w:sz="0" w:space="0" w:color="auto"/>
            <w:left w:val="none" w:sz="0" w:space="0" w:color="auto"/>
            <w:bottom w:val="none" w:sz="0" w:space="0" w:color="auto"/>
            <w:right w:val="none" w:sz="0" w:space="0" w:color="auto"/>
          </w:divBdr>
        </w:div>
      </w:divsChild>
    </w:div>
    <w:div w:id="1512643669">
      <w:bodyDiv w:val="1"/>
      <w:marLeft w:val="0"/>
      <w:marRight w:val="0"/>
      <w:marTop w:val="0"/>
      <w:marBottom w:val="0"/>
      <w:divBdr>
        <w:top w:val="none" w:sz="0" w:space="0" w:color="auto"/>
        <w:left w:val="none" w:sz="0" w:space="0" w:color="auto"/>
        <w:bottom w:val="none" w:sz="0" w:space="0" w:color="auto"/>
        <w:right w:val="none" w:sz="0" w:space="0" w:color="auto"/>
      </w:divBdr>
    </w:div>
    <w:div w:id="1534532300">
      <w:bodyDiv w:val="1"/>
      <w:marLeft w:val="0"/>
      <w:marRight w:val="0"/>
      <w:marTop w:val="0"/>
      <w:marBottom w:val="0"/>
      <w:divBdr>
        <w:top w:val="none" w:sz="0" w:space="0" w:color="auto"/>
        <w:left w:val="none" w:sz="0" w:space="0" w:color="auto"/>
        <w:bottom w:val="none" w:sz="0" w:space="0" w:color="auto"/>
        <w:right w:val="none" w:sz="0" w:space="0" w:color="auto"/>
      </w:divBdr>
    </w:div>
    <w:div w:id="1547910290">
      <w:bodyDiv w:val="1"/>
      <w:marLeft w:val="0"/>
      <w:marRight w:val="0"/>
      <w:marTop w:val="0"/>
      <w:marBottom w:val="0"/>
      <w:divBdr>
        <w:top w:val="none" w:sz="0" w:space="0" w:color="auto"/>
        <w:left w:val="none" w:sz="0" w:space="0" w:color="auto"/>
        <w:bottom w:val="none" w:sz="0" w:space="0" w:color="auto"/>
        <w:right w:val="none" w:sz="0" w:space="0" w:color="auto"/>
      </w:divBdr>
    </w:div>
    <w:div w:id="1612590011">
      <w:bodyDiv w:val="1"/>
      <w:marLeft w:val="0"/>
      <w:marRight w:val="0"/>
      <w:marTop w:val="0"/>
      <w:marBottom w:val="0"/>
      <w:divBdr>
        <w:top w:val="none" w:sz="0" w:space="0" w:color="auto"/>
        <w:left w:val="none" w:sz="0" w:space="0" w:color="auto"/>
        <w:bottom w:val="none" w:sz="0" w:space="0" w:color="auto"/>
        <w:right w:val="none" w:sz="0" w:space="0" w:color="auto"/>
      </w:divBdr>
    </w:div>
    <w:div w:id="1631743303">
      <w:bodyDiv w:val="1"/>
      <w:marLeft w:val="0"/>
      <w:marRight w:val="0"/>
      <w:marTop w:val="0"/>
      <w:marBottom w:val="0"/>
      <w:divBdr>
        <w:top w:val="none" w:sz="0" w:space="0" w:color="auto"/>
        <w:left w:val="none" w:sz="0" w:space="0" w:color="auto"/>
        <w:bottom w:val="none" w:sz="0" w:space="0" w:color="auto"/>
        <w:right w:val="none" w:sz="0" w:space="0" w:color="auto"/>
      </w:divBdr>
      <w:divsChild>
        <w:div w:id="206449">
          <w:marLeft w:val="0"/>
          <w:marRight w:val="0"/>
          <w:marTop w:val="0"/>
          <w:marBottom w:val="0"/>
          <w:divBdr>
            <w:top w:val="none" w:sz="0" w:space="0" w:color="auto"/>
            <w:left w:val="none" w:sz="0" w:space="0" w:color="auto"/>
            <w:bottom w:val="none" w:sz="0" w:space="0" w:color="auto"/>
            <w:right w:val="none" w:sz="0" w:space="0" w:color="auto"/>
          </w:divBdr>
        </w:div>
      </w:divsChild>
    </w:div>
    <w:div w:id="1644461544">
      <w:bodyDiv w:val="1"/>
      <w:marLeft w:val="0"/>
      <w:marRight w:val="0"/>
      <w:marTop w:val="0"/>
      <w:marBottom w:val="0"/>
      <w:divBdr>
        <w:top w:val="none" w:sz="0" w:space="0" w:color="auto"/>
        <w:left w:val="none" w:sz="0" w:space="0" w:color="auto"/>
        <w:bottom w:val="none" w:sz="0" w:space="0" w:color="auto"/>
        <w:right w:val="none" w:sz="0" w:space="0" w:color="auto"/>
      </w:divBdr>
    </w:div>
    <w:div w:id="1726680236">
      <w:bodyDiv w:val="1"/>
      <w:marLeft w:val="0"/>
      <w:marRight w:val="0"/>
      <w:marTop w:val="0"/>
      <w:marBottom w:val="0"/>
      <w:divBdr>
        <w:top w:val="none" w:sz="0" w:space="0" w:color="auto"/>
        <w:left w:val="none" w:sz="0" w:space="0" w:color="auto"/>
        <w:bottom w:val="none" w:sz="0" w:space="0" w:color="auto"/>
        <w:right w:val="none" w:sz="0" w:space="0" w:color="auto"/>
      </w:divBdr>
      <w:divsChild>
        <w:div w:id="1233078260">
          <w:marLeft w:val="0"/>
          <w:marRight w:val="0"/>
          <w:marTop w:val="0"/>
          <w:marBottom w:val="0"/>
          <w:divBdr>
            <w:top w:val="none" w:sz="0" w:space="0" w:color="auto"/>
            <w:left w:val="none" w:sz="0" w:space="0" w:color="auto"/>
            <w:bottom w:val="none" w:sz="0" w:space="0" w:color="auto"/>
            <w:right w:val="none" w:sz="0" w:space="0" w:color="auto"/>
          </w:divBdr>
        </w:div>
      </w:divsChild>
    </w:div>
    <w:div w:id="1778060700">
      <w:bodyDiv w:val="1"/>
      <w:marLeft w:val="0"/>
      <w:marRight w:val="0"/>
      <w:marTop w:val="0"/>
      <w:marBottom w:val="0"/>
      <w:divBdr>
        <w:top w:val="none" w:sz="0" w:space="0" w:color="auto"/>
        <w:left w:val="none" w:sz="0" w:space="0" w:color="auto"/>
        <w:bottom w:val="none" w:sz="0" w:space="0" w:color="auto"/>
        <w:right w:val="none" w:sz="0" w:space="0" w:color="auto"/>
      </w:divBdr>
    </w:div>
    <w:div w:id="1798639571">
      <w:bodyDiv w:val="1"/>
      <w:marLeft w:val="0"/>
      <w:marRight w:val="0"/>
      <w:marTop w:val="0"/>
      <w:marBottom w:val="0"/>
      <w:divBdr>
        <w:top w:val="none" w:sz="0" w:space="0" w:color="auto"/>
        <w:left w:val="none" w:sz="0" w:space="0" w:color="auto"/>
        <w:bottom w:val="none" w:sz="0" w:space="0" w:color="auto"/>
        <w:right w:val="none" w:sz="0" w:space="0" w:color="auto"/>
      </w:divBdr>
    </w:div>
    <w:div w:id="1889757128">
      <w:bodyDiv w:val="1"/>
      <w:marLeft w:val="0"/>
      <w:marRight w:val="0"/>
      <w:marTop w:val="0"/>
      <w:marBottom w:val="0"/>
      <w:divBdr>
        <w:top w:val="none" w:sz="0" w:space="0" w:color="auto"/>
        <w:left w:val="none" w:sz="0" w:space="0" w:color="auto"/>
        <w:bottom w:val="none" w:sz="0" w:space="0" w:color="auto"/>
        <w:right w:val="none" w:sz="0" w:space="0" w:color="auto"/>
      </w:divBdr>
    </w:div>
    <w:div w:id="1898854290">
      <w:bodyDiv w:val="1"/>
      <w:marLeft w:val="0"/>
      <w:marRight w:val="0"/>
      <w:marTop w:val="0"/>
      <w:marBottom w:val="0"/>
      <w:divBdr>
        <w:top w:val="none" w:sz="0" w:space="0" w:color="auto"/>
        <w:left w:val="none" w:sz="0" w:space="0" w:color="auto"/>
        <w:bottom w:val="none" w:sz="0" w:space="0" w:color="auto"/>
        <w:right w:val="none" w:sz="0" w:space="0" w:color="auto"/>
      </w:divBdr>
    </w:div>
    <w:div w:id="206884512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303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yperlink" Target="https://jira.eosc-hub.eu/browse/EOSCWP10-19" TargetMode="External"/><Relationship Id="rId39" Type="http://schemas.openxmlformats.org/officeDocument/2006/relationships/footer" Target="footer1.xml"/><Relationship Id="rId21" Type="http://schemas.openxmlformats.org/officeDocument/2006/relationships/hyperlink" Target="https://jira.eosc-hub.eu/browse/EOSCWP10-37" TargetMode="External"/><Relationship Id="rId34" Type="http://schemas.openxmlformats.org/officeDocument/2006/relationships/hyperlink" Target="https://jira.eosc-hub.eu/browse/EOSCWP10-2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jira.eosc-hub.eu/browse/EOSCWP10-37" TargetMode="External"/><Relationship Id="rId29" Type="http://schemas.openxmlformats.org/officeDocument/2006/relationships/hyperlink" Target="https://jira.eosc-hub.eu/browse/EOSCWP10-1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jira.eosc-hub.eu/browse/EOSCWP10-21" TargetMode="External"/><Relationship Id="rId32" Type="http://schemas.openxmlformats.org/officeDocument/2006/relationships/hyperlink" Target="https://jira.eosc-hub.eu/browse/EOSCWP10-24"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jira.eosc-hub.eu/browse/EOSCWP10-37" TargetMode="External"/><Relationship Id="rId28" Type="http://schemas.openxmlformats.org/officeDocument/2006/relationships/hyperlink" Target="https://jira.eosc-hub.eu/browse/EOSCWP10-26" TargetMode="External"/><Relationship Id="rId36" Type="http://schemas.openxmlformats.org/officeDocument/2006/relationships/hyperlink" Target="https://jira.eosc-hub.eu/browse/EOSCWP10-42" TargetMode="External"/><Relationship Id="rId10" Type="http://schemas.openxmlformats.org/officeDocument/2006/relationships/hyperlink" Target="https://documents.egi.eu/document/3463" TargetMode="External"/><Relationship Id="rId19" Type="http://schemas.openxmlformats.org/officeDocument/2006/relationships/image" Target="media/image9.png"/><Relationship Id="rId31" Type="http://schemas.openxmlformats.org/officeDocument/2006/relationships/hyperlink" Target="https://jira.eosc-hub.eu/browse/EOSCWP1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jira.eosc-hub.eu/browse/EOSCWP10-37" TargetMode="External"/><Relationship Id="rId27" Type="http://schemas.openxmlformats.org/officeDocument/2006/relationships/hyperlink" Target="https://jira.eosc-hub.eu/browse/EOSCWP10-19" TargetMode="External"/><Relationship Id="rId30" Type="http://schemas.openxmlformats.org/officeDocument/2006/relationships/hyperlink" Target="https://jira.eosc-hub.eu/browse/EOSCWP10-23" TargetMode="External"/><Relationship Id="rId35" Type="http://schemas.openxmlformats.org/officeDocument/2006/relationships/hyperlink" Target="https://jira.eosc-hub.eu/browse/EOSCWP10-4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jira.eosc-hub.eu/browse/EOSCWP10-37" TargetMode="External"/><Relationship Id="rId33" Type="http://schemas.openxmlformats.org/officeDocument/2006/relationships/hyperlink" Target="https://jira.eosc-hub.eu/browse/EOSCWP10-27"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wiki.eosc-hub.eu/display/EOSC/Raman+spectroscopy+data+-+CNRS+Saint-Gobain" TargetMode="External"/><Relationship Id="rId3" Type="http://schemas.openxmlformats.org/officeDocument/2006/relationships/hyperlink" Target="https://wiki.eosc-hub.eu/display/EOSC/SOCRM-04+Provide+technical+support" TargetMode="External"/><Relationship Id="rId7" Type="http://schemas.openxmlformats.org/officeDocument/2006/relationships/hyperlink" Target="https://wiki.eosc-hub.eu/display/EOSC/MaX+Centre+of+Excellence" TargetMode="External"/><Relationship Id="rId2" Type="http://schemas.openxmlformats.org/officeDocument/2006/relationships/hyperlink" Target="https://jira.eosc-hub.eu/projects/EOSCWP10/summary" TargetMode="External"/><Relationship Id="rId1" Type="http://schemas.openxmlformats.org/officeDocument/2006/relationships/hyperlink" Target="https://wiki.eosc-hub.eu/display/EOSC/Community+requirements+DB" TargetMode="External"/><Relationship Id="rId6" Type="http://schemas.openxmlformats.org/officeDocument/2006/relationships/hyperlink" Target="https://wiki.esc-hub.eu/display/EOSC/SOCRM-04+Provide+technical+support" TargetMode="External"/><Relationship Id="rId5" Type="http://schemas.openxmlformats.org/officeDocument/2006/relationships/hyperlink" Target="https://jira.eosc-hub.eu/projects/EOSCWP10/summary" TargetMode="External"/><Relationship Id="rId4" Type="http://schemas.openxmlformats.org/officeDocument/2006/relationships/hyperlink" Target="https://wiki.eosc-hub.eu/display/EOSC/Service+Order+and+Customer+Relationship+Management+-+SOC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EGI\EOSC-Hub\Deliverables\D10.5\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697F7-343A-4E98-B0F7-CDC9F57C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63</TotalTime>
  <Pages>1</Pages>
  <Words>7545</Words>
  <Characters>43012</Characters>
  <Application>Microsoft Office Word</Application>
  <DocSecurity>0</DocSecurity>
  <Lines>358</Lines>
  <Paragraphs>100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Malgorzata Krakowian</cp:lastModifiedBy>
  <cp:revision>11</cp:revision>
  <cp:lastPrinted>2019-11-25T14:22:00Z</cp:lastPrinted>
  <dcterms:created xsi:type="dcterms:W3CDTF">2019-06-05T07:59:00Z</dcterms:created>
  <dcterms:modified xsi:type="dcterms:W3CDTF">2019-11-25T14:22:00Z</dcterms:modified>
</cp:coreProperties>
</file>