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C1CE2"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3937594" wp14:editId="1B12772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E71B21D" wp14:editId="5ACADD0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00F376F" w14:textId="77777777" w:rsidR="00E53341" w:rsidRPr="00E53341" w:rsidRDefault="00E53341" w:rsidP="00E53341">
      <w:pPr>
        <w:pStyle w:val="Title"/>
        <w:rPr>
          <w:i w:val="0"/>
          <w:color w:val="1C3046"/>
        </w:rPr>
      </w:pPr>
      <w:r w:rsidRPr="00E53341">
        <w:rPr>
          <w:i w:val="0"/>
          <w:color w:val="1C3046"/>
        </w:rPr>
        <w:t>D8.1 Report on progress, achievements</w:t>
      </w:r>
    </w:p>
    <w:p w14:paraId="155CFBB2" w14:textId="42CE97C2" w:rsidR="00A30A98" w:rsidRPr="008E2AA9" w:rsidRDefault="00E53341" w:rsidP="00E53341">
      <w:pPr>
        <w:pStyle w:val="Title"/>
        <w:rPr>
          <w:i w:val="0"/>
          <w:color w:val="1C3046"/>
        </w:rPr>
      </w:pPr>
      <w:r w:rsidRPr="00E53341">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4344796" w14:textId="77777777" w:rsidTr="0066656C">
        <w:trPr>
          <w:trHeight w:val="526"/>
          <w:jc w:val="center"/>
        </w:trPr>
        <w:tc>
          <w:tcPr>
            <w:tcW w:w="2263" w:type="dxa"/>
          </w:tcPr>
          <w:p w14:paraId="2B309D3A" w14:textId="77777777" w:rsidR="00A30A98" w:rsidRPr="007255C2" w:rsidRDefault="005959F1" w:rsidP="00E53341">
            <w:pPr>
              <w:snapToGrid w:val="0"/>
              <w:spacing w:before="120"/>
              <w:rPr>
                <w:rFonts w:cs="Open Sans"/>
                <w:b/>
              </w:rPr>
            </w:pPr>
            <w:r>
              <w:rPr>
                <w:rFonts w:cs="Open Sans"/>
                <w:b/>
              </w:rPr>
              <w:t>Lead Partner</w:t>
            </w:r>
            <w:r w:rsidR="00A30A98">
              <w:rPr>
                <w:rFonts w:cs="Open Sans"/>
                <w:b/>
              </w:rPr>
              <w:t>:</w:t>
            </w:r>
          </w:p>
        </w:tc>
        <w:tc>
          <w:tcPr>
            <w:tcW w:w="5642" w:type="dxa"/>
          </w:tcPr>
          <w:p w14:paraId="030C9171" w14:textId="53E60D4A" w:rsidR="00A30A98" w:rsidRPr="007255C2" w:rsidRDefault="00E53341" w:rsidP="00E53341">
            <w:pPr>
              <w:snapToGrid w:val="0"/>
              <w:spacing w:before="120"/>
              <w:jc w:val="left"/>
              <w:rPr>
                <w:rFonts w:cs="Open Sans"/>
              </w:rPr>
            </w:pPr>
            <w:r>
              <w:t>EGI Foundation</w:t>
            </w:r>
          </w:p>
        </w:tc>
      </w:tr>
      <w:tr w:rsidR="00A30A98" w:rsidRPr="007255C2" w14:paraId="1F72840B" w14:textId="77777777" w:rsidTr="0066656C">
        <w:trPr>
          <w:trHeight w:val="508"/>
          <w:jc w:val="center"/>
        </w:trPr>
        <w:tc>
          <w:tcPr>
            <w:tcW w:w="2263" w:type="dxa"/>
          </w:tcPr>
          <w:p w14:paraId="34AB0D6D" w14:textId="77777777" w:rsidR="00A30A98" w:rsidRPr="007255C2" w:rsidRDefault="00A30A98" w:rsidP="00E53341">
            <w:pPr>
              <w:snapToGrid w:val="0"/>
              <w:spacing w:before="120"/>
              <w:rPr>
                <w:rFonts w:cs="Open Sans"/>
                <w:b/>
              </w:rPr>
            </w:pPr>
            <w:r w:rsidRPr="007255C2">
              <w:rPr>
                <w:rFonts w:cs="Open Sans"/>
                <w:b/>
              </w:rPr>
              <w:t>Version</w:t>
            </w:r>
            <w:r>
              <w:rPr>
                <w:rFonts w:cs="Open Sans"/>
                <w:b/>
              </w:rPr>
              <w:t>:</w:t>
            </w:r>
          </w:p>
        </w:tc>
        <w:tc>
          <w:tcPr>
            <w:tcW w:w="5642" w:type="dxa"/>
          </w:tcPr>
          <w:p w14:paraId="212EE777" w14:textId="4DB88611" w:rsidR="00A30A98" w:rsidRPr="00E53341" w:rsidRDefault="00E53341" w:rsidP="00E53341">
            <w:pPr>
              <w:pStyle w:val="DocDate"/>
              <w:snapToGrid w:val="0"/>
              <w:jc w:val="left"/>
              <w:rPr>
                <w:rFonts w:ascii="Calibri" w:hAnsi="Calibri" w:cs="Open Sans"/>
                <w:b w:val="0"/>
              </w:rPr>
            </w:pPr>
            <w:r>
              <w:rPr>
                <w:rFonts w:ascii="Calibri" w:hAnsi="Calibri" w:cs="Open Sans"/>
                <w:b w:val="0"/>
              </w:rPr>
              <w:t>v</w:t>
            </w:r>
            <w:r w:rsidRPr="00E53341">
              <w:rPr>
                <w:rFonts w:ascii="Calibri" w:hAnsi="Calibri" w:cs="Open Sans"/>
                <w:b w:val="0"/>
              </w:rPr>
              <w:t>2</w:t>
            </w:r>
          </w:p>
        </w:tc>
      </w:tr>
      <w:tr w:rsidR="0066656C" w:rsidRPr="007255C2" w14:paraId="06FA3258" w14:textId="77777777" w:rsidTr="0066656C">
        <w:trPr>
          <w:trHeight w:val="508"/>
          <w:jc w:val="center"/>
        </w:trPr>
        <w:tc>
          <w:tcPr>
            <w:tcW w:w="2263" w:type="dxa"/>
          </w:tcPr>
          <w:p w14:paraId="07405C3D" w14:textId="77777777" w:rsidR="0066656C" w:rsidRPr="007255C2" w:rsidRDefault="0066656C" w:rsidP="00E53341">
            <w:pPr>
              <w:snapToGrid w:val="0"/>
              <w:spacing w:before="120"/>
              <w:rPr>
                <w:rFonts w:cs="Open Sans"/>
                <w:b/>
              </w:rPr>
            </w:pPr>
            <w:r>
              <w:rPr>
                <w:rFonts w:cs="Open Sans"/>
                <w:b/>
              </w:rPr>
              <w:t>Status:</w:t>
            </w:r>
          </w:p>
        </w:tc>
        <w:tc>
          <w:tcPr>
            <w:tcW w:w="5642" w:type="dxa"/>
          </w:tcPr>
          <w:p w14:paraId="4B1F3327" w14:textId="6857E69D" w:rsidR="0066656C" w:rsidRPr="00E53341" w:rsidRDefault="003C2DDE" w:rsidP="00E53341">
            <w:pPr>
              <w:pStyle w:val="DocDate"/>
              <w:snapToGrid w:val="0"/>
              <w:jc w:val="left"/>
              <w:rPr>
                <w:rFonts w:ascii="Calibri" w:hAnsi="Calibri" w:cs="Open Sans"/>
                <w:b w:val="0"/>
              </w:rPr>
            </w:pPr>
            <w:r w:rsidRPr="003C2DDE">
              <w:rPr>
                <w:rFonts w:ascii="Calibri" w:hAnsi="Calibri" w:cs="Open Sans"/>
                <w:b w:val="0"/>
              </w:rPr>
              <w:t>FINAL</w:t>
            </w:r>
          </w:p>
        </w:tc>
      </w:tr>
      <w:tr w:rsidR="0066656C" w:rsidRPr="007255C2" w14:paraId="64B80697" w14:textId="77777777" w:rsidTr="0066656C">
        <w:trPr>
          <w:trHeight w:val="508"/>
          <w:jc w:val="center"/>
        </w:trPr>
        <w:tc>
          <w:tcPr>
            <w:tcW w:w="2263" w:type="dxa"/>
          </w:tcPr>
          <w:p w14:paraId="4769FEE9" w14:textId="77777777" w:rsidR="0066656C" w:rsidRDefault="0066656C" w:rsidP="00E53341">
            <w:pPr>
              <w:snapToGrid w:val="0"/>
              <w:spacing w:before="120"/>
              <w:rPr>
                <w:rFonts w:cs="Open Sans"/>
                <w:b/>
              </w:rPr>
            </w:pPr>
            <w:r>
              <w:rPr>
                <w:rFonts w:cs="Open Sans"/>
                <w:b/>
              </w:rPr>
              <w:t>Dissemination Level:</w:t>
            </w:r>
          </w:p>
        </w:tc>
        <w:tc>
          <w:tcPr>
            <w:tcW w:w="5642" w:type="dxa"/>
          </w:tcPr>
          <w:p w14:paraId="4864F92D" w14:textId="68AEABF9" w:rsidR="0066656C" w:rsidRPr="00E53341" w:rsidRDefault="00E53341" w:rsidP="00E53341">
            <w:pPr>
              <w:pStyle w:val="DocDate"/>
              <w:snapToGrid w:val="0"/>
              <w:jc w:val="left"/>
              <w:rPr>
                <w:rFonts w:ascii="Calibri" w:hAnsi="Calibri" w:cs="Open Sans"/>
                <w:b w:val="0"/>
              </w:rPr>
            </w:pPr>
            <w:r>
              <w:rPr>
                <w:rFonts w:ascii="Calibri" w:hAnsi="Calibri" w:cs="Open Sans"/>
                <w:b w:val="0"/>
              </w:rPr>
              <w:t>PUBLIC</w:t>
            </w:r>
          </w:p>
        </w:tc>
      </w:tr>
      <w:tr w:rsidR="00A30A98" w:rsidRPr="007255C2" w14:paraId="14676BB3" w14:textId="77777777" w:rsidTr="0066656C">
        <w:trPr>
          <w:trHeight w:val="526"/>
          <w:jc w:val="center"/>
        </w:trPr>
        <w:tc>
          <w:tcPr>
            <w:tcW w:w="2263" w:type="dxa"/>
          </w:tcPr>
          <w:p w14:paraId="02E1C77E" w14:textId="77777777" w:rsidR="00A30A98" w:rsidRPr="007255C2" w:rsidRDefault="00A30A98" w:rsidP="00E53341">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AAEF12F" w14:textId="34089643" w:rsidR="00A30A98" w:rsidRPr="007255C2" w:rsidRDefault="00AF5B2C" w:rsidP="00E53341">
            <w:pPr>
              <w:snapToGrid w:val="0"/>
              <w:spacing w:before="120"/>
              <w:jc w:val="left"/>
              <w:rPr>
                <w:rFonts w:cs="Open Sans"/>
                <w:highlight w:val="yellow"/>
              </w:rPr>
            </w:pPr>
            <w:hyperlink r:id="rId13" w:history="1">
              <w:r w:rsidR="00E53341">
                <w:rPr>
                  <w:rStyle w:val="Hyperlink"/>
                </w:rPr>
                <w:t>https://documents.egi.eu/document/3485</w:t>
              </w:r>
            </w:hyperlink>
          </w:p>
        </w:tc>
      </w:tr>
    </w:tbl>
    <w:p w14:paraId="5E9B716A"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5C240C7" w14:textId="77777777" w:rsidTr="00E53341">
        <w:trPr>
          <w:trHeight w:val="319"/>
          <w:jc w:val="center"/>
        </w:trPr>
        <w:tc>
          <w:tcPr>
            <w:tcW w:w="7933" w:type="dxa"/>
          </w:tcPr>
          <w:p w14:paraId="0C5AE2FA" w14:textId="77777777" w:rsidR="00A30A98" w:rsidRPr="007255C2" w:rsidRDefault="00A30A98" w:rsidP="00E53341">
            <w:pPr>
              <w:snapToGrid w:val="0"/>
              <w:spacing w:before="120"/>
              <w:jc w:val="left"/>
              <w:rPr>
                <w:rFonts w:cs="Open Sans"/>
              </w:rPr>
            </w:pPr>
            <w:r>
              <w:rPr>
                <w:rFonts w:cs="Open Sans"/>
                <w:b/>
              </w:rPr>
              <w:t>Deliverable Abstract</w:t>
            </w:r>
          </w:p>
        </w:tc>
      </w:tr>
      <w:tr w:rsidR="00A30A98" w:rsidRPr="007255C2" w14:paraId="098ED7B0" w14:textId="77777777" w:rsidTr="00E53341">
        <w:trPr>
          <w:trHeight w:val="3475"/>
          <w:jc w:val="center"/>
        </w:trPr>
        <w:tc>
          <w:tcPr>
            <w:tcW w:w="7933" w:type="dxa"/>
          </w:tcPr>
          <w:p w14:paraId="583BCF5C" w14:textId="6CED08CC" w:rsidR="00A30A98" w:rsidRPr="007255C2" w:rsidRDefault="00E53341" w:rsidP="00E53341">
            <w:pPr>
              <w:pStyle w:val="DocDate"/>
              <w:snapToGrid w:val="0"/>
              <w:jc w:val="left"/>
              <w:rPr>
                <w:rFonts w:ascii="Calibri" w:hAnsi="Calibri" w:cs="Open Sans"/>
                <w:b w:val="0"/>
                <w:highlight w:val="yellow"/>
              </w:rPr>
            </w:pPr>
            <w:r w:rsidRPr="00E53341">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47F5378E" w14:textId="77777777" w:rsidR="001D1FF5" w:rsidRDefault="001D1FF5" w:rsidP="00247395">
      <w:pPr>
        <w:rPr>
          <w:b/>
          <w:color w:val="1C3046"/>
        </w:rPr>
      </w:pPr>
    </w:p>
    <w:p w14:paraId="193EB6C4" w14:textId="77777777" w:rsidR="00247395" w:rsidRPr="006014D2" w:rsidRDefault="00247395" w:rsidP="00247395">
      <w:pPr>
        <w:rPr>
          <w:b/>
          <w:color w:val="1C3046"/>
        </w:rPr>
      </w:pPr>
      <w:r w:rsidRPr="006014D2">
        <w:rPr>
          <w:b/>
          <w:color w:val="1C3046"/>
        </w:rPr>
        <w:lastRenderedPageBreak/>
        <w:t xml:space="preserve">COPYRIGHT NOTICE </w:t>
      </w:r>
    </w:p>
    <w:p w14:paraId="15F62C69" w14:textId="77777777" w:rsidR="00247395" w:rsidRDefault="00247395" w:rsidP="00247395">
      <w:r>
        <w:rPr>
          <w:noProof/>
          <w:lang w:eastAsia="en-GB"/>
        </w:rPr>
        <w:drawing>
          <wp:inline distT="0" distB="0" distL="0" distR="0" wp14:anchorId="338EFF62" wp14:editId="0FE82D4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0127C42"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5"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35A7B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695"/>
        <w:gridCol w:w="1724"/>
        <w:gridCol w:w="1505"/>
      </w:tblGrid>
      <w:tr w:rsidR="0066656C" w:rsidRPr="002E5F1F" w14:paraId="5379C812"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25704371" w14:textId="77777777" w:rsidR="0066656C" w:rsidRPr="002E5F1F" w:rsidRDefault="0066656C" w:rsidP="00E53341">
            <w:pPr>
              <w:pStyle w:val="NoSpacing"/>
              <w:rPr>
                <w:b w:val="0"/>
                <w:i/>
              </w:rPr>
            </w:pPr>
            <w:r>
              <w:rPr>
                <w:i/>
              </w:rPr>
              <w:t>Date</w:t>
            </w:r>
          </w:p>
        </w:tc>
        <w:tc>
          <w:tcPr>
            <w:tcW w:w="3695" w:type="dxa"/>
          </w:tcPr>
          <w:p w14:paraId="5ED81AB8" w14:textId="77777777" w:rsidR="0066656C" w:rsidRPr="002E5F1F" w:rsidRDefault="0066656C"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24" w:type="dxa"/>
          </w:tcPr>
          <w:p w14:paraId="2385F6D0" w14:textId="77777777" w:rsid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655A479A" w14:textId="77777777" w:rsidR="0066656C" w:rsidRP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E53341" w14:paraId="5F4D6C4C"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FD2E50" w14:textId="77777777" w:rsidR="00E53341" w:rsidRDefault="00E53341" w:rsidP="00E53341">
            <w:pPr>
              <w:pStyle w:val="NoSpacing"/>
            </w:pPr>
            <w:r>
              <w:t>From:</w:t>
            </w:r>
          </w:p>
        </w:tc>
        <w:tc>
          <w:tcPr>
            <w:tcW w:w="3695" w:type="dxa"/>
          </w:tcPr>
          <w:p w14:paraId="68E66962" w14:textId="627F931B"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1724" w:type="dxa"/>
          </w:tcPr>
          <w:p w14:paraId="6A65C8E4" w14:textId="533B612D"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5DD8C012" w14:textId="77777777"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p>
        </w:tc>
      </w:tr>
      <w:tr w:rsidR="00E53341" w14:paraId="611C3CF3"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38407FD1" w14:textId="77777777" w:rsidR="00E53341" w:rsidRDefault="00E53341" w:rsidP="00E53341">
            <w:pPr>
              <w:pStyle w:val="NoSpacing"/>
            </w:pPr>
            <w:r>
              <w:t>Moderated by:</w:t>
            </w:r>
          </w:p>
        </w:tc>
        <w:tc>
          <w:tcPr>
            <w:tcW w:w="3695" w:type="dxa"/>
          </w:tcPr>
          <w:p w14:paraId="1D745775" w14:textId="3B31E94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724" w:type="dxa"/>
          </w:tcPr>
          <w:p w14:paraId="134BF7E0" w14:textId="53F5597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5" w:type="dxa"/>
          </w:tcPr>
          <w:p w14:paraId="64711414"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r w:rsidR="00E53341" w14:paraId="3EE1CE3D"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35B0F85" w14:textId="77777777" w:rsidR="00E53341" w:rsidRDefault="00E53341" w:rsidP="00E53341">
            <w:pPr>
              <w:pStyle w:val="NoSpacing"/>
            </w:pPr>
            <w:r>
              <w:t>Reviewed by:</w:t>
            </w:r>
          </w:p>
        </w:tc>
        <w:tc>
          <w:tcPr>
            <w:tcW w:w="3695" w:type="dxa"/>
          </w:tcPr>
          <w:p w14:paraId="400D97F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Niklas Blomberg</w:t>
            </w:r>
          </w:p>
          <w:p w14:paraId="276F219B" w14:textId="648C5CA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Ognjen Prnjat</w:t>
            </w:r>
          </w:p>
        </w:tc>
        <w:tc>
          <w:tcPr>
            <w:tcW w:w="1724" w:type="dxa"/>
          </w:tcPr>
          <w:p w14:paraId="77CBAF7C"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EMBL-EBI / EOSC-Life</w:t>
            </w:r>
          </w:p>
          <w:p w14:paraId="6D690B4D" w14:textId="5C181E0F"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24460296"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71E37A90" w14:textId="2CDE05DE"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03/Jul/2019</w:t>
            </w:r>
          </w:p>
        </w:tc>
      </w:tr>
      <w:tr w:rsidR="00E53341" w14:paraId="6D432A9D"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77B1D199" w14:textId="77777777" w:rsidR="00E53341" w:rsidRDefault="00E53341" w:rsidP="00E53341">
            <w:pPr>
              <w:pStyle w:val="NoSpacing"/>
            </w:pPr>
            <w:r>
              <w:t>Approved by:</w:t>
            </w:r>
          </w:p>
        </w:tc>
        <w:tc>
          <w:tcPr>
            <w:tcW w:w="3695" w:type="dxa"/>
          </w:tcPr>
          <w:p w14:paraId="7BC2D9CF"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724" w:type="dxa"/>
          </w:tcPr>
          <w:p w14:paraId="7D2AC485"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6CC218ED"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bl>
    <w:p w14:paraId="44C6C63E" w14:textId="77777777" w:rsidR="0066656C" w:rsidRDefault="0066656C" w:rsidP="00247395"/>
    <w:p w14:paraId="18B00015"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09"/>
        <w:gridCol w:w="1415"/>
        <w:gridCol w:w="5338"/>
        <w:gridCol w:w="1454"/>
      </w:tblGrid>
      <w:tr w:rsidR="00A30A98" w:rsidRPr="002E5F1F" w14:paraId="1C977BEF"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32FFEB03" w14:textId="77777777" w:rsidR="00A30A98" w:rsidRPr="002E5F1F" w:rsidRDefault="00A30A98" w:rsidP="00E53341">
            <w:pPr>
              <w:pStyle w:val="NoSpacing"/>
              <w:rPr>
                <w:b w:val="0"/>
                <w:i/>
              </w:rPr>
            </w:pPr>
            <w:r w:rsidRPr="002E5F1F">
              <w:rPr>
                <w:i/>
              </w:rPr>
              <w:t>Issue</w:t>
            </w:r>
          </w:p>
        </w:tc>
        <w:tc>
          <w:tcPr>
            <w:tcW w:w="1415" w:type="dxa"/>
          </w:tcPr>
          <w:p w14:paraId="1EE7B393"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38" w:type="dxa"/>
          </w:tcPr>
          <w:p w14:paraId="39E0CDF1"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454" w:type="dxa"/>
          </w:tcPr>
          <w:p w14:paraId="00497198"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E53341" w14:paraId="1CCC6B91"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7A7A3DA3" w14:textId="4AE5C724" w:rsidR="00E53341" w:rsidRPr="002E5F1F" w:rsidRDefault="00E53341" w:rsidP="00E53341">
            <w:pPr>
              <w:pStyle w:val="NoSpacing"/>
              <w:rPr>
                <w:b w:val="0"/>
              </w:rPr>
            </w:pPr>
            <w:r>
              <w:rPr>
                <w:b w:val="0"/>
              </w:rPr>
              <w:t>v0.1</w:t>
            </w:r>
          </w:p>
        </w:tc>
        <w:tc>
          <w:tcPr>
            <w:tcW w:w="1415" w:type="dxa"/>
          </w:tcPr>
          <w:p w14:paraId="3E9B9F2F" w14:textId="6C159B3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5338" w:type="dxa"/>
          </w:tcPr>
          <w:p w14:paraId="7336A969" w14:textId="13F0D02C"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1454" w:type="dxa"/>
          </w:tcPr>
          <w:p w14:paraId="130E0B19" w14:textId="186EE235"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and CC coordinators</w:t>
            </w:r>
          </w:p>
        </w:tc>
      </w:tr>
      <w:tr w:rsidR="00E53341" w14:paraId="084331E1" w14:textId="77777777" w:rsidTr="00E53341">
        <w:tc>
          <w:tcPr>
            <w:cnfStyle w:val="001000000000" w:firstRow="0" w:lastRow="0" w:firstColumn="1" w:lastColumn="0" w:oddVBand="0" w:evenVBand="0" w:oddHBand="0" w:evenHBand="0" w:firstRowFirstColumn="0" w:firstRowLastColumn="0" w:lastRowFirstColumn="0" w:lastRowLastColumn="0"/>
            <w:tcW w:w="809" w:type="dxa"/>
          </w:tcPr>
          <w:p w14:paraId="694756F7" w14:textId="2CB034AF" w:rsidR="00E53341" w:rsidRPr="002E5F1F" w:rsidRDefault="00E53341" w:rsidP="00E53341">
            <w:pPr>
              <w:pStyle w:val="NoSpacing"/>
              <w:rPr>
                <w:b w:val="0"/>
              </w:rPr>
            </w:pPr>
            <w:r>
              <w:rPr>
                <w:b w:val="0"/>
              </w:rPr>
              <w:t>v1</w:t>
            </w:r>
          </w:p>
        </w:tc>
        <w:tc>
          <w:tcPr>
            <w:tcW w:w="1415" w:type="dxa"/>
          </w:tcPr>
          <w:p w14:paraId="70E031E5" w14:textId="7EE1E73A"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08/Jul/2019</w:t>
            </w:r>
          </w:p>
        </w:tc>
        <w:tc>
          <w:tcPr>
            <w:tcW w:w="5338" w:type="dxa"/>
          </w:tcPr>
          <w:p w14:paraId="63E71B2C" w14:textId="3B708B1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Submitted to EC</w:t>
            </w:r>
          </w:p>
        </w:tc>
        <w:tc>
          <w:tcPr>
            <w:tcW w:w="1454" w:type="dxa"/>
          </w:tcPr>
          <w:p w14:paraId="340A3FED" w14:textId="6795B8D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Gergely Sipos</w:t>
            </w:r>
          </w:p>
        </w:tc>
      </w:tr>
      <w:tr w:rsidR="00E53341" w14:paraId="2224CB00"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14DD42DB" w14:textId="78720E50" w:rsidR="00E53341" w:rsidRPr="002E5F1F" w:rsidRDefault="00E53341" w:rsidP="00E53341">
            <w:pPr>
              <w:pStyle w:val="NoSpacing"/>
              <w:rPr>
                <w:b w:val="0"/>
              </w:rPr>
            </w:pPr>
            <w:r>
              <w:rPr>
                <w:b w:val="0"/>
              </w:rPr>
              <w:t>v2</w:t>
            </w:r>
          </w:p>
        </w:tc>
        <w:tc>
          <w:tcPr>
            <w:tcW w:w="1415" w:type="dxa"/>
          </w:tcPr>
          <w:p w14:paraId="075A954B" w14:textId="4A9C06D4"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17/Dec/2019</w:t>
            </w:r>
          </w:p>
        </w:tc>
        <w:tc>
          <w:tcPr>
            <w:tcW w:w="5338" w:type="dxa"/>
          </w:tcPr>
          <w:p w14:paraId="5EBEBEE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Extended ICOS/eLTER CC</w:t>
            </w:r>
          </w:p>
          <w:p w14:paraId="56AF1749"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Added CC Introduction section</w:t>
            </w:r>
          </w:p>
          <w:p w14:paraId="391E0788" w14:textId="161D242A"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Refreshed outdated sections</w:t>
            </w:r>
          </w:p>
        </w:tc>
        <w:tc>
          <w:tcPr>
            <w:tcW w:w="1454" w:type="dxa"/>
          </w:tcPr>
          <w:p w14:paraId="5013C977" w14:textId="77010E2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with input from CC members</w:t>
            </w:r>
          </w:p>
        </w:tc>
      </w:tr>
    </w:tbl>
    <w:p w14:paraId="5B2B3D8B" w14:textId="77777777" w:rsidR="00A30A98" w:rsidRDefault="00A30A98" w:rsidP="00A30A98"/>
    <w:p w14:paraId="24E4EA98" w14:textId="77777777" w:rsidR="00A30A98" w:rsidRDefault="00A30A98" w:rsidP="00A30A98">
      <w:pPr>
        <w:rPr>
          <w:b/>
          <w:color w:val="1C3046"/>
        </w:rPr>
      </w:pPr>
      <w:r w:rsidRPr="00807121">
        <w:rPr>
          <w:b/>
          <w:color w:val="1C3046"/>
        </w:rPr>
        <w:t>TERMINOLOGY</w:t>
      </w:r>
    </w:p>
    <w:p w14:paraId="7D088EAD" w14:textId="77777777" w:rsidR="00B75013" w:rsidRPr="00807121" w:rsidRDefault="00AF5B2C" w:rsidP="00A30A98">
      <w:pPr>
        <w:rPr>
          <w:b/>
          <w:color w:val="1C3046"/>
        </w:rPr>
      </w:pPr>
      <w:hyperlink r:id="rId16" w:tgtFrame="_blank" w:history="1">
        <w:r w:rsidR="00B75013">
          <w:rPr>
            <w:rStyle w:val="Hyperlink"/>
          </w:rPr>
          <w:t>https://wiki.eosc-hub.eu/display/EOSC/EOSC-hub+Glossary</w:t>
        </w:r>
      </w:hyperlink>
    </w:p>
    <w:p w14:paraId="6F972DE2"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15C83D00" w14:textId="77777777" w:rsidR="00A30A98" w:rsidRPr="00807121" w:rsidRDefault="00A30A98" w:rsidP="00A30A98">
          <w:pPr>
            <w:rPr>
              <w:b/>
              <w:color w:val="1C3046"/>
              <w:sz w:val="40"/>
            </w:rPr>
          </w:pPr>
          <w:r w:rsidRPr="00807121">
            <w:rPr>
              <w:b/>
              <w:color w:val="1C3046"/>
              <w:sz w:val="40"/>
            </w:rPr>
            <w:t>Contents</w:t>
          </w:r>
        </w:p>
        <w:p w14:paraId="1577681D" w14:textId="1F9908EA" w:rsidR="0028541A"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6236" w:history="1">
            <w:r w:rsidR="0028541A" w:rsidRPr="00A93AFA">
              <w:rPr>
                <w:rStyle w:val="Hyperlink"/>
              </w:rPr>
              <w:t>Introduction to Competence Centres</w:t>
            </w:r>
            <w:r w:rsidR="0028541A">
              <w:rPr>
                <w:webHidden/>
              </w:rPr>
              <w:tab/>
            </w:r>
            <w:r w:rsidR="0028541A">
              <w:rPr>
                <w:webHidden/>
              </w:rPr>
              <w:fldChar w:fldCharType="begin"/>
            </w:r>
            <w:r w:rsidR="0028541A">
              <w:rPr>
                <w:webHidden/>
              </w:rPr>
              <w:instrText xml:space="preserve"> PAGEREF _Toc29566236 \h </w:instrText>
            </w:r>
            <w:r w:rsidR="0028541A">
              <w:rPr>
                <w:webHidden/>
              </w:rPr>
            </w:r>
            <w:r w:rsidR="0028541A">
              <w:rPr>
                <w:webHidden/>
              </w:rPr>
              <w:fldChar w:fldCharType="separate"/>
            </w:r>
            <w:r w:rsidR="00311FC8">
              <w:rPr>
                <w:webHidden/>
              </w:rPr>
              <w:t>4</w:t>
            </w:r>
            <w:r w:rsidR="0028541A">
              <w:rPr>
                <w:webHidden/>
              </w:rPr>
              <w:fldChar w:fldCharType="end"/>
            </w:r>
          </w:hyperlink>
        </w:p>
        <w:p w14:paraId="20E1EAB7" w14:textId="560552AE" w:rsidR="0028541A" w:rsidRDefault="00AF5B2C">
          <w:pPr>
            <w:pStyle w:val="TOC1"/>
            <w:rPr>
              <w:rFonts w:asciiTheme="minorHAnsi" w:eastAsiaTheme="minorEastAsia" w:hAnsiTheme="minorHAnsi"/>
              <w:color w:val="auto"/>
              <w:spacing w:val="0"/>
              <w:lang w:eastAsia="en-GB"/>
            </w:rPr>
          </w:pPr>
          <w:hyperlink w:anchor="_Toc29566237" w:history="1">
            <w:r w:rsidR="0028541A" w:rsidRPr="00A93AFA">
              <w:rPr>
                <w:rStyle w:val="Hyperlink"/>
              </w:rPr>
              <w:t>Progress, achievements and plans by CCs</w:t>
            </w:r>
            <w:r w:rsidR="0028541A">
              <w:rPr>
                <w:webHidden/>
              </w:rPr>
              <w:tab/>
            </w:r>
            <w:r w:rsidR="0028541A">
              <w:rPr>
                <w:webHidden/>
              </w:rPr>
              <w:fldChar w:fldCharType="begin"/>
            </w:r>
            <w:r w:rsidR="0028541A">
              <w:rPr>
                <w:webHidden/>
              </w:rPr>
              <w:instrText xml:space="preserve"> PAGEREF _Toc29566237 \h </w:instrText>
            </w:r>
            <w:r w:rsidR="0028541A">
              <w:rPr>
                <w:webHidden/>
              </w:rPr>
            </w:r>
            <w:r w:rsidR="0028541A">
              <w:rPr>
                <w:webHidden/>
              </w:rPr>
              <w:fldChar w:fldCharType="separate"/>
            </w:r>
            <w:r w:rsidR="00311FC8">
              <w:rPr>
                <w:webHidden/>
              </w:rPr>
              <w:t>5</w:t>
            </w:r>
            <w:r w:rsidR="0028541A">
              <w:rPr>
                <w:webHidden/>
              </w:rPr>
              <w:fldChar w:fldCharType="end"/>
            </w:r>
          </w:hyperlink>
        </w:p>
        <w:p w14:paraId="15F64194" w14:textId="68EF532A" w:rsidR="0028541A" w:rsidRDefault="00AF5B2C">
          <w:pPr>
            <w:pStyle w:val="TOC2"/>
            <w:rPr>
              <w:rFonts w:asciiTheme="minorHAnsi" w:eastAsiaTheme="minorEastAsia" w:hAnsiTheme="minorHAnsi"/>
              <w:noProof/>
              <w:color w:val="auto"/>
              <w:spacing w:val="0"/>
              <w:lang w:eastAsia="en-GB"/>
            </w:rPr>
          </w:pPr>
          <w:hyperlink w:anchor="_Toc29566238" w:history="1">
            <w:r w:rsidR="0028541A" w:rsidRPr="00A93AFA">
              <w:rPr>
                <w:rStyle w:val="Hyperlink"/>
                <w:noProof/>
              </w:rPr>
              <w:t>1.1</w:t>
            </w:r>
            <w:r w:rsidR="0028541A">
              <w:rPr>
                <w:rFonts w:asciiTheme="minorHAnsi" w:eastAsiaTheme="minorEastAsia" w:hAnsiTheme="minorHAnsi"/>
                <w:noProof/>
                <w:color w:val="auto"/>
                <w:spacing w:val="0"/>
                <w:lang w:eastAsia="en-GB"/>
              </w:rPr>
              <w:tab/>
            </w:r>
            <w:r w:rsidR="0028541A" w:rsidRPr="00A93AFA">
              <w:rPr>
                <w:rStyle w:val="Hyperlink"/>
                <w:noProof/>
              </w:rPr>
              <w:t>ELIXIR</w:t>
            </w:r>
            <w:r w:rsidR="0028541A">
              <w:rPr>
                <w:noProof/>
                <w:webHidden/>
              </w:rPr>
              <w:tab/>
            </w:r>
            <w:r w:rsidR="0028541A">
              <w:rPr>
                <w:noProof/>
                <w:webHidden/>
              </w:rPr>
              <w:fldChar w:fldCharType="begin"/>
            </w:r>
            <w:r w:rsidR="0028541A">
              <w:rPr>
                <w:noProof/>
                <w:webHidden/>
              </w:rPr>
              <w:instrText xml:space="preserve"> PAGEREF _Toc29566238 \h </w:instrText>
            </w:r>
            <w:r w:rsidR="0028541A">
              <w:rPr>
                <w:noProof/>
                <w:webHidden/>
              </w:rPr>
            </w:r>
            <w:r w:rsidR="0028541A">
              <w:rPr>
                <w:noProof/>
                <w:webHidden/>
              </w:rPr>
              <w:fldChar w:fldCharType="separate"/>
            </w:r>
            <w:r w:rsidR="00311FC8">
              <w:rPr>
                <w:noProof/>
                <w:webHidden/>
              </w:rPr>
              <w:t>5</w:t>
            </w:r>
            <w:r w:rsidR="0028541A">
              <w:rPr>
                <w:noProof/>
                <w:webHidden/>
              </w:rPr>
              <w:fldChar w:fldCharType="end"/>
            </w:r>
          </w:hyperlink>
        </w:p>
        <w:p w14:paraId="233E8F1A" w14:textId="4B221C33" w:rsidR="0028541A" w:rsidRDefault="00AF5B2C">
          <w:pPr>
            <w:pStyle w:val="TOC2"/>
            <w:rPr>
              <w:rFonts w:asciiTheme="minorHAnsi" w:eastAsiaTheme="minorEastAsia" w:hAnsiTheme="minorHAnsi"/>
              <w:noProof/>
              <w:color w:val="auto"/>
              <w:spacing w:val="0"/>
              <w:lang w:eastAsia="en-GB"/>
            </w:rPr>
          </w:pPr>
          <w:hyperlink w:anchor="_Toc29566239" w:history="1">
            <w:r w:rsidR="0028541A" w:rsidRPr="00A93AFA">
              <w:rPr>
                <w:rStyle w:val="Hyperlink"/>
                <w:noProof/>
              </w:rPr>
              <w:t>1.2</w:t>
            </w:r>
            <w:r w:rsidR="0028541A">
              <w:rPr>
                <w:rFonts w:asciiTheme="minorHAnsi" w:eastAsiaTheme="minorEastAsia" w:hAnsiTheme="minorHAnsi"/>
                <w:noProof/>
                <w:color w:val="auto"/>
                <w:spacing w:val="0"/>
                <w:lang w:eastAsia="en-GB"/>
              </w:rPr>
              <w:tab/>
            </w:r>
            <w:r w:rsidR="0028541A" w:rsidRPr="00A93AFA">
              <w:rPr>
                <w:rStyle w:val="Hyperlink"/>
                <w:noProof/>
              </w:rPr>
              <w:t>Fusion</w:t>
            </w:r>
            <w:r w:rsidR="0028541A">
              <w:rPr>
                <w:noProof/>
                <w:webHidden/>
              </w:rPr>
              <w:tab/>
            </w:r>
            <w:r w:rsidR="0028541A">
              <w:rPr>
                <w:noProof/>
                <w:webHidden/>
              </w:rPr>
              <w:fldChar w:fldCharType="begin"/>
            </w:r>
            <w:r w:rsidR="0028541A">
              <w:rPr>
                <w:noProof/>
                <w:webHidden/>
              </w:rPr>
              <w:instrText xml:space="preserve"> PAGEREF _Toc29566239 \h </w:instrText>
            </w:r>
            <w:r w:rsidR="0028541A">
              <w:rPr>
                <w:noProof/>
                <w:webHidden/>
              </w:rPr>
            </w:r>
            <w:r w:rsidR="0028541A">
              <w:rPr>
                <w:noProof/>
                <w:webHidden/>
              </w:rPr>
              <w:fldChar w:fldCharType="separate"/>
            </w:r>
            <w:r w:rsidR="00311FC8">
              <w:rPr>
                <w:noProof/>
                <w:webHidden/>
              </w:rPr>
              <w:t>7</w:t>
            </w:r>
            <w:r w:rsidR="0028541A">
              <w:rPr>
                <w:noProof/>
                <w:webHidden/>
              </w:rPr>
              <w:fldChar w:fldCharType="end"/>
            </w:r>
          </w:hyperlink>
        </w:p>
        <w:p w14:paraId="3204A519" w14:textId="0E135A0C" w:rsidR="0028541A" w:rsidRDefault="00AF5B2C">
          <w:pPr>
            <w:pStyle w:val="TOC2"/>
            <w:rPr>
              <w:rFonts w:asciiTheme="minorHAnsi" w:eastAsiaTheme="minorEastAsia" w:hAnsiTheme="minorHAnsi"/>
              <w:noProof/>
              <w:color w:val="auto"/>
              <w:spacing w:val="0"/>
              <w:lang w:eastAsia="en-GB"/>
            </w:rPr>
          </w:pPr>
          <w:hyperlink w:anchor="_Toc29566240" w:history="1">
            <w:r w:rsidR="0028541A" w:rsidRPr="00A93AFA">
              <w:rPr>
                <w:rStyle w:val="Hyperlink"/>
                <w:noProof/>
              </w:rPr>
              <w:t>1.3</w:t>
            </w:r>
            <w:r w:rsidR="0028541A">
              <w:rPr>
                <w:rFonts w:asciiTheme="minorHAnsi" w:eastAsiaTheme="minorEastAsia" w:hAnsiTheme="minorHAnsi"/>
                <w:noProof/>
                <w:color w:val="auto"/>
                <w:spacing w:val="0"/>
                <w:lang w:eastAsia="en-GB"/>
              </w:rPr>
              <w:tab/>
            </w:r>
            <w:r w:rsidR="0028541A" w:rsidRPr="00A93AFA">
              <w:rPr>
                <w:rStyle w:val="Hyperlink"/>
                <w:noProof/>
              </w:rPr>
              <w:t>Marine</w:t>
            </w:r>
            <w:r w:rsidR="0028541A">
              <w:rPr>
                <w:noProof/>
                <w:webHidden/>
              </w:rPr>
              <w:tab/>
            </w:r>
            <w:r w:rsidR="0028541A">
              <w:rPr>
                <w:noProof/>
                <w:webHidden/>
              </w:rPr>
              <w:fldChar w:fldCharType="begin"/>
            </w:r>
            <w:r w:rsidR="0028541A">
              <w:rPr>
                <w:noProof/>
                <w:webHidden/>
              </w:rPr>
              <w:instrText xml:space="preserve"> PAGEREF _Toc29566240 \h </w:instrText>
            </w:r>
            <w:r w:rsidR="0028541A">
              <w:rPr>
                <w:noProof/>
                <w:webHidden/>
              </w:rPr>
            </w:r>
            <w:r w:rsidR="0028541A">
              <w:rPr>
                <w:noProof/>
                <w:webHidden/>
              </w:rPr>
              <w:fldChar w:fldCharType="separate"/>
            </w:r>
            <w:r w:rsidR="00311FC8">
              <w:rPr>
                <w:noProof/>
                <w:webHidden/>
              </w:rPr>
              <w:t>12</w:t>
            </w:r>
            <w:r w:rsidR="0028541A">
              <w:rPr>
                <w:noProof/>
                <w:webHidden/>
              </w:rPr>
              <w:fldChar w:fldCharType="end"/>
            </w:r>
          </w:hyperlink>
        </w:p>
        <w:p w14:paraId="773E82F3" w14:textId="1242382D" w:rsidR="0028541A" w:rsidRDefault="00AF5B2C">
          <w:pPr>
            <w:pStyle w:val="TOC2"/>
            <w:rPr>
              <w:rFonts w:asciiTheme="minorHAnsi" w:eastAsiaTheme="minorEastAsia" w:hAnsiTheme="minorHAnsi"/>
              <w:noProof/>
              <w:color w:val="auto"/>
              <w:spacing w:val="0"/>
              <w:lang w:eastAsia="en-GB"/>
            </w:rPr>
          </w:pPr>
          <w:hyperlink w:anchor="_Toc29566241" w:history="1">
            <w:r w:rsidR="0028541A" w:rsidRPr="00A93AFA">
              <w:rPr>
                <w:rStyle w:val="Hyperlink"/>
                <w:noProof/>
              </w:rPr>
              <w:t>1.4</w:t>
            </w:r>
            <w:r w:rsidR="0028541A">
              <w:rPr>
                <w:rFonts w:asciiTheme="minorHAnsi" w:eastAsiaTheme="minorEastAsia" w:hAnsiTheme="minorHAnsi"/>
                <w:noProof/>
                <w:color w:val="auto"/>
                <w:spacing w:val="0"/>
                <w:lang w:eastAsia="en-GB"/>
              </w:rPr>
              <w:tab/>
            </w:r>
            <w:r w:rsidR="0028541A" w:rsidRPr="00A93AFA">
              <w:rPr>
                <w:rStyle w:val="Hyperlink"/>
                <w:noProof/>
              </w:rPr>
              <w:t>EISCAT_3D</w:t>
            </w:r>
            <w:r w:rsidR="0028541A">
              <w:rPr>
                <w:noProof/>
                <w:webHidden/>
              </w:rPr>
              <w:tab/>
            </w:r>
            <w:r w:rsidR="0028541A">
              <w:rPr>
                <w:noProof/>
                <w:webHidden/>
              </w:rPr>
              <w:fldChar w:fldCharType="begin"/>
            </w:r>
            <w:r w:rsidR="0028541A">
              <w:rPr>
                <w:noProof/>
                <w:webHidden/>
              </w:rPr>
              <w:instrText xml:space="preserve"> PAGEREF _Toc29566241 \h </w:instrText>
            </w:r>
            <w:r w:rsidR="0028541A">
              <w:rPr>
                <w:noProof/>
                <w:webHidden/>
              </w:rPr>
            </w:r>
            <w:r w:rsidR="0028541A">
              <w:rPr>
                <w:noProof/>
                <w:webHidden/>
              </w:rPr>
              <w:fldChar w:fldCharType="separate"/>
            </w:r>
            <w:r w:rsidR="00311FC8">
              <w:rPr>
                <w:noProof/>
                <w:webHidden/>
              </w:rPr>
              <w:t>16</w:t>
            </w:r>
            <w:r w:rsidR="0028541A">
              <w:rPr>
                <w:noProof/>
                <w:webHidden/>
              </w:rPr>
              <w:fldChar w:fldCharType="end"/>
            </w:r>
          </w:hyperlink>
        </w:p>
        <w:p w14:paraId="3432A06F" w14:textId="57D6989D" w:rsidR="0028541A" w:rsidRDefault="00AF5B2C">
          <w:pPr>
            <w:pStyle w:val="TOC2"/>
            <w:rPr>
              <w:rFonts w:asciiTheme="minorHAnsi" w:eastAsiaTheme="minorEastAsia" w:hAnsiTheme="minorHAnsi"/>
              <w:noProof/>
              <w:color w:val="auto"/>
              <w:spacing w:val="0"/>
              <w:lang w:eastAsia="en-GB"/>
            </w:rPr>
          </w:pPr>
          <w:hyperlink w:anchor="_Toc29566242" w:history="1">
            <w:r w:rsidR="0028541A" w:rsidRPr="00A93AFA">
              <w:rPr>
                <w:rStyle w:val="Hyperlink"/>
                <w:noProof/>
              </w:rPr>
              <w:t>1.5</w:t>
            </w:r>
            <w:r w:rsidR="0028541A">
              <w:rPr>
                <w:rFonts w:asciiTheme="minorHAnsi" w:eastAsiaTheme="minorEastAsia" w:hAnsiTheme="minorHAnsi"/>
                <w:noProof/>
                <w:color w:val="auto"/>
                <w:spacing w:val="0"/>
                <w:lang w:eastAsia="en-GB"/>
              </w:rPr>
              <w:tab/>
            </w:r>
            <w:r w:rsidR="0028541A" w:rsidRPr="00A93AFA">
              <w:rPr>
                <w:rStyle w:val="Hyperlink"/>
                <w:noProof/>
              </w:rPr>
              <w:t>EPOS-ORFEUS</w:t>
            </w:r>
            <w:r w:rsidR="0028541A">
              <w:rPr>
                <w:noProof/>
                <w:webHidden/>
              </w:rPr>
              <w:tab/>
            </w:r>
            <w:r w:rsidR="0028541A">
              <w:rPr>
                <w:noProof/>
                <w:webHidden/>
              </w:rPr>
              <w:fldChar w:fldCharType="begin"/>
            </w:r>
            <w:r w:rsidR="0028541A">
              <w:rPr>
                <w:noProof/>
                <w:webHidden/>
              </w:rPr>
              <w:instrText xml:space="preserve"> PAGEREF _Toc29566242 \h </w:instrText>
            </w:r>
            <w:r w:rsidR="0028541A">
              <w:rPr>
                <w:noProof/>
                <w:webHidden/>
              </w:rPr>
            </w:r>
            <w:r w:rsidR="0028541A">
              <w:rPr>
                <w:noProof/>
                <w:webHidden/>
              </w:rPr>
              <w:fldChar w:fldCharType="separate"/>
            </w:r>
            <w:r w:rsidR="00311FC8">
              <w:rPr>
                <w:noProof/>
                <w:webHidden/>
              </w:rPr>
              <w:t>18</w:t>
            </w:r>
            <w:r w:rsidR="0028541A">
              <w:rPr>
                <w:noProof/>
                <w:webHidden/>
              </w:rPr>
              <w:fldChar w:fldCharType="end"/>
            </w:r>
          </w:hyperlink>
        </w:p>
        <w:p w14:paraId="15419B6B" w14:textId="2C2991BD" w:rsidR="0028541A" w:rsidRDefault="00AF5B2C">
          <w:pPr>
            <w:pStyle w:val="TOC2"/>
            <w:rPr>
              <w:rFonts w:asciiTheme="minorHAnsi" w:eastAsiaTheme="minorEastAsia" w:hAnsiTheme="minorHAnsi"/>
              <w:noProof/>
              <w:color w:val="auto"/>
              <w:spacing w:val="0"/>
              <w:lang w:eastAsia="en-GB"/>
            </w:rPr>
          </w:pPr>
          <w:hyperlink w:anchor="_Toc29566243" w:history="1">
            <w:r w:rsidR="0028541A" w:rsidRPr="00A93AFA">
              <w:rPr>
                <w:rStyle w:val="Hyperlink"/>
                <w:noProof/>
              </w:rPr>
              <w:t>1.6</w:t>
            </w:r>
            <w:r w:rsidR="0028541A">
              <w:rPr>
                <w:rFonts w:asciiTheme="minorHAnsi" w:eastAsiaTheme="minorEastAsia" w:hAnsiTheme="minorHAnsi"/>
                <w:noProof/>
                <w:color w:val="auto"/>
                <w:spacing w:val="0"/>
                <w:lang w:eastAsia="en-GB"/>
              </w:rPr>
              <w:tab/>
            </w:r>
            <w:r w:rsidR="0028541A" w:rsidRPr="00A93AFA">
              <w:rPr>
                <w:rStyle w:val="Hyperlink"/>
                <w:noProof/>
              </w:rPr>
              <w:t>Radioastronomy</w:t>
            </w:r>
            <w:r w:rsidR="0028541A">
              <w:rPr>
                <w:noProof/>
                <w:webHidden/>
              </w:rPr>
              <w:tab/>
            </w:r>
            <w:r w:rsidR="0028541A">
              <w:rPr>
                <w:noProof/>
                <w:webHidden/>
              </w:rPr>
              <w:fldChar w:fldCharType="begin"/>
            </w:r>
            <w:r w:rsidR="0028541A">
              <w:rPr>
                <w:noProof/>
                <w:webHidden/>
              </w:rPr>
              <w:instrText xml:space="preserve"> PAGEREF _Toc29566243 \h </w:instrText>
            </w:r>
            <w:r w:rsidR="0028541A">
              <w:rPr>
                <w:noProof/>
                <w:webHidden/>
              </w:rPr>
            </w:r>
            <w:r w:rsidR="0028541A">
              <w:rPr>
                <w:noProof/>
                <w:webHidden/>
              </w:rPr>
              <w:fldChar w:fldCharType="separate"/>
            </w:r>
            <w:r w:rsidR="00311FC8">
              <w:rPr>
                <w:noProof/>
                <w:webHidden/>
              </w:rPr>
              <w:t>20</w:t>
            </w:r>
            <w:r w:rsidR="0028541A">
              <w:rPr>
                <w:noProof/>
                <w:webHidden/>
              </w:rPr>
              <w:fldChar w:fldCharType="end"/>
            </w:r>
          </w:hyperlink>
        </w:p>
        <w:p w14:paraId="10F40A3A" w14:textId="1D02C694" w:rsidR="0028541A" w:rsidRDefault="00AF5B2C">
          <w:pPr>
            <w:pStyle w:val="TOC2"/>
            <w:rPr>
              <w:rFonts w:asciiTheme="minorHAnsi" w:eastAsiaTheme="minorEastAsia" w:hAnsiTheme="minorHAnsi"/>
              <w:noProof/>
              <w:color w:val="auto"/>
              <w:spacing w:val="0"/>
              <w:lang w:eastAsia="en-GB"/>
            </w:rPr>
          </w:pPr>
          <w:hyperlink w:anchor="_Toc29566244" w:history="1">
            <w:r w:rsidR="0028541A" w:rsidRPr="00A93AFA">
              <w:rPr>
                <w:rStyle w:val="Hyperlink"/>
                <w:noProof/>
              </w:rPr>
              <w:t>1.7</w:t>
            </w:r>
            <w:r w:rsidR="0028541A">
              <w:rPr>
                <w:rFonts w:asciiTheme="minorHAnsi" w:eastAsiaTheme="minorEastAsia" w:hAnsiTheme="minorHAnsi"/>
                <w:noProof/>
                <w:color w:val="auto"/>
                <w:spacing w:val="0"/>
                <w:lang w:eastAsia="en-GB"/>
              </w:rPr>
              <w:tab/>
            </w:r>
            <w:r w:rsidR="0028541A" w:rsidRPr="00A93AFA">
              <w:rPr>
                <w:rStyle w:val="Hyperlink"/>
                <w:noProof/>
              </w:rPr>
              <w:t>ICOS-eLTER</w:t>
            </w:r>
            <w:r w:rsidR="0028541A">
              <w:rPr>
                <w:noProof/>
                <w:webHidden/>
              </w:rPr>
              <w:tab/>
            </w:r>
            <w:r w:rsidR="0028541A">
              <w:rPr>
                <w:noProof/>
                <w:webHidden/>
              </w:rPr>
              <w:fldChar w:fldCharType="begin"/>
            </w:r>
            <w:r w:rsidR="0028541A">
              <w:rPr>
                <w:noProof/>
                <w:webHidden/>
              </w:rPr>
              <w:instrText xml:space="preserve"> PAGEREF _Toc29566244 \h </w:instrText>
            </w:r>
            <w:r w:rsidR="0028541A">
              <w:rPr>
                <w:noProof/>
                <w:webHidden/>
              </w:rPr>
            </w:r>
            <w:r w:rsidR="0028541A">
              <w:rPr>
                <w:noProof/>
                <w:webHidden/>
              </w:rPr>
              <w:fldChar w:fldCharType="separate"/>
            </w:r>
            <w:r w:rsidR="00311FC8">
              <w:rPr>
                <w:noProof/>
                <w:webHidden/>
              </w:rPr>
              <w:t>22</w:t>
            </w:r>
            <w:r w:rsidR="0028541A">
              <w:rPr>
                <w:noProof/>
                <w:webHidden/>
              </w:rPr>
              <w:fldChar w:fldCharType="end"/>
            </w:r>
          </w:hyperlink>
        </w:p>
        <w:p w14:paraId="7D3908F1" w14:textId="31A5CDA5" w:rsidR="0028541A" w:rsidRDefault="00AF5B2C">
          <w:pPr>
            <w:pStyle w:val="TOC2"/>
            <w:rPr>
              <w:rFonts w:asciiTheme="minorHAnsi" w:eastAsiaTheme="minorEastAsia" w:hAnsiTheme="minorHAnsi"/>
              <w:noProof/>
              <w:color w:val="auto"/>
              <w:spacing w:val="0"/>
              <w:lang w:eastAsia="en-GB"/>
            </w:rPr>
          </w:pPr>
          <w:hyperlink w:anchor="_Toc29566245" w:history="1">
            <w:r w:rsidR="0028541A" w:rsidRPr="00A93AFA">
              <w:rPr>
                <w:rStyle w:val="Hyperlink"/>
                <w:noProof/>
              </w:rPr>
              <w:t>1.8</w:t>
            </w:r>
            <w:r w:rsidR="0028541A">
              <w:rPr>
                <w:rFonts w:asciiTheme="minorHAnsi" w:eastAsiaTheme="minorEastAsia" w:hAnsiTheme="minorHAnsi"/>
                <w:noProof/>
                <w:color w:val="auto"/>
                <w:spacing w:val="0"/>
                <w:lang w:eastAsia="en-GB"/>
              </w:rPr>
              <w:tab/>
            </w:r>
            <w:r w:rsidR="0028541A" w:rsidRPr="00A93AFA">
              <w:rPr>
                <w:rStyle w:val="Hyperlink"/>
                <w:noProof/>
              </w:rPr>
              <w:t>Disaster Mitigation Plus</w:t>
            </w:r>
            <w:r w:rsidR="0028541A">
              <w:rPr>
                <w:noProof/>
                <w:webHidden/>
              </w:rPr>
              <w:tab/>
            </w:r>
            <w:r w:rsidR="0028541A">
              <w:rPr>
                <w:noProof/>
                <w:webHidden/>
              </w:rPr>
              <w:fldChar w:fldCharType="begin"/>
            </w:r>
            <w:r w:rsidR="0028541A">
              <w:rPr>
                <w:noProof/>
                <w:webHidden/>
              </w:rPr>
              <w:instrText xml:space="preserve"> PAGEREF _Toc29566245 \h </w:instrText>
            </w:r>
            <w:r w:rsidR="0028541A">
              <w:rPr>
                <w:noProof/>
                <w:webHidden/>
              </w:rPr>
            </w:r>
            <w:r w:rsidR="0028541A">
              <w:rPr>
                <w:noProof/>
                <w:webHidden/>
              </w:rPr>
              <w:fldChar w:fldCharType="separate"/>
            </w:r>
            <w:r w:rsidR="00311FC8">
              <w:rPr>
                <w:noProof/>
                <w:webHidden/>
              </w:rPr>
              <w:t>27</w:t>
            </w:r>
            <w:r w:rsidR="0028541A">
              <w:rPr>
                <w:noProof/>
                <w:webHidden/>
              </w:rPr>
              <w:fldChar w:fldCharType="end"/>
            </w:r>
          </w:hyperlink>
        </w:p>
        <w:p w14:paraId="1018F665" w14:textId="606F7A3E" w:rsidR="0028541A" w:rsidRDefault="00AF5B2C">
          <w:pPr>
            <w:pStyle w:val="TOC1"/>
            <w:rPr>
              <w:rFonts w:asciiTheme="minorHAnsi" w:eastAsiaTheme="minorEastAsia" w:hAnsiTheme="minorHAnsi"/>
              <w:color w:val="auto"/>
              <w:spacing w:val="0"/>
              <w:lang w:eastAsia="en-GB"/>
            </w:rPr>
          </w:pPr>
          <w:hyperlink w:anchor="_Toc29566246" w:history="1">
            <w:r w:rsidR="0028541A" w:rsidRPr="00A93AFA">
              <w:rPr>
                <w:rStyle w:val="Hyperlink"/>
              </w:rPr>
              <w:t>Conclusions and observations</w:t>
            </w:r>
            <w:r w:rsidR="0028541A">
              <w:rPr>
                <w:webHidden/>
              </w:rPr>
              <w:tab/>
            </w:r>
            <w:r w:rsidR="0028541A">
              <w:rPr>
                <w:webHidden/>
              </w:rPr>
              <w:fldChar w:fldCharType="begin"/>
            </w:r>
            <w:r w:rsidR="0028541A">
              <w:rPr>
                <w:webHidden/>
              </w:rPr>
              <w:instrText xml:space="preserve"> PAGEREF _Toc29566246 \h </w:instrText>
            </w:r>
            <w:r w:rsidR="0028541A">
              <w:rPr>
                <w:webHidden/>
              </w:rPr>
            </w:r>
            <w:r w:rsidR="0028541A">
              <w:rPr>
                <w:webHidden/>
              </w:rPr>
              <w:fldChar w:fldCharType="separate"/>
            </w:r>
            <w:r w:rsidR="00311FC8">
              <w:rPr>
                <w:webHidden/>
              </w:rPr>
              <w:t>29</w:t>
            </w:r>
            <w:r w:rsidR="0028541A">
              <w:rPr>
                <w:webHidden/>
              </w:rPr>
              <w:fldChar w:fldCharType="end"/>
            </w:r>
          </w:hyperlink>
        </w:p>
        <w:p w14:paraId="28B14973" w14:textId="49247C48" w:rsidR="0028541A" w:rsidRDefault="00AF5B2C">
          <w:pPr>
            <w:pStyle w:val="TOC1"/>
            <w:rPr>
              <w:rFonts w:asciiTheme="minorHAnsi" w:eastAsiaTheme="minorEastAsia" w:hAnsiTheme="minorHAnsi"/>
              <w:color w:val="auto"/>
              <w:spacing w:val="0"/>
              <w:lang w:eastAsia="en-GB"/>
            </w:rPr>
          </w:pPr>
          <w:hyperlink w:anchor="_Toc29566247" w:history="1">
            <w:r w:rsidR="0028541A" w:rsidRPr="00A93AFA">
              <w:rPr>
                <w:rStyle w:val="Hyperlink"/>
              </w:rPr>
              <w:t>Appendix 1 - Service adoption status and plans (Matrix view)</w:t>
            </w:r>
            <w:r w:rsidR="0028541A">
              <w:rPr>
                <w:webHidden/>
              </w:rPr>
              <w:tab/>
            </w:r>
            <w:r w:rsidR="0028541A">
              <w:rPr>
                <w:webHidden/>
              </w:rPr>
              <w:fldChar w:fldCharType="begin"/>
            </w:r>
            <w:r w:rsidR="0028541A">
              <w:rPr>
                <w:webHidden/>
              </w:rPr>
              <w:instrText xml:space="preserve"> PAGEREF _Toc29566247 \h </w:instrText>
            </w:r>
            <w:r w:rsidR="0028541A">
              <w:rPr>
                <w:webHidden/>
              </w:rPr>
            </w:r>
            <w:r w:rsidR="0028541A">
              <w:rPr>
                <w:webHidden/>
              </w:rPr>
              <w:fldChar w:fldCharType="separate"/>
            </w:r>
            <w:r w:rsidR="00311FC8">
              <w:rPr>
                <w:webHidden/>
              </w:rPr>
              <w:t>31</w:t>
            </w:r>
            <w:r w:rsidR="0028541A">
              <w:rPr>
                <w:webHidden/>
              </w:rPr>
              <w:fldChar w:fldCharType="end"/>
            </w:r>
          </w:hyperlink>
        </w:p>
        <w:p w14:paraId="1D788A61" w14:textId="345B8291" w:rsidR="00A30A98" w:rsidRDefault="00247395" w:rsidP="00A30A98">
          <w:r>
            <w:rPr>
              <w:noProof/>
              <w:color w:val="1C3046"/>
            </w:rPr>
            <w:fldChar w:fldCharType="end"/>
          </w:r>
        </w:p>
      </w:sdtContent>
    </w:sdt>
    <w:p w14:paraId="34617292" w14:textId="77777777" w:rsidR="00A30A98" w:rsidRDefault="00A30A98" w:rsidP="00A30A98"/>
    <w:p w14:paraId="197521E2" w14:textId="77777777" w:rsidR="00A30A98" w:rsidRDefault="00A30A98" w:rsidP="00A30A98"/>
    <w:p w14:paraId="3DA1A295" w14:textId="77777777" w:rsidR="00A30A98" w:rsidRDefault="00A30A98" w:rsidP="00A30A98"/>
    <w:p w14:paraId="7CE712E7" w14:textId="77777777" w:rsidR="00A30A98" w:rsidRDefault="00A30A98" w:rsidP="00A30A98">
      <w:r>
        <w:br w:type="page"/>
      </w:r>
    </w:p>
    <w:p w14:paraId="47CD33E2" w14:textId="77777777" w:rsidR="00247395" w:rsidRDefault="00247395" w:rsidP="006C5298">
      <w:pPr>
        <w:pStyle w:val="ExecutiveSummary"/>
      </w:pPr>
      <w:bookmarkStart w:id="0" w:name="_Hlk515956646"/>
      <w:r w:rsidRPr="00E62B0B">
        <w:t xml:space="preserve">Executive summary  </w:t>
      </w:r>
    </w:p>
    <w:p w14:paraId="5A17448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so called ‘EOSC-hub common services’ portfolio. </w:t>
      </w:r>
    </w:p>
    <w:p w14:paraId="49AC5AE3"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work started within each CC drafting plans concerning their envisaged use of the EOSC-hub common services based on experiences from predecessor projects (EGI-Engage, EUDAT2020, EOSCpilot).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7427959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plans and progress shows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opening up their setups for external users: Marine (ARGO data discovery platform), EISCAT_3D (EISCAT Portal) and ICOS-eLTER (ICOS Carbon Portal). ARGO and EISCAT_3D will launch their service as Thematic Services via the EOSC Portal during the summer, and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eLTER part of this CC the ICOS-eLTER CC is going to be extended in its lifetime until the end of the project. </w:t>
      </w:r>
    </w:p>
    <w:p w14:paraId="2DA3E8D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other CCs (ELIXIR, Fusion, SeaDataNet in Marine, EPOS-ORFEUS, Radioastronomy, Disaster Mitigation) are progressing with their technology/service evaluation and application integration according to plans, with adopting Cloud, AAI, DataHub, B2SAFE, Notebooks, B2SHARE, B2Find services. More concrete results are expected in Q3-4 of 2019. </w:t>
      </w:r>
    </w:p>
    <w:p w14:paraId="0427CE6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document closes with a section of 5 observations concerning the work done so far by the CCs, and the work still to be done in the remaining 18 months. </w:t>
      </w:r>
    </w:p>
    <w:p w14:paraId="264C4AA2" w14:textId="77777777" w:rsidR="00247395" w:rsidRDefault="00247395">
      <w:pPr>
        <w:spacing w:after="200"/>
        <w:jc w:val="left"/>
        <w:rPr>
          <w:rFonts w:eastAsiaTheme="majorEastAsia" w:cstheme="majorBidi"/>
          <w:b/>
          <w:bCs/>
          <w:color w:val="1C3046"/>
          <w:spacing w:val="0"/>
          <w:sz w:val="40"/>
          <w:szCs w:val="28"/>
        </w:rPr>
      </w:pPr>
    </w:p>
    <w:p w14:paraId="57D7E10C" w14:textId="6FE940D8" w:rsidR="00A30A98" w:rsidRPr="00A070B9" w:rsidRDefault="00247395" w:rsidP="004B3EE6">
      <w:pPr>
        <w:pStyle w:val="Heading1"/>
      </w:pPr>
      <w:r>
        <w:t xml:space="preserve"> </w:t>
      </w:r>
      <w:bookmarkStart w:id="1" w:name="_Toc29566236"/>
      <w:r w:rsidR="00E53341" w:rsidRPr="00E53341">
        <w:t>Introduction to Competence Centres</w:t>
      </w:r>
      <w:bookmarkEnd w:id="1"/>
    </w:p>
    <w:bookmarkEnd w:id="0"/>
    <w:p w14:paraId="5EDA1B57" w14:textId="38ED27B4"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EOSC-hub Work Package 8 is composed of 8 Competence Centres (CCs). Each CC fosters the use of advanced digital capabilities and services of EOSC-hub within early adopter research communities, supporting them in data- and computing-intensive science. CCs are driven by well-established and mature research infrastructures from ESFRI or by international scientific collaborations that require integrated data and computing services from multiple European e-infrastructure providers, typically from EGI, EUDAT and GÉANT. CCs operate independently from each other but share the interest and needs in using common solutions from the EOSC-hub service catalogue to setup community-specific services that can expand EOSC with science discipline specific capabilities. </w:t>
      </w:r>
    </w:p>
    <w:p w14:paraId="7057CCF7"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CCs were selected during the proposal preparation with an open process that invited research communities, research infrastructures, software developer teams and e-infrastructure service providers to form small, focussed piloting projects that evaluate generic services from European e-infrastructures for the support of international, scientific communities. The proposal editorial team selected the best 8 from the 48 (!) submissions, and included them as Competence Centres in the project:</w:t>
      </w:r>
    </w:p>
    <w:p w14:paraId="735F234D"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CC (linking to the ELIXIR ESFRI Landmark)</w:t>
      </w:r>
    </w:p>
    <w:p w14:paraId="23DA3FAE"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Fusion CC (linking to the EUROfusion programme)</w:t>
      </w:r>
    </w:p>
    <w:p w14:paraId="06C9AFAF"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Marine CC (linking to the Euro Argo ESFRI landmark and the SeaDataNet community)</w:t>
      </w:r>
    </w:p>
    <w:p w14:paraId="02658C44"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EISCAT_3D CC (linking to the EISCAT_3D ESFRI landmark)</w:t>
      </w:r>
    </w:p>
    <w:p w14:paraId="0CC2CF51"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EPOS-ORFEUS CC (linking to the EPOS ESFRI landmark)</w:t>
      </w:r>
    </w:p>
    <w:p w14:paraId="28981C43"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Radioastronomy CC (linking to the LOFAR pathfinder of the Square Kilometer Array ESFRI landmark)</w:t>
      </w:r>
    </w:p>
    <w:p w14:paraId="6E810BE5"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ICOS-eLTER CC (linking to the ICOS ESFRI landmark and eLTER ESFRI project)</w:t>
      </w:r>
    </w:p>
    <w:p w14:paraId="67B251C7" w14:textId="77777777" w:rsidR="00E53341" w:rsidRPr="0028541A" w:rsidRDefault="00E53341" w:rsidP="00E53341">
      <w:pPr>
        <w:numPr>
          <w:ilvl w:val="0"/>
          <w:numId w:val="21"/>
        </w:numPr>
        <w:rPr>
          <w:rFonts w:asciiTheme="minorHAnsi" w:eastAsia="Arial" w:hAnsiTheme="minorHAnsi" w:cstheme="minorHAnsi"/>
          <w:sz w:val="21"/>
          <w:szCs w:val="21"/>
        </w:rPr>
      </w:pPr>
      <w:r w:rsidRPr="0028541A">
        <w:rPr>
          <w:rFonts w:asciiTheme="minorHAnsi" w:eastAsia="Arial" w:hAnsiTheme="minorHAnsi" w:cstheme="minorHAnsi"/>
          <w:sz w:val="21"/>
          <w:szCs w:val="21"/>
        </w:rPr>
        <w:t>Disaster Mitigation CC (linking to regional initiatives in the Asia-Pacific region)</w:t>
      </w:r>
    </w:p>
    <w:p w14:paraId="3EF8320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Several of these CCs are continuation of similar piloting activities that were part of the EGI-Engage and EUDAT2020 projects. They integrate community-specific data repositories, applications, portals, AAI system (Authentication-Authorization Infrastructures) with the generic services</w:t>
      </w:r>
      <w:r w:rsidRPr="0028541A">
        <w:rPr>
          <w:rFonts w:asciiTheme="minorHAnsi" w:eastAsia="Arial" w:hAnsiTheme="minorHAnsi" w:cstheme="minorHAnsi"/>
          <w:sz w:val="21"/>
          <w:szCs w:val="21"/>
          <w:vertAlign w:val="superscript"/>
        </w:rPr>
        <w:footnoteReference w:id="1"/>
      </w:r>
      <w:r w:rsidRPr="0028541A">
        <w:rPr>
          <w:rFonts w:asciiTheme="minorHAnsi" w:eastAsia="Arial" w:hAnsiTheme="minorHAnsi" w:cstheme="minorHAnsi"/>
          <w:sz w:val="21"/>
          <w:szCs w:val="21"/>
        </w:rPr>
        <w:t xml:space="preserve"> offered by EOSC-hub with the ultimate goal to provide scalable and robust data management and processing services for researchers within their own domains.</w:t>
      </w:r>
    </w:p>
    <w:p w14:paraId="52A35416"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average effort level is approximately 1.6 Full Time Equivalent per CC, distributed among 3-5 institutes (depending on the CC). Every CC runs for 3 years. </w:t>
      </w:r>
    </w:p>
    <w:p w14:paraId="54AB162E" w14:textId="1EB34917" w:rsidR="0060134C" w:rsidRDefault="00E53341" w:rsidP="004B3EE6">
      <w:pPr>
        <w:pStyle w:val="Heading1"/>
      </w:pPr>
      <w:bookmarkStart w:id="2" w:name="_Toc29566237"/>
      <w:r w:rsidRPr="00E53341">
        <w:t>Progress, achievements and plans by CCs</w:t>
      </w:r>
      <w:bookmarkEnd w:id="2"/>
    </w:p>
    <w:p w14:paraId="5F07AA3B" w14:textId="4E8C0363" w:rsidR="00E53341" w:rsidRDefault="00E53341" w:rsidP="00E53341">
      <w:pPr>
        <w:pStyle w:val="Heading2"/>
      </w:pPr>
      <w:bookmarkStart w:id="3" w:name="_Toc29566238"/>
      <w:r w:rsidRPr="00E53341">
        <w:t>ELIXIR</w:t>
      </w:r>
      <w:bookmarkEnd w:id="3"/>
    </w:p>
    <w:p w14:paraId="56CD0758" w14:textId="77777777" w:rsidR="00E53341" w:rsidRDefault="00E53341" w:rsidP="00E53341">
      <w:pPr>
        <w:pStyle w:val="Heading3"/>
      </w:pPr>
      <w:r>
        <w:t>Ambition</w:t>
      </w:r>
    </w:p>
    <w:p w14:paraId="75FC7E89"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5EDD1028" w14:textId="77777777" w:rsidR="00E53341" w:rsidRDefault="00E53341" w:rsidP="00E53341">
      <w:pPr>
        <w:pStyle w:val="Heading3"/>
      </w:pPr>
      <w: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E53341" w:rsidRPr="0028541A" w14:paraId="6E1A2964" w14:textId="77777777" w:rsidTr="00E53341">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C1B82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FC39AE5"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User stories - ELIXIR</w:t>
            </w:r>
          </w:p>
        </w:tc>
      </w:tr>
      <w:tr w:rsidR="00E53341" w:rsidRPr="0028541A" w14:paraId="7077E5DA" w14:textId="77777777" w:rsidTr="00E53341">
        <w:trPr>
          <w:trHeight w:val="58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B2D83C"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41E8030"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51289E28"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1E4853F4"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CC members envisage that different conditions of access will apply at the different cloud sites. However,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57C96EF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replication of community assets to national cloud providers maximises the utilisation of national funding and lowers the total cost of access for researchers.</w:t>
            </w:r>
          </w:p>
          <w:p w14:paraId="65B1C8F9"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r w:rsidR="00E53341" w:rsidRPr="0028541A" w14:paraId="09EFFC27" w14:textId="77777777" w:rsidTr="00E53341">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2B9BD87"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AA8BC15"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66445BE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Having a centrally managed or self-managed container orchestration service will allow users who do not have access to cloud resources of their own to deploy containerised workflows co-located with existing datasets in cloud locations.</w:t>
            </w:r>
          </w:p>
          <w:p w14:paraId="67858FF1"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bl>
    <w:p w14:paraId="56A91159" w14:textId="77777777" w:rsidR="00E53341" w:rsidRDefault="00E53341" w:rsidP="00E53341">
      <w:pPr>
        <w:pStyle w:val="Heading3"/>
      </w:pPr>
      <w:bookmarkStart w:id="4" w:name="_q5ga1suelf7y" w:colFirst="0" w:colLast="0"/>
      <w:bookmarkEnd w:id="4"/>
      <w:r>
        <w:t>EOSC-hub services assessed, integrated</w:t>
      </w:r>
    </w:p>
    <w:p w14:paraId="2F0B717A" w14:textId="77777777" w:rsidR="00E53341" w:rsidRDefault="00E53341" w:rsidP="00E53341">
      <w:r>
        <w:t>EGI Cloud Compute; EGI Data Transfer; EGI Check-in</w:t>
      </w:r>
    </w:p>
    <w:p w14:paraId="650D2F9B" w14:textId="77777777" w:rsidR="00E53341" w:rsidRDefault="00E53341" w:rsidP="00E53341">
      <w:pPr>
        <w:pStyle w:val="Heading3"/>
      </w:pPr>
      <w:bookmarkStart w:id="5" w:name="_9f0angz1vp5k" w:colFirst="0" w:colLast="0"/>
      <w:bookmarkEnd w:id="5"/>
      <w:r>
        <w:t>Progress, status, plans</w:t>
      </w:r>
    </w:p>
    <w:p w14:paraId="45E848CA" w14:textId="368A94D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a number of ELIXIR reference datasets (1000Genomes &amp; MMG) have been made available via the service. Additional datasets (Metabolights, Pride, ArrayExpress and ENA) are being processing for inclusion within the RDSDS index. The period also saw the improved alignment between ELIXIR and EOSC AAI via technical developments within EOSC-hub and strategic developments within the AARC2 project. A technical highlight over the last period has been the ELIXIR AAI integration with two ELIXIR OpenStack providers (De.NBI &amp; EMBL-EBI) via OIDC which in turn has technically enabled EOSC-compatible EGI Check-in users to access EOSC-compatible compute services via ELIXIR AAI. The CC has also contributed to D2.8 First Data Policies Recommendations. </w:t>
      </w:r>
    </w:p>
    <w:p w14:paraId="7B3D5468"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next period of work within the ELIXIR-CC will focus on:</w:t>
      </w:r>
    </w:p>
    <w:p w14:paraId="7ADC109D"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67765A88"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Deciding about virtual access and cost models between ELIXIR and EOSC. </w:t>
      </w:r>
    </w:p>
    <w:p w14:paraId="427C0B37" w14:textId="77777777" w:rsidR="00E53341" w:rsidRPr="0028541A" w:rsidRDefault="00E53341" w:rsidP="00E53341">
      <w:pPr>
        <w:numPr>
          <w:ilvl w:val="0"/>
          <w:numId w:val="23"/>
        </w:numPr>
        <w:rPr>
          <w:rFonts w:asciiTheme="minorHAnsi" w:eastAsia="Arial" w:hAnsiTheme="minorHAnsi" w:cstheme="minorHAnsi"/>
          <w:sz w:val="21"/>
          <w:szCs w:val="21"/>
        </w:rPr>
      </w:pPr>
      <w:r w:rsidRPr="0028541A">
        <w:rPr>
          <w:rFonts w:asciiTheme="minorHAnsi" w:eastAsia="Arial" w:hAnsiTheme="minorHAnsi" w:cstheme="minorHAnsi"/>
          <w:sz w:val="21"/>
          <w:szCs w:val="21"/>
        </w:rPr>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0F6C3AD6" w14:textId="77777777" w:rsidR="00E53341" w:rsidRDefault="00E53341" w:rsidP="00E53341">
      <w:pPr>
        <w:pStyle w:val="Heading2"/>
        <w:rPr>
          <w:color w:val="000000"/>
        </w:rPr>
      </w:pPr>
      <w:bookmarkStart w:id="6" w:name="_Toc29566239"/>
      <w:r>
        <w:rPr>
          <w:color w:val="000000"/>
        </w:rPr>
        <w:t>Fusion</w:t>
      </w:r>
      <w:bookmarkEnd w:id="6"/>
    </w:p>
    <w:p w14:paraId="4619ECCC" w14:textId="77777777" w:rsidR="00E53341" w:rsidRDefault="00E53341" w:rsidP="00E53341">
      <w:pPr>
        <w:pStyle w:val="Heading3"/>
        <w:rPr>
          <w:color w:val="000000"/>
        </w:rPr>
      </w:pPr>
      <w:bookmarkStart w:id="7" w:name="_ehj81ujdmc9y" w:colFirst="0" w:colLast="0"/>
      <w:bookmarkEnd w:id="7"/>
      <w:r>
        <w:rPr>
          <w:color w:val="000000"/>
        </w:rPr>
        <w:t>Ambition</w:t>
      </w:r>
    </w:p>
    <w:p w14:paraId="6B9E2BC4"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2E02005B" w14:textId="1FBF5E18"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1DD46A2B" w14:textId="14204125"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27625CF8" w14:textId="70383361" w:rsidR="00E53341" w:rsidRDefault="00E53341" w:rsidP="00E53341">
      <w:pPr>
        <w:rPr>
          <w:rFonts w:ascii="Arial" w:eastAsia="Arial" w:hAnsi="Arial" w:cs="Arial"/>
          <w:sz w:val="21"/>
          <w:szCs w:val="21"/>
        </w:rPr>
      </w:pPr>
    </w:p>
    <w:p w14:paraId="37180640" w14:textId="2FB4A263" w:rsidR="0028541A" w:rsidRDefault="0028541A" w:rsidP="00E53341">
      <w:pPr>
        <w:rPr>
          <w:rFonts w:ascii="Arial" w:eastAsia="Arial" w:hAnsi="Arial" w:cs="Arial"/>
          <w:sz w:val="21"/>
          <w:szCs w:val="21"/>
        </w:rPr>
      </w:pPr>
    </w:p>
    <w:p w14:paraId="3FC68156" w14:textId="3D5CA41F" w:rsidR="0028541A" w:rsidRDefault="0028541A" w:rsidP="00E53341">
      <w:pPr>
        <w:rPr>
          <w:rFonts w:ascii="Arial" w:eastAsia="Arial" w:hAnsi="Arial" w:cs="Arial"/>
          <w:sz w:val="21"/>
          <w:szCs w:val="21"/>
        </w:rPr>
      </w:pPr>
    </w:p>
    <w:p w14:paraId="261117F9" w14:textId="78D175B5" w:rsidR="0028541A" w:rsidRDefault="0028541A" w:rsidP="00E53341">
      <w:pPr>
        <w:rPr>
          <w:rFonts w:ascii="Arial" w:eastAsia="Arial" w:hAnsi="Arial" w:cs="Arial"/>
          <w:sz w:val="21"/>
          <w:szCs w:val="21"/>
        </w:rPr>
      </w:pPr>
    </w:p>
    <w:p w14:paraId="169DA12F" w14:textId="383D4870" w:rsidR="0028541A" w:rsidRDefault="0028541A" w:rsidP="00E53341">
      <w:pPr>
        <w:rPr>
          <w:rFonts w:ascii="Arial" w:eastAsia="Arial" w:hAnsi="Arial" w:cs="Arial"/>
          <w:sz w:val="21"/>
          <w:szCs w:val="21"/>
        </w:rPr>
      </w:pPr>
    </w:p>
    <w:p w14:paraId="2210CBA7" w14:textId="79618CC6" w:rsidR="0028541A" w:rsidRDefault="0028541A" w:rsidP="00E53341">
      <w:pPr>
        <w:rPr>
          <w:rFonts w:ascii="Arial" w:eastAsia="Arial" w:hAnsi="Arial" w:cs="Arial"/>
          <w:sz w:val="21"/>
          <w:szCs w:val="21"/>
        </w:rPr>
      </w:pPr>
    </w:p>
    <w:p w14:paraId="2E62703B" w14:textId="11785B48" w:rsidR="0028541A" w:rsidRDefault="0028541A" w:rsidP="00E53341">
      <w:pPr>
        <w:rPr>
          <w:rFonts w:ascii="Arial" w:eastAsia="Arial" w:hAnsi="Arial" w:cs="Arial"/>
          <w:sz w:val="21"/>
          <w:szCs w:val="21"/>
        </w:rPr>
      </w:pPr>
    </w:p>
    <w:p w14:paraId="51529672" w14:textId="68628394" w:rsidR="0028541A" w:rsidRDefault="0028541A" w:rsidP="00E53341">
      <w:pPr>
        <w:rPr>
          <w:rFonts w:ascii="Arial" w:eastAsia="Arial" w:hAnsi="Arial" w:cs="Arial"/>
          <w:sz w:val="21"/>
          <w:szCs w:val="21"/>
        </w:rPr>
      </w:pPr>
    </w:p>
    <w:p w14:paraId="265EC1BF" w14:textId="1C3B9554" w:rsidR="0028541A" w:rsidRDefault="0028541A" w:rsidP="00E53341">
      <w:pPr>
        <w:rPr>
          <w:rFonts w:ascii="Arial" w:eastAsia="Arial" w:hAnsi="Arial" w:cs="Arial"/>
          <w:sz w:val="21"/>
          <w:szCs w:val="21"/>
        </w:rPr>
      </w:pPr>
    </w:p>
    <w:p w14:paraId="34DC824C" w14:textId="0A7F5BBB" w:rsidR="0028541A" w:rsidRDefault="0028541A" w:rsidP="00E53341">
      <w:pPr>
        <w:rPr>
          <w:rFonts w:ascii="Arial" w:eastAsia="Arial" w:hAnsi="Arial" w:cs="Arial"/>
          <w:sz w:val="21"/>
          <w:szCs w:val="21"/>
        </w:rPr>
      </w:pPr>
    </w:p>
    <w:p w14:paraId="52EEB84D" w14:textId="2B21319F" w:rsidR="0028541A" w:rsidRDefault="0028541A" w:rsidP="00E53341">
      <w:pPr>
        <w:rPr>
          <w:rFonts w:ascii="Arial" w:eastAsia="Arial" w:hAnsi="Arial" w:cs="Arial"/>
          <w:sz w:val="21"/>
          <w:szCs w:val="21"/>
        </w:rPr>
      </w:pPr>
    </w:p>
    <w:p w14:paraId="33797DD3" w14:textId="56DCD20E" w:rsidR="0028541A" w:rsidRDefault="0028541A" w:rsidP="00E53341">
      <w:pPr>
        <w:rPr>
          <w:rFonts w:ascii="Arial" w:eastAsia="Arial" w:hAnsi="Arial" w:cs="Arial"/>
          <w:sz w:val="21"/>
          <w:szCs w:val="21"/>
        </w:rPr>
      </w:pPr>
    </w:p>
    <w:p w14:paraId="70734B15" w14:textId="12146954" w:rsidR="0028541A" w:rsidRDefault="0028541A" w:rsidP="00E53341">
      <w:pPr>
        <w:rPr>
          <w:rFonts w:ascii="Arial" w:eastAsia="Arial" w:hAnsi="Arial" w:cs="Arial"/>
          <w:sz w:val="21"/>
          <w:szCs w:val="21"/>
        </w:rPr>
      </w:pPr>
    </w:p>
    <w:p w14:paraId="3419895E" w14:textId="52B7AA6C" w:rsidR="0028541A" w:rsidRDefault="0028541A" w:rsidP="00E53341">
      <w:pPr>
        <w:rPr>
          <w:rFonts w:ascii="Arial" w:eastAsia="Arial" w:hAnsi="Arial" w:cs="Arial"/>
          <w:sz w:val="21"/>
          <w:szCs w:val="21"/>
        </w:rPr>
      </w:pPr>
    </w:p>
    <w:p w14:paraId="6B11D1D1" w14:textId="77777777" w:rsidR="0028541A" w:rsidRDefault="0028541A" w:rsidP="00E53341">
      <w:pPr>
        <w:rPr>
          <w:rFonts w:ascii="Arial" w:eastAsia="Arial" w:hAnsi="Arial" w:cs="Arial"/>
          <w:sz w:val="21"/>
          <w:szCs w:val="21"/>
        </w:rPr>
      </w:pPr>
    </w:p>
    <w:p w14:paraId="132057EC" w14:textId="77777777" w:rsidR="00E53341" w:rsidRDefault="00E53341" w:rsidP="00E53341">
      <w:pPr>
        <w:pStyle w:val="Heading3"/>
        <w:rPr>
          <w:color w:val="000000"/>
        </w:rPr>
      </w:pPr>
      <w:r>
        <w:rPr>
          <w:color w:val="000000"/>
        </w:rPr>
        <w:t>User stories</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50"/>
        <w:gridCol w:w="7365"/>
      </w:tblGrid>
      <w:tr w:rsidR="00E53341" w:rsidRPr="0028541A" w14:paraId="0466ABB4" w14:textId="77777777" w:rsidTr="00E53341">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AD9B99F"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736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DB2EE2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Fusion</w:t>
            </w:r>
          </w:p>
        </w:tc>
      </w:tr>
      <w:tr w:rsidR="00E53341" w:rsidRPr="0028541A" w14:paraId="7D6E02BF" w14:textId="77777777" w:rsidTr="00E53341">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D5DCF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US1</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48A37D6" w14:textId="5664E749"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provided by EOSC (and public cloud providers) as a scalable, non-vendor specific resource.</w:t>
            </w:r>
          </w:p>
          <w:p w14:paraId="358CD367" w14:textId="15674759"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7696D4E8"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Different parts of the workflows may involve different computational requirements, from simple single core machines to many core/multi-node.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1372B4D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290F0A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Final output data (and possibly intermediate data) should be accessible to the end user.</w:t>
            </w:r>
          </w:p>
        </w:tc>
      </w:tr>
      <w:tr w:rsidR="00E53341" w:rsidRPr="0028541A" w14:paraId="0CC96C27" w14:textId="77777777" w:rsidTr="00E53341">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6C5ACB"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US2</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E3C588" w14:textId="293A082E"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the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581DDD8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2646C64C" w14:textId="77777777" w:rsidR="00E53341" w:rsidRDefault="00E53341" w:rsidP="00E53341"/>
    <w:p w14:paraId="043218F2" w14:textId="77777777" w:rsidR="00E53341" w:rsidRDefault="00E53341" w:rsidP="00E53341">
      <w:pPr>
        <w:pStyle w:val="Heading3"/>
        <w:rPr>
          <w:color w:val="000000"/>
        </w:rPr>
      </w:pPr>
      <w:bookmarkStart w:id="8" w:name="_4strl34eqsjj" w:colFirst="0" w:colLast="0"/>
      <w:bookmarkEnd w:id="8"/>
      <w:r>
        <w:rPr>
          <w:color w:val="000000"/>
        </w:rPr>
        <w:t>EOSC-hub services assessed, integrated</w:t>
      </w:r>
    </w:p>
    <w:p w14:paraId="10F3AC65" w14:textId="77777777" w:rsidR="00E53341" w:rsidRDefault="00E53341" w:rsidP="00E53341">
      <w:r>
        <w:t>EGI DataHub; B2SAFE; B2DROP; DODAS; INDICO-PaaS; B2DROP</w:t>
      </w:r>
    </w:p>
    <w:p w14:paraId="6F29662C" w14:textId="77777777" w:rsidR="00E53341" w:rsidRDefault="00E53341" w:rsidP="00E53341">
      <w:pPr>
        <w:pStyle w:val="Heading3"/>
      </w:pPr>
      <w:bookmarkStart w:id="9" w:name="_6jjqm3ktardj" w:colFirst="0" w:colLast="0"/>
      <w:bookmarkEnd w:id="9"/>
      <w:r>
        <w:t>External services assessed, integrated</w:t>
      </w:r>
    </w:p>
    <w:p w14:paraId="22418AC4" w14:textId="77777777" w:rsidR="00E53341" w:rsidRDefault="00E53341" w:rsidP="00E53341">
      <w:r>
        <w:t xml:space="preserve">Singularity containers; Dynafed </w:t>
      </w:r>
    </w:p>
    <w:p w14:paraId="47754084" w14:textId="77777777" w:rsidR="00E53341" w:rsidRDefault="00E53341" w:rsidP="00E53341">
      <w:pPr>
        <w:pStyle w:val="Heading3"/>
        <w:rPr>
          <w:color w:val="000000"/>
        </w:rPr>
      </w:pPr>
      <w:bookmarkStart w:id="10" w:name="_8s3xynmsnfk5" w:colFirst="0" w:colLast="0"/>
      <w:bookmarkEnd w:id="10"/>
      <w:r>
        <w:rPr>
          <w:color w:val="000000"/>
        </w:rPr>
        <w:t>Progress, status, plans</w:t>
      </w:r>
    </w:p>
    <w:p w14:paraId="7838F47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3C06BA37" w14:textId="0AC9E5A0"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Cloud access with DODAS Thematic Service: initially seemed quite relevant to existing use cases. However, based on a paper-based exercise it was found that it did not provide the required functionality as it was limited to a single cloud site, while our use case involved dynamic selection based on data locality. However, the DODAS service may be relevant in the future.</w:t>
      </w:r>
    </w:p>
    <w:p w14:paraId="6922B31C" w14:textId="4D94AAC5"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Storage access with OneData: With the last release, OneData has been installed successfully and data replication was performed and evaluated between CEA and PSNC.  A report about the difficulties encountered during OneData installation and tests has been provided. During this testing/evaluation activity, interactions with the OneData team have already allowed improving the software. The report contains also performance tests and recommendations for further improvements of the OneData software. Real data files produced by the WEST tokamak have been used in our tests which have covered the following features: </w:t>
      </w:r>
    </w:p>
    <w:p w14:paraId="733E1EEC"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GUI authentication to remote PSNC Onezone services and browsing the client web application</w:t>
      </w:r>
    </w:p>
    <w:p w14:paraId="31353733"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from remote PSNC Onezone services for enabling CEA provider registration to PSNC Onezone services</w:t>
      </w:r>
    </w:p>
    <w:p w14:paraId="619375EB"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CEA Onedata provider registration to PSNC Onezone services using Onedata generated token</w:t>
      </w:r>
    </w:p>
    <w:p w14:paraId="711FA2C4"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Remote/local Onedata spaces creation using Onezone and Oneprovider services running at PSNC and CEA</w:t>
      </w:r>
    </w:p>
    <w:p w14:paraId="65B436B5"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to use for remote data support storage request of PSNC space</w:t>
      </w:r>
    </w:p>
    <w:p w14:paraId="4DA3A12F"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Data replication between PSNC and CEA providers</w:t>
      </w:r>
    </w:p>
    <w:p w14:paraId="196B6357"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from Onezone services for accessing data using Oneclient</w:t>
      </w:r>
    </w:p>
    <w:p w14:paraId="47CEBD39"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Oneclient access to each provider using generated data access tokens</w:t>
      </w:r>
    </w:p>
    <w:p w14:paraId="613E0B85" w14:textId="51768762" w:rsidR="00E53341" w:rsidRPr="0028541A" w:rsidRDefault="00E53341" w:rsidP="00E53341">
      <w:pPr>
        <w:numPr>
          <w:ilvl w:val="0"/>
          <w:numId w:val="24"/>
        </w:numPr>
        <w:rPr>
          <w:rFonts w:asciiTheme="minorHAnsi" w:eastAsia="Arial" w:hAnsiTheme="minorHAnsi" w:cstheme="minorHAnsi"/>
          <w:sz w:val="21"/>
          <w:szCs w:val="21"/>
        </w:rPr>
      </w:pPr>
      <w:r w:rsidRPr="0028541A">
        <w:rPr>
          <w:rFonts w:asciiTheme="minorHAnsi" w:eastAsia="Arial" w:hAnsiTheme="minorHAnsi" w:cstheme="minorHAnsi"/>
          <w:sz w:val="21"/>
          <w:szCs w:val="21"/>
        </w:rPr>
        <w:t>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iRODS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replicated object became corrupted (or deleted) either randomly, accidentally or through external bad actors. The additional effort to implement this has not been costed within this competency centre, and as such is currently not being pursued.</w:t>
      </w:r>
    </w:p>
    <w:p w14:paraId="244CE906" w14:textId="15438896"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The objective of the “IMAS workflows” activities is to deploy and execute a plasma equilibrium reconstruction IMAS-compatible code on remote cloud resources, exchanging input and output data with it via OneData, scheduling all this from a CEA-based cluster. This activity has been started and will continue over the next period. On the non-IMAS workflows, we are working on the containerisation of two applications; one is a production workflow to from the MAST tokamak converting raw data to physical parameters, and the other is using a workflow called JINTRAC (https://doi.org/10.1585/pfr.9.3403023)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359460C0" w14:textId="5DEF01C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During the next period, we will complete the testing of the storage systems, working with B2SAFE partners to achieve interoperability and completing formal testing on OneData.  We will also continue to work on the implementation and testing of containerised workflows in EOSC resources, as mentioned previously.  In addition, we will investigate the use of Dynafed for federated access to data in both OneData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448A577C" w14:textId="2D7DA47C" w:rsidR="00E53341" w:rsidRDefault="00E53341" w:rsidP="00E53341">
      <w:pPr>
        <w:pStyle w:val="Heading2"/>
        <w:rPr>
          <w:color w:val="000000"/>
        </w:rPr>
      </w:pPr>
      <w:bookmarkStart w:id="11" w:name="_Toc29566240"/>
      <w:r>
        <w:rPr>
          <w:color w:val="000000"/>
        </w:rPr>
        <w:t>Marine</w:t>
      </w:r>
      <w:bookmarkEnd w:id="11"/>
    </w:p>
    <w:p w14:paraId="481BF3AD" w14:textId="3D740660" w:rsidR="00824BDA" w:rsidRPr="00824BDA" w:rsidRDefault="00824BDA" w:rsidP="00824BDA">
      <w:pPr>
        <w:pStyle w:val="Heading3"/>
        <w:rPr>
          <w:color w:val="000000"/>
        </w:rPr>
      </w:pPr>
      <w:r>
        <w:rPr>
          <w:color w:val="000000"/>
        </w:rPr>
        <w:t>Ambition</w:t>
      </w:r>
    </w:p>
    <w:p w14:paraId="0A4B1AAC" w14:textId="171A777F"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ocean experts are now converging in the estimation of integrated indicators such as global warming. </w:t>
      </w:r>
      <w:r w:rsidR="0028541A" w:rsidRPr="0028541A">
        <w:rPr>
          <w:rFonts w:asciiTheme="minorHAnsi" w:eastAsia="Arial" w:hAnsiTheme="minorHAnsi" w:cstheme="minorHAnsi"/>
          <w:sz w:val="21"/>
          <w:szCs w:val="21"/>
        </w:rPr>
        <w:t>However,</w:t>
      </w:r>
      <w:r w:rsidRPr="0028541A">
        <w:rPr>
          <w:rFonts w:asciiTheme="minorHAnsi" w:eastAsia="Arial" w:hAnsiTheme="minorHAnsi" w:cstheme="minorHAnsi"/>
          <w:sz w:val="21"/>
          <w:szCs w:val="21"/>
        </w:rPr>
        <w:t xml:space="preserve">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p>
    <w:p w14:paraId="7E4AFE2A"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Marine Competence Centre long term ambition is to deploy Ocean observations on EOSC infrastructure for data analytics. The work in the CC focuses on two areas:</w:t>
      </w:r>
    </w:p>
    <w:p w14:paraId="1E058E9E" w14:textId="77777777" w:rsidR="00E53341" w:rsidRPr="0028541A" w:rsidRDefault="00E53341" w:rsidP="00E53341">
      <w:pPr>
        <w:numPr>
          <w:ilvl w:val="0"/>
          <w:numId w:val="40"/>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Making Argo data more easily accessible for subsetting and online processing. IFREMER and its partners work on this area.</w:t>
      </w:r>
    </w:p>
    <w:p w14:paraId="563CF287" w14:textId="77777777" w:rsidR="00E53341" w:rsidRPr="0028541A" w:rsidRDefault="00E53341" w:rsidP="00E53341">
      <w:pPr>
        <w:numPr>
          <w:ilvl w:val="0"/>
          <w:numId w:val="40"/>
        </w:numPr>
        <w:rPr>
          <w:rFonts w:asciiTheme="minorHAnsi" w:eastAsia="Arial" w:hAnsiTheme="minorHAnsi" w:cstheme="minorHAnsi"/>
          <w:sz w:val="21"/>
          <w:szCs w:val="21"/>
        </w:rPr>
      </w:pPr>
      <w:r w:rsidRPr="0028541A">
        <w:rPr>
          <w:rFonts w:asciiTheme="minorHAnsi" w:eastAsia="Arial" w:hAnsiTheme="minorHAnsi" w:cstheme="minorHAnsi"/>
          <w:sz w:val="21"/>
          <w:szCs w:val="21"/>
        </w:rPr>
        <w:t>Simplifying/harmonising the access to data that reside at SeaDataNet partners from cloud-based applications. MARIS and its partners work on this area.</w:t>
      </w:r>
    </w:p>
    <w:p w14:paraId="7B31088B" w14:textId="77777777" w:rsidR="00E53341" w:rsidRDefault="00E53341" w:rsidP="00E53341">
      <w:pPr>
        <w:pStyle w:val="Heading3"/>
        <w:rPr>
          <w:color w:val="000000"/>
        </w:rPr>
      </w:pPr>
      <w:bookmarkStart w:id="12" w:name="_cptza3pgngid" w:colFirst="0" w:colLast="0"/>
      <w:bookmarkEnd w:id="12"/>
      <w:r>
        <w:rPr>
          <w:color w:val="000000"/>
        </w:rPr>
        <w:t>User stories - Euro-Argo</w:t>
      </w:r>
    </w:p>
    <w:p w14:paraId="2321C518" w14:textId="0AE7AF41"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to many users, many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6192E24A"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Argo activity of the Marine CC is testing (See Figure below)</w:t>
      </w:r>
    </w:p>
    <w:p w14:paraId="5B00100A" w14:textId="77777777" w:rsidR="00E53341" w:rsidRPr="0028541A" w:rsidRDefault="00E53341" w:rsidP="00E53341">
      <w:pPr>
        <w:numPr>
          <w:ilvl w:val="0"/>
          <w:numId w:val="28"/>
        </w:numPr>
        <w:spacing w:before="320" w:after="0"/>
        <w:rPr>
          <w:rFonts w:asciiTheme="minorHAnsi" w:hAnsiTheme="minorHAnsi" w:cstheme="minorHAnsi"/>
          <w:color w:val="000000"/>
        </w:rPr>
      </w:pPr>
      <w:r w:rsidRPr="0028541A">
        <w:rPr>
          <w:rFonts w:asciiTheme="minorHAnsi" w:eastAsia="Arial" w:hAnsiTheme="minorHAnsi" w:cstheme="minorHAnsi"/>
          <w:sz w:val="21"/>
          <w:szCs w:val="21"/>
        </w:rPr>
        <w:t>a combination of B2Find, B2Safe and B2Stage for the data management part (storage and transfer)</w:t>
      </w:r>
    </w:p>
    <w:p w14:paraId="2C7443B3" w14:textId="77777777" w:rsidR="00E53341" w:rsidRPr="0028541A" w:rsidRDefault="00E53341" w:rsidP="00E53341">
      <w:pPr>
        <w:numPr>
          <w:ilvl w:val="0"/>
          <w:numId w:val="28"/>
        </w:numPr>
        <w:spacing w:after="0"/>
        <w:rPr>
          <w:rFonts w:asciiTheme="minorHAnsi" w:hAnsiTheme="minorHAnsi" w:cstheme="minorHAnsi"/>
          <w:color w:val="000000"/>
        </w:rPr>
      </w:pPr>
      <w:r w:rsidRPr="0028541A">
        <w:rPr>
          <w:rFonts w:asciiTheme="minorHAnsi" w:eastAsia="Arial" w:hAnsiTheme="minorHAnsi" w:cstheme="minorHAnsi"/>
          <w:sz w:val="21"/>
          <w:szCs w:val="21"/>
        </w:rPr>
        <w:t>a Jupyter, B2Access, EGI Cloud combination for user exposure. (data subscription and access)</w:t>
      </w:r>
    </w:p>
    <w:p w14:paraId="0355EB5E" w14:textId="77777777" w:rsidR="00E53341" w:rsidRDefault="00E53341" w:rsidP="00E53341">
      <w:pPr>
        <w:shd w:val="clear" w:color="auto" w:fill="FFFFFF"/>
        <w:spacing w:before="160" w:after="0"/>
        <w:jc w:val="center"/>
        <w:rPr>
          <w:rFonts w:ascii="Arial" w:eastAsia="Arial" w:hAnsi="Arial" w:cs="Arial"/>
          <w:sz w:val="21"/>
          <w:szCs w:val="21"/>
        </w:rPr>
      </w:pPr>
      <w:r>
        <w:rPr>
          <w:rFonts w:ascii="Arial" w:eastAsia="Arial" w:hAnsi="Arial" w:cs="Arial"/>
          <w:noProof/>
          <w:sz w:val="21"/>
          <w:szCs w:val="21"/>
        </w:rPr>
        <w:drawing>
          <wp:inline distT="114300" distB="114300" distL="114300" distR="114300" wp14:anchorId="724F9829" wp14:editId="728D59F2">
            <wp:extent cx="4562475" cy="392172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562475" cy="3921721"/>
                    </a:xfrm>
                    <a:prstGeom prst="rect">
                      <a:avLst/>
                    </a:prstGeom>
                    <a:ln/>
                  </pic:spPr>
                </pic:pic>
              </a:graphicData>
            </a:graphic>
          </wp:inline>
        </w:drawing>
      </w:r>
    </w:p>
    <w:p w14:paraId="1233379D"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28541A" w14:paraId="3868AF4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1E939EE"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B604CA1"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Argo</w:t>
            </w:r>
          </w:p>
        </w:tc>
      </w:tr>
      <w:tr w:rsidR="00E53341" w:rsidRPr="0028541A" w14:paraId="472A1EC3" w14:textId="77777777" w:rsidTr="0028541A">
        <w:trPr>
          <w:trHeight w:val="911"/>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3191B20"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532566C"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data provider should be able to link its data production instruments into the 'back-end' of the Marine CC setup and become a data provider for the CC users.</w:t>
            </w:r>
          </w:p>
        </w:tc>
      </w:tr>
      <w:tr w:rsidR="00E53341" w:rsidRPr="0028541A" w14:paraId="4BCFE9E2" w14:textId="77777777" w:rsidTr="0028541A">
        <w:trPr>
          <w:trHeight w:val="1196"/>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EAFB27"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2B1D89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E53341" w:rsidRPr="0028541A" w14:paraId="5FF69601" w14:textId="77777777" w:rsidTr="00E53341">
        <w:trPr>
          <w:trHeight w:val="104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24C5DB2"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46B319E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user should be able to access his/her personal data access folder via a Jupyter system and perform data analytics on the data.</w:t>
            </w:r>
          </w:p>
        </w:tc>
      </w:tr>
    </w:tbl>
    <w:p w14:paraId="11E58D57" w14:textId="77777777" w:rsidR="00E53341" w:rsidRDefault="00E53341" w:rsidP="00E53341"/>
    <w:p w14:paraId="2E6C0871" w14:textId="77777777" w:rsidR="00E53341" w:rsidRDefault="00E53341" w:rsidP="00E53341">
      <w:pPr>
        <w:pStyle w:val="Heading3"/>
        <w:rPr>
          <w:color w:val="000000"/>
        </w:rPr>
      </w:pPr>
      <w:bookmarkStart w:id="13" w:name="_e94dv7fq1haj" w:colFirst="0" w:colLast="0"/>
      <w:bookmarkEnd w:id="13"/>
      <w:r>
        <w:rPr>
          <w:color w:val="000000"/>
        </w:rPr>
        <w:t>User stories - SeaDataNet</w:t>
      </w:r>
    </w:p>
    <w:p w14:paraId="018C959F" w14:textId="723B8D7E"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current workflows of the SeaDataNet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their data on a Dropbox-like environment, However, still, be able to process and analyse them using both legacy/desktop software created during previous SeaDataNet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p w14:paraId="09549B94" w14:textId="77777777" w:rsidR="00E53341" w:rsidRDefault="00E53341" w:rsidP="00E53341">
      <w:pPr>
        <w:shd w:val="clear" w:color="auto" w:fill="FFFFFF"/>
        <w:spacing w:before="160" w:after="0"/>
        <w:rPr>
          <w:rFonts w:ascii="Arial" w:eastAsia="Arial" w:hAnsi="Arial" w:cs="Arial"/>
          <w:sz w:val="21"/>
          <w:szCs w:val="21"/>
        </w:rPr>
      </w:pP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795"/>
        <w:gridCol w:w="8100"/>
      </w:tblGrid>
      <w:tr w:rsidR="00E53341" w:rsidRPr="0028541A" w14:paraId="02E376AD"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DE133B1"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No.</w:t>
            </w:r>
          </w:p>
        </w:tc>
        <w:tc>
          <w:tcPr>
            <w:tcW w:w="81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88D1C0"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User stories - SeaDataNet</w:t>
            </w:r>
          </w:p>
        </w:tc>
      </w:tr>
      <w:tr w:rsidR="00E53341" w:rsidRPr="0028541A" w14:paraId="717E6D6A" w14:textId="77777777" w:rsidTr="00E53341">
        <w:trPr>
          <w:trHeight w:val="480"/>
        </w:trPr>
        <w:tc>
          <w:tcPr>
            <w:tcW w:w="889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B4C845A"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i/>
                <w:sz w:val="21"/>
                <w:szCs w:val="21"/>
              </w:rPr>
              <w:t>SeaDataNet user stories</w:t>
            </w:r>
          </w:p>
        </w:tc>
      </w:tr>
      <w:tr w:rsidR="00E53341" w:rsidRPr="0028541A" w14:paraId="47A59FEA"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A386649"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US4</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0B8ABDB" w14:textId="0AFF4678"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use my legacy/desktop software to process and analyse data stored on the cloud.</w:t>
            </w:r>
          </w:p>
        </w:tc>
      </w:tr>
      <w:tr w:rsidR="00E53341" w:rsidRPr="0028541A" w14:paraId="104E08D7"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7F4A6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US5</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F93486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data provider, I want to only have to update erroneous files during import to only transfer the data required once.</w:t>
            </w:r>
          </w:p>
        </w:tc>
      </w:tr>
      <w:tr w:rsidR="00E53341" w:rsidRPr="0028541A" w14:paraId="299FCC16"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CB5DD06"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US6</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7ECFC82"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access my requested data through cloud computing tools within my cloud environment.</w:t>
            </w:r>
          </w:p>
        </w:tc>
      </w:tr>
      <w:tr w:rsidR="00E53341" w:rsidRPr="0028541A" w14:paraId="3FAD303C"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653F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US7</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130FED6"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find relevant datasets available within the cloud environment in (semi) real-time.</w:t>
            </w:r>
          </w:p>
        </w:tc>
      </w:tr>
    </w:tbl>
    <w:p w14:paraId="72203520" w14:textId="77777777" w:rsidR="00E53341" w:rsidRDefault="00E53341" w:rsidP="00E53341"/>
    <w:p w14:paraId="58A309D4" w14:textId="77777777" w:rsidR="00E53341" w:rsidRDefault="00E53341" w:rsidP="00E53341">
      <w:pPr>
        <w:pStyle w:val="Heading3"/>
        <w:rPr>
          <w:color w:val="000000"/>
        </w:rPr>
      </w:pPr>
      <w:bookmarkStart w:id="14" w:name="_1tjsrt2d3ux2" w:colFirst="0" w:colLast="0"/>
      <w:bookmarkEnd w:id="14"/>
      <w:r>
        <w:rPr>
          <w:color w:val="000000"/>
        </w:rPr>
        <w:t>EOSC-hub services assessed, integrated</w:t>
      </w:r>
    </w:p>
    <w:p w14:paraId="01BCF7F1" w14:textId="27256A0B" w:rsidR="00E53341" w:rsidRDefault="00E53341" w:rsidP="00E53341">
      <w:r>
        <w:t>Argo: Jupyter (EGI Notebooks), B2SAFE, B2DROP, B2Find, B2ACCESS</w:t>
      </w:r>
    </w:p>
    <w:p w14:paraId="49807792" w14:textId="77777777" w:rsidR="00E53341" w:rsidRDefault="00E53341" w:rsidP="00E53341">
      <w:r>
        <w:t>SeaDataNet: EGI DataHub</w:t>
      </w:r>
    </w:p>
    <w:p w14:paraId="6077FD85" w14:textId="77777777" w:rsidR="00E53341" w:rsidRDefault="00E53341" w:rsidP="00E53341">
      <w:pPr>
        <w:pStyle w:val="Heading3"/>
      </w:pPr>
      <w:bookmarkStart w:id="15" w:name="_heatq3fvxgsb" w:colFirst="0" w:colLast="0"/>
      <w:bookmarkEnd w:id="15"/>
      <w:r>
        <w:t>External services assessed, integrated</w:t>
      </w:r>
    </w:p>
    <w:p w14:paraId="7645D438" w14:textId="77777777" w:rsidR="00E53341" w:rsidRDefault="00E53341" w:rsidP="00E53341">
      <w:r>
        <w:t>Argo:  Cassandra, Elasticsearch</w:t>
      </w:r>
    </w:p>
    <w:p w14:paraId="6FEB60AD" w14:textId="77777777" w:rsidR="00E53341" w:rsidRDefault="00E53341" w:rsidP="00E53341">
      <w:pPr>
        <w:pStyle w:val="Heading3"/>
        <w:rPr>
          <w:color w:val="000000"/>
        </w:rPr>
      </w:pPr>
      <w:bookmarkStart w:id="16" w:name="_kq7qtxnw3r4y" w:colFirst="0" w:colLast="0"/>
      <w:bookmarkEnd w:id="16"/>
      <w:r>
        <w:rPr>
          <w:color w:val="000000"/>
        </w:rPr>
        <w:t>Progress, status, plans</w:t>
      </w:r>
    </w:p>
    <w:p w14:paraId="33E8C24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EOSC-hub Marine Competence Centre (MCC) works on the design, integration, and dissemination of new, community-specific service platforms for the Argo and SeaDataNet communities. In period 1 the Argo team assessed ‘common services’ of EOSC-hub and external 3rd party and for their relevance for the Argo Data Discovery Platform:</w:t>
      </w:r>
    </w:p>
    <w:p w14:paraId="03715019" w14:textId="77777777" w:rsidR="00E53341" w:rsidRPr="004B3EE6" w:rsidRDefault="00E53341" w:rsidP="00E53341">
      <w:pPr>
        <w:numPr>
          <w:ilvl w:val="0"/>
          <w:numId w:val="37"/>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Euro-Argo data are synchronized continuously from Ifremer to B2SAFE: Argo data are daily transferred to CSC B2SAFE via its HTTP API. Data area compressed on the fly by the transfer protocol, the transfer “block” is a file containing one month of data (2.5GB) and the average transfer time is 15 minutes, which is sufficient. Every day, the last two months are updated (5GB). Once a month, the historical files that have been updated are pushed to B2SAFE.</w:t>
      </w:r>
    </w:p>
    <w:p w14:paraId="2D1A74B3"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User personal dataset uploaded in B2DROP: No issue to mention, this is a basic service from CSC that is operational for MCC.</w:t>
      </w:r>
    </w:p>
    <w:p w14:paraId="6AFBB18B"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High performance parallel access to read/filter data with Elasticsearch index and its “data discovery API”, Cassandra database, its “data charts API” api and its “subsetting API”,  “GDAC discovery” web application. Elasticsearch contains Argo metadata (2 million vertical profiles). Cassandra contains Argo data (5 billion individual observations from the 2 million vertical profiles). Ifremer dockarised and tested the setup on its own hardware and is now ready to deploy this service on EOSC-hub e-infrastructure. CSC, IN2P3 and CINECA are considered (service providers in the CC). </w:t>
      </w:r>
    </w:p>
    <w:p w14:paraId="54D71C61"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Jupyter on top of B2SAFE/B2DROP, data access API with Python or Julia (DIVA). (B2DROP as an output for data results.) First application to use the setup: analysis of the regularly published DIVA map of Argo oxygen data. A DIVA demonstrator was installed on CINECA Jupyter infrastructure. Alternatives are considered: EGI Notebooks service and Ifremer has recently setup a JupyterHUB VRE. (Within EU project Marinet, Ifremer, CSC and Maris are in charge of defining the E-infrastructure of the European test sites. The 2 major functions are to publish datasets with DOIs and push them on a JupyterHUB VRE.)</w:t>
      </w:r>
    </w:p>
    <w:p w14:paraId="5B688AE1"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SeaDataNet activities started in PY2 to investigate solutions to eliminate bottlenecks in the SeaDataNet distributed data workflows developed by MARIS. Four (4) use cases (bottlenecks) were identified, and OneData is tested as potential solution for these bottlenecks. Computing and storage resources are provided for the pilot by CINECA, INFN-CNAF, IN2P3 from the CC, and from CYFRONET as external contributor.</w:t>
      </w:r>
    </w:p>
    <w:p w14:paraId="54A4CB2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Argo partners in the CC will focus on the following activities in the next period:</w:t>
      </w:r>
    </w:p>
    <w:p w14:paraId="51137DB3" w14:textId="27FA3F19" w:rsidR="00E53341" w:rsidRPr="004B3EE6" w:rsidRDefault="00E53341" w:rsidP="00E53341">
      <w:pPr>
        <w:numPr>
          <w:ilvl w:val="0"/>
          <w:numId w:val="32"/>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Define specifications for the required Hadoop-Spark-Cassandra-Elasticsearch infrastructure for the e-infrastructure sites and deploying those at the CC partner sites of CSC, CINECA, IN2P3. Register the service in the EOSC Portal and open it for early adopters in EOSC.</w:t>
      </w:r>
    </w:p>
    <w:p w14:paraId="73CA1BA2"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Outreach and community engagement: Promote the achievements (service demonstrators) and the lessons learnt to the Argo community.</w:t>
      </w:r>
    </w:p>
    <w:p w14:paraId="2B930D5D"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Launch the development activity of the Data subscription service GUI at Ifremer. (recruitment has to conclude)</w:t>
      </w:r>
    </w:p>
    <w:p w14:paraId="437477D6"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Define the specification of the Jupyter installation that’s required for the users to interact with the Argo data that’s staged to the e-infrastructure sites. Complete the Jupyter setup (one central, or multiple instances - to be decided)</w:t>
      </w:r>
    </w:p>
    <w:p w14:paraId="6626186B"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Expand the data platform with the new capabilities and according to user feedback.</w:t>
      </w:r>
    </w:p>
    <w:p w14:paraId="5E83AC3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In addition to the above, the CC partners involved in the SeaDataNet-Onedata pilot (MARIS, CYFRONET, CINECA, INFN-CNAF and IN2P3) will focus on:</w:t>
      </w:r>
    </w:p>
    <w:p w14:paraId="7C73AB86" w14:textId="77777777" w:rsidR="00E53341" w:rsidRPr="004B3EE6" w:rsidRDefault="00E53341" w:rsidP="00E53341">
      <w:pPr>
        <w:numPr>
          <w:ilvl w:val="0"/>
          <w:numId w:val="38"/>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Finalising and formalising the resource provision for the pilot</w:t>
      </w:r>
    </w:p>
    <w:p w14:paraId="7C882E2F"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Implement and test Onedata for the identified use cases</w:t>
      </w:r>
    </w:p>
    <w:p w14:paraId="0F60C0AE"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Report on the outcomes of the piloting activities</w:t>
      </w:r>
    </w:p>
    <w:p w14:paraId="0DCC9394"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Outreach and community engagement: Promote the achievements and the lessons learnt to the SeaDataNet community.</w:t>
      </w:r>
    </w:p>
    <w:p w14:paraId="7C46495D" w14:textId="77777777" w:rsidR="00E53341" w:rsidRDefault="00E53341" w:rsidP="00E53341">
      <w:pPr>
        <w:pStyle w:val="Heading2"/>
        <w:rPr>
          <w:color w:val="000000"/>
        </w:rPr>
      </w:pPr>
      <w:bookmarkStart w:id="17" w:name="_a09fwzk1o8ee" w:colFirst="0" w:colLast="0"/>
      <w:bookmarkStart w:id="18" w:name="_Toc29566241"/>
      <w:bookmarkEnd w:id="17"/>
      <w:r>
        <w:rPr>
          <w:color w:val="000000"/>
        </w:rPr>
        <w:t>EISCAT_3D</w:t>
      </w:r>
      <w:bookmarkEnd w:id="18"/>
    </w:p>
    <w:p w14:paraId="2F796242" w14:textId="77777777" w:rsidR="00E53341" w:rsidRDefault="00E53341" w:rsidP="00E53341">
      <w:pPr>
        <w:pStyle w:val="Heading3"/>
        <w:rPr>
          <w:color w:val="000000"/>
        </w:rPr>
      </w:pPr>
      <w:bookmarkStart w:id="19" w:name="_iwifs7tj8hb" w:colFirst="0" w:colLast="0"/>
      <w:bookmarkEnd w:id="19"/>
      <w:r>
        <w:rPr>
          <w:color w:val="000000"/>
        </w:rPr>
        <w:t>Ambition</w:t>
      </w:r>
    </w:p>
    <w:p w14:paraId="5EBB3FFD"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during EOSC-hub.</w:t>
      </w:r>
    </w:p>
    <w:p w14:paraId="5092A7B9" w14:textId="77777777" w:rsidR="00E53341" w:rsidRDefault="00E53341" w:rsidP="00E53341">
      <w:pPr>
        <w:pStyle w:val="Heading3"/>
        <w:rPr>
          <w:color w:val="000000"/>
        </w:rPr>
      </w:pPr>
      <w:bookmarkStart w:id="20" w:name="_z1ywlayt76g3" w:colFirst="0" w:colLast="0"/>
      <w:bookmarkEnd w:id="20"/>
      <w:r>
        <w:rPr>
          <w:color w:val="000000"/>
        </w:rPr>
        <w:t>User stories</w:t>
      </w:r>
    </w:p>
    <w:p w14:paraId="253943B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EISCAT_3D will generate data at up to three radar sites (each with almost 10000 antennas) and has to make those data browsable and analysable for researchers, as well as archiving the data for the long-term. It is planned to archive around 2 PB per year. This primary mission is achieved by procuring sufficiently big storage and network capacity at the core radar site (Skibotn, Norway). This data/compute centre will be responsible for data archival, data curation, generation of derived data (level 1-2-3) and for sharing the data with scientists.</w:t>
      </w:r>
    </w:p>
    <w:p w14:paraId="20E89A34"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Data must be shared with scientists via a data portal and programming APIs. The EISCAT_3D Data Portal should offer the following main features:</w:t>
      </w:r>
    </w:p>
    <w:p w14:paraId="16708FFD" w14:textId="77777777" w:rsidR="00E53341" w:rsidRPr="004B3EE6" w:rsidRDefault="00E53341" w:rsidP="00E53341">
      <w:pPr>
        <w:numPr>
          <w:ilvl w:val="0"/>
          <w:numId w:val="34"/>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user login</w:t>
      </w:r>
    </w:p>
    <w:p w14:paraId="7750A13E"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browser</w:t>
      </w:r>
    </w:p>
    <w:p w14:paraId="6B46BA89"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download</w:t>
      </w:r>
    </w:p>
    <w:p w14:paraId="136F1315"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Online computing (analyse data without downloading them, using cloud resources, reference applications or user's own software)</w:t>
      </w:r>
    </w:p>
    <w:p w14:paraId="273BC31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The CC is exploring the use of the following services within the framework of EOSC-Hub: </w:t>
      </w:r>
    </w:p>
    <w:p w14:paraId="3AB8984F" w14:textId="77777777" w:rsidR="00E53341" w:rsidRPr="004B3EE6" w:rsidRDefault="00E53341" w:rsidP="00E53341">
      <w:pPr>
        <w:numPr>
          <w:ilvl w:val="0"/>
          <w:numId w:val="30"/>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Application and data catalogue portal with compute integration: DIRAC</w:t>
      </w:r>
    </w:p>
    <w:p w14:paraId="56B7DCB3"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high-level data: B2Find</w:t>
      </w:r>
    </w:p>
    <w:p w14:paraId="669A9C3C"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low-level data: DIRAC</w:t>
      </w:r>
    </w:p>
    <w:p w14:paraId="5468A88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Compute resources: EISCAT, cPouta cloud at CSC</w:t>
      </w:r>
    </w:p>
    <w:p w14:paraId="4E151642"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Unicode MS" w:hAnsiTheme="minorHAnsi" w:cstheme="minorHAnsi"/>
          <w:sz w:val="21"/>
          <w:szCs w:val="21"/>
        </w:rPr>
        <w:t>Data storage and transfer (data→compute centres): File transfer TBD, e.g.  B2STAGE</w:t>
      </w:r>
    </w:p>
    <w:p w14:paraId="1A03C11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User SSO: EGI CheckIn and B2Access</w:t>
      </w:r>
    </w:p>
    <w:p w14:paraId="1D12498C"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4B3EE6" w14:paraId="288C9F28"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9C4551"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31C1CE0"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w:t>
            </w:r>
          </w:p>
        </w:tc>
      </w:tr>
      <w:tr w:rsidR="00E53341" w:rsidRPr="004B3EE6" w14:paraId="0AFD5D2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C29CF2"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60BBA79"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Any researcher should be able to access the portal and browse metadata.The portal grants/denies access to data and processing based on affiliation. (Meta- data should be available for all researchers. The real data for authorised users only.)</w:t>
            </w:r>
          </w:p>
        </w:tc>
      </w:tr>
      <w:tr w:rsidR="00E53341" w:rsidRPr="004B3EE6" w14:paraId="36950CFD"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EC10B7"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4A0B01"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select the EISCAT_3D data they are interested in for download or for analysis.</w:t>
            </w:r>
          </w:p>
        </w:tc>
      </w:tr>
      <w:tr w:rsidR="00E53341" w:rsidRPr="004B3EE6" w14:paraId="752C7CE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F2027C5"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A26C95"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browse reference applications in the portal, select an application for use, feed their data in (from US2), visualise or download the analysis result.</w:t>
            </w:r>
          </w:p>
        </w:tc>
      </w:tr>
    </w:tbl>
    <w:p w14:paraId="46C1600C" w14:textId="77777777" w:rsidR="00E53341" w:rsidRDefault="00E53341" w:rsidP="00E53341"/>
    <w:p w14:paraId="038E7F02" w14:textId="77777777" w:rsidR="00E53341" w:rsidRDefault="00E53341" w:rsidP="00E53341">
      <w:pPr>
        <w:pStyle w:val="Heading3"/>
        <w:rPr>
          <w:color w:val="000000"/>
        </w:rPr>
      </w:pPr>
      <w:bookmarkStart w:id="21" w:name="_u6567g9o83d4" w:colFirst="0" w:colLast="0"/>
      <w:bookmarkEnd w:id="21"/>
      <w:r>
        <w:rPr>
          <w:color w:val="000000"/>
        </w:rPr>
        <w:t>EOSC-hub services assessed, integrated</w:t>
      </w:r>
    </w:p>
    <w:p w14:paraId="0CAB309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Cloud (OpenStack at CSC), EGI Workload Manager, EGI HTC, EGI Data Transfer (possibly with Rucio), B2SHARE, EGI Check-in, EGI Notebooks</w:t>
      </w:r>
    </w:p>
    <w:p w14:paraId="1E74DC6A" w14:textId="77777777" w:rsidR="00E53341" w:rsidRDefault="00E53341" w:rsidP="00E53341">
      <w:pPr>
        <w:pStyle w:val="Heading3"/>
      </w:pPr>
      <w:bookmarkStart w:id="22" w:name="_bt4h6u6csaka" w:colFirst="0" w:colLast="0"/>
      <w:bookmarkEnd w:id="22"/>
      <w:r>
        <w:t>External services assessed, integrated</w:t>
      </w:r>
    </w:p>
    <w:p w14:paraId="04389F2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Containers, dCache</w:t>
      </w:r>
    </w:p>
    <w:p w14:paraId="0B3D9FEA" w14:textId="77777777" w:rsidR="00E53341" w:rsidRDefault="00E53341" w:rsidP="00E53341">
      <w:pPr>
        <w:pStyle w:val="Heading3"/>
        <w:rPr>
          <w:color w:val="000000"/>
        </w:rPr>
      </w:pPr>
      <w:bookmarkStart w:id="23" w:name="_31cxxmm4zlu" w:colFirst="0" w:colLast="0"/>
      <w:bookmarkEnd w:id="23"/>
      <w:r>
        <w:rPr>
          <w:color w:val="000000"/>
        </w:rPr>
        <w:t>Progress, status, plans</w:t>
      </w:r>
    </w:p>
    <w:p w14:paraId="562C8F3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This task aims at developing the EISCAT_3D portal based on the DIRAC interware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067E8467" w14:textId="77777777" w:rsidR="00E53341" w:rsidRPr="004B3EE6" w:rsidRDefault="00E53341" w:rsidP="00E53341">
      <w:pPr>
        <w:numPr>
          <w:ilvl w:val="0"/>
          <w:numId w:val="26"/>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Integrating the DIRAC web portal with the EGI Check-in service, in order to remove the personal X.509 certificate requirement for user access. A working prototype of the integration was achieved in Q1 end 2019, and will be put into production in the summer of 2019. </w:t>
      </w:r>
    </w:p>
    <w:p w14:paraId="3EAA13F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Arranging IaaS cloud resources at CSC (a CC member), in order to deploy compute intensive data analysis algorithms at CSC through the use of the DIRAC work management system. This has been demonstrated with the existing graphical animation software (real time graph) for spectral EISCAT data.</w:t>
      </w:r>
    </w:p>
    <w:p w14:paraId="1DCD05E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5D6875F0"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team works with the EISCAT_3D low level software developers as well as with partners in the Nordic NREN collaboration (Nordunet), in order to test scalable storage systems (dCache etc), define data formats and benchmark data transfer.</w:t>
      </w:r>
    </w:p>
    <w:p w14:paraId="0B815E2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upcoming tasks of the EISCAT_3D Competence Centre are:</w:t>
      </w:r>
    </w:p>
    <w:p w14:paraId="7D065343" w14:textId="77777777" w:rsidR="00E53341" w:rsidRPr="004B3EE6" w:rsidRDefault="00E53341" w:rsidP="00E53341">
      <w:pPr>
        <w:numPr>
          <w:ilvl w:val="0"/>
          <w:numId w:val="3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Roll out the federated AAI integration into the production version, register the service in EOSC Portal and EOSC-hub Marketplace, open it up for user access in WP13. </w:t>
      </w:r>
    </w:p>
    <w:p w14:paraId="76B521A8"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1DD90EAA"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Further elaborate the metadata model and its implementation in a hierarchical DIRAC - B2Find metadata catalogue system.</w:t>
      </w:r>
    </w:p>
    <w:p w14:paraId="2B144123" w14:textId="77777777" w:rsidR="00E53341" w:rsidRPr="004B3EE6" w:rsidRDefault="00E53341" w:rsidP="00E53341">
      <w:pPr>
        <w:numPr>
          <w:ilvl w:val="0"/>
          <w:numId w:val="35"/>
        </w:num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Integrate EGI Jupyter notebook with the EISCAT software for user software development.</w:t>
      </w:r>
    </w:p>
    <w:p w14:paraId="4313AA17" w14:textId="77777777" w:rsidR="00E53341" w:rsidRDefault="00E53341" w:rsidP="00E53341">
      <w:pPr>
        <w:pStyle w:val="Heading2"/>
        <w:rPr>
          <w:color w:val="000000"/>
        </w:rPr>
      </w:pPr>
      <w:bookmarkStart w:id="24" w:name="_9sidefx5ncqp" w:colFirst="0" w:colLast="0"/>
      <w:bookmarkStart w:id="25" w:name="_Toc29566242"/>
      <w:bookmarkEnd w:id="24"/>
      <w:r>
        <w:rPr>
          <w:color w:val="000000"/>
        </w:rPr>
        <w:t>EPOS-ORFEUS</w:t>
      </w:r>
      <w:bookmarkEnd w:id="25"/>
    </w:p>
    <w:p w14:paraId="64710E0B" w14:textId="77777777" w:rsidR="00E53341" w:rsidRDefault="00E53341" w:rsidP="00E53341">
      <w:pPr>
        <w:pStyle w:val="Heading3"/>
        <w:rPr>
          <w:color w:val="000000"/>
        </w:rPr>
      </w:pPr>
      <w:bookmarkStart w:id="26" w:name="_h2dso8gjaqj3" w:colFirst="0" w:colLast="0"/>
      <w:bookmarkEnd w:id="26"/>
      <w:r>
        <w:rPr>
          <w:color w:val="000000"/>
        </w:rPr>
        <w:t>Ambition</w:t>
      </w:r>
    </w:p>
    <w:p w14:paraId="6034A618"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5ED4C859" w14:textId="77777777" w:rsidR="00E53341" w:rsidRDefault="00E53341" w:rsidP="00E53341">
      <w:pPr>
        <w:pStyle w:val="Heading3"/>
        <w:rPr>
          <w:color w:val="000000"/>
        </w:rPr>
      </w:pPr>
      <w:bookmarkStart w:id="27" w:name="_8yrrs2gn7d7n" w:colFirst="0" w:colLast="0"/>
      <w:bookmarkEnd w:id="27"/>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rsidRPr="004B3EE6" w14:paraId="27A24B7C" w14:textId="77777777" w:rsidTr="00E53341">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16F22C"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F5554C8"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 - EPOS-ORFEUS</w:t>
            </w:r>
          </w:p>
        </w:tc>
      </w:tr>
      <w:tr w:rsidR="00E53341" w:rsidRPr="004B3EE6" w14:paraId="49C71646"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8368AD2"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F786BA8"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w:t>
            </w:r>
            <w:r w:rsidRPr="004B3EE6">
              <w:rPr>
                <w:rFonts w:asciiTheme="minorHAnsi" w:eastAsia="Arial" w:hAnsiTheme="minorHAnsi" w:cstheme="minorHAnsi"/>
                <w:b/>
                <w:sz w:val="21"/>
                <w:szCs w:val="21"/>
              </w:rPr>
              <w:t>provider</w:t>
            </w:r>
            <w:r w:rsidRPr="004B3EE6">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E53341" w:rsidRPr="004B3EE6" w14:paraId="564BBDD5"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5AE5A36"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CC7C134"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E53341" w:rsidRPr="004B3EE6" w14:paraId="7AA2D1B5"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2BE7B55"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8E3562"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E53341" w:rsidRPr="004B3EE6" w14:paraId="5093BB58"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353F62D" w14:textId="77777777" w:rsidR="00E53341" w:rsidRPr="004B3EE6" w:rsidRDefault="00E53341" w:rsidP="00E53341">
            <w:pPr>
              <w:spacing w:after="0"/>
              <w:jc w:val="left"/>
              <w:rPr>
                <w:rFonts w:asciiTheme="minorHAnsi" w:eastAsia="Arial" w:hAnsiTheme="minorHAnsi" w:cstheme="minorHAnsi"/>
                <w:sz w:val="21"/>
                <w:szCs w:val="21"/>
              </w:rPr>
            </w:pPr>
            <w:r w:rsidRPr="004B3EE6">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180C11"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EIDA </w:t>
            </w:r>
            <w:r w:rsidRPr="004B3EE6">
              <w:rPr>
                <w:rFonts w:asciiTheme="minorHAnsi" w:eastAsia="Arial" w:hAnsiTheme="minorHAnsi" w:cstheme="minorHAnsi"/>
                <w:b/>
                <w:sz w:val="21"/>
                <w:szCs w:val="21"/>
              </w:rPr>
              <w:t>data</w:t>
            </w:r>
            <w:r w:rsidRPr="004B3EE6">
              <w:rPr>
                <w:rFonts w:asciiTheme="minorHAnsi" w:eastAsia="Arial" w:hAnsiTheme="minorHAnsi" w:cstheme="minorHAnsi"/>
                <w:sz w:val="21"/>
                <w:szCs w:val="21"/>
              </w:rPr>
              <w:t xml:space="preserve"> </w:t>
            </w:r>
            <w:r w:rsidRPr="004B3EE6">
              <w:rPr>
                <w:rFonts w:asciiTheme="minorHAnsi" w:eastAsia="Arial" w:hAnsiTheme="minorHAnsi" w:cstheme="minorHAnsi"/>
                <w:b/>
                <w:sz w:val="21"/>
                <w:szCs w:val="21"/>
              </w:rPr>
              <w:t>manager</w:t>
            </w:r>
            <w:r w:rsidRPr="004B3EE6">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4E8710A2" w14:textId="77777777" w:rsidR="00E53341" w:rsidRDefault="00E53341" w:rsidP="00E53341"/>
    <w:p w14:paraId="2E9605BF" w14:textId="77777777" w:rsidR="00E53341" w:rsidRDefault="00E53341" w:rsidP="00E53341">
      <w:pPr>
        <w:pStyle w:val="Heading3"/>
        <w:rPr>
          <w:color w:val="000000"/>
        </w:rPr>
      </w:pPr>
      <w:bookmarkStart w:id="28" w:name="_2a4kwy3r6oj" w:colFirst="0" w:colLast="0"/>
      <w:bookmarkEnd w:id="28"/>
      <w:r>
        <w:rPr>
          <w:color w:val="000000"/>
        </w:rPr>
        <w:t>EOSC-hub services assessed, integrated</w:t>
      </w:r>
    </w:p>
    <w:p w14:paraId="4C6743A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Jupyter (EGI Notebooks and custom), B2SAFE, B2STAGE, B2HANDLE, B2DROP, B2ACCESS</w:t>
      </w:r>
    </w:p>
    <w:p w14:paraId="309A7020" w14:textId="77777777" w:rsidR="00E53341" w:rsidRDefault="00E53341" w:rsidP="00E53341">
      <w:pPr>
        <w:pStyle w:val="Heading3"/>
      </w:pPr>
      <w:bookmarkStart w:id="29" w:name="_omexedd4iqi0" w:colFirst="0" w:colLast="0"/>
      <w:bookmarkEnd w:id="29"/>
      <w:r>
        <w:t>External services assessed, integrated</w:t>
      </w:r>
    </w:p>
    <w:p w14:paraId="2FCC4009"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Discovery (PIDs)</w:t>
      </w:r>
    </w:p>
    <w:p w14:paraId="49C16CE4" w14:textId="77777777" w:rsidR="00E53341" w:rsidRDefault="00E53341" w:rsidP="00E53341">
      <w:pPr>
        <w:pStyle w:val="Heading3"/>
      </w:pPr>
      <w:bookmarkStart w:id="30" w:name="_uod2oc6w3lar" w:colFirst="0" w:colLast="0"/>
      <w:bookmarkEnd w:id="30"/>
      <w:r>
        <w:t>Progress, status, plans</w:t>
      </w:r>
    </w:p>
    <w:p w14:paraId="1C7B3595"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activities carried out by the EPOS-ORFEUS-CC during the first reporting period of the project targeted four main areas that were identified in the initial work plan and are described below.</w:t>
      </w:r>
    </w:p>
    <w:p w14:paraId="3DC344EF" w14:textId="77777777" w:rsidR="00E53341" w:rsidRPr="004B3EE6" w:rsidRDefault="00E53341" w:rsidP="00E53341">
      <w:pPr>
        <w:numPr>
          <w:ilvl w:val="0"/>
          <w:numId w:val="36"/>
        </w:numPr>
        <w:shd w:val="clear" w:color="auto" w:fill="FFFFFF"/>
        <w:spacing w:before="320" w:after="0"/>
        <w:rPr>
          <w:rFonts w:asciiTheme="minorHAnsi" w:hAnsiTheme="minorHAnsi" w:cstheme="minorHAnsi"/>
          <w:color w:val="000000"/>
        </w:rPr>
      </w:pPr>
      <w:r w:rsidRPr="004B3EE6">
        <w:rPr>
          <w:rFonts w:asciiTheme="minorHAnsi" w:eastAsia="Arial" w:hAnsiTheme="minorHAnsi" w:cstheme="minorHAnsi"/>
          <w:sz w:val="21"/>
          <w:szCs w:val="21"/>
        </w:rPr>
        <w:t>Federated AAI (FedAAI)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(AlpArray project users), and then rolled-out as an operational service.</w:t>
      </w:r>
    </w:p>
    <w:p w14:paraId="07385A52" w14:textId="22F4EF46"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Data Staging service (DaSta) – Scenarios and use cases were defined; technological selection was performed, and a prototype was developed. This exploits a community metadata catalogue (i.e. WFCatalog) for discovery, persistent identifiers (PIDs) issued via B2Handle, B2STAGE and replicated seismological archives with B2SAFE. Preliminary tests were performed. These showed feasibility of the developed solution which is able to fulfil the identified requirements. Some issues remain to be solved at e-infrastructure level (such as communication between staging nodes; allocating staging nodes for iRODS) in order to achieve a stable and fully working distributed deployment.</w:t>
      </w:r>
    </w:p>
    <w:p w14:paraId="17EDB8EF" w14:textId="60998D8A"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Enabling scientific data analysis (UGeP) – The requirements for the generation of user-defined products (close to data location) were defined and technological solutions were identified and selected. Two different solutions based on Jupyter Notebook were tested: EGI Notebook deployed at GRNET and ResearchDrive with Jupyter integration at SURFsara. By running selected applications, a number of issues arose that need to be addressed by e-infrastructure providers. These include harmonisation and integration of analysis environments, better integration with data sources, user management and improving robustness and stability to cope with scale. </w:t>
      </w:r>
    </w:p>
    <w:p w14:paraId="15DC64B2" w14:textId="4E68BAC9"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Federated Data Lifecycle service (FeDaLi) – A framework, named RuleManager, was developed that enables data centre operators to define and run data management policies. Such policies can be represented and shared as JSON documents. The framework is able to integrate with B2SAFE and broadly used seismological components and services. This has been tested with a selection of policies.</w:t>
      </w:r>
    </w:p>
    <w:p w14:paraId="430FB929"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Additional activities include (1) the definition of an architectural plan for the integration of the services: UGeP, DaSta and FeAAI, (2) the setup and testing of a new B2SAFE installation between NOA and GRNET and (3) the update of the installation between KNMI and SURFsara.</w:t>
      </w:r>
    </w:p>
    <w:p w14:paraId="4D3F3216"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plan of the EPOS-ORFEUS-CC for the next period includes the following tasks:</w:t>
      </w:r>
    </w:p>
    <w:p w14:paraId="0C7147D1" w14:textId="77777777" w:rsidR="00E53341" w:rsidRPr="004B3EE6" w:rsidRDefault="00E53341" w:rsidP="00E53341">
      <w:pPr>
        <w:numPr>
          <w:ilvl w:val="0"/>
          <w:numId w:val="41"/>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FedAAI – Monitor the usage of the developed solution, offer support and plan integration with EPOS ICS AAI.</w:t>
      </w:r>
    </w:p>
    <w:p w14:paraId="70DCDDE3" w14:textId="77777777"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t>DaSta – Finalise the integration of the different components, solve issues and test the technical solution with a broader target user group.</w:t>
      </w:r>
    </w:p>
    <w:p w14:paraId="643939CF" w14:textId="7E72AAF0"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t>UGeP – Address issues and work to provide a working platform to be evaluated by selected users with different analysis software.</w:t>
      </w:r>
    </w:p>
    <w:p w14:paraId="026BAD38" w14:textId="77777777"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t>FeDaLi – Extend the evaluation to all the data centres of the CC and work on the publication and sharing of the policies.</w:t>
      </w:r>
    </w:p>
    <w:p w14:paraId="77E0E9D9" w14:textId="77777777" w:rsidR="00E53341" w:rsidRPr="00E53341" w:rsidRDefault="00E53341" w:rsidP="00E53341">
      <w:pPr>
        <w:pStyle w:val="Heading2"/>
        <w:rPr>
          <w:color w:val="000000"/>
        </w:rPr>
      </w:pPr>
      <w:bookmarkStart w:id="31" w:name="_a3w6cptup1pd" w:colFirst="0" w:colLast="0"/>
      <w:bookmarkStart w:id="32" w:name="_Toc29566243"/>
      <w:bookmarkEnd w:id="31"/>
      <w:r w:rsidRPr="00E53341">
        <w:rPr>
          <w:color w:val="000000"/>
        </w:rPr>
        <w:t>Radioastronomy</w:t>
      </w:r>
      <w:bookmarkEnd w:id="32"/>
    </w:p>
    <w:p w14:paraId="0A7825FF" w14:textId="77777777" w:rsidR="00E53341" w:rsidRPr="00E53341" w:rsidRDefault="00E53341" w:rsidP="00E53341">
      <w:pPr>
        <w:pStyle w:val="Heading3"/>
        <w:rPr>
          <w:color w:val="000000"/>
        </w:rPr>
      </w:pPr>
      <w:bookmarkStart w:id="33" w:name="_jv7ntp6z9wjw" w:colFirst="0" w:colLast="0"/>
      <w:bookmarkEnd w:id="33"/>
      <w:r w:rsidRPr="00E53341">
        <w:rPr>
          <w:color w:val="000000"/>
        </w:rPr>
        <w:t>Ambition</w:t>
      </w:r>
    </w:p>
    <w:p w14:paraId="3E564AE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0F855525"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09202744" w14:textId="77777777" w:rsidR="00E53341" w:rsidRDefault="00E53341" w:rsidP="00E53341">
      <w:pPr>
        <w:pStyle w:val="Heading3"/>
        <w:rPr>
          <w:color w:val="000000"/>
        </w:rPr>
      </w:pPr>
      <w:bookmarkStart w:id="34" w:name="_yd9zsqw6dkav" w:colFirst="0" w:colLast="0"/>
      <w:bookmarkEnd w:id="34"/>
      <w:r>
        <w:rPr>
          <w:color w:val="000000"/>
        </w:rPr>
        <w:t>User stories</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rsidRPr="004B3EE6" w14:paraId="32A52710"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318EFF5F"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5E7A4AB"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 - Radioastronomy</w:t>
            </w:r>
          </w:p>
        </w:tc>
      </w:tr>
      <w:tr w:rsidR="00E53341" w:rsidRPr="004B3EE6" w14:paraId="20EDA555"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D85CB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B69B264"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Observatory, we want to offer Single Sign On to our users and manage community access through a central federated collaboration management service, such as </w:t>
            </w:r>
            <w:hyperlink r:id="rId18">
              <w:r w:rsidRPr="004B3EE6">
                <w:rPr>
                  <w:rFonts w:asciiTheme="minorHAnsi" w:eastAsia="Arial" w:hAnsiTheme="minorHAnsi" w:cstheme="minorHAnsi"/>
                  <w:sz w:val="21"/>
                  <w:szCs w:val="21"/>
                  <w:u w:val="single"/>
                </w:rPr>
                <w:t>COmanage</w:t>
              </w:r>
            </w:hyperlink>
            <w:r w:rsidRPr="004B3EE6">
              <w:rPr>
                <w:rFonts w:asciiTheme="minorHAnsi" w:eastAsia="Arial" w:hAnsiTheme="minorHAnsi" w:cstheme="minorHAnsi"/>
                <w:sz w:val="21"/>
                <w:szCs w:val="21"/>
              </w:rPr>
              <w:t>, to improve user experience and consolidate user administration for services.</w:t>
            </w:r>
          </w:p>
        </w:tc>
      </w:tr>
      <w:tr w:rsidR="00E53341" w:rsidRPr="004B3EE6" w14:paraId="008522E8" w14:textId="77777777" w:rsidTr="00E53341">
        <w:trPr>
          <w:trHeight w:val="22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EC8339"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772F747"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E53341" w:rsidRPr="004B3EE6" w14:paraId="76191776" w14:textId="77777777" w:rsidTr="00E53341">
        <w:trPr>
          <w:trHeight w:val="21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E98D60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57A9C8"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3BA5FC19" w14:textId="77777777" w:rsidR="00E53341" w:rsidRDefault="00E53341" w:rsidP="00E53341"/>
    <w:p w14:paraId="69C50E71" w14:textId="77777777" w:rsidR="00E53341" w:rsidRDefault="00E53341" w:rsidP="00E53341">
      <w:pPr>
        <w:pStyle w:val="Heading3"/>
        <w:rPr>
          <w:color w:val="000000"/>
        </w:rPr>
      </w:pPr>
      <w:bookmarkStart w:id="35" w:name="_9091ifabdve8" w:colFirst="0" w:colLast="0"/>
      <w:bookmarkEnd w:id="35"/>
      <w:r>
        <w:rPr>
          <w:color w:val="000000"/>
        </w:rPr>
        <w:t>EOSC-hub services assessed, integrated</w:t>
      </w:r>
    </w:p>
    <w:p w14:paraId="47C7EA34"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B2SHARE, B2FIND, Check-in</w:t>
      </w:r>
    </w:p>
    <w:p w14:paraId="5B70AEF8" w14:textId="77777777" w:rsidR="00E53341" w:rsidRDefault="00E53341" w:rsidP="00E53341">
      <w:pPr>
        <w:pStyle w:val="Heading3"/>
      </w:pPr>
      <w:bookmarkStart w:id="36" w:name="_om38jme5ihbi" w:colFirst="0" w:colLast="0"/>
      <w:bookmarkEnd w:id="36"/>
      <w:r>
        <w:t>External services assessed, integrated</w:t>
      </w:r>
    </w:p>
    <w:p w14:paraId="0CF5576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dCache, Common Workflow Language with Singularity containers</w:t>
      </w:r>
    </w:p>
    <w:p w14:paraId="3B2604AC" w14:textId="77777777" w:rsidR="00E53341" w:rsidRDefault="00E53341" w:rsidP="00E53341">
      <w:pPr>
        <w:pStyle w:val="Heading3"/>
        <w:rPr>
          <w:color w:val="000000"/>
        </w:rPr>
      </w:pPr>
      <w:bookmarkStart w:id="37" w:name="_kcmc9yenmveb" w:colFirst="0" w:colLast="0"/>
      <w:bookmarkEnd w:id="37"/>
      <w:r>
        <w:rPr>
          <w:color w:val="000000"/>
        </w:rPr>
        <w:t>Progress, status, plans</w:t>
      </w:r>
    </w:p>
    <w:p w14:paraId="3C8E0B8F" w14:textId="15A5F251"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 high-level target architecture has been defined for </w:t>
      </w:r>
      <w:r w:rsidR="004B3EE6" w:rsidRPr="004B3EE6">
        <w:rPr>
          <w:rFonts w:asciiTheme="minorHAnsi" w:eastAsia="Arial" w:hAnsiTheme="minorHAnsi" w:cstheme="minorHAnsi"/>
          <w:sz w:val="21"/>
          <w:szCs w:val="21"/>
        </w:rPr>
        <w:t>user-oriented</w:t>
      </w:r>
      <w:r w:rsidRPr="004B3EE6">
        <w:rPr>
          <w:rFonts w:asciiTheme="minorHAnsi" w:eastAsia="Arial" w:hAnsiTheme="minorHAnsi" w:cstheme="minorHAnsi"/>
          <w:sz w:val="21"/>
          <w:szCs w:val="21"/>
        </w:rPr>
        <w:t xml:space="preserve"> services for the LOFAR community, taking into account the main service components that are to be integrated and further developed in the context of the EOSC-hub project. Proof of concept development work has been carried out to evaluate the applicability of service components to the LOFAR domain, and as the outcome the following baseline solutions have been identified for the various technical areas:</w:t>
      </w:r>
    </w:p>
    <w:p w14:paraId="305E34F5" w14:textId="77777777" w:rsidR="00E53341" w:rsidRPr="004B3EE6" w:rsidRDefault="00E53341" w:rsidP="00E53341">
      <w:pPr>
        <w:numPr>
          <w:ilvl w:val="0"/>
          <w:numId w:val="31"/>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LOFAR services will initially build on the EGI Check-In AAI services, using its COmanage to support administration and self-organisation of collaborative projects.</w:t>
      </w:r>
    </w:p>
    <w:p w14:paraId="292263D6"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Storage: Storage services will build as much as possible on dCache functionality, dCache being the storage middleware adopted by all LOFAR Long Term Archive infrastructure providers.</w:t>
      </w:r>
    </w:p>
    <w:p w14:paraId="275CD180"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A science repository solution based on EUDAT service (B2SHARE and B2HANDLE) will be set up and investigated in a pilot with a selected number of researchers. EPIC has been chosen as the baseline candidate for a Persistent Identifier service.</w:t>
      </w:r>
    </w:p>
    <w:p w14:paraId="2EDDDD4A"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Processing: The most appropriate approach to implementing processing workflows is still under investigation. In the EOSCpilot, a solution based on applications deployed via (Singularity) containers and workflow definitions in the Common Workflow Language has been demonstrated to work at functional level but still is to be demonstrated at relevant LOFAR scale.</w:t>
      </w:r>
    </w:p>
    <w:p w14:paraId="107F25CB" w14:textId="57855286"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GridFTP tools. The latter is the more scalable and performant option but obtaining, and maintaining, X509 certificates is perceived by many users as cumbersome and using grid tools is not always trivial. Moreover, support for GridFTP is ending in the near future. A replacement service has been piloted that integrates with the federated AAI and supports user data retrieval based on authorization tokens in conjunction with a scalable/performant WEBDAV interface that current versions of dCache support. AAI integration with the Oracle-backed LOFAR archive catalogue has been found to be more complicated, in particular as it builds on the Oracle user administration for authentication and authorization which is provisioned through a local Identity Management system and is still under investigation. The applicability of B2SHARE and B2FIND to offer science data repository services has been discussed with SURFsara and the service maintainers. The current plan is to implement a demonstrator that offers a B2SHARE/B2FIND interface for registration and discovery of data generated by/for the LOFAR community, and existing dCache systems for the underlying storage infrastructure. Maintaining constant links between dCache and the PIDs used in B2SHARE/B2FIND will require customization of existing functionality in these services.</w:t>
      </w:r>
    </w:p>
    <w:p w14:paraId="78D9A247"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CC will focus on the following tasks in the next period within the various technical areas:</w:t>
      </w:r>
    </w:p>
    <w:p w14:paraId="50336D36" w14:textId="77777777" w:rsidR="00E53341" w:rsidRPr="004B3EE6" w:rsidRDefault="00E53341" w:rsidP="00E53341">
      <w:pPr>
        <w:numPr>
          <w:ilvl w:val="0"/>
          <w:numId w:val="2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Integration of operational services with Check-in. Take the new stager service, providing token-based access to LOFAR data via the dCache WEBDAV interface, into production and identify/implement a method to integrate the Oracle-based catalogue with EGI Check-in.</w:t>
      </w:r>
    </w:p>
    <w:p w14:paraId="5FF18E5A"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Storage: Offer token-based access to dCache services as a user service and setup user/data repository workspaces within dCache.</w:t>
      </w:r>
    </w:p>
    <w:p w14:paraId="50EEF573"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Implement pilot instances supporting the LOFAR community with a B2SHARE science repository and an EPIC Persistent Identifier service.</w:t>
      </w:r>
    </w:p>
    <w:p w14:paraId="7A4B260C"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Q1 2020.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Kilometer Array within the AENEAS project.</w:t>
      </w:r>
    </w:p>
    <w:p w14:paraId="2FFFA26E" w14:textId="77777777" w:rsidR="00E53341" w:rsidRDefault="00E53341" w:rsidP="00E53341">
      <w:pPr>
        <w:pStyle w:val="Heading2"/>
        <w:rPr>
          <w:color w:val="000000"/>
        </w:rPr>
      </w:pPr>
      <w:bookmarkStart w:id="38" w:name="_dt6tmtr79zgt" w:colFirst="0" w:colLast="0"/>
      <w:bookmarkStart w:id="39" w:name="_Toc29566244"/>
      <w:bookmarkEnd w:id="38"/>
      <w:r>
        <w:rPr>
          <w:color w:val="000000"/>
        </w:rPr>
        <w:t>ICOS-eLTER</w:t>
      </w:r>
      <w:bookmarkEnd w:id="39"/>
    </w:p>
    <w:p w14:paraId="7D072A67" w14:textId="77777777" w:rsidR="00E53341" w:rsidRDefault="00E53341" w:rsidP="00E53341">
      <w:pPr>
        <w:pStyle w:val="Heading3"/>
        <w:rPr>
          <w:color w:val="000000"/>
        </w:rPr>
      </w:pPr>
      <w:bookmarkStart w:id="40" w:name="_gcc1t1dimzrz" w:colFirst="0" w:colLast="0"/>
      <w:bookmarkEnd w:id="40"/>
      <w:r>
        <w:rPr>
          <w:color w:val="000000"/>
        </w:rPr>
        <w:t>Ambition</w:t>
      </w:r>
    </w:p>
    <w:p w14:paraId="16F2A67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 eLTER Competence Centre groups two scientific communities: </w:t>
      </w:r>
    </w:p>
    <w:p w14:paraId="2B3EFFCA" w14:textId="77777777" w:rsidR="004B3EE6" w:rsidRDefault="00E53341" w:rsidP="00E53341">
      <w:pPr>
        <w:pStyle w:val="ListParagraph"/>
        <w:numPr>
          <w:ilvl w:val="0"/>
          <w:numId w:val="44"/>
        </w:numPr>
      </w:pPr>
      <w:r w:rsidRPr="00E53341">
        <w:t xml:space="preserve">The Integrated Carbon Observation Systems (ICOS) research infrastructure: </w:t>
      </w:r>
      <w:hyperlink r:id="rId19" w:history="1">
        <w:r w:rsidRPr="004B3EE6">
          <w:rPr>
            <w:rStyle w:val="Hyperlink"/>
            <w:rFonts w:asciiTheme="minorHAnsi" w:eastAsia="Arial" w:hAnsiTheme="minorHAnsi" w:cstheme="minorHAnsi"/>
            <w:sz w:val="21"/>
            <w:szCs w:val="21"/>
          </w:rPr>
          <w:t>https://www.icos-ri.eu</w:t>
        </w:r>
      </w:hyperlink>
      <w:r w:rsidRPr="00E53341">
        <w:t xml:space="preserve">  </w:t>
      </w:r>
    </w:p>
    <w:p w14:paraId="792F83BE" w14:textId="3BCC64AC" w:rsidR="00E53341" w:rsidRPr="004B3EE6" w:rsidRDefault="00E53341" w:rsidP="00E53341">
      <w:pPr>
        <w:pStyle w:val="ListParagraph"/>
        <w:numPr>
          <w:ilvl w:val="0"/>
          <w:numId w:val="44"/>
        </w:numPr>
      </w:pPr>
      <w:r w:rsidRPr="004B3EE6">
        <w:rPr>
          <w:rFonts w:asciiTheme="minorHAnsi" w:hAnsiTheme="minorHAnsi" w:cstheme="minorHAnsi"/>
        </w:rPr>
        <w:t xml:space="preserve">Long-Term Ecosystem Research in Europe (eLTER) community: </w:t>
      </w:r>
      <w:hyperlink r:id="rId20">
        <w:r w:rsidRPr="004B3EE6">
          <w:rPr>
            <w:rStyle w:val="Hyperlink"/>
            <w:rFonts w:asciiTheme="minorHAnsi" w:hAnsiTheme="minorHAnsi" w:cstheme="minorHAnsi"/>
          </w:rPr>
          <w:t>http://www.lter-europe.net/</w:t>
        </w:r>
      </w:hyperlink>
      <w:r w:rsidRPr="004B3EE6">
        <w:rPr>
          <w:rFonts w:asciiTheme="minorHAnsi" w:hAnsiTheme="minorHAnsi" w:cstheme="minorHAnsi"/>
        </w:rPr>
        <w:t xml:space="preserve"> </w:t>
      </w:r>
    </w:p>
    <w:p w14:paraId="2EDE116D" w14:textId="4172B416"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 - See details later.) The resulting data is to be automatically ingested and be published in the ICOS Carbon Portal and at the Thematic Center. At this stage the integration of the data flow from EAA can also start. The same data workflow adapted for final data quality data will be implemented in February 2019. The final production ready version of the workflow should be finished by M18.</w:t>
      </w:r>
    </w:p>
    <w:p w14:paraId="184F50C0"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eLTER group aims to develop and share data analysis workflows with the Long 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35D99A89" w14:textId="77777777" w:rsidR="00E53341" w:rsidRDefault="00E53341" w:rsidP="00E53341">
      <w:pPr>
        <w:pStyle w:val="Heading3"/>
        <w:rPr>
          <w:color w:val="000000"/>
        </w:rPr>
      </w:pPr>
      <w:bookmarkStart w:id="41" w:name="_okb3mru2ih6n" w:colFirst="0" w:colLast="0"/>
      <w:bookmarkEnd w:id="41"/>
      <w:r>
        <w:rPr>
          <w:color w:val="000000"/>
        </w:rPr>
        <w:t>User stories - ICOS</w:t>
      </w:r>
    </w:p>
    <w:p w14:paraId="780A49D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Carbon Portal should enable researchers to access carbon data from the ICOS thematic centre field instruments, and to process and visualise those data using the portal GUI. The expected underlying technologies are represented on the diagram below. </w:t>
      </w:r>
    </w:p>
    <w:p w14:paraId="3DC0AA28" w14:textId="77777777" w:rsidR="00E53341" w:rsidRDefault="00E53341" w:rsidP="00E53341">
      <w:r>
        <w:rPr>
          <w:noProof/>
        </w:rPr>
        <w:drawing>
          <wp:inline distT="114300" distB="114300" distL="114300" distR="114300" wp14:anchorId="33C09F43" wp14:editId="7FAA9B09">
            <wp:extent cx="5734050" cy="19558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734050" cy="1955800"/>
                    </a:xfrm>
                    <a:prstGeom prst="rect">
                      <a:avLst/>
                    </a:prstGeom>
                    <a:ln/>
                  </pic:spPr>
                </pic:pic>
              </a:graphicData>
            </a:graphic>
          </wp:inline>
        </w:drawing>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406BF29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860349" w14:textId="77777777" w:rsidR="00E53341" w:rsidRPr="00E53341" w:rsidRDefault="00E53341" w:rsidP="00E53341">
            <w:pPr>
              <w:spacing w:before="160" w:after="0"/>
              <w:jc w:val="left"/>
              <w:rPr>
                <w:rFonts w:asciiTheme="minorHAnsi" w:eastAsia="Arial" w:hAnsiTheme="minorHAnsi" w:cstheme="minorHAnsi"/>
                <w:b/>
                <w:sz w:val="21"/>
                <w:szCs w:val="21"/>
              </w:rPr>
            </w:pPr>
            <w:bookmarkStart w:id="42" w:name="_60lkameuabe4" w:colFirst="0" w:colLast="0"/>
            <w:bookmarkEnd w:id="42"/>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38F71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 - ICOS</w:t>
            </w:r>
          </w:p>
        </w:tc>
      </w:tr>
      <w:tr w:rsidR="00E53341" w14:paraId="392447D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8465E6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EA05D34" w14:textId="35BD55B2"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ICOS Thematic Center leader I want to offer our users a smooth data processing pipeline that is following the latest scientific standards and includes estimates for the uncertainty of the data. The data processing should be completely transparent and documented and should provide detailed provenance data. the system should report on the progress of the processing and the quality of the data with respect to data coverage and scientific value. All raw data and processed data need to be identified by PIDs and accessible through FAIR and open access together with all relevant metadata inclusive attribution to the data providers and provenance information</w:t>
            </w:r>
          </w:p>
        </w:tc>
      </w:tr>
      <w:tr w:rsidR="00E53341" w14:paraId="19E7F1A8" w14:textId="77777777" w:rsidTr="00E53341">
        <w:trPr>
          <w:trHeight w:val="19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FE3F20B"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6C97706"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 Datacollector from a station in the measurement network I require a dependable and resilient service with high availability that receives my data through machine to machine communication without human intervention and signals me of any possible problems in the data flow without delays. Attribution of the data to me and the station funders is essential. All the resulting data should be available through FAIR and open access for the scientific community to find, access and use my data. </w:t>
            </w:r>
          </w:p>
        </w:tc>
      </w:tr>
      <w:tr w:rsidR="00E53341" w14:paraId="18ACE15B" w14:textId="77777777" w:rsidTr="00E53341">
        <w:trPr>
          <w:trHeight w:val="16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2E70A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AA4A077"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 scientific user of the processed eddy covariance flux data I need to be able to find, access and use the data without any restrictions. The data should be of the best scientific quality and include uncertainty estimates. The format and metadata should conform with the community standards and I should be able to select and retrieve data on the basis of relevant provenance metadata.</w:t>
            </w:r>
          </w:p>
        </w:tc>
      </w:tr>
    </w:tbl>
    <w:p w14:paraId="3B4E17BB" w14:textId="77777777" w:rsidR="00E53341" w:rsidRDefault="00E53341" w:rsidP="00E53341">
      <w:pPr>
        <w:rPr>
          <w:color w:val="000000"/>
        </w:rPr>
      </w:pPr>
    </w:p>
    <w:p w14:paraId="3DF13933" w14:textId="77777777" w:rsidR="00E53341" w:rsidRDefault="00E53341" w:rsidP="00E53341">
      <w:pPr>
        <w:pStyle w:val="Heading3"/>
        <w:rPr>
          <w:color w:val="000000"/>
        </w:rPr>
      </w:pPr>
      <w:bookmarkStart w:id="43" w:name="_cv9l7waa95h" w:colFirst="0" w:colLast="0"/>
      <w:bookmarkEnd w:id="43"/>
      <w:r>
        <w:rPr>
          <w:color w:val="000000"/>
        </w:rPr>
        <w:t>User stories - eLTER</w:t>
      </w:r>
    </w:p>
    <w:p w14:paraId="6A2C3251"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measurement of any environmental parameter and the detection of outliers within the time series are closely linked and of particular importance, as outliers may have detrimental effects on the further analysis of these data. However, the definition of an outlier is - until now - controversially discussed and thus not exactly defined. As to the importance of this topic in science, multiple methods have been implemented to successfully detect and eliminate outliers in a data set.</w:t>
      </w:r>
    </w:p>
    <w:p w14:paraId="3C9330A2" w14:textId="3B5C5191"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eLTER workflows should enable to perform quality control procedures on observation data provided from long term monitoring facilities. The present use stories call for the implementation of an outlier analysis mechanism for processing time series of environmental data made available in various ways, such as via a Sensor Observation Services (SOS) or Cloud-based file repositories. To consider the fuzzy definition of outliers, multiple methods should concurrently be applied the studied time series, allowing a more informed view on the individual results. </w:t>
      </w:r>
    </w:p>
    <w:p w14:paraId="75BD7D3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conceptual architecture diagram below defines the basic steps for the quality assessment workflow implemented for the eLTER CC Use Case.</w:t>
      </w:r>
    </w:p>
    <w:p w14:paraId="0179499A" w14:textId="77777777" w:rsidR="00E53341" w:rsidRDefault="00E53341" w:rsidP="00E53341">
      <w:r>
        <w:rPr>
          <w:noProof/>
        </w:rPr>
        <w:drawing>
          <wp:inline distT="114300" distB="114300" distL="114300" distR="114300" wp14:anchorId="4F0AB655" wp14:editId="6901C3B4">
            <wp:extent cx="5734050" cy="38354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734050" cy="3835400"/>
                    </a:xfrm>
                    <a:prstGeom prst="rect">
                      <a:avLst/>
                    </a:prstGeom>
                    <a:ln/>
                  </pic:spPr>
                </pic:pic>
              </a:graphicData>
            </a:graphic>
          </wp:inline>
        </w:drawing>
      </w:r>
    </w:p>
    <w:p w14:paraId="2509496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Following the philosophy of the EOSC, the outlier analysis should be made available as a Web service using existing EOSC related infrastructure. The functionality illustrated above should thus be encapsulated behind a standard Web API based on REST principles. Made available on a cloud infrastructure such as the EGI, it should serve as a prototype for general outlier detection use-cases also beyond the immediate LTER context. The Figure below illustrates the encapsulation based on the translation of REST API calls to R parameters and the return of the results via ZIP archive.</w:t>
      </w:r>
    </w:p>
    <w:p w14:paraId="7052A214" w14:textId="77777777" w:rsidR="00E53341" w:rsidRDefault="00E53341" w:rsidP="00E53341">
      <w:pPr>
        <w:jc w:val="center"/>
      </w:pPr>
      <w:r>
        <w:rPr>
          <w:noProof/>
        </w:rPr>
        <w:drawing>
          <wp:inline distT="114300" distB="114300" distL="114300" distR="114300" wp14:anchorId="03BDAEA8" wp14:editId="1EE2037A">
            <wp:extent cx="5734050" cy="28067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734050" cy="2806700"/>
                    </a:xfrm>
                    <a:prstGeom prst="rect">
                      <a:avLst/>
                    </a:prstGeom>
                    <a:ln/>
                  </pic:spPr>
                </pic:pic>
              </a:graphicData>
            </a:graphic>
          </wp:inline>
        </w:drawing>
      </w:r>
    </w:p>
    <w:p w14:paraId="2D20C98C" w14:textId="77777777" w:rsidR="00E53341" w:rsidRDefault="00E53341" w:rsidP="00E53341"/>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683046B1"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E0CDD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4464E23"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 - eLTER</w:t>
            </w:r>
          </w:p>
        </w:tc>
      </w:tr>
      <w:tr w:rsidR="00E53341" w14:paraId="21F1A88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14D410"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182288"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eLTER researcher providing data into the eLTER Data Infrastructure I want to perform standardised and automated data quality control checks on my input data prior to the ingestion to the data infrastructure. All data need to be defined either as standard OGC SOS service endpoint or in a defined reporting format. The resulting data are flagged according to their data quality and returned for visual inspection.</w:t>
            </w:r>
          </w:p>
        </w:tc>
      </w:tr>
      <w:tr w:rsidR="00E53341" w14:paraId="0307E1F2" w14:textId="77777777" w:rsidTr="00E53341">
        <w:trPr>
          <w:trHeight w:val="13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EDA2252"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1638C3E"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eLTER Data Steward I want to check the data consistency and quality of the data provided based on standard data services provided by the eLTER Data Infrastructure, e.g. eLTER CDN. The resulting data are flagged according to their data quality and returned for visual inspection.</w:t>
            </w:r>
          </w:p>
        </w:tc>
      </w:tr>
      <w:tr w:rsidR="00E53341" w14:paraId="133DCA19"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73B5F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188F49"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 eLTER Site Manager I want to check the data consistency and quality of the data provided by the different researchers. The standard data services provided by the eLTER Data Infrastructure are needed in order to perform the evaluation.</w:t>
            </w:r>
          </w:p>
        </w:tc>
      </w:tr>
      <w:tr w:rsidR="00E53341" w14:paraId="05D310DF"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7EEE1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US4</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4817785"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I am an Ecology researcher/student looking for existing, freely available datasets for my paper/PhD thesis. The outlier analysis service allows me to assess different existing data sources for plausibility.</w:t>
            </w:r>
          </w:p>
        </w:tc>
      </w:tr>
    </w:tbl>
    <w:p w14:paraId="0D3AEF8A" w14:textId="77777777" w:rsidR="00E53341" w:rsidRDefault="00E53341" w:rsidP="00E53341"/>
    <w:p w14:paraId="29044146" w14:textId="77777777" w:rsidR="00E53341" w:rsidRDefault="00E53341" w:rsidP="00E53341">
      <w:pPr>
        <w:pStyle w:val="Heading3"/>
        <w:rPr>
          <w:color w:val="000000"/>
        </w:rPr>
      </w:pPr>
      <w:bookmarkStart w:id="44" w:name="_kyqprw4so5ah" w:colFirst="0" w:colLast="0"/>
      <w:bookmarkEnd w:id="44"/>
      <w:r>
        <w:rPr>
          <w:color w:val="000000"/>
        </w:rPr>
        <w:t>EOSC-hub services assessed, integrated</w:t>
      </w:r>
    </w:p>
    <w:p w14:paraId="2348E07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ICOS: Cloud (CSC), B2SAE, B2STAGE, B2SHARE </w:t>
      </w:r>
    </w:p>
    <w:p w14:paraId="3DD8EEE1"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eLTER: Cloud (EGI), B2SHARE, B2DROP</w:t>
      </w:r>
    </w:p>
    <w:p w14:paraId="465114EA" w14:textId="77777777" w:rsidR="00E53341" w:rsidRDefault="00E53341" w:rsidP="00E53341">
      <w:pPr>
        <w:pStyle w:val="Heading3"/>
      </w:pPr>
      <w:bookmarkStart w:id="45" w:name="_f7kawtbr5mw" w:colFirst="0" w:colLast="0"/>
      <w:bookmarkEnd w:id="45"/>
      <w:r>
        <w:t>External services assessed, integrated</w:t>
      </w:r>
    </w:p>
    <w:p w14:paraId="2F9C336B"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eLTER: OGC SOS Data service (provided by eLTER Data Nodes)</w:t>
      </w:r>
    </w:p>
    <w:p w14:paraId="166D649E" w14:textId="77777777" w:rsidR="00E53341" w:rsidRDefault="00E53341" w:rsidP="00E53341">
      <w:pPr>
        <w:pStyle w:val="Heading3"/>
        <w:rPr>
          <w:color w:val="000000"/>
        </w:rPr>
      </w:pPr>
      <w:bookmarkStart w:id="46" w:name="_u8wy8uhuh4m4" w:colFirst="0" w:colLast="0"/>
      <w:bookmarkEnd w:id="46"/>
      <w:r>
        <w:rPr>
          <w:color w:val="000000"/>
        </w:rPr>
        <w:t>Progress, status, plans</w:t>
      </w:r>
    </w:p>
    <w:p w14:paraId="7DB9C594" w14:textId="77777777" w:rsidR="00E53341" w:rsidRDefault="00E53341" w:rsidP="00E53341">
      <w:pPr>
        <w:shd w:val="clear" w:color="auto" w:fill="FFFFFF"/>
        <w:spacing w:before="160" w:after="0"/>
        <w:rPr>
          <w:rFonts w:ascii="Arial" w:eastAsia="Arial" w:hAnsi="Arial" w:cs="Arial"/>
          <w:b/>
          <w:sz w:val="21"/>
          <w:szCs w:val="21"/>
        </w:rPr>
      </w:pPr>
      <w:r>
        <w:rPr>
          <w:rFonts w:ascii="Arial" w:eastAsia="Arial" w:hAnsi="Arial" w:cs="Arial"/>
          <w:b/>
          <w:sz w:val="21"/>
          <w:szCs w:val="21"/>
        </w:rPr>
        <w:t xml:space="preserve">ICOS: </w:t>
      </w:r>
    </w:p>
    <w:p w14:paraId="5ADDCA35" w14:textId="32BFFE11"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Continued with using the B2SAFE/B2STAGE at CSC using the improved http API to the data object storage workflow in parallel with the production level iRODs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it is clear that the reliability of the B2STAGE/B2SAFE service still needs to be improved. The user case of the ICOS CC aims to use the CSC cPouta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ENVRIplus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CPouta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cPouta virtual machines has also been tested by implementing other applications (LPJGUESS, a dynamic vegetation model) than the planned flux data processing.</w:t>
      </w:r>
    </w:p>
    <w:p w14:paraId="09A32E72"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54398110" w14:textId="77777777" w:rsidR="00E53341" w:rsidRDefault="00E53341" w:rsidP="00E53341">
      <w:pPr>
        <w:shd w:val="clear" w:color="auto" w:fill="FFFFFF"/>
        <w:spacing w:before="160" w:after="0"/>
        <w:rPr>
          <w:rFonts w:ascii="Arial" w:eastAsia="Arial" w:hAnsi="Arial" w:cs="Arial"/>
          <w:b/>
          <w:sz w:val="21"/>
          <w:szCs w:val="21"/>
        </w:rPr>
      </w:pPr>
      <w:r>
        <w:rPr>
          <w:rFonts w:ascii="Arial" w:eastAsia="Arial" w:hAnsi="Arial" w:cs="Arial"/>
          <w:b/>
          <w:sz w:val="21"/>
          <w:szCs w:val="21"/>
        </w:rPr>
        <w:t>eLTER</w:t>
      </w:r>
    </w:p>
    <w:p w14:paraId="3D191EC0" w14:textId="77777777" w:rsidR="00E53341" w:rsidRPr="00E53341" w:rsidRDefault="00E53341" w:rsidP="00E53341">
      <w:r w:rsidRPr="00E53341">
        <w:t xml:space="preserve">Activities started in PY2 and focused on the implementation of the "Data Validation Lab" use case, i.e. ingesting online data sources from OGC SOS compliant services. (e.g. </w:t>
      </w:r>
      <w:hyperlink r:id="rId24">
        <w:r w:rsidRPr="00E53341">
          <w:rPr>
            <w:rStyle w:val="Hyperlink"/>
          </w:rPr>
          <w:t>https://cdn.lter-europe.net/data/sensor?id=/ECN/T12/DRYTMP_RH/2&amp;service=observations</w:t>
        </w:r>
      </w:hyperlink>
      <w:r w:rsidRPr="00E53341">
        <w:t xml:space="preserve">) The work involved formulation of the use case and the evaluation of the required infrastructure provided by EOSC-Hub. The use case requires access to time series data from a range of eLTER sites providing multiple sensor Services in near real time, as well as access to modelled and interpolated data from these eLTER sites. It is aimed to provide an environment to apply descriptive statistics methods for time series data and enable data quality flagging (analysis and QA workflows) as well as to identify anomalies in data (e.g. data errors, events, changes points) from multiple data sources applying a range of data analytics methods (e.g.  univariate and multivariate statistics). The implementation of the use cases focuses on the development of the workflows, as well as on evaluating the technical barriers on migrating the service to a different cloud infrastructure and provider in the EOSC context. The workflow will be prototyped based on a REST API designed with the OpenAPI standard which allows the automatic generation of a Python FLASK server stub which will be customized and deployed on the EGI cloud infrastructure.  The implementation of the use case workflows is foreseen for the second half of 2019. Migration to production at FZJ will be evaluated after the prototyping phase. </w:t>
      </w:r>
    </w:p>
    <w:p w14:paraId="07BD80B9"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group will focus on the following tasks within the next period:</w:t>
      </w:r>
    </w:p>
    <w:p w14:paraId="0BFFEBF0" w14:textId="77777777" w:rsidR="00E53341" w:rsidRPr="00E53341" w:rsidRDefault="00E53341" w:rsidP="00E53341">
      <w:pPr>
        <w:numPr>
          <w:ilvl w:val="0"/>
          <w:numId w:val="39"/>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Finalisation of the data Validation workflows</w:t>
      </w:r>
    </w:p>
    <w:p w14:paraId="740B0889"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Implementation of the eLTER Data Validation Workflow using R scripts encapsulated behind a REST API and hosted on EGI cloud infrastructure (in the second half of 2019).</w:t>
      </w:r>
    </w:p>
    <w:p w14:paraId="6653725E"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Testing of performance for data provision using data Services (e.g. OGC SOS) for different temporal and spatial resolutions.</w:t>
      </w:r>
    </w:p>
    <w:p w14:paraId="2A577111"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Assessment of options to migrate "eLTER Data Validation Use Case" to production cloud Providers, particularly FZJ in Germany the site committed for eLTER (in 2020).</w:t>
      </w:r>
    </w:p>
    <w:p w14:paraId="779968BF" w14:textId="77777777" w:rsidR="00E53341" w:rsidRPr="00E53341" w:rsidRDefault="00E53341" w:rsidP="00E53341">
      <w:pPr>
        <w:pStyle w:val="Heading2"/>
        <w:rPr>
          <w:color w:val="000000"/>
        </w:rPr>
      </w:pPr>
      <w:bookmarkStart w:id="47" w:name="_fi92egk6s22k" w:colFirst="0" w:colLast="0"/>
      <w:bookmarkStart w:id="48" w:name="_Toc29566245"/>
      <w:bookmarkEnd w:id="47"/>
      <w:r w:rsidRPr="00E53341">
        <w:rPr>
          <w:color w:val="000000"/>
        </w:rPr>
        <w:t>Disaster Mitigation Plus</w:t>
      </w:r>
      <w:bookmarkEnd w:id="48"/>
    </w:p>
    <w:p w14:paraId="535463D7" w14:textId="77777777" w:rsidR="00E53341" w:rsidRPr="00E53341" w:rsidRDefault="00E53341" w:rsidP="00E53341">
      <w:pPr>
        <w:pStyle w:val="Heading3"/>
        <w:rPr>
          <w:color w:val="000000"/>
        </w:rPr>
      </w:pPr>
      <w:bookmarkStart w:id="49" w:name="_riet8hzd0g53" w:colFirst="0" w:colLast="0"/>
      <w:bookmarkEnd w:id="49"/>
      <w:r w:rsidRPr="00E53341">
        <w:rPr>
          <w:color w:val="000000"/>
        </w:rPr>
        <w:t>Ambition</w:t>
      </w:r>
    </w:p>
    <w:p w14:paraId="67872411"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The vision of DMCC+ is pursuing humanity sustainable development in Asia by reducing the impacts of natural disasters. Centered on the primary barrier of disaster mitigation, DMCC+ aims to build up capacity of disaster risk analysis by deeper understanding and innovative simulation services. Deeper qualitative understandings and reproduction of the whole lifecycle of the target hazards contribute directly to more accurate hazard risks analysis as well as a mitigation strategy. DMCC+ aims to conduct case studies on tsunami, storm surge, flood, forest fire monitoring and dust transportation and demonstrating the use of deeper understanding and advanced numerical simulation approaches. Additionally, local scientist and user communities are engaged in each case study. Regional infrastructure which is compatible with EOSC-Hub technologies is enhanced in response to the demands from case studies.</w:t>
      </w:r>
    </w:p>
    <w:p w14:paraId="467F8EC5"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Case study is also the process of learning from a specific historical event. Through deeper understanding process, key factors to the simulation accuracy according to the science behind the hazard are investigated. As a direct outcome, processes of the whole life cycle of the target hazard could be reproduced more accuratly. Both the enhanced simulation facility and the knowledge gained from case studies will be shared through the application framework. The learning process and knowledge repository are key components of knowledge transformation and reuse.</w:t>
      </w:r>
      <w:r w:rsidRPr="00E53341">
        <w:rPr>
          <w:rFonts w:asciiTheme="minorHAnsi" w:eastAsia="Arial" w:hAnsiTheme="minorHAnsi" w:cstheme="minorHAnsi"/>
          <w:color w:val="000000"/>
          <w:sz w:val="21"/>
          <w:szCs w:val="21"/>
        </w:rPr>
        <w:t xml:space="preserve"> The application frame</w:t>
      </w:r>
      <w:r w:rsidRPr="00E53341">
        <w:rPr>
          <w:rFonts w:asciiTheme="minorHAnsi" w:eastAsia="Arial" w:hAnsiTheme="minorHAnsi" w:cstheme="minorHAnsi"/>
          <w:sz w:val="21"/>
          <w:szCs w:val="21"/>
        </w:rPr>
        <w:t xml:space="preserve">work </w:t>
      </w:r>
      <w:r w:rsidRPr="00E53341">
        <w:rPr>
          <w:rFonts w:asciiTheme="minorHAnsi" w:eastAsia="Arial" w:hAnsiTheme="minorHAnsi" w:cstheme="minorHAnsi"/>
          <w:color w:val="000000"/>
          <w:sz w:val="21"/>
          <w:szCs w:val="21"/>
        </w:rPr>
        <w:t>including th</w:t>
      </w:r>
      <w:r w:rsidRPr="00E53341">
        <w:rPr>
          <w:rFonts w:asciiTheme="minorHAnsi" w:eastAsia="Arial" w:hAnsiTheme="minorHAnsi" w:cstheme="minorHAnsi"/>
          <w:sz w:val="21"/>
          <w:szCs w:val="21"/>
        </w:rPr>
        <w:t xml:space="preserve">ose data, knowledge, workflow, simulation and analysis facility together with the configurations of each case study </w:t>
      </w:r>
      <w:r w:rsidRPr="00E53341">
        <w:rPr>
          <w:rFonts w:asciiTheme="minorHAnsi" w:eastAsia="Arial" w:hAnsiTheme="minorHAnsi" w:cstheme="minorHAnsi"/>
          <w:color w:val="000000"/>
          <w:sz w:val="21"/>
          <w:szCs w:val="21"/>
        </w:rPr>
        <w:t xml:space="preserve">becomes the foundation of an open </w:t>
      </w:r>
      <w:r w:rsidRPr="00E53341">
        <w:rPr>
          <w:rFonts w:asciiTheme="minorHAnsi" w:eastAsia="Arial" w:hAnsiTheme="minorHAnsi" w:cstheme="minorHAnsi"/>
          <w:sz w:val="21"/>
          <w:szCs w:val="21"/>
        </w:rPr>
        <w:t xml:space="preserve">collaboration </w:t>
      </w:r>
      <w:r w:rsidRPr="00E53341">
        <w:rPr>
          <w:rFonts w:asciiTheme="minorHAnsi" w:eastAsia="Arial" w:hAnsiTheme="minorHAnsi" w:cstheme="minorHAnsi"/>
          <w:color w:val="000000"/>
          <w:sz w:val="21"/>
          <w:szCs w:val="21"/>
        </w:rPr>
        <w:t>p</w:t>
      </w:r>
      <w:r w:rsidRPr="00E53341">
        <w:rPr>
          <w:rFonts w:asciiTheme="minorHAnsi" w:eastAsia="Arial" w:hAnsiTheme="minorHAnsi" w:cstheme="minorHAnsi"/>
          <w:sz w:val="21"/>
          <w:szCs w:val="21"/>
        </w:rPr>
        <w:t xml:space="preserve">latform </w:t>
      </w:r>
      <w:r w:rsidRPr="00E53341">
        <w:rPr>
          <w:rFonts w:asciiTheme="minorHAnsi" w:eastAsia="Arial" w:hAnsiTheme="minorHAnsi" w:cstheme="minorHAnsi"/>
          <w:color w:val="000000"/>
          <w:sz w:val="21"/>
          <w:szCs w:val="21"/>
        </w:rPr>
        <w:t>for open science.</w:t>
      </w:r>
    </w:p>
    <w:p w14:paraId="2694F94E"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competence centre brings together institutes from the Asia-Pacific region that work on modelling, re-modelling, predicting disaster events, with the ambition to be able to predict such events and to design mitigation actions against them. </w:t>
      </w:r>
    </w:p>
    <w:p w14:paraId="3C2CE1BB" w14:textId="77777777" w:rsidR="00E53341" w:rsidRDefault="00E53341" w:rsidP="00E53341">
      <w:pPr>
        <w:pStyle w:val="Heading3"/>
        <w:rPr>
          <w:color w:val="000000"/>
        </w:rPr>
      </w:pPr>
      <w:bookmarkStart w:id="50" w:name="_3jlt3n8mpya8" w:colFirst="0" w:colLast="0"/>
      <w:bookmarkEnd w:id="50"/>
      <w:r>
        <w:rPr>
          <w:color w:val="000000"/>
        </w:rPr>
        <w:t>User stories</w:t>
      </w:r>
    </w:p>
    <w:p w14:paraId="20DC85D9"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CC’s user stories are basically resimulation of disaster events that happened in the Asia Pacific region:</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14:paraId="62F11D6B" w14:textId="77777777" w:rsidTr="00E53341">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707912D"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8593FC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w:t>
            </w:r>
          </w:p>
        </w:tc>
      </w:tr>
      <w:tr w:rsidR="00E53341" w14:paraId="3CCF8851"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02876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71286F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w:t>
            </w:r>
            <w:r w:rsidRPr="00E53341">
              <w:rPr>
                <w:rFonts w:asciiTheme="minorHAnsi" w:eastAsia="Arial" w:hAnsiTheme="minorHAnsi" w:cstheme="minorHAnsi"/>
                <w:b/>
                <w:sz w:val="21"/>
                <w:szCs w:val="21"/>
              </w:rPr>
              <w:t>Sulawesi (Indonesia) tsunami happened on 28 Sep 2018</w:t>
            </w:r>
          </w:p>
        </w:tc>
      </w:tr>
      <w:tr w:rsidR="00E53341" w14:paraId="413407E2"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AD712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DBBED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storm surge induced by </w:t>
            </w:r>
            <w:r w:rsidRPr="00E53341">
              <w:rPr>
                <w:rFonts w:asciiTheme="minorHAnsi" w:eastAsia="Arial" w:hAnsiTheme="minorHAnsi" w:cstheme="minorHAnsi"/>
                <w:b/>
                <w:sz w:val="21"/>
                <w:szCs w:val="21"/>
              </w:rPr>
              <w:t>Tropical storm Pabuk (#36) in Thailand (3-5 Jan 2019)</w:t>
            </w:r>
          </w:p>
        </w:tc>
      </w:tr>
      <w:tr w:rsidR="00E53341" w14:paraId="0336213D" w14:textId="77777777" w:rsidTr="00E53341">
        <w:trPr>
          <w:trHeight w:val="104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1F31A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BC15712"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long-distance </w:t>
            </w:r>
            <w:r w:rsidRPr="00E53341">
              <w:rPr>
                <w:rFonts w:asciiTheme="minorHAnsi" w:eastAsia="Arial" w:hAnsiTheme="minorHAnsi" w:cstheme="minorHAnsi"/>
                <w:b/>
                <w:sz w:val="21"/>
                <w:szCs w:val="21"/>
              </w:rPr>
              <w:t>Dust transportation from biomass burning in Northern Thailand (2018)</w:t>
            </w:r>
          </w:p>
        </w:tc>
      </w:tr>
    </w:tbl>
    <w:p w14:paraId="4EA5D084" w14:textId="77777777" w:rsidR="00E53341" w:rsidRDefault="00E53341" w:rsidP="00E53341"/>
    <w:p w14:paraId="4A3D2A00" w14:textId="77777777" w:rsidR="00E53341" w:rsidRDefault="00E53341" w:rsidP="00E53341">
      <w:pPr>
        <w:pStyle w:val="Heading3"/>
        <w:rPr>
          <w:color w:val="000000"/>
        </w:rPr>
      </w:pPr>
      <w:bookmarkStart w:id="51" w:name="_24d7pyseqfk2" w:colFirst="0" w:colLast="0"/>
      <w:bookmarkEnd w:id="51"/>
      <w:r>
        <w:rPr>
          <w:color w:val="000000"/>
        </w:rPr>
        <w:t>EOSC-hub services assessed, integrated</w:t>
      </w:r>
    </w:p>
    <w:p w14:paraId="27812EDF"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EGI Cloud, EGI HTC</w:t>
      </w:r>
    </w:p>
    <w:p w14:paraId="21EFF7EE" w14:textId="77777777" w:rsidR="00E53341" w:rsidRDefault="00E53341" w:rsidP="00E53341">
      <w:pPr>
        <w:pStyle w:val="Heading3"/>
        <w:rPr>
          <w:color w:val="000000"/>
        </w:rPr>
      </w:pPr>
      <w:bookmarkStart w:id="52" w:name="_vcqhldnll28q" w:colFirst="0" w:colLast="0"/>
      <w:bookmarkEnd w:id="52"/>
      <w:r>
        <w:rPr>
          <w:color w:val="000000"/>
        </w:rPr>
        <w:t>Progress, status and plans</w:t>
      </w:r>
    </w:p>
    <w:p w14:paraId="0E0733EA"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During the reporting period the CC focused on the scientific simulation, and on the technical infrastructure activity areas. The progress was:</w:t>
      </w:r>
    </w:p>
    <w:p w14:paraId="455F524D" w14:textId="77777777" w:rsidR="00E53341" w:rsidRPr="00E53341" w:rsidRDefault="00E53341" w:rsidP="00E53341">
      <w:pPr>
        <w:numPr>
          <w:ilvl w:val="0"/>
          <w:numId w:val="29"/>
        </w:numPr>
        <w:shd w:val="clear" w:color="auto" w:fill="FFFFFF"/>
        <w:spacing w:before="320" w:after="0"/>
        <w:rPr>
          <w:rFonts w:asciiTheme="minorHAnsi" w:hAnsiTheme="minorHAnsi" w:cstheme="minorHAnsi"/>
          <w:color w:val="000000"/>
        </w:rPr>
      </w:pPr>
      <w:r w:rsidRPr="00E53341">
        <w:rPr>
          <w:rFonts w:asciiTheme="minorHAnsi" w:eastAsia="Arial" w:hAnsiTheme="minorHAnsi" w:cstheme="minorHAnsi"/>
          <w:sz w:val="21"/>
          <w:szCs w:val="21"/>
        </w:rPr>
        <w:t>Case studies:</w:t>
      </w:r>
    </w:p>
    <w:p w14:paraId="74E539F2"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18ED014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Storm surge: collecting observation data from few agencies, e.g., tidal gauge data. Events caused by tropical monsoon in 2006 or 2016 are candidate events for re-simulation and model validation.</w:t>
      </w:r>
    </w:p>
    <w:p w14:paraId="5757177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432C6183"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Flood: case of 2015 in northern Thailand is the first candidate for resimulation because some of observation data is already available at the partners.</w:t>
      </w:r>
    </w:p>
    <w:p w14:paraId="18A5AF4A" w14:textId="77777777" w:rsidR="00E53341" w:rsidRPr="00E53341" w:rsidRDefault="00E53341" w:rsidP="00E53341">
      <w:pPr>
        <w:numPr>
          <w:ilvl w:val="0"/>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Technical infrastructure and simulation portals:</w:t>
      </w:r>
    </w:p>
    <w:p w14:paraId="2742756A" w14:textId="3EE842F6"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The CC continued to support the WRF-based weather simulation portal and the iCOMCOT-based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3B9F1A95"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The development of a new, storm surge simulation portal prototype concluded, and the setup is currently under testing. The new portal should be available in Q2 of 2019.</w:t>
      </w:r>
    </w:p>
    <w:p w14:paraId="61CB8D02" w14:textId="4F2288C0"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58ED7F7C"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CC organised an Environmental Computing Workshop and the DMCC+ face-to-face meeting in Taipei in colocation with ISGC 2019. The meeting helped the CC continue working on the two activity areas by performing:</w:t>
      </w:r>
    </w:p>
    <w:p w14:paraId="2A409842" w14:textId="77777777" w:rsidR="00E53341" w:rsidRPr="00E53341" w:rsidRDefault="00E53341" w:rsidP="00E53341">
      <w:pPr>
        <w:numPr>
          <w:ilvl w:val="0"/>
          <w:numId w:val="22"/>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Scientific case studies: confirm the schedule of each case study according to the availability and quality of required data. Monthly meeting on each case study has been arranged.</w:t>
      </w:r>
    </w:p>
    <w:p w14:paraId="0B1DD826" w14:textId="77777777" w:rsidR="00E53341" w:rsidRPr="00E53341" w:rsidRDefault="00E53341" w:rsidP="00E53341">
      <w:pPr>
        <w:numPr>
          <w:ilvl w:val="0"/>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Technical infrastructure and simulation portals:</w:t>
      </w:r>
    </w:p>
    <w:p w14:paraId="12F9D7D0"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Conclude the registration of the weather simulation and tsunami simulation portals in the EOSC-hub catalogue.</w:t>
      </w:r>
    </w:p>
    <w:p w14:paraId="15D90E46"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Finish the testing of the storm surge simulation prototype portal (by the end March 2019.), then start adoption in the scientific case studies, and in the EOSC-hub service catalogue.</w:t>
      </w:r>
    </w:p>
    <w:p w14:paraId="43054063" w14:textId="6B59ECA0"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Additionally, to these the CC has the ambition to expand the collaboration with the Agriculture community in Asia, and co-host a joint meeting at APAN47 between 19-21 Feb. 2019 in Korea.</w:t>
      </w:r>
    </w:p>
    <w:p w14:paraId="3B83EF34" w14:textId="77777777" w:rsidR="00E53341" w:rsidRDefault="00E53341" w:rsidP="004B3EE6">
      <w:pPr>
        <w:pStyle w:val="Heading1"/>
      </w:pPr>
      <w:bookmarkStart w:id="53" w:name="_gdupmn4m2k91" w:colFirst="0" w:colLast="0"/>
      <w:bookmarkStart w:id="54" w:name="_Toc29566246"/>
      <w:bookmarkEnd w:id="53"/>
      <w:r w:rsidRPr="00E53341">
        <w:t>Conclusions</w:t>
      </w:r>
      <w:r>
        <w:t xml:space="preserve"> and observations</w:t>
      </w:r>
      <w:bookmarkEnd w:id="54"/>
    </w:p>
    <w:p w14:paraId="4F7C848B"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Despite there were hiring delays in a few of the CCs (EISCAT_3D, Radioastronomy, ICOS-eLTER), there is only one CC (ICOS-eLTER)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76F59C7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Meanwhile there are already successful integration of AAI-Data management-Compute services within a few CCs, most CCs are still in the middle of service evaluation. (See GREEN and RED cells in Appendix 2 for these evaluation results) Decisions about the suitability and adaptability of EOSC-hub common services is still to come in the second project period. </w:t>
      </w:r>
    </w:p>
    <w:p w14:paraId="47815900"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Promotion and training of new users, primarily power and test users, is still to happen in the second period (and in WP11). </w:t>
      </w:r>
    </w:p>
    <w:p w14:paraId="48403CE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Although at the start of the project most CCs foresee the integrated, joint use of services from EGI, EUDAT and INDIGO-DataCloud, such integrated use has not happened until now. The reason of this is, on the one hand the lack of visible progress with enabling compatibility among EGI and EUDAT services by WP6 (e.g. AAI incompatibility), on the other hand the possible service alternatives that EGI and EUDAT offer for the same functions allow CCs to combine services from a single provider. (e.g. DataHub and B2SHARE for data access; EGI Cloud and CSC cloud for IaaS; Check-in and B2ACCESS for access management).  </w:t>
      </w:r>
    </w:p>
    <w:p w14:paraId="636E2776" w14:textId="77777777" w:rsidR="00E53341" w:rsidRPr="00E53341" w:rsidRDefault="00E53341" w:rsidP="00E53341">
      <w:pPr>
        <w:numPr>
          <w:ilvl w:val="0"/>
          <w:numId w:val="33"/>
        </w:num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Arrangements for long-term service provisioning is still to be arranged in all, but the ICOS CC. ICOS-ERIC ran a tender in 2018 and selected EUDAT Ltd for the provisioning of IT services (compute and storage) for the long-term. We have yet to see whether and how WP12 (Procurement) and OCRE can support the CCs and their respective RIs in this endeavour. </w:t>
      </w:r>
    </w:p>
    <w:p w14:paraId="13ECD221" w14:textId="77777777" w:rsidR="00E53341" w:rsidRDefault="00E53341" w:rsidP="004B3EE6">
      <w:pPr>
        <w:pStyle w:val="Heading1"/>
      </w:pPr>
      <w:bookmarkStart w:id="55" w:name="_hfgm3dm60lsf" w:colFirst="0" w:colLast="0"/>
      <w:bookmarkEnd w:id="55"/>
      <w:r>
        <w:br w:type="page"/>
      </w:r>
    </w:p>
    <w:p w14:paraId="7F4603EA" w14:textId="77777777" w:rsidR="00E53341" w:rsidRDefault="00E53341" w:rsidP="004B3EE6">
      <w:pPr>
        <w:pStyle w:val="Heading1"/>
      </w:pPr>
      <w:bookmarkStart w:id="56" w:name="_8j0qk2cl2ryk" w:colFirst="0" w:colLast="0"/>
      <w:bookmarkStart w:id="57" w:name="_Toc29566247"/>
      <w:bookmarkEnd w:id="56"/>
      <w:r>
        <w:t>Appendix 1 - Service adoption status and plans (Matrix view)</w:t>
      </w:r>
      <w:bookmarkEnd w:id="57"/>
    </w:p>
    <w:p w14:paraId="3C113699" w14:textId="4E86A2DC" w:rsidR="00E53341" w:rsidRDefault="00E53341" w:rsidP="00E53341">
      <w:r>
        <w:t xml:space="preserve">The following matrix shows the planned and ongoing integration work between community specific services and data, and the generic services offered by EOSC-hub. Each CCs desire to reach integration with the services indicated with colour within their own column.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53341" w14:paraId="5405FF2A" w14:textId="77777777" w:rsidTr="00E53341">
        <w:tc>
          <w:tcPr>
            <w:tcW w:w="6045" w:type="dxa"/>
            <w:tcBorders>
              <w:top w:val="nil"/>
              <w:left w:val="nil"/>
              <w:bottom w:val="nil"/>
              <w:right w:val="nil"/>
            </w:tcBorders>
            <w:shd w:val="clear" w:color="auto" w:fill="auto"/>
            <w:tcMar>
              <w:top w:w="100" w:type="dxa"/>
              <w:left w:w="100" w:type="dxa"/>
              <w:bottom w:w="100" w:type="dxa"/>
              <w:right w:w="100" w:type="dxa"/>
            </w:tcMar>
          </w:tcPr>
          <w:p w14:paraId="7B685888" w14:textId="77777777" w:rsidR="00E53341" w:rsidRDefault="00E53341" w:rsidP="00E53341">
            <w:r>
              <w:rPr>
                <w:noProof/>
              </w:rPr>
              <w:drawing>
                <wp:inline distT="114300" distB="114300" distL="114300" distR="114300" wp14:anchorId="5FAC2BBF" wp14:editId="6B1722B7">
                  <wp:extent cx="3424238" cy="6511822"/>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3424238" cy="651182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6D194826" w14:textId="77777777" w:rsidR="00E53341" w:rsidRDefault="00E53341" w:rsidP="00E53341">
            <w:pPr>
              <w:widowControl w:val="0"/>
              <w:pBdr>
                <w:top w:val="nil"/>
                <w:left w:val="nil"/>
                <w:bottom w:val="nil"/>
                <w:right w:val="nil"/>
                <w:between w:val="nil"/>
              </w:pBdr>
              <w:spacing w:after="0" w:line="240" w:lineRule="auto"/>
              <w:jc w:val="left"/>
              <w:rPr>
                <w:b/>
                <w:i/>
              </w:rPr>
            </w:pPr>
            <w:r>
              <w:rPr>
                <w:b/>
                <w:i/>
              </w:rPr>
              <w:t>Colour codes:</w:t>
            </w:r>
          </w:p>
          <w:p w14:paraId="7DF1C5A0" w14:textId="77777777" w:rsidR="00E53341" w:rsidRDefault="00E53341" w:rsidP="00E53341">
            <w:pPr>
              <w:widowControl w:val="0"/>
              <w:pBdr>
                <w:top w:val="nil"/>
                <w:left w:val="nil"/>
                <w:bottom w:val="nil"/>
                <w:right w:val="nil"/>
                <w:between w:val="nil"/>
              </w:pBdr>
              <w:spacing w:after="0" w:line="240" w:lineRule="auto"/>
              <w:jc w:val="left"/>
              <w:rPr>
                <w:i/>
              </w:rPr>
            </w:pPr>
          </w:p>
          <w:p w14:paraId="3F3773A6" w14:textId="77777777" w:rsidR="00E53341" w:rsidRDefault="00E53341" w:rsidP="00E53341">
            <w:pPr>
              <w:widowControl w:val="0"/>
              <w:pBdr>
                <w:top w:val="nil"/>
                <w:left w:val="nil"/>
                <w:bottom w:val="nil"/>
                <w:right w:val="nil"/>
                <w:between w:val="nil"/>
              </w:pBdr>
              <w:spacing w:after="0" w:line="240" w:lineRule="auto"/>
              <w:jc w:val="left"/>
              <w:rPr>
                <w:i/>
              </w:rPr>
            </w:pPr>
            <w:r>
              <w:rPr>
                <w:b/>
                <w:i/>
              </w:rPr>
              <w:t>GREY</w:t>
            </w:r>
            <w:r>
              <w:rPr>
                <w:i/>
              </w:rPr>
              <w:t>: technology/service is considered for adoption, but the integration and assessment work is yet to start</w:t>
            </w:r>
          </w:p>
          <w:p w14:paraId="4D5C9021" w14:textId="77777777" w:rsidR="00E53341" w:rsidRDefault="00E53341" w:rsidP="00E53341">
            <w:pPr>
              <w:widowControl w:val="0"/>
              <w:pBdr>
                <w:top w:val="nil"/>
                <w:left w:val="nil"/>
                <w:bottom w:val="nil"/>
                <w:right w:val="nil"/>
                <w:between w:val="nil"/>
              </w:pBdr>
              <w:spacing w:after="0" w:line="240" w:lineRule="auto"/>
              <w:jc w:val="left"/>
              <w:rPr>
                <w:i/>
              </w:rPr>
            </w:pPr>
          </w:p>
          <w:p w14:paraId="7312203F" w14:textId="77777777" w:rsidR="00E53341" w:rsidRDefault="00E53341" w:rsidP="00E53341">
            <w:pPr>
              <w:widowControl w:val="0"/>
              <w:pBdr>
                <w:top w:val="nil"/>
                <w:left w:val="nil"/>
                <w:bottom w:val="nil"/>
                <w:right w:val="nil"/>
                <w:between w:val="nil"/>
              </w:pBdr>
              <w:spacing w:after="0" w:line="240" w:lineRule="auto"/>
              <w:jc w:val="left"/>
              <w:rPr>
                <w:i/>
              </w:rPr>
            </w:pPr>
            <w:r>
              <w:rPr>
                <w:b/>
                <w:i/>
              </w:rPr>
              <w:t>YELLOW</w:t>
            </w:r>
            <w:r>
              <w:rPr>
                <w:i/>
              </w:rPr>
              <w:t>: integration is ongoing</w:t>
            </w:r>
          </w:p>
          <w:p w14:paraId="196BFE0F" w14:textId="77777777" w:rsidR="00E53341" w:rsidRDefault="00E53341" w:rsidP="00E53341">
            <w:pPr>
              <w:widowControl w:val="0"/>
              <w:pBdr>
                <w:top w:val="nil"/>
                <w:left w:val="nil"/>
                <w:bottom w:val="nil"/>
                <w:right w:val="nil"/>
                <w:between w:val="nil"/>
              </w:pBdr>
              <w:spacing w:after="0" w:line="240" w:lineRule="auto"/>
              <w:jc w:val="left"/>
              <w:rPr>
                <w:i/>
              </w:rPr>
            </w:pPr>
          </w:p>
          <w:p w14:paraId="5EFE51F3" w14:textId="77777777" w:rsidR="00E53341" w:rsidRDefault="00E53341" w:rsidP="00E53341">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5D9AC293" w14:textId="77777777" w:rsidR="00E53341" w:rsidRDefault="00E53341" w:rsidP="00E53341">
            <w:pPr>
              <w:widowControl w:val="0"/>
              <w:pBdr>
                <w:top w:val="nil"/>
                <w:left w:val="nil"/>
                <w:bottom w:val="nil"/>
                <w:right w:val="nil"/>
                <w:between w:val="nil"/>
              </w:pBdr>
              <w:spacing w:after="0" w:line="240" w:lineRule="auto"/>
              <w:jc w:val="left"/>
              <w:rPr>
                <w:i/>
              </w:rPr>
            </w:pPr>
          </w:p>
          <w:p w14:paraId="15275F71" w14:textId="77777777" w:rsidR="00E53341" w:rsidRDefault="00E53341" w:rsidP="00E53341">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228523F5" w14:textId="77777777" w:rsidR="00E53341" w:rsidRDefault="00E53341" w:rsidP="00E53341">
            <w:pPr>
              <w:widowControl w:val="0"/>
              <w:pBdr>
                <w:top w:val="nil"/>
                <w:left w:val="nil"/>
                <w:bottom w:val="nil"/>
                <w:right w:val="nil"/>
                <w:between w:val="nil"/>
              </w:pBdr>
              <w:spacing w:after="0" w:line="240" w:lineRule="auto"/>
              <w:jc w:val="left"/>
              <w:rPr>
                <w:i/>
              </w:rPr>
            </w:pPr>
          </w:p>
          <w:p w14:paraId="68C1206E" w14:textId="77777777" w:rsidR="00E53341" w:rsidRDefault="00E53341" w:rsidP="00E53341">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352416C5" w14:textId="77777777" w:rsidR="00E53341" w:rsidRDefault="00E53341" w:rsidP="00E53341">
      <w:pPr>
        <w:rPr>
          <w:rFonts w:ascii="Arial" w:eastAsia="Arial" w:hAnsi="Arial" w:cs="Arial"/>
          <w:sz w:val="21"/>
          <w:szCs w:val="21"/>
        </w:rPr>
      </w:pPr>
    </w:p>
    <w:p w14:paraId="6C6ADC3B" w14:textId="77777777" w:rsidR="00E53341" w:rsidRPr="00E53341" w:rsidRDefault="00E53341" w:rsidP="00E53341"/>
    <w:sectPr w:rsidR="00E53341" w:rsidRPr="00E53341"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462DF" w14:textId="77777777" w:rsidR="00AF5B2C" w:rsidRDefault="00AF5B2C" w:rsidP="00835E24">
      <w:pPr>
        <w:spacing w:after="0" w:line="240" w:lineRule="auto"/>
      </w:pPr>
      <w:r>
        <w:separator/>
      </w:r>
    </w:p>
  </w:endnote>
  <w:endnote w:type="continuationSeparator" w:id="0">
    <w:p w14:paraId="311C02AF" w14:textId="77777777" w:rsidR="00AF5B2C" w:rsidRDefault="00AF5B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E53341" w:rsidRPr="00980A57" w14:paraId="27937075" w14:textId="77777777" w:rsidTr="00247395">
      <w:trPr>
        <w:trHeight w:val="475"/>
      </w:trPr>
      <w:tc>
        <w:tcPr>
          <w:tcW w:w="4632" w:type="pct"/>
          <w:shd w:val="clear" w:color="auto" w:fill="7DA9DF"/>
          <w:vAlign w:val="center"/>
        </w:tcPr>
        <w:p w14:paraId="7CFEB80E" w14:textId="77777777" w:rsidR="00E53341" w:rsidRPr="00980A57" w:rsidRDefault="00E53341"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2E7F449" w14:textId="77777777" w:rsidR="00E53341" w:rsidRPr="00EE208C" w:rsidRDefault="00E53341" w:rsidP="00247395">
          <w:pPr>
            <w:pStyle w:val="Header"/>
            <w:jc w:val="right"/>
            <w:rPr>
              <w:color w:val="002060"/>
              <w:sz w:val="18"/>
            </w:rPr>
          </w:pPr>
        </w:p>
      </w:tc>
    </w:tr>
  </w:tbl>
  <w:p w14:paraId="5E4E0D79" w14:textId="77777777" w:rsidR="00E53341" w:rsidRDefault="00E53341">
    <w:pPr>
      <w:pStyle w:val="Footer"/>
    </w:pPr>
    <w:r w:rsidRPr="00980A57">
      <w:rPr>
        <w:noProof/>
        <w:lang w:eastAsia="en-GB"/>
      </w:rPr>
      <w:drawing>
        <wp:anchor distT="0" distB="0" distL="114300" distR="114300" simplePos="0" relativeHeight="251659264" behindDoc="0" locked="0" layoutInCell="1" allowOverlap="1" wp14:anchorId="142FFA24" wp14:editId="0F9C01A3">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DD5EB" w14:textId="77777777" w:rsidR="00AF5B2C" w:rsidRDefault="00AF5B2C" w:rsidP="00835E24">
      <w:pPr>
        <w:spacing w:after="0" w:line="240" w:lineRule="auto"/>
      </w:pPr>
      <w:r>
        <w:separator/>
      </w:r>
    </w:p>
  </w:footnote>
  <w:footnote w:type="continuationSeparator" w:id="0">
    <w:p w14:paraId="488DAFCD" w14:textId="77777777" w:rsidR="00AF5B2C" w:rsidRDefault="00AF5B2C" w:rsidP="00835E24">
      <w:pPr>
        <w:spacing w:after="0" w:line="240" w:lineRule="auto"/>
      </w:pPr>
      <w:r>
        <w:continuationSeparator/>
      </w:r>
    </w:p>
  </w:footnote>
  <w:footnote w:id="1">
    <w:p w14:paraId="5EDDB645" w14:textId="77777777" w:rsidR="00E53341" w:rsidRDefault="00E53341" w:rsidP="00E53341">
      <w:pPr>
        <w:spacing w:after="0" w:line="240" w:lineRule="auto"/>
        <w:rPr>
          <w:sz w:val="20"/>
          <w:szCs w:val="20"/>
        </w:rPr>
      </w:pPr>
      <w:r>
        <w:rPr>
          <w:vertAlign w:val="superscript"/>
        </w:rPr>
        <w:footnoteRef/>
      </w:r>
      <w:r>
        <w:rPr>
          <w:sz w:val="20"/>
          <w:szCs w:val="20"/>
        </w:rPr>
        <w:t xml:space="preserve"> EOSC-hub generic services cover the following areas: Data discovery and access; Federated compute; Processing and orchestration; Data and metadata management; Data preservation; Sensitive data; Identification-authentication-authorization and attribute management; Marketplace and order management; Integrated operations support systems; Monitoring-accounting-messaging-security tools; Helpdesk; Application store, software repositories.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707A"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AC2A7" w14:textId="77777777" w:rsidR="00E53341" w:rsidRDefault="00E5334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34B4"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53341" w14:paraId="46D48754" w14:textId="77777777" w:rsidTr="00D065EF">
      <w:tc>
        <w:tcPr>
          <w:tcW w:w="4621" w:type="dxa"/>
        </w:tcPr>
        <w:p w14:paraId="7B19846D" w14:textId="77777777" w:rsidR="00E53341" w:rsidRDefault="00E53341" w:rsidP="007A21E4">
          <w:pPr>
            <w:ind w:right="360"/>
          </w:pPr>
        </w:p>
      </w:tc>
      <w:tc>
        <w:tcPr>
          <w:tcW w:w="4621" w:type="dxa"/>
        </w:tcPr>
        <w:p w14:paraId="1CFA3BCA" w14:textId="77777777" w:rsidR="00E53341" w:rsidRDefault="00E53341" w:rsidP="00D065EF">
          <w:pPr>
            <w:jc w:val="right"/>
          </w:pPr>
        </w:p>
      </w:tc>
    </w:tr>
  </w:tbl>
  <w:p w14:paraId="62587E46" w14:textId="77777777" w:rsidR="00E53341" w:rsidRDefault="00E5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0A6"/>
    <w:multiLevelType w:val="multilevel"/>
    <w:tmpl w:val="3F44A68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8A58D1"/>
    <w:multiLevelType w:val="multilevel"/>
    <w:tmpl w:val="31EEBF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8D4A28"/>
    <w:multiLevelType w:val="multilevel"/>
    <w:tmpl w:val="6F266A0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485AAC"/>
    <w:multiLevelType w:val="multilevel"/>
    <w:tmpl w:val="76146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C92BB1"/>
    <w:multiLevelType w:val="multilevel"/>
    <w:tmpl w:val="D7E405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378D1"/>
    <w:multiLevelType w:val="multilevel"/>
    <w:tmpl w:val="32FECC42"/>
    <w:lvl w:ilvl="0">
      <w:start w:val="1"/>
      <w:numFmt w:val="decimal"/>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433CA4"/>
    <w:multiLevelType w:val="multilevel"/>
    <w:tmpl w:val="2F84671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845A0A"/>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1F40056B"/>
    <w:multiLevelType w:val="multilevel"/>
    <w:tmpl w:val="F59E327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67219"/>
    <w:multiLevelType w:val="multilevel"/>
    <w:tmpl w:val="1710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980849"/>
    <w:multiLevelType w:val="multilevel"/>
    <w:tmpl w:val="1B5C12D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594B79"/>
    <w:multiLevelType w:val="multilevel"/>
    <w:tmpl w:val="5EC2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355D75C9"/>
    <w:multiLevelType w:val="multilevel"/>
    <w:tmpl w:val="D02CC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82790D"/>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660AE8"/>
    <w:multiLevelType w:val="multilevel"/>
    <w:tmpl w:val="14A8C63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C1791B"/>
    <w:multiLevelType w:val="multilevel"/>
    <w:tmpl w:val="9514BC4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61548B"/>
    <w:multiLevelType w:val="multilevel"/>
    <w:tmpl w:val="2B3880F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E4555AA"/>
    <w:multiLevelType w:val="multilevel"/>
    <w:tmpl w:val="2898CEE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D06186"/>
    <w:multiLevelType w:val="multilevel"/>
    <w:tmpl w:val="26C0F14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996748"/>
    <w:multiLevelType w:val="multilevel"/>
    <w:tmpl w:val="F5901F1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BEE4BBB"/>
    <w:multiLevelType w:val="multilevel"/>
    <w:tmpl w:val="2DA0BB5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154517"/>
    <w:multiLevelType w:val="multilevel"/>
    <w:tmpl w:val="A7969C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8B4BD6"/>
    <w:multiLevelType w:val="multilevel"/>
    <w:tmpl w:val="4E1C1E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6"/>
  </w:num>
  <w:num w:numId="4">
    <w:abstractNumId w:val="1"/>
  </w:num>
  <w:num w:numId="5">
    <w:abstractNumId w:val="6"/>
  </w:num>
  <w:num w:numId="6">
    <w:abstractNumId w:val="20"/>
  </w:num>
  <w:num w:numId="7">
    <w:abstractNumId w:val="20"/>
    <w:lvlOverride w:ilvl="0">
      <w:startOverride w:val="1"/>
    </w:lvlOverride>
  </w:num>
  <w:num w:numId="8">
    <w:abstractNumId w:val="17"/>
  </w:num>
  <w:num w:numId="9">
    <w:abstractNumId w:val="8"/>
  </w:num>
  <w:num w:numId="10">
    <w:abstractNumId w:val="13"/>
  </w:num>
  <w:num w:numId="11">
    <w:abstractNumId w:val="5"/>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5"/>
  </w:num>
  <w:num w:numId="18">
    <w:abstractNumId w:val="27"/>
  </w:num>
  <w:num w:numId="19">
    <w:abstractNumId w:val="12"/>
  </w:num>
  <w:num w:numId="20">
    <w:abstractNumId w:val="19"/>
  </w:num>
  <w:num w:numId="21">
    <w:abstractNumId w:val="18"/>
  </w:num>
  <w:num w:numId="22">
    <w:abstractNumId w:val="24"/>
  </w:num>
  <w:num w:numId="23">
    <w:abstractNumId w:val="14"/>
  </w:num>
  <w:num w:numId="24">
    <w:abstractNumId w:val="16"/>
  </w:num>
  <w:num w:numId="25">
    <w:abstractNumId w:val="34"/>
  </w:num>
  <w:num w:numId="26">
    <w:abstractNumId w:val="30"/>
  </w:num>
  <w:num w:numId="27">
    <w:abstractNumId w:val="10"/>
  </w:num>
  <w:num w:numId="28">
    <w:abstractNumId w:val="0"/>
  </w:num>
  <w:num w:numId="29">
    <w:abstractNumId w:val="7"/>
  </w:num>
  <w:num w:numId="30">
    <w:abstractNumId w:val="26"/>
  </w:num>
  <w:num w:numId="31">
    <w:abstractNumId w:val="28"/>
  </w:num>
  <w:num w:numId="32">
    <w:abstractNumId w:val="9"/>
  </w:num>
  <w:num w:numId="33">
    <w:abstractNumId w:val="35"/>
  </w:num>
  <w:num w:numId="34">
    <w:abstractNumId w:val="29"/>
  </w:num>
  <w:num w:numId="35">
    <w:abstractNumId w:val="3"/>
  </w:num>
  <w:num w:numId="36">
    <w:abstractNumId w:val="2"/>
  </w:num>
  <w:num w:numId="37">
    <w:abstractNumId w:val="15"/>
  </w:num>
  <w:num w:numId="38">
    <w:abstractNumId w:val="37"/>
  </w:num>
  <w:num w:numId="39">
    <w:abstractNumId w:val="32"/>
  </w:num>
  <w:num w:numId="40">
    <w:abstractNumId w:val="4"/>
  </w:num>
  <w:num w:numId="41">
    <w:abstractNumId w:val="11"/>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66"/>
    <w:rsid w:val="0003042D"/>
    <w:rsid w:val="00047B7B"/>
    <w:rsid w:val="000502D5"/>
    <w:rsid w:val="00062C7D"/>
    <w:rsid w:val="000803A2"/>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8541A"/>
    <w:rsid w:val="002A3C5A"/>
    <w:rsid w:val="002A7241"/>
    <w:rsid w:val="002C4B0F"/>
    <w:rsid w:val="002E5F1F"/>
    <w:rsid w:val="002F344A"/>
    <w:rsid w:val="00311FC8"/>
    <w:rsid w:val="00337DFA"/>
    <w:rsid w:val="0035124F"/>
    <w:rsid w:val="0035647B"/>
    <w:rsid w:val="00361FCF"/>
    <w:rsid w:val="00380288"/>
    <w:rsid w:val="003B503F"/>
    <w:rsid w:val="003C2DDE"/>
    <w:rsid w:val="004161FD"/>
    <w:rsid w:val="004338C6"/>
    <w:rsid w:val="00454D75"/>
    <w:rsid w:val="0049232C"/>
    <w:rsid w:val="004A3ECF"/>
    <w:rsid w:val="004B04FF"/>
    <w:rsid w:val="004B3EE6"/>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17D05"/>
    <w:rsid w:val="0072045A"/>
    <w:rsid w:val="00733386"/>
    <w:rsid w:val="00782A92"/>
    <w:rsid w:val="00797721"/>
    <w:rsid w:val="007A21E4"/>
    <w:rsid w:val="007C78CA"/>
    <w:rsid w:val="007D1D57"/>
    <w:rsid w:val="00807121"/>
    <w:rsid w:val="00813ED4"/>
    <w:rsid w:val="00824BDA"/>
    <w:rsid w:val="00826B23"/>
    <w:rsid w:val="00835E24"/>
    <w:rsid w:val="00840515"/>
    <w:rsid w:val="00873234"/>
    <w:rsid w:val="0089665B"/>
    <w:rsid w:val="008B1E35"/>
    <w:rsid w:val="008B2F11"/>
    <w:rsid w:val="008B77B7"/>
    <w:rsid w:val="008D1EC3"/>
    <w:rsid w:val="008E2AA9"/>
    <w:rsid w:val="008E3187"/>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3F66"/>
    <w:rsid w:val="00AF5B2C"/>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3341"/>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13F2B1"/>
  <w15:docId w15:val="{A9C5FF68-2653-44E1-9264-A15530A4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B3EE6"/>
    <w:pPr>
      <w:keepNext/>
      <w:keepLines/>
      <w:spacing w:after="0"/>
      <w:ind w:left="36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53341"/>
    <w:pPr>
      <w:keepNext/>
      <w:keepLines/>
      <w:numPr>
        <w:ilvl w:val="2"/>
        <w:numId w:val="9"/>
      </w:numPr>
      <w:shd w:val="clear" w:color="auto" w:fill="FFFFFF"/>
      <w:spacing w:before="160" w:after="0"/>
      <w:ind w:left="0" w:firstLine="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3341"/>
    <w:rPr>
      <w:rFonts w:ascii="Calibri" w:eastAsiaTheme="majorEastAsia" w:hAnsi="Calibri" w:cstheme="majorBidi"/>
      <w:b/>
      <w:bCs/>
      <w:color w:val="1C3046"/>
      <w:sz w:val="24"/>
      <w:shd w:val="clear" w:color="auto" w:fill="FFFFFF"/>
    </w:rPr>
  </w:style>
  <w:style w:type="character" w:customStyle="1" w:styleId="Heading1Char">
    <w:name w:val="Heading 1 Char"/>
    <w:basedOn w:val="DefaultParagraphFont"/>
    <w:link w:val="Heading1"/>
    <w:uiPriority w:val="9"/>
    <w:rsid w:val="004B3EE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53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egi.eu/document/3485" TargetMode="External"/><Relationship Id="rId18" Type="http://schemas.openxmlformats.org/officeDocument/2006/relationships/hyperlink" Target="https://spaces.at.internet2.edu/display/COmanage/Hom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iki.eosc-hub.eu/display/EOSC/EOSC-hub+Glossary" TargetMode="External"/><Relationship Id="rId20" Type="http://schemas.openxmlformats.org/officeDocument/2006/relationships/hyperlink" Target="http://www.lter-europe.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dn.lter-europe.net/data/sensor?id=/ECN/T12/DRYTMP_RH/2&amp;service=observations" TargetMode="Externa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cos-ri.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D68686EDA62241AA0A08C9503C2C26" ma:contentTypeVersion="2" ma:contentTypeDescription="Create a new document." ma:contentTypeScope="" ma:versionID="b6f2431ff5f8e9babe20a697e548e002">
  <xsd:schema xmlns:xsd="http://www.w3.org/2001/XMLSchema" xmlns:xs="http://www.w3.org/2001/XMLSchema" xmlns:p="http://schemas.microsoft.com/office/2006/metadata/properties" xmlns:ns3="ccb7cb7c-a4e1-4c9f-bff3-5ade3f381df7" targetNamespace="http://schemas.microsoft.com/office/2006/metadata/properties" ma:root="true" ma:fieldsID="14b12c1dc336dbec2145852324f79fd6" ns3:_="">
    <xsd:import namespace="ccb7cb7c-a4e1-4c9f-bff3-5ade3f381d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7cb7c-a4e1-4c9f-bff3-5ade3f381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244D1-EB61-4EB1-B0D0-F75EB2BF9FCA}">
  <ds:schemaRefs>
    <ds:schemaRef ds:uri="http://schemas.microsoft.com/sharepoint/v3/contenttype/forms"/>
  </ds:schemaRefs>
</ds:datastoreItem>
</file>

<file path=customXml/itemProps2.xml><?xml version="1.0" encoding="utf-8"?>
<ds:datastoreItem xmlns:ds="http://schemas.openxmlformats.org/officeDocument/2006/customXml" ds:itemID="{1B92FBAB-3091-4BE4-B7F3-BD95BE8ED00A}">
  <ds:schemaRefs>
    <ds:schemaRef ds:uri="http://schemas.openxmlformats.org/officeDocument/2006/bibliography"/>
  </ds:schemaRefs>
</ds:datastoreItem>
</file>

<file path=customXml/itemProps3.xml><?xml version="1.0" encoding="utf-8"?>
<ds:datastoreItem xmlns:ds="http://schemas.openxmlformats.org/officeDocument/2006/customXml" ds:itemID="{1E54C6FA-0C58-471E-A874-434E14CEA6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A7840B-63D7-4397-8E26-136CE2678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7cb7c-a4e1-4c9f-bff3-5ade3f381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5</TotalTime>
  <Pages>1</Pages>
  <Words>10724</Words>
  <Characters>61133</Characters>
  <Application>Microsoft Office Word</Application>
  <DocSecurity>0</DocSecurity>
  <Lines>509</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9</cp:revision>
  <cp:lastPrinted>2021-06-24T13:11:00Z</cp:lastPrinted>
  <dcterms:created xsi:type="dcterms:W3CDTF">2020-01-10T15:31:00Z</dcterms:created>
  <dcterms:modified xsi:type="dcterms:W3CDTF">2021-06-24T13:11:00Z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0x0101004DD68686EDA62241AA0A08C9503C2C26</vt:lpwstr>
  </property>
</Properties>
</file>