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BDE48C" w14:textId="77777777" w:rsidR="00A30A98" w:rsidRPr="00E04C11" w:rsidRDefault="00A30A98" w:rsidP="00A30A98">
      <w:pPr>
        <w:jc w:val="center"/>
      </w:pPr>
      <w:r>
        <w:rPr>
          <w:noProof/>
          <w:lang w:val="it-IT" w:eastAsia="it-IT"/>
        </w:rPr>
        <w:drawing>
          <wp:anchor distT="0" distB="0" distL="114300" distR="114300" simplePos="0" relativeHeight="251658752" behindDoc="1" locked="0" layoutInCell="1" allowOverlap="1" wp14:anchorId="3F6E48BA" wp14:editId="04E8D294">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eastAsia="it-IT"/>
        </w:rPr>
        <w:drawing>
          <wp:inline distT="0" distB="0" distL="0" distR="0" wp14:anchorId="72E3246C" wp14:editId="0EF926F8">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6CF58A0D" w14:textId="2C409227" w:rsidR="00A30A98" w:rsidRPr="008E2AA9" w:rsidRDefault="00A10542" w:rsidP="00A30A98">
      <w:pPr>
        <w:pStyle w:val="Title"/>
        <w:rPr>
          <w:i w:val="0"/>
          <w:color w:val="1C3046"/>
        </w:rPr>
      </w:pPr>
      <w:r w:rsidRPr="00A10542">
        <w:rPr>
          <w:i w:val="0"/>
          <w:color w:val="1C3046"/>
        </w:rPr>
        <w:t>An EOSC-hub Proposal for the EOSC Technical Architecture</w:t>
      </w:r>
      <w:r w:rsidR="001D1FF5">
        <w:rPr>
          <w:i w:val="0"/>
          <w:color w:val="1C3046"/>
        </w:rPr>
        <w:t xml:space="preserve"> </w:t>
      </w:r>
    </w:p>
    <w:tbl>
      <w:tblPr>
        <w:tblStyle w:val="TableGridLight"/>
        <w:tblW w:w="0" w:type="auto"/>
        <w:jc w:val="center"/>
        <w:tblLayout w:type="fixed"/>
        <w:tblLook w:val="0000" w:firstRow="0" w:lastRow="0" w:firstColumn="0" w:lastColumn="0" w:noHBand="0" w:noVBand="0"/>
      </w:tblPr>
      <w:tblGrid>
        <w:gridCol w:w="2263"/>
        <w:gridCol w:w="5642"/>
      </w:tblGrid>
      <w:tr w:rsidR="00A30A98" w:rsidRPr="007255C2" w14:paraId="07793619" w14:textId="77777777" w:rsidTr="0066656C">
        <w:trPr>
          <w:trHeight w:val="508"/>
          <w:jc w:val="center"/>
        </w:trPr>
        <w:tc>
          <w:tcPr>
            <w:tcW w:w="2263" w:type="dxa"/>
          </w:tcPr>
          <w:p w14:paraId="3F9F478D" w14:textId="77777777" w:rsidR="00A30A98" w:rsidRPr="007255C2" w:rsidRDefault="00A30A98" w:rsidP="00F7760B">
            <w:pPr>
              <w:snapToGrid w:val="0"/>
              <w:spacing w:before="120"/>
              <w:rPr>
                <w:rFonts w:cs="Open Sans"/>
                <w:b/>
              </w:rPr>
            </w:pPr>
            <w:r w:rsidRPr="007255C2">
              <w:rPr>
                <w:rFonts w:cs="Open Sans"/>
                <w:b/>
              </w:rPr>
              <w:t>Version</w:t>
            </w:r>
            <w:r>
              <w:rPr>
                <w:rFonts w:cs="Open Sans"/>
                <w:b/>
              </w:rPr>
              <w:t>:</w:t>
            </w:r>
          </w:p>
        </w:tc>
        <w:tc>
          <w:tcPr>
            <w:tcW w:w="5642" w:type="dxa"/>
          </w:tcPr>
          <w:p w14:paraId="5C88CEFA" w14:textId="44339B1D" w:rsidR="00A30A98" w:rsidRPr="00A10542" w:rsidRDefault="00A10542" w:rsidP="00F7760B">
            <w:pPr>
              <w:pStyle w:val="DocDate"/>
              <w:snapToGrid w:val="0"/>
              <w:jc w:val="left"/>
              <w:rPr>
                <w:rFonts w:ascii="Calibri" w:hAnsi="Calibri" w:cs="Open Sans"/>
                <w:b w:val="0"/>
              </w:rPr>
            </w:pPr>
            <w:r w:rsidRPr="00A10542">
              <w:rPr>
                <w:rFonts w:ascii="Calibri" w:hAnsi="Calibri" w:cs="Open Sans"/>
                <w:b w:val="0"/>
              </w:rPr>
              <w:t>1</w:t>
            </w:r>
          </w:p>
        </w:tc>
      </w:tr>
      <w:tr w:rsidR="0066656C" w:rsidRPr="007255C2" w14:paraId="12728EAD" w14:textId="77777777" w:rsidTr="0066656C">
        <w:trPr>
          <w:trHeight w:val="508"/>
          <w:jc w:val="center"/>
        </w:trPr>
        <w:tc>
          <w:tcPr>
            <w:tcW w:w="2263" w:type="dxa"/>
          </w:tcPr>
          <w:p w14:paraId="501D186D" w14:textId="77777777" w:rsidR="0066656C" w:rsidRPr="007255C2" w:rsidRDefault="0066656C" w:rsidP="00F7760B">
            <w:pPr>
              <w:snapToGrid w:val="0"/>
              <w:spacing w:before="120"/>
              <w:rPr>
                <w:rFonts w:cs="Open Sans"/>
                <w:b/>
              </w:rPr>
            </w:pPr>
            <w:r>
              <w:rPr>
                <w:rFonts w:cs="Open Sans"/>
                <w:b/>
              </w:rPr>
              <w:t>Status:</w:t>
            </w:r>
          </w:p>
        </w:tc>
        <w:tc>
          <w:tcPr>
            <w:tcW w:w="5642" w:type="dxa"/>
          </w:tcPr>
          <w:p w14:paraId="073EE20C" w14:textId="04548E34" w:rsidR="0066656C" w:rsidRPr="00A10542" w:rsidRDefault="00A10542" w:rsidP="00F7760B">
            <w:pPr>
              <w:pStyle w:val="DocDate"/>
              <w:snapToGrid w:val="0"/>
              <w:jc w:val="left"/>
              <w:rPr>
                <w:rFonts w:ascii="Calibri" w:hAnsi="Calibri" w:cs="Open Sans"/>
                <w:b w:val="0"/>
              </w:rPr>
            </w:pPr>
            <w:r w:rsidRPr="00A10542">
              <w:rPr>
                <w:rFonts w:ascii="Calibri" w:hAnsi="Calibri" w:cs="Open Sans"/>
                <w:b w:val="0"/>
              </w:rPr>
              <w:t>Final</w:t>
            </w:r>
          </w:p>
        </w:tc>
      </w:tr>
      <w:tr w:rsidR="0066656C" w:rsidRPr="007255C2" w14:paraId="2290BE92" w14:textId="77777777" w:rsidTr="0066656C">
        <w:trPr>
          <w:trHeight w:val="508"/>
          <w:jc w:val="center"/>
        </w:trPr>
        <w:tc>
          <w:tcPr>
            <w:tcW w:w="2263" w:type="dxa"/>
          </w:tcPr>
          <w:p w14:paraId="4FD82BAF" w14:textId="77777777" w:rsidR="0066656C" w:rsidRDefault="0066656C" w:rsidP="00F7760B">
            <w:pPr>
              <w:snapToGrid w:val="0"/>
              <w:spacing w:before="120"/>
              <w:rPr>
                <w:rFonts w:cs="Open Sans"/>
                <w:b/>
              </w:rPr>
            </w:pPr>
            <w:r>
              <w:rPr>
                <w:rFonts w:cs="Open Sans"/>
                <w:b/>
              </w:rPr>
              <w:t>Dissemination Level:</w:t>
            </w:r>
          </w:p>
        </w:tc>
        <w:tc>
          <w:tcPr>
            <w:tcW w:w="5642" w:type="dxa"/>
          </w:tcPr>
          <w:p w14:paraId="3310B231" w14:textId="491D0EDE" w:rsidR="0066656C" w:rsidRPr="00A10542" w:rsidRDefault="00A10542" w:rsidP="00F7760B">
            <w:pPr>
              <w:pStyle w:val="DocDate"/>
              <w:snapToGrid w:val="0"/>
              <w:jc w:val="left"/>
              <w:rPr>
                <w:rFonts w:ascii="Calibri" w:hAnsi="Calibri" w:cs="Open Sans"/>
                <w:b w:val="0"/>
              </w:rPr>
            </w:pPr>
            <w:r w:rsidRPr="00A10542">
              <w:rPr>
                <w:rFonts w:ascii="Calibri" w:hAnsi="Calibri" w:cs="Open Sans"/>
                <w:b w:val="0"/>
              </w:rPr>
              <w:t>Public</w:t>
            </w:r>
          </w:p>
        </w:tc>
      </w:tr>
      <w:tr w:rsidR="00A30A98" w:rsidRPr="007255C2" w14:paraId="671C1721" w14:textId="77777777" w:rsidTr="0066656C">
        <w:trPr>
          <w:trHeight w:val="526"/>
          <w:jc w:val="center"/>
        </w:trPr>
        <w:tc>
          <w:tcPr>
            <w:tcW w:w="2263" w:type="dxa"/>
          </w:tcPr>
          <w:p w14:paraId="25EBA66E" w14:textId="77777777" w:rsidR="00A30A98" w:rsidRPr="007255C2" w:rsidRDefault="00A30A98" w:rsidP="00F7760B">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5642" w:type="dxa"/>
          </w:tcPr>
          <w:p w14:paraId="5C5C9710" w14:textId="77777777" w:rsidR="00A30A98" w:rsidRPr="00A10542" w:rsidRDefault="00A30A98" w:rsidP="00F7760B">
            <w:pPr>
              <w:snapToGrid w:val="0"/>
              <w:spacing w:before="120"/>
              <w:jc w:val="left"/>
              <w:rPr>
                <w:rFonts w:cs="Open Sans"/>
              </w:rPr>
            </w:pPr>
          </w:p>
        </w:tc>
      </w:tr>
    </w:tbl>
    <w:p w14:paraId="3BB0306B" w14:textId="77777777" w:rsidR="00A30A98" w:rsidRDefault="00A30A98" w:rsidP="00A30A98"/>
    <w:tbl>
      <w:tblPr>
        <w:tblStyle w:val="TableGridLight"/>
        <w:tblW w:w="0" w:type="auto"/>
        <w:jc w:val="center"/>
        <w:tblLayout w:type="fixed"/>
        <w:tblLook w:val="0000" w:firstRow="0" w:lastRow="0" w:firstColumn="0" w:lastColumn="0" w:noHBand="0" w:noVBand="0"/>
      </w:tblPr>
      <w:tblGrid>
        <w:gridCol w:w="7933"/>
      </w:tblGrid>
      <w:tr w:rsidR="00A30A98" w:rsidRPr="007255C2" w14:paraId="7F2E7F54" w14:textId="77777777" w:rsidTr="00F7760B">
        <w:trPr>
          <w:trHeight w:val="319"/>
          <w:jc w:val="center"/>
        </w:trPr>
        <w:tc>
          <w:tcPr>
            <w:tcW w:w="7933" w:type="dxa"/>
          </w:tcPr>
          <w:p w14:paraId="713E5422" w14:textId="77777777" w:rsidR="00A30A98" w:rsidRPr="007255C2" w:rsidRDefault="00A30A98" w:rsidP="00F7760B">
            <w:pPr>
              <w:snapToGrid w:val="0"/>
              <w:spacing w:before="120"/>
              <w:jc w:val="left"/>
              <w:rPr>
                <w:rFonts w:cs="Open Sans"/>
              </w:rPr>
            </w:pPr>
            <w:r>
              <w:rPr>
                <w:rFonts w:cs="Open Sans"/>
                <w:b/>
              </w:rPr>
              <w:t>Deliverable Abstract</w:t>
            </w:r>
          </w:p>
        </w:tc>
      </w:tr>
      <w:tr w:rsidR="00A30A98" w:rsidRPr="007255C2" w14:paraId="2FB1DCF4" w14:textId="77777777" w:rsidTr="00F7760B">
        <w:trPr>
          <w:trHeight w:val="3475"/>
          <w:jc w:val="center"/>
        </w:trPr>
        <w:tc>
          <w:tcPr>
            <w:tcW w:w="7933" w:type="dxa"/>
          </w:tcPr>
          <w:p w14:paraId="35D7B7C5" w14:textId="0C2685B7" w:rsidR="00A30A98" w:rsidRPr="007255C2" w:rsidRDefault="00A10542" w:rsidP="00F7760B">
            <w:pPr>
              <w:pStyle w:val="DocDate"/>
              <w:snapToGrid w:val="0"/>
              <w:jc w:val="left"/>
              <w:rPr>
                <w:rFonts w:ascii="Calibri" w:hAnsi="Calibri" w:cs="Open Sans"/>
                <w:b w:val="0"/>
                <w:highlight w:val="yellow"/>
              </w:rPr>
            </w:pPr>
            <w:r w:rsidRPr="00A10542">
              <w:rPr>
                <w:rFonts w:ascii="Calibri" w:hAnsi="Calibri" w:cs="Open Sans"/>
                <w:b w:val="0"/>
              </w:rPr>
              <w:t>This document describes the EOSC Technical Architecture proposed by EOSC-Hub. It is based on the concepts of service interoperability and end-to-end composition of services and foresees the definition of a reference architecture where all the EOSC main functions, interfaces, APIs and standards are identified.</w:t>
            </w:r>
          </w:p>
        </w:tc>
      </w:tr>
    </w:tbl>
    <w:p w14:paraId="5576550E" w14:textId="77777777" w:rsidR="001D1FF5" w:rsidRDefault="001D1FF5" w:rsidP="00247395">
      <w:pPr>
        <w:rPr>
          <w:b/>
          <w:color w:val="1C3046"/>
        </w:rPr>
      </w:pPr>
    </w:p>
    <w:p w14:paraId="37A9E0D0" w14:textId="77777777" w:rsidR="001D1FF5" w:rsidRDefault="001D1FF5">
      <w:pPr>
        <w:spacing w:after="200"/>
        <w:jc w:val="left"/>
        <w:rPr>
          <w:b/>
          <w:color w:val="1C3046"/>
        </w:rPr>
      </w:pPr>
      <w:r>
        <w:rPr>
          <w:b/>
          <w:color w:val="1C3046"/>
        </w:rPr>
        <w:br w:type="page"/>
      </w:r>
    </w:p>
    <w:p w14:paraId="0B226687" w14:textId="77777777" w:rsidR="00247395" w:rsidRPr="006014D2" w:rsidRDefault="00247395" w:rsidP="00247395">
      <w:pPr>
        <w:rPr>
          <w:b/>
          <w:color w:val="1C3046"/>
        </w:rPr>
      </w:pPr>
      <w:r w:rsidRPr="006014D2">
        <w:rPr>
          <w:b/>
          <w:color w:val="1C3046"/>
        </w:rPr>
        <w:lastRenderedPageBreak/>
        <w:t xml:space="preserve">COPYRIGHT NOTICE </w:t>
      </w:r>
    </w:p>
    <w:p w14:paraId="41C41026" w14:textId="77777777" w:rsidR="00247395" w:rsidRDefault="00247395" w:rsidP="00247395">
      <w:r>
        <w:rPr>
          <w:noProof/>
          <w:lang w:eastAsia="en-GB"/>
        </w:rPr>
        <w:drawing>
          <wp:inline distT="0" distB="0" distL="0" distR="0" wp14:anchorId="0758A295" wp14:editId="6E61E13A">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19AC6A1C" w14:textId="77777777" w:rsidR="00247395" w:rsidRDefault="00247395" w:rsidP="00247395">
      <w:r w:rsidRPr="001365FE">
        <w:t xml:space="preserve">This work by Parties of the </w:t>
      </w:r>
      <w:r>
        <w:t>EOSC-hub</w:t>
      </w:r>
      <w:r w:rsidRPr="001365FE">
        <w:t xml:space="preserve"> Consortium is licensed under a Creative Commons Attribution 4.0 International License</w:t>
      </w:r>
      <w:r>
        <w:t xml:space="preserve"> (</w:t>
      </w:r>
      <w:hyperlink r:id="rId11"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066F61A8" w14:textId="77777777" w:rsidR="0066656C" w:rsidRPr="0066656C" w:rsidRDefault="0066656C" w:rsidP="00247395">
      <w:pPr>
        <w:rPr>
          <w:b/>
          <w:color w:val="1C3046"/>
        </w:rPr>
      </w:pPr>
      <w:r w:rsidRPr="006014D2">
        <w:rPr>
          <w:b/>
          <w:color w:val="1C3046"/>
        </w:rPr>
        <w:t>DELIVERY SLIP</w:t>
      </w:r>
    </w:p>
    <w:tbl>
      <w:tblPr>
        <w:tblStyle w:val="TableSimple1"/>
        <w:tblW w:w="0" w:type="auto"/>
        <w:tblLook w:val="04A0" w:firstRow="1" w:lastRow="0" w:firstColumn="1" w:lastColumn="0" w:noHBand="0" w:noVBand="1"/>
      </w:tblPr>
      <w:tblGrid>
        <w:gridCol w:w="2092"/>
        <w:gridCol w:w="3695"/>
      </w:tblGrid>
      <w:tr w:rsidR="001B3DB9" w:rsidRPr="002E5F1F" w14:paraId="09C25310" w14:textId="77777777" w:rsidTr="001B3D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2" w:type="dxa"/>
          </w:tcPr>
          <w:p w14:paraId="7A022752" w14:textId="77777777" w:rsidR="001B3DB9" w:rsidRPr="002E5F1F" w:rsidRDefault="001B3DB9" w:rsidP="002B595A">
            <w:pPr>
              <w:pStyle w:val="NoSpacing"/>
              <w:rPr>
                <w:b w:val="0"/>
                <w:i/>
              </w:rPr>
            </w:pPr>
            <w:r>
              <w:rPr>
                <w:i/>
              </w:rPr>
              <w:t>Date</w:t>
            </w:r>
          </w:p>
        </w:tc>
        <w:tc>
          <w:tcPr>
            <w:tcW w:w="3695" w:type="dxa"/>
          </w:tcPr>
          <w:p w14:paraId="3FAB64F5" w14:textId="77777777" w:rsidR="001B3DB9" w:rsidRPr="002E5F1F" w:rsidRDefault="001B3DB9" w:rsidP="002B595A">
            <w:pPr>
              <w:pStyle w:val="NoSpacing"/>
              <w:cnfStyle w:val="100000000000" w:firstRow="1" w:lastRow="0" w:firstColumn="0" w:lastColumn="0" w:oddVBand="0" w:evenVBand="0" w:oddHBand="0" w:evenHBand="0" w:firstRowFirstColumn="0" w:firstRowLastColumn="0" w:lastRowFirstColumn="0" w:lastRowLastColumn="0"/>
              <w:rPr>
                <w:b w:val="0"/>
                <w:i/>
              </w:rPr>
            </w:pPr>
            <w:r>
              <w:rPr>
                <w:i/>
              </w:rPr>
              <w:t>Name</w:t>
            </w:r>
          </w:p>
        </w:tc>
      </w:tr>
      <w:tr w:rsidR="001B3DB9" w:rsidRPr="001B3DB9" w14:paraId="6278E781" w14:textId="77777777" w:rsidTr="001B3D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2" w:type="dxa"/>
          </w:tcPr>
          <w:p w14:paraId="7EF94B60" w14:textId="77777777" w:rsidR="001B3DB9" w:rsidRDefault="001B3DB9" w:rsidP="002B595A">
            <w:pPr>
              <w:pStyle w:val="NoSpacing"/>
            </w:pPr>
            <w:r>
              <w:t>From:</w:t>
            </w:r>
          </w:p>
        </w:tc>
        <w:tc>
          <w:tcPr>
            <w:tcW w:w="3695" w:type="dxa"/>
          </w:tcPr>
          <w:p w14:paraId="3CCD956A" w14:textId="042EA432" w:rsidR="001B3DB9" w:rsidRPr="001B3DB9" w:rsidRDefault="001B3DB9" w:rsidP="002B595A">
            <w:pPr>
              <w:pStyle w:val="NoSpacing"/>
              <w:cnfStyle w:val="000000100000" w:firstRow="0" w:lastRow="0" w:firstColumn="0" w:lastColumn="0" w:oddVBand="0" w:evenVBand="0" w:oddHBand="1" w:evenHBand="0" w:firstRowFirstColumn="0" w:firstRowLastColumn="0" w:lastRowFirstColumn="0" w:lastRowLastColumn="0"/>
              <w:rPr>
                <w:lang w:val="it-IT"/>
              </w:rPr>
            </w:pPr>
            <w:r w:rsidRPr="001B3DB9">
              <w:rPr>
                <w:lang w:val="it-IT"/>
              </w:rPr>
              <w:t>Diego Scardaci (EGI.eu) a</w:t>
            </w:r>
            <w:r>
              <w:rPr>
                <w:lang w:val="it-IT"/>
              </w:rPr>
              <w:t>nd Giacinto Donvito (INFN)</w:t>
            </w:r>
          </w:p>
        </w:tc>
      </w:tr>
    </w:tbl>
    <w:p w14:paraId="4A9699D2" w14:textId="77777777" w:rsidR="0066656C" w:rsidRPr="001B3DB9" w:rsidRDefault="0066656C" w:rsidP="00247395">
      <w:pPr>
        <w:rPr>
          <w:lang w:val="it-IT"/>
        </w:rPr>
      </w:pPr>
    </w:p>
    <w:p w14:paraId="2534C018" w14:textId="77777777" w:rsidR="00A30A98" w:rsidRDefault="00A30A98" w:rsidP="00A30A98">
      <w:pPr>
        <w:rPr>
          <w:b/>
          <w:color w:val="1C3046"/>
        </w:rPr>
      </w:pPr>
      <w:r w:rsidRPr="00807121">
        <w:rPr>
          <w:b/>
          <w:color w:val="1C3046"/>
        </w:rPr>
        <w:t>TERMINOLOGY</w:t>
      </w:r>
    </w:p>
    <w:p w14:paraId="71DACF3F" w14:textId="1C2557E4" w:rsidR="00A30A98" w:rsidRPr="001B3DB9" w:rsidRDefault="00A04362" w:rsidP="00A30A98">
      <w:pPr>
        <w:rPr>
          <w:b/>
          <w:color w:val="1C3046"/>
        </w:rPr>
      </w:pPr>
      <w:hyperlink r:id="rId12" w:tgtFrame="_blank" w:history="1">
        <w:r w:rsidR="00B75013">
          <w:rPr>
            <w:rStyle w:val="Hyperlink"/>
          </w:rPr>
          <w:t>https://wiki.eosc-hub.eu/display/EOSC/EOSC-hub+Glossary</w:t>
        </w:r>
      </w:hyperlink>
      <w:r w:rsidR="00A30A98">
        <w:br w:type="page"/>
      </w:r>
    </w:p>
    <w:sdt>
      <w:sdtPr>
        <w:rPr>
          <w:b/>
          <w:color w:val="0067B1"/>
          <w:sz w:val="40"/>
        </w:rPr>
        <w:id w:val="-1545511109"/>
        <w:docPartObj>
          <w:docPartGallery w:val="Table of Contents"/>
          <w:docPartUnique/>
        </w:docPartObj>
      </w:sdtPr>
      <w:sdtEndPr>
        <w:rPr>
          <w:bCs/>
          <w:noProof/>
          <w:color w:val="auto"/>
          <w:sz w:val="22"/>
        </w:rPr>
      </w:sdtEndPr>
      <w:sdtContent>
        <w:p w14:paraId="724D9D91" w14:textId="77777777" w:rsidR="00A30A98" w:rsidRPr="00807121" w:rsidRDefault="00A30A98" w:rsidP="00A30A98">
          <w:pPr>
            <w:rPr>
              <w:b/>
              <w:color w:val="1C3046"/>
              <w:sz w:val="40"/>
            </w:rPr>
          </w:pPr>
          <w:r w:rsidRPr="00807121">
            <w:rPr>
              <w:b/>
              <w:color w:val="1C3046"/>
              <w:sz w:val="40"/>
            </w:rPr>
            <w:t>Contents</w:t>
          </w:r>
        </w:p>
        <w:p w14:paraId="5FC5CD39" w14:textId="7BFE5758" w:rsidR="00372E16" w:rsidRDefault="00247395">
          <w:pPr>
            <w:pStyle w:val="TOC1"/>
            <w:rPr>
              <w:rFonts w:asciiTheme="minorHAnsi" w:eastAsiaTheme="minorEastAsia" w:hAnsiTheme="minorHAnsi"/>
              <w:color w:val="auto"/>
              <w:spacing w:val="0"/>
              <w:lang w:val="en-US"/>
            </w:rPr>
          </w:pPr>
          <w:r>
            <w:fldChar w:fldCharType="begin"/>
          </w:r>
          <w:r>
            <w:instrText xml:space="preserve"> TOC \o "1-2" \h \z \u </w:instrText>
          </w:r>
          <w:r>
            <w:fldChar w:fldCharType="separate"/>
          </w:r>
          <w:bookmarkStart w:id="0" w:name="_GoBack"/>
          <w:r w:rsidR="00372E16" w:rsidRPr="00B235DD">
            <w:rPr>
              <w:rStyle w:val="Hyperlink"/>
            </w:rPr>
            <w:fldChar w:fldCharType="begin"/>
          </w:r>
          <w:r w:rsidR="00372E16" w:rsidRPr="00B235DD">
            <w:rPr>
              <w:rStyle w:val="Hyperlink"/>
            </w:rPr>
            <w:instrText xml:space="preserve"> </w:instrText>
          </w:r>
          <w:r w:rsidR="00372E16">
            <w:instrText>HYPERLINK \l "_Toc15645921"</w:instrText>
          </w:r>
          <w:r w:rsidR="00372E16" w:rsidRPr="00B235DD">
            <w:rPr>
              <w:rStyle w:val="Hyperlink"/>
            </w:rPr>
            <w:instrText xml:space="preserve"> </w:instrText>
          </w:r>
          <w:r w:rsidR="00372E16" w:rsidRPr="00B235DD">
            <w:rPr>
              <w:rStyle w:val="Hyperlink"/>
            </w:rPr>
          </w:r>
          <w:r w:rsidR="00372E16" w:rsidRPr="00B235DD">
            <w:rPr>
              <w:rStyle w:val="Hyperlink"/>
            </w:rPr>
            <w:fldChar w:fldCharType="separate"/>
          </w:r>
          <w:r w:rsidR="00372E16" w:rsidRPr="00B235DD">
            <w:rPr>
              <w:rStyle w:val="Hyperlink"/>
            </w:rPr>
            <w:t>1</w:t>
          </w:r>
          <w:r w:rsidR="00372E16">
            <w:rPr>
              <w:rFonts w:asciiTheme="minorHAnsi" w:eastAsiaTheme="minorEastAsia" w:hAnsiTheme="minorHAnsi"/>
              <w:color w:val="auto"/>
              <w:spacing w:val="0"/>
              <w:lang w:val="en-US"/>
            </w:rPr>
            <w:tab/>
          </w:r>
          <w:r w:rsidR="00372E16" w:rsidRPr="00B235DD">
            <w:rPr>
              <w:rStyle w:val="Hyperlink"/>
            </w:rPr>
            <w:t>Introduction</w:t>
          </w:r>
          <w:r w:rsidR="00372E16">
            <w:rPr>
              <w:webHidden/>
            </w:rPr>
            <w:tab/>
          </w:r>
          <w:r w:rsidR="00372E16">
            <w:rPr>
              <w:webHidden/>
            </w:rPr>
            <w:fldChar w:fldCharType="begin"/>
          </w:r>
          <w:r w:rsidR="00372E16">
            <w:rPr>
              <w:webHidden/>
            </w:rPr>
            <w:instrText xml:space="preserve"> PAGEREF _Toc15645921 \h </w:instrText>
          </w:r>
          <w:r w:rsidR="00372E16">
            <w:rPr>
              <w:webHidden/>
            </w:rPr>
          </w:r>
          <w:r w:rsidR="00372E16">
            <w:rPr>
              <w:webHidden/>
            </w:rPr>
            <w:fldChar w:fldCharType="separate"/>
          </w:r>
          <w:r w:rsidR="00372E16">
            <w:rPr>
              <w:webHidden/>
            </w:rPr>
            <w:t>6</w:t>
          </w:r>
          <w:r w:rsidR="00372E16">
            <w:rPr>
              <w:webHidden/>
            </w:rPr>
            <w:fldChar w:fldCharType="end"/>
          </w:r>
          <w:r w:rsidR="00372E16" w:rsidRPr="00B235DD">
            <w:rPr>
              <w:rStyle w:val="Hyperlink"/>
            </w:rPr>
            <w:fldChar w:fldCharType="end"/>
          </w:r>
        </w:p>
        <w:bookmarkEnd w:id="0"/>
        <w:p w14:paraId="425EF081" w14:textId="11B3D30B" w:rsidR="00372E16" w:rsidRDefault="00372E16">
          <w:pPr>
            <w:pStyle w:val="TOC1"/>
            <w:rPr>
              <w:rFonts w:asciiTheme="minorHAnsi" w:eastAsiaTheme="minorEastAsia" w:hAnsiTheme="minorHAnsi"/>
              <w:color w:val="auto"/>
              <w:spacing w:val="0"/>
              <w:lang w:val="en-US"/>
            </w:rPr>
          </w:pPr>
          <w:r w:rsidRPr="00B235DD">
            <w:rPr>
              <w:rStyle w:val="Hyperlink"/>
            </w:rPr>
            <w:fldChar w:fldCharType="begin"/>
          </w:r>
          <w:r w:rsidRPr="00B235DD">
            <w:rPr>
              <w:rStyle w:val="Hyperlink"/>
            </w:rPr>
            <w:instrText xml:space="preserve"> </w:instrText>
          </w:r>
          <w:r>
            <w:instrText>HYPERLINK \l "_Toc15645922"</w:instrText>
          </w:r>
          <w:r w:rsidRPr="00B235DD">
            <w:rPr>
              <w:rStyle w:val="Hyperlink"/>
            </w:rPr>
            <w:instrText xml:space="preserve"> </w:instrText>
          </w:r>
          <w:r w:rsidRPr="00B235DD">
            <w:rPr>
              <w:rStyle w:val="Hyperlink"/>
            </w:rPr>
          </w:r>
          <w:r w:rsidRPr="00B235DD">
            <w:rPr>
              <w:rStyle w:val="Hyperlink"/>
            </w:rPr>
            <w:fldChar w:fldCharType="separate"/>
          </w:r>
          <w:r w:rsidRPr="00B235DD">
            <w:rPr>
              <w:rStyle w:val="Hyperlink"/>
            </w:rPr>
            <w:t>2</w:t>
          </w:r>
          <w:r>
            <w:rPr>
              <w:rFonts w:asciiTheme="minorHAnsi" w:eastAsiaTheme="minorEastAsia" w:hAnsiTheme="minorHAnsi"/>
              <w:color w:val="auto"/>
              <w:spacing w:val="0"/>
              <w:lang w:val="en-US"/>
            </w:rPr>
            <w:tab/>
          </w:r>
          <w:r w:rsidRPr="00B235DD">
            <w:rPr>
              <w:rStyle w:val="Hyperlink"/>
            </w:rPr>
            <w:t>The EOSC Portfolios and the EOSC Federating Core</w:t>
          </w:r>
          <w:r>
            <w:rPr>
              <w:webHidden/>
            </w:rPr>
            <w:tab/>
          </w:r>
          <w:r>
            <w:rPr>
              <w:webHidden/>
            </w:rPr>
            <w:fldChar w:fldCharType="begin"/>
          </w:r>
          <w:r>
            <w:rPr>
              <w:webHidden/>
            </w:rPr>
            <w:instrText xml:space="preserve"> PAGEREF _Toc15645922 \h </w:instrText>
          </w:r>
          <w:r>
            <w:rPr>
              <w:webHidden/>
            </w:rPr>
          </w:r>
          <w:r>
            <w:rPr>
              <w:webHidden/>
            </w:rPr>
            <w:fldChar w:fldCharType="separate"/>
          </w:r>
          <w:r>
            <w:rPr>
              <w:webHidden/>
            </w:rPr>
            <w:t>7</w:t>
          </w:r>
          <w:r>
            <w:rPr>
              <w:webHidden/>
            </w:rPr>
            <w:fldChar w:fldCharType="end"/>
          </w:r>
          <w:r w:rsidRPr="00B235DD">
            <w:rPr>
              <w:rStyle w:val="Hyperlink"/>
            </w:rPr>
            <w:fldChar w:fldCharType="end"/>
          </w:r>
        </w:p>
        <w:p w14:paraId="4F3D54D0" w14:textId="7B3789DA" w:rsidR="00372E16" w:rsidRDefault="00372E16">
          <w:pPr>
            <w:pStyle w:val="TOC1"/>
            <w:rPr>
              <w:rFonts w:asciiTheme="minorHAnsi" w:eastAsiaTheme="minorEastAsia" w:hAnsiTheme="minorHAnsi"/>
              <w:color w:val="auto"/>
              <w:spacing w:val="0"/>
              <w:lang w:val="en-US"/>
            </w:rPr>
          </w:pPr>
          <w:hyperlink w:anchor="_Toc15645923" w:history="1">
            <w:r w:rsidRPr="00B235DD">
              <w:rPr>
                <w:rStyle w:val="Hyperlink"/>
              </w:rPr>
              <w:t>3</w:t>
            </w:r>
            <w:r>
              <w:rPr>
                <w:rFonts w:asciiTheme="minorHAnsi" w:eastAsiaTheme="minorEastAsia" w:hAnsiTheme="minorHAnsi"/>
                <w:color w:val="auto"/>
                <w:spacing w:val="0"/>
                <w:lang w:val="en-US"/>
              </w:rPr>
              <w:tab/>
            </w:r>
            <w:r w:rsidRPr="00B235DD">
              <w:rPr>
                <w:rStyle w:val="Hyperlink"/>
              </w:rPr>
              <w:t>Service composability</w:t>
            </w:r>
            <w:r>
              <w:rPr>
                <w:webHidden/>
              </w:rPr>
              <w:tab/>
            </w:r>
            <w:r>
              <w:rPr>
                <w:webHidden/>
              </w:rPr>
              <w:fldChar w:fldCharType="begin"/>
            </w:r>
            <w:r>
              <w:rPr>
                <w:webHidden/>
              </w:rPr>
              <w:instrText xml:space="preserve"> PAGEREF _Toc15645923 \h </w:instrText>
            </w:r>
            <w:r>
              <w:rPr>
                <w:webHidden/>
              </w:rPr>
            </w:r>
            <w:r>
              <w:rPr>
                <w:webHidden/>
              </w:rPr>
              <w:fldChar w:fldCharType="separate"/>
            </w:r>
            <w:r>
              <w:rPr>
                <w:webHidden/>
              </w:rPr>
              <w:t>9</w:t>
            </w:r>
            <w:r>
              <w:rPr>
                <w:webHidden/>
              </w:rPr>
              <w:fldChar w:fldCharType="end"/>
            </w:r>
          </w:hyperlink>
        </w:p>
        <w:p w14:paraId="7EEB8221" w14:textId="6540319D" w:rsidR="00372E16" w:rsidRDefault="00372E16">
          <w:pPr>
            <w:pStyle w:val="TOC1"/>
            <w:rPr>
              <w:rFonts w:asciiTheme="minorHAnsi" w:eastAsiaTheme="minorEastAsia" w:hAnsiTheme="minorHAnsi"/>
              <w:color w:val="auto"/>
              <w:spacing w:val="0"/>
              <w:lang w:val="en-US"/>
            </w:rPr>
          </w:pPr>
          <w:hyperlink w:anchor="_Toc15645924" w:history="1">
            <w:r w:rsidRPr="00B235DD">
              <w:rPr>
                <w:rStyle w:val="Hyperlink"/>
              </w:rPr>
              <w:t>4</w:t>
            </w:r>
            <w:r>
              <w:rPr>
                <w:rFonts w:asciiTheme="minorHAnsi" w:eastAsiaTheme="minorEastAsia" w:hAnsiTheme="minorHAnsi"/>
                <w:color w:val="auto"/>
                <w:spacing w:val="0"/>
                <w:lang w:val="en-US"/>
              </w:rPr>
              <w:tab/>
            </w:r>
            <w:r w:rsidRPr="00B235DD">
              <w:rPr>
                <w:rStyle w:val="Hyperlink"/>
              </w:rPr>
              <w:t>EOSC Technical Architecture</w:t>
            </w:r>
            <w:r>
              <w:rPr>
                <w:webHidden/>
              </w:rPr>
              <w:tab/>
            </w:r>
            <w:r>
              <w:rPr>
                <w:webHidden/>
              </w:rPr>
              <w:fldChar w:fldCharType="begin"/>
            </w:r>
            <w:r>
              <w:rPr>
                <w:webHidden/>
              </w:rPr>
              <w:instrText xml:space="preserve"> PAGEREF _Toc15645924 \h </w:instrText>
            </w:r>
            <w:r>
              <w:rPr>
                <w:webHidden/>
              </w:rPr>
            </w:r>
            <w:r>
              <w:rPr>
                <w:webHidden/>
              </w:rPr>
              <w:fldChar w:fldCharType="separate"/>
            </w:r>
            <w:r>
              <w:rPr>
                <w:webHidden/>
              </w:rPr>
              <w:t>10</w:t>
            </w:r>
            <w:r>
              <w:rPr>
                <w:webHidden/>
              </w:rPr>
              <w:fldChar w:fldCharType="end"/>
            </w:r>
          </w:hyperlink>
        </w:p>
        <w:p w14:paraId="2BEC32A3" w14:textId="077AA6D1" w:rsidR="00372E16" w:rsidRDefault="00372E16">
          <w:pPr>
            <w:pStyle w:val="TOC2"/>
            <w:rPr>
              <w:rFonts w:asciiTheme="minorHAnsi" w:eastAsiaTheme="minorEastAsia" w:hAnsiTheme="minorHAnsi"/>
              <w:noProof/>
              <w:color w:val="auto"/>
              <w:spacing w:val="0"/>
              <w:lang w:val="en-US"/>
            </w:rPr>
          </w:pPr>
          <w:hyperlink w:anchor="_Toc15645925" w:history="1">
            <w:r w:rsidRPr="00B235DD">
              <w:rPr>
                <w:rStyle w:val="Hyperlink"/>
                <w:noProof/>
              </w:rPr>
              <w:t>4.1</w:t>
            </w:r>
            <w:r>
              <w:rPr>
                <w:rFonts w:asciiTheme="minorHAnsi" w:eastAsiaTheme="minorEastAsia" w:hAnsiTheme="minorHAnsi"/>
                <w:noProof/>
                <w:color w:val="auto"/>
                <w:spacing w:val="0"/>
                <w:lang w:val="en-US"/>
              </w:rPr>
              <w:tab/>
            </w:r>
            <w:r w:rsidRPr="00B235DD">
              <w:rPr>
                <w:rStyle w:val="Hyperlink"/>
                <w:noProof/>
              </w:rPr>
              <w:t>Main blocks of the technical architecture</w:t>
            </w:r>
            <w:r>
              <w:rPr>
                <w:noProof/>
                <w:webHidden/>
              </w:rPr>
              <w:tab/>
            </w:r>
            <w:r>
              <w:rPr>
                <w:noProof/>
                <w:webHidden/>
              </w:rPr>
              <w:fldChar w:fldCharType="begin"/>
            </w:r>
            <w:r>
              <w:rPr>
                <w:noProof/>
                <w:webHidden/>
              </w:rPr>
              <w:instrText xml:space="preserve"> PAGEREF _Toc15645925 \h </w:instrText>
            </w:r>
            <w:r>
              <w:rPr>
                <w:noProof/>
                <w:webHidden/>
              </w:rPr>
            </w:r>
            <w:r>
              <w:rPr>
                <w:noProof/>
                <w:webHidden/>
              </w:rPr>
              <w:fldChar w:fldCharType="separate"/>
            </w:r>
            <w:r>
              <w:rPr>
                <w:noProof/>
                <w:webHidden/>
              </w:rPr>
              <w:t>10</w:t>
            </w:r>
            <w:r>
              <w:rPr>
                <w:noProof/>
                <w:webHidden/>
              </w:rPr>
              <w:fldChar w:fldCharType="end"/>
            </w:r>
          </w:hyperlink>
        </w:p>
        <w:p w14:paraId="1F5F5A6E" w14:textId="029778F9" w:rsidR="00372E16" w:rsidRDefault="00372E16">
          <w:pPr>
            <w:pStyle w:val="TOC2"/>
            <w:rPr>
              <w:rFonts w:asciiTheme="minorHAnsi" w:eastAsiaTheme="minorEastAsia" w:hAnsiTheme="minorHAnsi"/>
              <w:noProof/>
              <w:color w:val="auto"/>
              <w:spacing w:val="0"/>
              <w:lang w:val="en-US"/>
            </w:rPr>
          </w:pPr>
          <w:hyperlink w:anchor="_Toc15645926" w:history="1">
            <w:r w:rsidRPr="00B235DD">
              <w:rPr>
                <w:rStyle w:val="Hyperlink"/>
                <w:noProof/>
              </w:rPr>
              <w:t>4.2</w:t>
            </w:r>
            <w:r>
              <w:rPr>
                <w:rFonts w:asciiTheme="minorHAnsi" w:eastAsiaTheme="minorEastAsia" w:hAnsiTheme="minorHAnsi"/>
                <w:noProof/>
                <w:color w:val="auto"/>
                <w:spacing w:val="0"/>
                <w:lang w:val="en-US"/>
              </w:rPr>
              <w:tab/>
            </w:r>
            <w:r w:rsidRPr="00B235DD">
              <w:rPr>
                <w:rStyle w:val="Hyperlink"/>
                <w:noProof/>
              </w:rPr>
              <w:t>EOSC Access Enabling and Federation services</w:t>
            </w:r>
            <w:r>
              <w:rPr>
                <w:noProof/>
                <w:webHidden/>
              </w:rPr>
              <w:tab/>
            </w:r>
            <w:r>
              <w:rPr>
                <w:noProof/>
                <w:webHidden/>
              </w:rPr>
              <w:fldChar w:fldCharType="begin"/>
            </w:r>
            <w:r>
              <w:rPr>
                <w:noProof/>
                <w:webHidden/>
              </w:rPr>
              <w:instrText xml:space="preserve"> PAGEREF _Toc15645926 \h </w:instrText>
            </w:r>
            <w:r>
              <w:rPr>
                <w:noProof/>
                <w:webHidden/>
              </w:rPr>
            </w:r>
            <w:r>
              <w:rPr>
                <w:noProof/>
                <w:webHidden/>
              </w:rPr>
              <w:fldChar w:fldCharType="separate"/>
            </w:r>
            <w:r>
              <w:rPr>
                <w:noProof/>
                <w:webHidden/>
              </w:rPr>
              <w:t>12</w:t>
            </w:r>
            <w:r>
              <w:rPr>
                <w:noProof/>
                <w:webHidden/>
              </w:rPr>
              <w:fldChar w:fldCharType="end"/>
            </w:r>
          </w:hyperlink>
        </w:p>
        <w:p w14:paraId="281CDED1" w14:textId="66350139" w:rsidR="00372E16" w:rsidRDefault="00372E16">
          <w:pPr>
            <w:pStyle w:val="TOC2"/>
            <w:rPr>
              <w:rFonts w:asciiTheme="minorHAnsi" w:eastAsiaTheme="minorEastAsia" w:hAnsiTheme="minorHAnsi"/>
              <w:noProof/>
              <w:color w:val="auto"/>
              <w:spacing w:val="0"/>
              <w:lang w:val="en-US"/>
            </w:rPr>
          </w:pPr>
          <w:hyperlink w:anchor="_Toc15645927" w:history="1">
            <w:r w:rsidRPr="00B235DD">
              <w:rPr>
                <w:rStyle w:val="Hyperlink"/>
                <w:noProof/>
              </w:rPr>
              <w:t>4.3</w:t>
            </w:r>
            <w:r>
              <w:rPr>
                <w:rFonts w:asciiTheme="minorHAnsi" w:eastAsiaTheme="minorEastAsia" w:hAnsiTheme="minorHAnsi"/>
                <w:noProof/>
                <w:color w:val="auto"/>
                <w:spacing w:val="0"/>
                <w:lang w:val="en-US"/>
              </w:rPr>
              <w:tab/>
            </w:r>
            <w:r w:rsidRPr="00B235DD">
              <w:rPr>
                <w:rStyle w:val="Hyperlink"/>
                <w:noProof/>
              </w:rPr>
              <w:t>EOSC Common services</w:t>
            </w:r>
            <w:r>
              <w:rPr>
                <w:noProof/>
                <w:webHidden/>
              </w:rPr>
              <w:tab/>
            </w:r>
            <w:r>
              <w:rPr>
                <w:noProof/>
                <w:webHidden/>
              </w:rPr>
              <w:fldChar w:fldCharType="begin"/>
            </w:r>
            <w:r>
              <w:rPr>
                <w:noProof/>
                <w:webHidden/>
              </w:rPr>
              <w:instrText xml:space="preserve"> PAGEREF _Toc15645927 \h </w:instrText>
            </w:r>
            <w:r>
              <w:rPr>
                <w:noProof/>
                <w:webHidden/>
              </w:rPr>
            </w:r>
            <w:r>
              <w:rPr>
                <w:noProof/>
                <w:webHidden/>
              </w:rPr>
              <w:fldChar w:fldCharType="separate"/>
            </w:r>
            <w:r>
              <w:rPr>
                <w:noProof/>
                <w:webHidden/>
              </w:rPr>
              <w:t>16</w:t>
            </w:r>
            <w:r>
              <w:rPr>
                <w:noProof/>
                <w:webHidden/>
              </w:rPr>
              <w:fldChar w:fldCharType="end"/>
            </w:r>
          </w:hyperlink>
        </w:p>
        <w:p w14:paraId="769CBBE2" w14:textId="3945EBC9" w:rsidR="00372E16" w:rsidRDefault="00372E16">
          <w:pPr>
            <w:pStyle w:val="TOC2"/>
            <w:rPr>
              <w:rFonts w:asciiTheme="minorHAnsi" w:eastAsiaTheme="minorEastAsia" w:hAnsiTheme="minorHAnsi"/>
              <w:noProof/>
              <w:color w:val="auto"/>
              <w:spacing w:val="0"/>
              <w:lang w:val="en-US"/>
            </w:rPr>
          </w:pPr>
          <w:hyperlink w:anchor="_Toc15645928" w:history="1">
            <w:r w:rsidRPr="00B235DD">
              <w:rPr>
                <w:rStyle w:val="Hyperlink"/>
                <w:noProof/>
              </w:rPr>
              <w:t>4.4</w:t>
            </w:r>
            <w:r>
              <w:rPr>
                <w:rFonts w:asciiTheme="minorHAnsi" w:eastAsiaTheme="minorEastAsia" w:hAnsiTheme="minorHAnsi"/>
                <w:noProof/>
                <w:color w:val="auto"/>
                <w:spacing w:val="0"/>
                <w:lang w:val="en-US"/>
              </w:rPr>
              <w:tab/>
            </w:r>
            <w:r w:rsidRPr="00B235DD">
              <w:rPr>
                <w:rStyle w:val="Hyperlink"/>
                <w:noProof/>
              </w:rPr>
              <w:t>EOSC Thematic Services</w:t>
            </w:r>
            <w:r>
              <w:rPr>
                <w:noProof/>
                <w:webHidden/>
              </w:rPr>
              <w:tab/>
            </w:r>
            <w:r>
              <w:rPr>
                <w:noProof/>
                <w:webHidden/>
              </w:rPr>
              <w:fldChar w:fldCharType="begin"/>
            </w:r>
            <w:r>
              <w:rPr>
                <w:noProof/>
                <w:webHidden/>
              </w:rPr>
              <w:instrText xml:space="preserve"> PAGEREF _Toc15645928 \h </w:instrText>
            </w:r>
            <w:r>
              <w:rPr>
                <w:noProof/>
                <w:webHidden/>
              </w:rPr>
            </w:r>
            <w:r>
              <w:rPr>
                <w:noProof/>
                <w:webHidden/>
              </w:rPr>
              <w:fldChar w:fldCharType="separate"/>
            </w:r>
            <w:r>
              <w:rPr>
                <w:noProof/>
                <w:webHidden/>
              </w:rPr>
              <w:t>18</w:t>
            </w:r>
            <w:r>
              <w:rPr>
                <w:noProof/>
                <w:webHidden/>
              </w:rPr>
              <w:fldChar w:fldCharType="end"/>
            </w:r>
          </w:hyperlink>
        </w:p>
        <w:p w14:paraId="75E0C3A3" w14:textId="305F8816" w:rsidR="00372E16" w:rsidRDefault="00372E16">
          <w:pPr>
            <w:pStyle w:val="TOC1"/>
            <w:rPr>
              <w:rFonts w:asciiTheme="minorHAnsi" w:eastAsiaTheme="minorEastAsia" w:hAnsiTheme="minorHAnsi"/>
              <w:color w:val="auto"/>
              <w:spacing w:val="0"/>
              <w:lang w:val="en-US"/>
            </w:rPr>
          </w:pPr>
          <w:hyperlink w:anchor="_Toc15645929" w:history="1">
            <w:r w:rsidRPr="00B235DD">
              <w:rPr>
                <w:rStyle w:val="Hyperlink"/>
              </w:rPr>
              <w:t>5</w:t>
            </w:r>
            <w:r>
              <w:rPr>
                <w:rFonts w:asciiTheme="minorHAnsi" w:eastAsiaTheme="minorEastAsia" w:hAnsiTheme="minorHAnsi"/>
                <w:color w:val="auto"/>
                <w:spacing w:val="0"/>
                <w:lang w:val="en-US"/>
              </w:rPr>
              <w:tab/>
            </w:r>
            <w:r w:rsidRPr="00B235DD">
              <w:rPr>
                <w:rStyle w:val="Hyperlink"/>
              </w:rPr>
              <w:t>Relationship with the EOSC Architecture Working Group objectives</w:t>
            </w:r>
            <w:r>
              <w:rPr>
                <w:webHidden/>
              </w:rPr>
              <w:tab/>
            </w:r>
            <w:r>
              <w:rPr>
                <w:webHidden/>
              </w:rPr>
              <w:fldChar w:fldCharType="begin"/>
            </w:r>
            <w:r>
              <w:rPr>
                <w:webHidden/>
              </w:rPr>
              <w:instrText xml:space="preserve"> PAGEREF _Toc15645929 \h </w:instrText>
            </w:r>
            <w:r>
              <w:rPr>
                <w:webHidden/>
              </w:rPr>
            </w:r>
            <w:r>
              <w:rPr>
                <w:webHidden/>
              </w:rPr>
              <w:fldChar w:fldCharType="separate"/>
            </w:r>
            <w:r>
              <w:rPr>
                <w:webHidden/>
              </w:rPr>
              <w:t>20</w:t>
            </w:r>
            <w:r>
              <w:rPr>
                <w:webHidden/>
              </w:rPr>
              <w:fldChar w:fldCharType="end"/>
            </w:r>
          </w:hyperlink>
        </w:p>
        <w:p w14:paraId="4ABE2BD7" w14:textId="35EA6E74" w:rsidR="00372E16" w:rsidRDefault="00372E16">
          <w:pPr>
            <w:pStyle w:val="TOC1"/>
            <w:rPr>
              <w:rFonts w:asciiTheme="minorHAnsi" w:eastAsiaTheme="minorEastAsia" w:hAnsiTheme="minorHAnsi"/>
              <w:color w:val="auto"/>
              <w:spacing w:val="0"/>
              <w:lang w:val="en-US"/>
            </w:rPr>
          </w:pPr>
          <w:hyperlink w:anchor="_Toc15645930" w:history="1">
            <w:r w:rsidRPr="00B235DD">
              <w:rPr>
                <w:rStyle w:val="Hyperlink"/>
              </w:rPr>
              <w:t>Appendix I.</w:t>
            </w:r>
            <w:r>
              <w:rPr>
                <w:rFonts w:asciiTheme="minorHAnsi" w:eastAsiaTheme="minorEastAsia" w:hAnsiTheme="minorHAnsi"/>
                <w:color w:val="auto"/>
                <w:spacing w:val="0"/>
                <w:lang w:val="en-US"/>
              </w:rPr>
              <w:tab/>
            </w:r>
            <w:r w:rsidRPr="00B235DD">
              <w:rPr>
                <w:rStyle w:val="Hyperlink"/>
              </w:rPr>
              <w:t>AAI Technical Specification</w:t>
            </w:r>
            <w:r>
              <w:rPr>
                <w:webHidden/>
              </w:rPr>
              <w:tab/>
            </w:r>
            <w:r>
              <w:rPr>
                <w:webHidden/>
              </w:rPr>
              <w:fldChar w:fldCharType="begin"/>
            </w:r>
            <w:r>
              <w:rPr>
                <w:webHidden/>
              </w:rPr>
              <w:instrText xml:space="preserve"> PAGEREF _Toc15645930 \h </w:instrText>
            </w:r>
            <w:r>
              <w:rPr>
                <w:webHidden/>
              </w:rPr>
            </w:r>
            <w:r>
              <w:rPr>
                <w:webHidden/>
              </w:rPr>
              <w:fldChar w:fldCharType="separate"/>
            </w:r>
            <w:r>
              <w:rPr>
                <w:webHidden/>
              </w:rPr>
              <w:t>21</w:t>
            </w:r>
            <w:r>
              <w:rPr>
                <w:webHidden/>
              </w:rPr>
              <w:fldChar w:fldCharType="end"/>
            </w:r>
          </w:hyperlink>
        </w:p>
        <w:p w14:paraId="7CA4B909" w14:textId="5B9C92B9" w:rsidR="00372E16" w:rsidRDefault="00372E16">
          <w:pPr>
            <w:pStyle w:val="TOC1"/>
            <w:rPr>
              <w:rFonts w:asciiTheme="minorHAnsi" w:eastAsiaTheme="minorEastAsia" w:hAnsiTheme="minorHAnsi"/>
              <w:color w:val="auto"/>
              <w:spacing w:val="0"/>
              <w:lang w:val="en-US"/>
            </w:rPr>
          </w:pPr>
          <w:hyperlink w:anchor="_Toc15645931" w:history="1">
            <w:r w:rsidRPr="00B235DD">
              <w:rPr>
                <w:rStyle w:val="Hyperlink"/>
              </w:rPr>
              <w:t>Appendix II.</w:t>
            </w:r>
            <w:r>
              <w:rPr>
                <w:rFonts w:asciiTheme="minorHAnsi" w:eastAsiaTheme="minorEastAsia" w:hAnsiTheme="minorHAnsi"/>
                <w:color w:val="auto"/>
                <w:spacing w:val="0"/>
                <w:lang w:val="en-US"/>
              </w:rPr>
              <w:tab/>
            </w:r>
            <w:r w:rsidRPr="00B235DD">
              <w:rPr>
                <w:rStyle w:val="Hyperlink"/>
              </w:rPr>
              <w:t>Cloud IaaS VM Management Technical Specification</w:t>
            </w:r>
            <w:r>
              <w:rPr>
                <w:webHidden/>
              </w:rPr>
              <w:tab/>
            </w:r>
            <w:r>
              <w:rPr>
                <w:webHidden/>
              </w:rPr>
              <w:fldChar w:fldCharType="begin"/>
            </w:r>
            <w:r>
              <w:rPr>
                <w:webHidden/>
              </w:rPr>
              <w:instrText xml:space="preserve"> PAGEREF _Toc15645931 \h </w:instrText>
            </w:r>
            <w:r>
              <w:rPr>
                <w:webHidden/>
              </w:rPr>
            </w:r>
            <w:r>
              <w:rPr>
                <w:webHidden/>
              </w:rPr>
              <w:fldChar w:fldCharType="separate"/>
            </w:r>
            <w:r>
              <w:rPr>
                <w:webHidden/>
              </w:rPr>
              <w:t>25</w:t>
            </w:r>
            <w:r>
              <w:rPr>
                <w:webHidden/>
              </w:rPr>
              <w:fldChar w:fldCharType="end"/>
            </w:r>
          </w:hyperlink>
        </w:p>
        <w:p w14:paraId="07757D23" w14:textId="578D38B8" w:rsidR="00A30A98" w:rsidRDefault="00247395" w:rsidP="00A30A98">
          <w:r>
            <w:rPr>
              <w:noProof/>
              <w:color w:val="1C3046"/>
            </w:rPr>
            <w:fldChar w:fldCharType="end"/>
          </w:r>
        </w:p>
      </w:sdtContent>
    </w:sdt>
    <w:p w14:paraId="414E5A5E" w14:textId="77777777" w:rsidR="00A30A98" w:rsidRDefault="00A30A98" w:rsidP="00A30A98"/>
    <w:p w14:paraId="75ED99E4" w14:textId="77777777" w:rsidR="00A30A98" w:rsidRDefault="00A30A98" w:rsidP="00A30A98"/>
    <w:p w14:paraId="3735C68D" w14:textId="77777777" w:rsidR="00A30A98" w:rsidRDefault="00A30A98" w:rsidP="00A30A98"/>
    <w:p w14:paraId="250ED97B" w14:textId="77777777" w:rsidR="00A30A98" w:rsidRDefault="00A30A98" w:rsidP="00A30A98">
      <w:r>
        <w:br w:type="page"/>
      </w:r>
    </w:p>
    <w:p w14:paraId="45B9F762" w14:textId="5E59A52F" w:rsidR="00247395" w:rsidRDefault="00247395" w:rsidP="006C5298">
      <w:pPr>
        <w:pStyle w:val="ExecutiveSummary"/>
      </w:pPr>
      <w:bookmarkStart w:id="1" w:name="_Hlk515956646"/>
      <w:r w:rsidRPr="00E62B0B">
        <w:lastRenderedPageBreak/>
        <w:t>Executive summary</w:t>
      </w:r>
    </w:p>
    <w:p w14:paraId="2F1981CA" w14:textId="57B8A42E" w:rsidR="001B3DB9" w:rsidRDefault="001B3DB9" w:rsidP="001B3DB9">
      <w:pPr>
        <w:pStyle w:val="NormalWeb"/>
        <w:spacing w:before="0" w:beforeAutospacing="0" w:after="120" w:afterAutospacing="0"/>
        <w:jc w:val="both"/>
      </w:pPr>
      <w:r>
        <w:rPr>
          <w:rFonts w:ascii="Calibri" w:hAnsi="Calibri" w:cs="Calibri"/>
          <w:color w:val="000000"/>
          <w:sz w:val="22"/>
          <w:szCs w:val="22"/>
        </w:rPr>
        <w:t>This document describes the EOSC Technical Architecture proposed by EOSC-Hub. It is based on the concepts of service interoperability and end-to-end composition of services and foresees the definition of a reference architecture where all the EOSC main functions, interfaces, APIs and standards are identified.</w:t>
      </w:r>
      <w:r>
        <w:rPr>
          <w:rFonts w:ascii="Calibri" w:hAnsi="Calibri" w:cs="Calibri"/>
          <w:color w:val="000000"/>
          <w:sz w:val="22"/>
          <w:szCs w:val="22"/>
        </w:rPr>
        <w:t xml:space="preserve"> </w:t>
      </w:r>
      <w:r>
        <w:rPr>
          <w:rFonts w:ascii="Calibri" w:hAnsi="Calibri" w:cs="Calibri"/>
          <w:color w:val="000000"/>
          <w:sz w:val="22"/>
          <w:szCs w:val="22"/>
        </w:rPr>
        <w:t xml:space="preserve">This work has </w:t>
      </w:r>
      <w:proofErr w:type="gramStart"/>
      <w:r>
        <w:rPr>
          <w:rFonts w:ascii="Calibri" w:hAnsi="Calibri" w:cs="Calibri"/>
          <w:color w:val="000000"/>
          <w:sz w:val="22"/>
          <w:szCs w:val="22"/>
        </w:rPr>
        <w:t>taken into account</w:t>
      </w:r>
      <w:proofErr w:type="gramEnd"/>
      <w:r>
        <w:rPr>
          <w:rFonts w:ascii="Calibri" w:hAnsi="Calibri" w:cs="Calibri"/>
          <w:color w:val="000000"/>
          <w:sz w:val="22"/>
          <w:szCs w:val="22"/>
        </w:rPr>
        <w:t xml:space="preserve"> the surrounding landscape and has followed the recommendations on the EOSC architecture from the European Commission and the EOSC governance.</w:t>
      </w:r>
    </w:p>
    <w:p w14:paraId="00950059" w14:textId="77777777" w:rsidR="001B3DB9" w:rsidRDefault="001B3DB9" w:rsidP="001B3DB9">
      <w:pPr>
        <w:pStyle w:val="NormalWeb"/>
        <w:spacing w:before="0" w:beforeAutospacing="0" w:after="120" w:afterAutospacing="0"/>
        <w:jc w:val="both"/>
      </w:pPr>
      <w:r>
        <w:rPr>
          <w:rFonts w:ascii="Calibri" w:hAnsi="Calibri" w:cs="Calibri"/>
          <w:color w:val="000000"/>
          <w:sz w:val="22"/>
          <w:szCs w:val="22"/>
        </w:rPr>
        <w:t xml:space="preserve">As a basis to describe the proposed architecture, service categories were introduced, describing their functions, relationships and </w:t>
      </w:r>
      <w:proofErr w:type="spellStart"/>
      <w:r>
        <w:rPr>
          <w:rFonts w:ascii="Calibri" w:hAnsi="Calibri" w:cs="Calibri"/>
          <w:color w:val="000000"/>
          <w:sz w:val="22"/>
          <w:szCs w:val="22"/>
        </w:rPr>
        <w:t>organisation</w:t>
      </w:r>
      <w:proofErr w:type="spellEnd"/>
      <w:r>
        <w:rPr>
          <w:rFonts w:ascii="Calibri" w:hAnsi="Calibri" w:cs="Calibri"/>
          <w:color w:val="000000"/>
          <w:sz w:val="22"/>
          <w:szCs w:val="22"/>
        </w:rPr>
        <w:t xml:space="preserve"> in EOSC Service Portfolios. The concept of the end-to-end composition of the services was presented highlighting the most common integration scenarios and how services belonging to different categories can cooperate to create added-value solutions for research. EOSC-hub effort to foster service interoperability and the impact of the service composability on federating thematic services into the EOSC were also depicted.</w:t>
      </w:r>
    </w:p>
    <w:p w14:paraId="6F3B0143" w14:textId="77777777" w:rsidR="001B3DB9" w:rsidRDefault="001B3DB9" w:rsidP="001B3DB9">
      <w:pPr>
        <w:pStyle w:val="NormalWeb"/>
        <w:spacing w:before="0" w:beforeAutospacing="0" w:after="120" w:afterAutospacing="0"/>
        <w:jc w:val="both"/>
      </w:pPr>
      <w:r>
        <w:rPr>
          <w:rFonts w:ascii="Calibri" w:hAnsi="Calibri" w:cs="Calibri"/>
          <w:color w:val="000000"/>
          <w:sz w:val="22"/>
          <w:szCs w:val="22"/>
        </w:rPr>
        <w:t xml:space="preserve">Leveraging on the service categories and on the concepts of service interoperability and composition, a reference EOSC Technical Architecture was defined identifying main blocks and their interactions. The proposed architecture foresees the further specification of each block following a common approach that consists of (1) the identification of the main </w:t>
      </w:r>
      <w:r>
        <w:rPr>
          <w:rFonts w:ascii="Calibri" w:hAnsi="Calibri" w:cs="Calibri"/>
          <w:b/>
          <w:bCs/>
          <w:color w:val="000000"/>
          <w:sz w:val="22"/>
          <w:szCs w:val="22"/>
        </w:rPr>
        <w:t>macro-features/functions</w:t>
      </w:r>
      <w:r>
        <w:rPr>
          <w:rFonts w:ascii="Calibri" w:hAnsi="Calibri" w:cs="Calibri"/>
          <w:color w:val="000000"/>
          <w:sz w:val="22"/>
          <w:szCs w:val="22"/>
        </w:rPr>
        <w:t xml:space="preserve"> offered per block and, for each macro-feature, (2) the definition of an </w:t>
      </w:r>
      <w:r>
        <w:rPr>
          <w:rFonts w:ascii="Calibri" w:hAnsi="Calibri" w:cs="Calibri"/>
          <w:b/>
          <w:bCs/>
          <w:color w:val="000000"/>
          <w:sz w:val="22"/>
          <w:szCs w:val="22"/>
        </w:rPr>
        <w:t>EOSC technical specification</w:t>
      </w:r>
      <w:r>
        <w:rPr>
          <w:rFonts w:ascii="Calibri" w:hAnsi="Calibri" w:cs="Calibri"/>
          <w:color w:val="000000"/>
          <w:sz w:val="22"/>
          <w:szCs w:val="22"/>
        </w:rPr>
        <w:t xml:space="preserve"> that includes an high-level architecture, suggested EOSC standards and APIs and interoperability guidelines.</w:t>
      </w:r>
    </w:p>
    <w:p w14:paraId="45AC6A9E" w14:textId="77777777" w:rsidR="001B3DB9" w:rsidRDefault="001B3DB9" w:rsidP="001B3DB9">
      <w:pPr>
        <w:pStyle w:val="NormalWeb"/>
        <w:spacing w:before="0" w:beforeAutospacing="0" w:after="120" w:afterAutospacing="0"/>
        <w:jc w:val="both"/>
      </w:pPr>
      <w:r>
        <w:rPr>
          <w:rFonts w:ascii="Calibri" w:hAnsi="Calibri" w:cs="Calibri"/>
          <w:color w:val="000000"/>
          <w:sz w:val="22"/>
          <w:szCs w:val="22"/>
        </w:rPr>
        <w:t>According to the proposed model, services offering a given macro-feature and compliant with the related EOSC technical specification will be able to interoperate, examples are the AAI services compliant with the AARC blueprint architecture and guidelines or monitoring and/or accounting systems able to exchange/share information and provide integrated views to the EOSC customers and service providers. We believe that this approach fits well with a varied environment like EOSC, where many solutions for a given technical need already exist. Furthermore, having well defined EOSC standards and APIs and related interoperability guidelines for each of the identified macro-features will foster the end-to-end composition of services. Indeed, other macro-features or thematic services can use the EOSC interfaces, described in the technical specifications, to exploit such macro-features.</w:t>
      </w:r>
    </w:p>
    <w:p w14:paraId="0282F769" w14:textId="77777777" w:rsidR="001B3DB9" w:rsidRDefault="001B3DB9" w:rsidP="001B3DB9">
      <w:pPr>
        <w:pStyle w:val="NormalWeb"/>
        <w:spacing w:before="0" w:beforeAutospacing="0" w:after="120" w:afterAutospacing="0"/>
        <w:jc w:val="both"/>
      </w:pPr>
      <w:r>
        <w:rPr>
          <w:rFonts w:ascii="Calibri" w:hAnsi="Calibri" w:cs="Calibri"/>
          <w:color w:val="000000"/>
          <w:sz w:val="22"/>
          <w:szCs w:val="22"/>
        </w:rPr>
        <w:t xml:space="preserve">In the proposed architecture, identifying macro-features and the related technical specifications for all the blocks could be a complex and long work, then we decided to follow an iterative approach starting from the functions that are more requested by the EOSC use cases. </w:t>
      </w:r>
      <w:proofErr w:type="gramStart"/>
      <w:r>
        <w:rPr>
          <w:rFonts w:ascii="Calibri" w:hAnsi="Calibri" w:cs="Calibri"/>
          <w:color w:val="000000"/>
          <w:sz w:val="22"/>
          <w:szCs w:val="22"/>
        </w:rPr>
        <w:t>Also</w:t>
      </w:r>
      <w:proofErr w:type="gramEnd"/>
      <w:r>
        <w:rPr>
          <w:rFonts w:ascii="Calibri" w:hAnsi="Calibri" w:cs="Calibri"/>
          <w:color w:val="000000"/>
          <w:sz w:val="22"/>
          <w:szCs w:val="22"/>
        </w:rPr>
        <w:t xml:space="preserve"> the technical specifications, initially prepared by the technical experts within the EOSC-hub project, will be iteratively improved collecting feedback by external people with expertise in the area and involving them in the maintenance and evolution of such specifications.</w:t>
      </w:r>
    </w:p>
    <w:p w14:paraId="755A199C" w14:textId="77777777" w:rsidR="001B3DB9" w:rsidRDefault="001B3DB9" w:rsidP="001B3DB9">
      <w:pPr>
        <w:pStyle w:val="NormalWeb"/>
        <w:spacing w:before="0" w:beforeAutospacing="0" w:after="120" w:afterAutospacing="0"/>
        <w:jc w:val="both"/>
      </w:pPr>
      <w:r>
        <w:rPr>
          <w:rFonts w:ascii="Calibri" w:hAnsi="Calibri" w:cs="Calibri"/>
          <w:color w:val="000000"/>
          <w:sz w:val="22"/>
          <w:szCs w:val="22"/>
        </w:rPr>
        <w:t xml:space="preserve">EOSC-hub already identified a considerable </w:t>
      </w:r>
      <w:proofErr w:type="gramStart"/>
      <w:r>
        <w:rPr>
          <w:rFonts w:ascii="Calibri" w:hAnsi="Calibri" w:cs="Calibri"/>
          <w:color w:val="000000"/>
          <w:sz w:val="22"/>
          <w:szCs w:val="22"/>
        </w:rPr>
        <w:t>amount</w:t>
      </w:r>
      <w:proofErr w:type="gramEnd"/>
      <w:r>
        <w:rPr>
          <w:rFonts w:ascii="Calibri" w:hAnsi="Calibri" w:cs="Calibri"/>
          <w:color w:val="000000"/>
          <w:sz w:val="22"/>
          <w:szCs w:val="22"/>
        </w:rPr>
        <w:t xml:space="preserve"> of macro-features per block and completed the technical specifications of the most relevant. However, we consider fundamental involving other relevant stakeholders in this work to have a real impact on the research world. For example, we think that including other technical experts to refine technical specifications and find consensus around them is fundamental. For this reason, we started a process to share our approach and collecting feedback. The first step was a webinar where we presented this work, then a formal feedback collection will start in the next few weeks and we are planning to </w:t>
      </w:r>
      <w:proofErr w:type="spellStart"/>
      <w:r>
        <w:rPr>
          <w:rFonts w:ascii="Calibri" w:hAnsi="Calibri" w:cs="Calibri"/>
          <w:color w:val="000000"/>
          <w:sz w:val="22"/>
          <w:szCs w:val="22"/>
        </w:rPr>
        <w:t>organise</w:t>
      </w:r>
      <w:proofErr w:type="spellEnd"/>
      <w:r>
        <w:rPr>
          <w:rFonts w:ascii="Calibri" w:hAnsi="Calibri" w:cs="Calibri"/>
          <w:color w:val="000000"/>
          <w:sz w:val="22"/>
          <w:szCs w:val="22"/>
        </w:rPr>
        <w:t xml:space="preserve"> a workshop by the end of this year involving the largest expected EOSC user groups.</w:t>
      </w:r>
    </w:p>
    <w:p w14:paraId="0A54512F" w14:textId="617F65BB" w:rsidR="00247395" w:rsidRPr="001B3DB9" w:rsidRDefault="001B3DB9" w:rsidP="001B3DB9">
      <w:pPr>
        <w:pStyle w:val="NormalWeb"/>
        <w:spacing w:before="0" w:beforeAutospacing="0" w:after="120" w:afterAutospacing="0"/>
        <w:jc w:val="both"/>
      </w:pPr>
      <w:r>
        <w:rPr>
          <w:rFonts w:ascii="Calibri" w:hAnsi="Calibri" w:cs="Calibri"/>
          <w:color w:val="000000"/>
          <w:sz w:val="22"/>
          <w:szCs w:val="22"/>
        </w:rPr>
        <w:t xml:space="preserve">Finally, EOSC-hub is intended to propose the EOSC technical architecture described in this document and the related approach to define the EOSC technical specification for macro-features to the EOSC Architecture WG for its adoption in the wider EOSC environment. EOSC-hub would also like to </w:t>
      </w:r>
      <w:r>
        <w:rPr>
          <w:rFonts w:ascii="Calibri" w:hAnsi="Calibri" w:cs="Calibri"/>
          <w:color w:val="000000"/>
          <w:sz w:val="22"/>
          <w:szCs w:val="22"/>
        </w:rPr>
        <w:lastRenderedPageBreak/>
        <w:t xml:space="preserve">collaborate with the WG on further refining the proposed architecture </w:t>
      </w:r>
      <w:proofErr w:type="gramStart"/>
      <w:r>
        <w:rPr>
          <w:rFonts w:ascii="Calibri" w:hAnsi="Calibri" w:cs="Calibri"/>
          <w:color w:val="000000"/>
          <w:sz w:val="22"/>
          <w:szCs w:val="22"/>
        </w:rPr>
        <w:t>taking into account</w:t>
      </w:r>
      <w:proofErr w:type="gramEnd"/>
      <w:r>
        <w:rPr>
          <w:rFonts w:ascii="Calibri" w:hAnsi="Calibri" w:cs="Calibri"/>
          <w:color w:val="000000"/>
          <w:sz w:val="22"/>
          <w:szCs w:val="22"/>
        </w:rPr>
        <w:t xml:space="preserve"> requirements and suggestions from the largest possible set of service providers and user communities.</w:t>
      </w:r>
    </w:p>
    <w:p w14:paraId="5FBB1EBC" w14:textId="77777777" w:rsidR="00A30A98" w:rsidRPr="00A070B9" w:rsidRDefault="00247395" w:rsidP="005959F1">
      <w:pPr>
        <w:pStyle w:val="Heading1"/>
      </w:pPr>
      <w:bookmarkStart w:id="2" w:name="_Toc15645921"/>
      <w:r>
        <w:lastRenderedPageBreak/>
        <w:t>Introduction</w:t>
      </w:r>
      <w:bookmarkEnd w:id="2"/>
      <w:r>
        <w:t xml:space="preserve"> </w:t>
      </w:r>
    </w:p>
    <w:bookmarkEnd w:id="1"/>
    <w:p w14:paraId="5DE17E9A" w14:textId="5E3A4AFB" w:rsidR="0060134C" w:rsidRDefault="001B3DB9" w:rsidP="00A30A98">
      <w:r w:rsidRPr="00A10542">
        <w:rPr>
          <w:rFonts w:cs="Open Sans"/>
        </w:rPr>
        <w:t>This document describes the EOSC Technical Architecture proposed by EOSC-Hub. It is based on the concepts of service interoperability and end-to-end composition of services and foresees the definition of a reference architecture where all the EOSC main functions, interfaces, APIs and standards are identified.</w:t>
      </w:r>
    </w:p>
    <w:p w14:paraId="2EC2C146" w14:textId="696086D0" w:rsidR="00A30A98" w:rsidRDefault="001B3DB9" w:rsidP="005959F1">
      <w:pPr>
        <w:pStyle w:val="Heading1"/>
      </w:pPr>
      <w:bookmarkStart w:id="3" w:name="_Toc15645922"/>
      <w:r w:rsidRPr="001B3DB9">
        <w:lastRenderedPageBreak/>
        <w:t>The EOSC Portfolios and the EOSC Federating Core</w:t>
      </w:r>
      <w:bookmarkEnd w:id="3"/>
    </w:p>
    <w:p w14:paraId="5F9271DE" w14:textId="77777777" w:rsidR="008C0020" w:rsidRDefault="008C0020" w:rsidP="008C0020">
      <w:r>
        <w:t>The proposed EOSC Technical Architecture is based on the different classes of EOSC services and on their interactions. Then, an introduction on such service categories and on their functions and relationships is necessary before describing the architecture.</w:t>
      </w:r>
    </w:p>
    <w:p w14:paraId="10273126" w14:textId="12A27162" w:rsidR="008C0020" w:rsidRDefault="008C0020" w:rsidP="008C0020">
      <w:r>
        <w:t xml:space="preserve">As depicted in Figure </w:t>
      </w:r>
      <w:r>
        <w:t>1</w:t>
      </w:r>
      <w:r>
        <w:t>, EOSC services are organised in two services portfolios:</w:t>
      </w:r>
    </w:p>
    <w:p w14:paraId="7FD99E10" w14:textId="77777777" w:rsidR="008C0020" w:rsidRDefault="008C0020" w:rsidP="003E0336">
      <w:pPr>
        <w:pStyle w:val="ListParagraph"/>
        <w:numPr>
          <w:ilvl w:val="0"/>
          <w:numId w:val="22"/>
        </w:numPr>
      </w:pPr>
      <w:r w:rsidRPr="008C0020">
        <w:rPr>
          <w:b/>
          <w:bCs/>
        </w:rPr>
        <w:t>EOSC Service Portfolio:</w:t>
      </w:r>
      <w:r>
        <w:t xml:space="preserve"> the external services which EOSC-hub either provides from its partners or onboards from the community to contribute to the larger portfolio of researcher-benefitting services within EOSC. The EOSC Service Portfolio contain:</w:t>
      </w:r>
    </w:p>
    <w:p w14:paraId="12C93913" w14:textId="77777777" w:rsidR="008C0020" w:rsidRDefault="008C0020" w:rsidP="002D5527">
      <w:pPr>
        <w:pStyle w:val="ListParagraph"/>
        <w:numPr>
          <w:ilvl w:val="1"/>
          <w:numId w:val="22"/>
        </w:numPr>
      </w:pPr>
      <w:r w:rsidRPr="008C0020">
        <w:rPr>
          <w:b/>
          <w:bCs/>
        </w:rPr>
        <w:t>Thematic services:</w:t>
      </w:r>
      <w:r>
        <w:t xml:space="preserve"> community-specific capabilities including research core data, data products, scientific software, and pipelines. Examples of thematic services </w:t>
      </w:r>
      <w:proofErr w:type="gramStart"/>
      <w:r>
        <w:t>are:</w:t>
      </w:r>
      <w:proofErr w:type="gramEnd"/>
      <w:r>
        <w:t xml:space="preserve"> data resources and software tools to access, study and compare the data; data brokering services tailored to the needs of specific scientific communities;</w:t>
      </w:r>
    </w:p>
    <w:p w14:paraId="4094ED02" w14:textId="77777777" w:rsidR="008C0020" w:rsidRDefault="008C0020" w:rsidP="00242E84">
      <w:pPr>
        <w:pStyle w:val="ListParagraph"/>
        <w:numPr>
          <w:ilvl w:val="1"/>
          <w:numId w:val="22"/>
        </w:numPr>
      </w:pPr>
      <w:r w:rsidRPr="008C0020">
        <w:rPr>
          <w:b/>
          <w:bCs/>
        </w:rPr>
        <w:t>Common services:</w:t>
      </w:r>
      <w:r>
        <w:t xml:space="preserve"> they provide generic capabilities usable by any science discipline, each supporting aspects of the data lifecycle from creation to processing, analysis, preservation, access and reuse.  Examples of services belonging to this category are multi-disciplinary services for data discovery, processing, workflow management and orchestration, data management, etc.</w:t>
      </w:r>
    </w:p>
    <w:p w14:paraId="359E6776" w14:textId="77777777" w:rsidR="008C0020" w:rsidRDefault="008C0020" w:rsidP="00FC1ED3">
      <w:pPr>
        <w:pStyle w:val="ListParagraph"/>
        <w:numPr>
          <w:ilvl w:val="0"/>
          <w:numId w:val="22"/>
        </w:numPr>
      </w:pPr>
      <w:r w:rsidRPr="008C0020">
        <w:rPr>
          <w:b/>
          <w:bCs/>
        </w:rPr>
        <w:t>Hub Portfolio:</w:t>
      </w:r>
      <w:r>
        <w:t xml:space="preserve"> the internal services contributing to the federating core of EOSC, both for internal operation of the EOSC Hub and to offer as components to be integrated into the services of the EOSC Service Portfolio. They enable the other EOSC elements to deliver (greater) value to researchers across Europe. They can be further split in</w:t>
      </w:r>
    </w:p>
    <w:p w14:paraId="310F6C71" w14:textId="77777777" w:rsidR="008C0020" w:rsidRDefault="008C0020" w:rsidP="00135026">
      <w:pPr>
        <w:pStyle w:val="ListParagraph"/>
        <w:numPr>
          <w:ilvl w:val="1"/>
          <w:numId w:val="22"/>
        </w:numPr>
      </w:pPr>
      <w:r w:rsidRPr="008C0020">
        <w:rPr>
          <w:b/>
          <w:bCs/>
        </w:rPr>
        <w:t>Access-enabling services:</w:t>
      </w:r>
      <w:r>
        <w:t xml:space="preserve"> deliver features allowing customers to easily exploit EOSC resources such as discovery, ordering and workflow enabling services</w:t>
      </w:r>
      <w:r>
        <w:t>;</w:t>
      </w:r>
    </w:p>
    <w:p w14:paraId="37BEA491" w14:textId="37C00963" w:rsidR="008C0020" w:rsidRDefault="008C0020" w:rsidP="00135026">
      <w:pPr>
        <w:pStyle w:val="ListParagraph"/>
        <w:numPr>
          <w:ilvl w:val="1"/>
          <w:numId w:val="22"/>
        </w:numPr>
      </w:pPr>
      <w:r w:rsidRPr="008C0020">
        <w:rPr>
          <w:b/>
          <w:bCs/>
        </w:rPr>
        <w:t>Federation services</w:t>
      </w:r>
      <w:r>
        <w:t>: needed to operate the EOSC e.g. a common helpdesk, accounting information gathering, monitoring</w:t>
      </w:r>
      <w:r>
        <w:t>.</w:t>
      </w:r>
    </w:p>
    <w:p w14:paraId="54D3C4EA" w14:textId="77777777" w:rsidR="008C0020" w:rsidRDefault="008C0020" w:rsidP="008C0020">
      <w:pPr>
        <w:keepNext/>
        <w:jc w:val="center"/>
      </w:pPr>
      <w:r>
        <w:rPr>
          <w:rFonts w:cs="Calibri"/>
          <w:noProof/>
          <w:color w:val="000000"/>
        </w:rPr>
        <w:drawing>
          <wp:inline distT="0" distB="0" distL="0" distR="0" wp14:anchorId="6F4B796E" wp14:editId="7E63FFF9">
            <wp:extent cx="3971925" cy="2628900"/>
            <wp:effectExtent l="0" t="0" r="9525" b="0"/>
            <wp:docPr id="15" name="Picture 15" descr="https://lh5.googleusercontent.com/F2kiVN9G2oxpv-ISdNGqZgFgwkkB6Rzd_A9q6SRrmThTk3r45J3MppkdwHs0YCljyLAqIbJnRcnt89UAcadlwKp49QR8ksXOoW1kAUn6Nq2in7sJ5EreSMkKsG7yyIlUmhu625j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https://lh5.googleusercontent.com/F2kiVN9G2oxpv-ISdNGqZgFgwkkB6Rzd_A9q6SRrmThTk3r45J3MppkdwHs0YCljyLAqIbJnRcnt89UAcadlwKp49QR8ksXOoW1kAUn6Nq2in7sJ5EreSMkKsG7yyIlUmhu625j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71925" cy="2628900"/>
                    </a:xfrm>
                    <a:prstGeom prst="rect">
                      <a:avLst/>
                    </a:prstGeom>
                    <a:noFill/>
                    <a:ln>
                      <a:noFill/>
                    </a:ln>
                  </pic:spPr>
                </pic:pic>
              </a:graphicData>
            </a:graphic>
          </wp:inline>
        </w:drawing>
      </w:r>
    </w:p>
    <w:p w14:paraId="27BC316F" w14:textId="03342284" w:rsidR="008C0020" w:rsidRDefault="008C0020" w:rsidP="008C0020">
      <w:pPr>
        <w:pStyle w:val="Caption"/>
        <w:jc w:val="center"/>
      </w:pPr>
      <w:r>
        <w:t xml:space="preserve">Figure </w:t>
      </w:r>
      <w:r>
        <w:fldChar w:fldCharType="begin"/>
      </w:r>
      <w:r>
        <w:instrText xml:space="preserve"> SEQ Figure \* ARABIC </w:instrText>
      </w:r>
      <w:r>
        <w:fldChar w:fldCharType="separate"/>
      </w:r>
      <w:r w:rsidR="004002C6">
        <w:rPr>
          <w:noProof/>
        </w:rPr>
        <w:t>1</w:t>
      </w:r>
      <w:r>
        <w:fldChar w:fldCharType="end"/>
      </w:r>
      <w:r>
        <w:t xml:space="preserve">. </w:t>
      </w:r>
      <w:r w:rsidRPr="0004170E">
        <w:t>EOSC Service Portfolios and EOSC Federating Core</w:t>
      </w:r>
      <w:r>
        <w:t>.</w:t>
      </w:r>
    </w:p>
    <w:p w14:paraId="03B10982" w14:textId="77777777" w:rsidR="008C0020" w:rsidRDefault="008C0020" w:rsidP="008C0020">
      <w:r>
        <w:lastRenderedPageBreak/>
        <w:t xml:space="preserve">Thematic services can be integrated with the services in the Hub portfolio to facilitate the users’ access (e.g. the EOSC Portal and Marketplace) or to avoid to re-implement basic features, like authentication and authorisation, accounting, monitoring, etc. They can also adopt common services that already address some of their technical needs. Common services can also leverage on services of the Hub portfolio to deliver some of their functions. The integration of thematic, common, access </w:t>
      </w:r>
      <w:proofErr w:type="gramStart"/>
      <w:r>
        <w:t>enabling</w:t>
      </w:r>
      <w:proofErr w:type="gramEnd"/>
      <w:r>
        <w:t xml:space="preserve"> and federation services can be fostered through a large adoption of open and standard interfaces.</w:t>
      </w:r>
    </w:p>
    <w:p w14:paraId="3C86F707" w14:textId="693BDE75" w:rsidR="00A30A98" w:rsidRDefault="008C0020" w:rsidP="00A30A98">
      <w:r>
        <w:t xml:space="preserve">The Hub Portfolio is one of the key elements of the </w:t>
      </w:r>
      <w:r w:rsidRPr="008C0020">
        <w:rPr>
          <w:b/>
          <w:bCs/>
        </w:rPr>
        <w:t>EOSC Federating Core</w:t>
      </w:r>
      <w:r>
        <w:t xml:space="preserve"> together with the Compliance framework, made of Rules of Participation, EOSC Service Management System and other policies, and the Shared resources, a set of generic data processing services, commodity services, compute and storage resources  and public good data managed and offered centrally by EOSC. More information about the EOSC Federating Core and the EOSC service portfolios are available in the EOSC-hub briefing paper “EOSC Federating Core Governance and Sustainability”</w:t>
      </w:r>
      <w:r>
        <w:rPr>
          <w:rStyle w:val="FootnoteReference"/>
        </w:rPr>
        <w:footnoteReference w:id="1"/>
      </w:r>
      <w:r>
        <w:t xml:space="preserve"> and in the EOSC-hub D2.6 “First Service roadmap, service portfolio and service catalogue”</w:t>
      </w:r>
      <w:r>
        <w:rPr>
          <w:rStyle w:val="FootnoteReference"/>
        </w:rPr>
        <w:footnoteReference w:id="2"/>
      </w:r>
      <w:r>
        <w:t>.</w:t>
      </w:r>
    </w:p>
    <w:p w14:paraId="20BF9698" w14:textId="718AB654" w:rsidR="00A30A98" w:rsidRDefault="008C0020" w:rsidP="005959F1">
      <w:pPr>
        <w:pStyle w:val="Heading1"/>
      </w:pPr>
      <w:bookmarkStart w:id="4" w:name="_Toc15645923"/>
      <w:r w:rsidRPr="008C0020">
        <w:lastRenderedPageBreak/>
        <w:t>Service composability</w:t>
      </w:r>
      <w:bookmarkEnd w:id="4"/>
    </w:p>
    <w:p w14:paraId="259CCB0E" w14:textId="77777777" w:rsidR="00987A38" w:rsidRPr="00987A38" w:rsidRDefault="00987A38" w:rsidP="00987A38">
      <w:pPr>
        <w:rPr>
          <w:lang w:val="en-US"/>
        </w:rPr>
      </w:pPr>
      <w:r w:rsidRPr="00987A38">
        <w:rPr>
          <w:lang w:val="en-US"/>
        </w:rPr>
        <w:t xml:space="preserve">The end-to-end composition of the services can be considered one of the most important added values provided by EOSC. Indeed, the service composability would allow EOSC service providers and users to select various services offered by EOSC and compose them according to their needs to create added-value solutions for research. </w:t>
      </w:r>
    </w:p>
    <w:p w14:paraId="0B26A497" w14:textId="77777777" w:rsidR="00987A38" w:rsidRPr="00987A38" w:rsidRDefault="00987A38" w:rsidP="00987A38">
      <w:pPr>
        <w:rPr>
          <w:lang w:val="en-US"/>
        </w:rPr>
      </w:pPr>
      <w:r w:rsidRPr="00987A38">
        <w:rPr>
          <w:lang w:val="en-US"/>
        </w:rPr>
        <w:t>Typical service combinations are:</w:t>
      </w:r>
    </w:p>
    <w:p w14:paraId="6484F9CA" w14:textId="77777777" w:rsidR="00987A38" w:rsidRPr="00987A38" w:rsidRDefault="00987A38" w:rsidP="00987A38">
      <w:pPr>
        <w:pStyle w:val="ListParagraph"/>
        <w:numPr>
          <w:ilvl w:val="0"/>
          <w:numId w:val="23"/>
        </w:numPr>
        <w:rPr>
          <w:lang w:val="en-US"/>
        </w:rPr>
      </w:pPr>
      <w:r w:rsidRPr="00987A38">
        <w:rPr>
          <w:lang w:val="en-US"/>
        </w:rPr>
        <w:t>A thematic service adopts some EOSC federation services to implement basic features (AAI, monitoring, accounting).</w:t>
      </w:r>
    </w:p>
    <w:p w14:paraId="5C6F986B" w14:textId="77777777" w:rsidR="00987A38" w:rsidRPr="00987A38" w:rsidRDefault="00987A38" w:rsidP="00987A38">
      <w:pPr>
        <w:pStyle w:val="ListParagraph"/>
        <w:numPr>
          <w:ilvl w:val="0"/>
          <w:numId w:val="23"/>
        </w:numPr>
        <w:rPr>
          <w:lang w:val="en-US"/>
        </w:rPr>
      </w:pPr>
      <w:r w:rsidRPr="00987A38">
        <w:rPr>
          <w:lang w:val="en-US"/>
        </w:rPr>
        <w:t>A thematic service adopts common services that provide features to better exploit compute, storage and data resources.</w:t>
      </w:r>
    </w:p>
    <w:p w14:paraId="40371923" w14:textId="77777777" w:rsidR="00987A38" w:rsidRPr="00987A38" w:rsidRDefault="00987A38" w:rsidP="00987A38">
      <w:pPr>
        <w:pStyle w:val="ListParagraph"/>
        <w:numPr>
          <w:ilvl w:val="0"/>
          <w:numId w:val="23"/>
        </w:numPr>
        <w:rPr>
          <w:lang w:val="en-US"/>
        </w:rPr>
      </w:pPr>
      <w:r w:rsidRPr="00987A38">
        <w:rPr>
          <w:lang w:val="en-US"/>
        </w:rPr>
        <w:t>An EOSC user creates new scientific workflows integrating, for example, a data repository and some analytics services together.</w:t>
      </w:r>
    </w:p>
    <w:p w14:paraId="1CCC2C82" w14:textId="77777777" w:rsidR="00987A38" w:rsidRPr="00987A38" w:rsidRDefault="00987A38" w:rsidP="00987A38">
      <w:pPr>
        <w:rPr>
          <w:lang w:val="en-US"/>
        </w:rPr>
      </w:pPr>
      <w:r w:rsidRPr="00987A38">
        <w:rPr>
          <w:lang w:val="en-US"/>
        </w:rPr>
        <w:t>The adoption of standard interfaces makes some of the services of the EOSC service catalogues already interoperable, these sub-classes of composable services need to be identified and made accessible through the EOSC Portal. Furthermore, according to the emerging needs from communities, other services can be made interoperable through integration activities. EOSC should provide technical guidelines (in terms of suggests EOSC standards and APIs) and technical support to both integrate services and facilitate the combined usage of (already) interoperable services.</w:t>
      </w:r>
    </w:p>
    <w:p w14:paraId="5D453AE3" w14:textId="366CFBD9" w:rsidR="005959F1" w:rsidRPr="00987A38" w:rsidRDefault="00987A38" w:rsidP="00987A38">
      <w:pPr>
        <w:rPr>
          <w:lang w:val="en-US"/>
        </w:rPr>
      </w:pPr>
      <w:r w:rsidRPr="00987A38">
        <w:rPr>
          <w:lang w:val="en-US"/>
        </w:rPr>
        <w:t xml:space="preserve">Enabling the service composability would allow developers of the thematic services to easily reuse common, federation or access enabling services to implement basic features (AAI, accounting, monitoring, etc.) and exploiting in the best way compute, storage and data resources. Indeed, they, from one side, can focus on working on increasing the scientific added value of their services, and from the other side, rely on well-established and EOSC-compliant services for implementing the basic features. A large part of these reusable services will come from the experiences of the main European e-infrastructures and other relevant initiatives (such as those involved in the </w:t>
      </w:r>
      <w:r>
        <w:rPr>
          <w:lang w:val="en-US"/>
        </w:rPr>
        <w:t xml:space="preserve">EOSC-hub </w:t>
      </w:r>
      <w:r w:rsidRPr="00987A38">
        <w:rPr>
          <w:lang w:val="en-US"/>
        </w:rPr>
        <w:t>project, EGI, EUDAT and INDIGO-</w:t>
      </w:r>
      <w:proofErr w:type="spellStart"/>
      <w:r w:rsidRPr="00987A38">
        <w:rPr>
          <w:lang w:val="en-US"/>
        </w:rPr>
        <w:t>DataCloud</w:t>
      </w:r>
      <w:proofErr w:type="spellEnd"/>
      <w:r w:rsidRPr="00987A38">
        <w:rPr>
          <w:lang w:val="en-US"/>
        </w:rPr>
        <w:t>).</w:t>
      </w:r>
    </w:p>
    <w:p w14:paraId="43F0F314" w14:textId="66CDD912" w:rsidR="00A30A98" w:rsidRDefault="001113C3" w:rsidP="005959F1">
      <w:pPr>
        <w:pStyle w:val="Heading1"/>
      </w:pPr>
      <w:bookmarkStart w:id="5" w:name="_Toc15645924"/>
      <w:r w:rsidRPr="001113C3">
        <w:lastRenderedPageBreak/>
        <w:t>EOSC Technical Architecture</w:t>
      </w:r>
      <w:bookmarkEnd w:id="5"/>
    </w:p>
    <w:p w14:paraId="2312C191" w14:textId="723ED970" w:rsidR="001113C3" w:rsidRPr="001113C3" w:rsidRDefault="001113C3" w:rsidP="001113C3">
      <w:pPr>
        <w:rPr>
          <w:lang w:val="en-US"/>
        </w:rPr>
      </w:pPr>
      <w:r w:rsidRPr="001113C3">
        <w:rPr>
          <w:lang w:val="en-US"/>
        </w:rPr>
        <w:t xml:space="preserve">The EOSC Technical Architecture presented in this document is a reference architecture. In the field of software architecture or enterprise architecture, a reference architecture provides a template solution for an architecture for a </w:t>
      </w:r>
      <w:proofErr w:type="gramStart"/>
      <w:r w:rsidRPr="001113C3">
        <w:rPr>
          <w:lang w:val="en-US"/>
        </w:rPr>
        <w:t>particular domain</w:t>
      </w:r>
      <w:proofErr w:type="gramEnd"/>
      <w:r w:rsidRPr="001113C3">
        <w:rPr>
          <w:lang w:val="en-US"/>
        </w:rPr>
        <w:t>. It provides a common vocabulary with which to discuss implementations, often with the aim to stress commonalities. A reference architecture often consists of a list of functions and some indication of their interfaces (or APIs) and interactions with each other and with functions located outside of the scope of the reference architecture</w:t>
      </w:r>
      <w:r>
        <w:rPr>
          <w:rStyle w:val="FootnoteReference"/>
          <w:lang w:val="en-US"/>
        </w:rPr>
        <w:footnoteReference w:id="3"/>
      </w:r>
      <w:r w:rsidRPr="001113C3">
        <w:rPr>
          <w:lang w:val="en-US"/>
        </w:rPr>
        <w:t>.</w:t>
      </w:r>
    </w:p>
    <w:p w14:paraId="020D814D" w14:textId="2198A7C7" w:rsidR="001113C3" w:rsidRPr="001113C3" w:rsidRDefault="001113C3" w:rsidP="001113C3">
      <w:pPr>
        <w:rPr>
          <w:lang w:val="en-US"/>
        </w:rPr>
      </w:pPr>
      <w:r w:rsidRPr="001113C3">
        <w:rPr>
          <w:lang w:val="en-US"/>
        </w:rPr>
        <w:t>Reference architectures can be defined at different levels of abstraction, in the context of EOSC, EOSC-hub decided to work at infrastructure/technical level. The architecture presented later in this document includes functions, interfaces, APIs and standard as technical concepts, with the final aim to foster interoperability and, then, the service composability. As part of this work, we are also defining a common vocabulary usable to define not only already available services, but also the ones will be joining EOSC catalogue in the future.</w:t>
      </w:r>
    </w:p>
    <w:p w14:paraId="0DAA0D3A" w14:textId="13E51A8C" w:rsidR="00A30A98" w:rsidRDefault="005B7DC8" w:rsidP="0060134C">
      <w:pPr>
        <w:pStyle w:val="Heading2"/>
      </w:pPr>
      <w:bookmarkStart w:id="6" w:name="_Toc15645925"/>
      <w:r w:rsidRPr="005B7DC8">
        <w:t>Main blocks of the technical architecture</w:t>
      </w:r>
      <w:bookmarkEnd w:id="6"/>
    </w:p>
    <w:p w14:paraId="3042F98D" w14:textId="573827E7" w:rsidR="005B7DC8" w:rsidRDefault="005B7DC8" w:rsidP="005B7DC8">
      <w:r w:rsidRPr="005B7DC8">
        <w:t xml:space="preserve">Figure </w:t>
      </w:r>
      <w:r>
        <w:t>2</w:t>
      </w:r>
      <w:r w:rsidRPr="005B7DC8">
        <w:t xml:space="preserve"> describes the main blocks of the proposed EOSC technical architecture and their interactions. Each block contains all the functions offered by the related class of services (thematic, common, access enabling and federation services, see next sections for details).</w:t>
      </w:r>
    </w:p>
    <w:p w14:paraId="12BEF2A8" w14:textId="77777777" w:rsidR="005B7DC8" w:rsidRDefault="005B7DC8" w:rsidP="005B7DC8">
      <w:pPr>
        <w:keepNext/>
      </w:pPr>
      <w:r>
        <w:rPr>
          <w:rFonts w:ascii="Arial" w:hAnsi="Arial" w:cs="Arial"/>
          <w:noProof/>
          <w:color w:val="000000"/>
        </w:rPr>
        <w:drawing>
          <wp:inline distT="0" distB="0" distL="0" distR="0" wp14:anchorId="6095DFC4" wp14:editId="604D22AA">
            <wp:extent cx="5731510" cy="3046730"/>
            <wp:effectExtent l="0" t="0" r="2540" b="1270"/>
            <wp:docPr id="16" name="Picture 16" descr="https://lh5.googleusercontent.com/sOtgL0O3MvV362MZJt8vK85K7irz_yW-iQMLqt3_LBFq1eqfFZs3OWwpgvupgwI3VsxdNCLxNNA4Mhd1Fco7isJ_8FbyIRBsG75GW-p8nvnOeyWFmodBsHecQst9ec2S5D3lxFa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https://lh5.googleusercontent.com/sOtgL0O3MvV362MZJt8vK85K7irz_yW-iQMLqt3_LBFq1eqfFZs3OWwpgvupgwI3VsxdNCLxNNA4Mhd1Fco7isJ_8FbyIRBsG75GW-p8nvnOeyWFmodBsHecQst9ec2S5D3lxFa_"/>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3046730"/>
                    </a:xfrm>
                    <a:prstGeom prst="rect">
                      <a:avLst/>
                    </a:prstGeom>
                    <a:noFill/>
                    <a:ln>
                      <a:noFill/>
                    </a:ln>
                  </pic:spPr>
                </pic:pic>
              </a:graphicData>
            </a:graphic>
          </wp:inline>
        </w:drawing>
      </w:r>
    </w:p>
    <w:p w14:paraId="205FA7DB" w14:textId="1FBF7351" w:rsidR="005B7DC8" w:rsidRDefault="005B7DC8" w:rsidP="005B7DC8">
      <w:pPr>
        <w:pStyle w:val="Caption"/>
        <w:jc w:val="center"/>
      </w:pPr>
      <w:r>
        <w:t xml:space="preserve">Figure </w:t>
      </w:r>
      <w:r>
        <w:fldChar w:fldCharType="begin"/>
      </w:r>
      <w:r>
        <w:instrText xml:space="preserve"> SEQ Figure \* ARABIC </w:instrText>
      </w:r>
      <w:r>
        <w:fldChar w:fldCharType="separate"/>
      </w:r>
      <w:r w:rsidR="004002C6">
        <w:rPr>
          <w:noProof/>
        </w:rPr>
        <w:t>2</w:t>
      </w:r>
      <w:r>
        <w:fldChar w:fldCharType="end"/>
      </w:r>
      <w:r>
        <w:t xml:space="preserve">. </w:t>
      </w:r>
      <w:r w:rsidRPr="003718C5">
        <w:t>Main Service Blocks and their interactions.</w:t>
      </w:r>
    </w:p>
    <w:p w14:paraId="1D317C75" w14:textId="6162AC07" w:rsidR="00A30A98" w:rsidRPr="004D249B" w:rsidRDefault="005B7DC8" w:rsidP="005B7DC8">
      <w:r w:rsidRPr="005B7DC8">
        <w:t xml:space="preserve">EOSC users can exploit EOSC Thematic and Common services directly or through the GUI or API of an access enabling services like the EOSC Portal (or </w:t>
      </w:r>
      <w:proofErr w:type="gramStart"/>
      <w:r w:rsidRPr="005B7DC8">
        <w:t>others</w:t>
      </w:r>
      <w:proofErr w:type="gramEnd"/>
      <w:r w:rsidRPr="005B7DC8">
        <w:t xml:space="preserve"> portals and Marketplaces). Thematic services can leverage on Common services for added value features on top of data, compute and </w:t>
      </w:r>
      <w:r w:rsidRPr="005B7DC8">
        <w:lastRenderedPageBreak/>
        <w:t>storage resources. Federation tools support all these services providing basic features like authentication and authorisation, accounting, monitoring, etc. Pledged shared resources centrally managed by EOSC, including both commodity services and service capacity, are part of the Resources block and complement other EOSC resources directly managed by other service providers.</w:t>
      </w:r>
    </w:p>
    <w:p w14:paraId="0E8062BC" w14:textId="5259FD36" w:rsidR="00A30A98" w:rsidRDefault="005B7DC8" w:rsidP="005B7DC8">
      <w:pPr>
        <w:pStyle w:val="Heading3"/>
      </w:pPr>
      <w:r w:rsidRPr="005B7DC8">
        <w:t>Approach to define the content of each block</w:t>
      </w:r>
    </w:p>
    <w:p w14:paraId="244529D1" w14:textId="7ADAEDCC" w:rsidR="005B7DC8" w:rsidRDefault="005B7DC8" w:rsidP="005B7DC8">
      <w:r w:rsidRPr="005B7DC8">
        <w:t xml:space="preserve">EOSC-hub is working on defining the content of the main blocks of the architecture and specified a common approach to complete this task. It foresees the identification of the main </w:t>
      </w:r>
      <w:r w:rsidRPr="005B7DC8">
        <w:rPr>
          <w:b/>
          <w:bCs/>
        </w:rPr>
        <w:t>macro-features/functions</w:t>
      </w:r>
      <w:r w:rsidRPr="005B7DC8">
        <w:t xml:space="preserve"> offered by each block and, for each of those, defining a </w:t>
      </w:r>
      <w:r w:rsidRPr="005B7DC8">
        <w:rPr>
          <w:b/>
          <w:bCs/>
        </w:rPr>
        <w:t>technical specification</w:t>
      </w:r>
      <w:r w:rsidRPr="005B7DC8">
        <w:t xml:space="preserve"> that includes </w:t>
      </w:r>
      <w:proofErr w:type="gramStart"/>
      <w:r w:rsidRPr="005B7DC8">
        <w:t>an</w:t>
      </w:r>
      <w:proofErr w:type="gramEnd"/>
      <w:r w:rsidRPr="005B7DC8">
        <w:t xml:space="preserve"> </w:t>
      </w:r>
      <w:r w:rsidRPr="005B7DC8">
        <w:rPr>
          <w:b/>
          <w:bCs/>
        </w:rPr>
        <w:t>high-level architecture, suggested EOSC standards and APIs and interoperability guidelines</w:t>
      </w:r>
      <w:r w:rsidRPr="005B7DC8">
        <w:t>. This method would allow to have a set of services per macro-feature compliant with the related EOSC technical specification. Services belonging to this set would be able to interoperate thanks to the interoperability guidelines defined in the specification. Examples of these families of services can be AAI services compliant with the AARC blueprint architecture and guidelines or monitoring and/or accounting systems able to exchange/share information and provide integrated views to the EOSC customers and service providers. We believe that this approach fits well with a varied environment like EOSC, where many solutions for a given technical requirement already exist.</w:t>
      </w:r>
    </w:p>
    <w:p w14:paraId="18DC9B8B" w14:textId="77777777" w:rsidR="005B7DC8" w:rsidRDefault="005B7DC8" w:rsidP="005B7DC8">
      <w:r>
        <w:t>The definition of EOSC standards and APIs and related interoperability guidelines for each of the identified macro-features will foster the end-to-end composition of services. Indeed, from one side, being compliant with a specification for a given macro-feature, would allow a service to interoperate with other services offering the same macro-features and, from the other side, other macro-features/services can use the EOSC interfaces, described in the technical specification, to exploit such macro-features.</w:t>
      </w:r>
    </w:p>
    <w:p w14:paraId="263602E4" w14:textId="6247D3F9" w:rsidR="005B7DC8" w:rsidRDefault="005B7DC8" w:rsidP="005B7DC8">
      <w:r>
        <w:t xml:space="preserve">Identifying macro-features and the related technical specifications for all the blocks could be a complex and long work, then we agreed to follow an iterative approach starting from the functions that are more requested by the EOSC use cases. </w:t>
      </w:r>
      <w:proofErr w:type="gramStart"/>
      <w:r>
        <w:t>Also</w:t>
      </w:r>
      <w:proofErr w:type="gramEnd"/>
      <w:r>
        <w:t xml:space="preserve"> the technical specifications, initially prepared by the technical experts within the EOSC-hub project, could be iteratively improved collecting feedback by external people with expertise in the area and involving them in the maintenance and evolution of such specifications. The same is true also for the list of macro-features: they will evolve and change in the future adding/deleting features depending on the user requirements and on the projects/service providers that would join the EOSC in the future.</w:t>
      </w:r>
    </w:p>
    <w:p w14:paraId="597EE45D" w14:textId="70D5FCCC" w:rsidR="005B7DC8" w:rsidRDefault="005B7DC8" w:rsidP="005B7DC8">
      <w:pPr>
        <w:pStyle w:val="Heading3"/>
      </w:pPr>
      <w:r w:rsidRPr="005B7DC8">
        <w:t>Technical Specification template</w:t>
      </w:r>
    </w:p>
    <w:p w14:paraId="03E082E6" w14:textId="77777777" w:rsidR="005B7DC8" w:rsidRPr="005B7DC8" w:rsidRDefault="005B7DC8" w:rsidP="005B7DC8">
      <w:pPr>
        <w:rPr>
          <w:lang w:val="en-US"/>
        </w:rPr>
      </w:pPr>
      <w:r w:rsidRPr="005B7DC8">
        <w:rPr>
          <w:lang w:val="en-US"/>
        </w:rPr>
        <w:t>We have defined a template to collect information for each of the identified macro-features and define a technical specification, regardless of the block they belong to. It is structured as follows:</w:t>
      </w:r>
    </w:p>
    <w:p w14:paraId="570A5359" w14:textId="77777777" w:rsidR="005B7DC8" w:rsidRPr="005B7DC8" w:rsidRDefault="005B7DC8" w:rsidP="005B7DC8">
      <w:pPr>
        <w:pStyle w:val="ListParagraph"/>
        <w:numPr>
          <w:ilvl w:val="0"/>
          <w:numId w:val="24"/>
        </w:numPr>
        <w:rPr>
          <w:lang w:val="en-US"/>
        </w:rPr>
      </w:pPr>
      <w:r w:rsidRPr="005B7DC8">
        <w:rPr>
          <w:lang w:val="en-US"/>
        </w:rPr>
        <w:t>Introduction: short description of the macro-feature highlighting its main functions.</w:t>
      </w:r>
    </w:p>
    <w:p w14:paraId="422C5419" w14:textId="77777777" w:rsidR="005B7DC8" w:rsidRPr="005B7DC8" w:rsidRDefault="005B7DC8" w:rsidP="005B7DC8">
      <w:pPr>
        <w:pStyle w:val="ListParagraph"/>
        <w:numPr>
          <w:ilvl w:val="0"/>
          <w:numId w:val="24"/>
        </w:numPr>
        <w:rPr>
          <w:lang w:val="en-US"/>
        </w:rPr>
      </w:pPr>
      <w:r w:rsidRPr="005B7DC8">
        <w:rPr>
          <w:lang w:val="en-US"/>
        </w:rPr>
        <w:t>High-level Service Architecture: reference architecture of the macro-feature with highlighted the interfaces towards the other macro-features. It does not refer to any specific service.</w:t>
      </w:r>
    </w:p>
    <w:p w14:paraId="39A329F6" w14:textId="77777777" w:rsidR="005B7DC8" w:rsidRPr="005B7DC8" w:rsidRDefault="005B7DC8" w:rsidP="005B7DC8">
      <w:pPr>
        <w:pStyle w:val="ListParagraph"/>
        <w:numPr>
          <w:ilvl w:val="0"/>
          <w:numId w:val="24"/>
        </w:numPr>
        <w:rPr>
          <w:lang w:val="en-US"/>
        </w:rPr>
      </w:pPr>
      <w:r w:rsidRPr="005B7DC8">
        <w:rPr>
          <w:lang w:val="en-US"/>
        </w:rPr>
        <w:t>Adopted Standard: list with references of the main adopted standards and protocols/API.</w:t>
      </w:r>
    </w:p>
    <w:p w14:paraId="438D84E7" w14:textId="77777777" w:rsidR="005B7DC8" w:rsidRPr="005B7DC8" w:rsidRDefault="005B7DC8" w:rsidP="005B7DC8">
      <w:pPr>
        <w:pStyle w:val="ListParagraph"/>
        <w:numPr>
          <w:ilvl w:val="0"/>
          <w:numId w:val="24"/>
        </w:numPr>
        <w:rPr>
          <w:lang w:val="en-US"/>
        </w:rPr>
      </w:pPr>
      <w:r w:rsidRPr="005B7DC8">
        <w:rPr>
          <w:lang w:val="en-US"/>
        </w:rPr>
        <w:lastRenderedPageBreak/>
        <w:t>Interoperability guidelines: describe how similar services can be made interoperable with this macro-feature.</w:t>
      </w:r>
    </w:p>
    <w:p w14:paraId="27307726" w14:textId="77777777" w:rsidR="005B7DC8" w:rsidRPr="005B7DC8" w:rsidRDefault="005B7DC8" w:rsidP="005B7DC8">
      <w:pPr>
        <w:pStyle w:val="ListParagraph"/>
        <w:numPr>
          <w:ilvl w:val="0"/>
          <w:numId w:val="24"/>
        </w:numPr>
        <w:rPr>
          <w:lang w:val="en-US"/>
        </w:rPr>
      </w:pPr>
      <w:r w:rsidRPr="005B7DC8">
        <w:rPr>
          <w:lang w:val="en-US"/>
        </w:rPr>
        <w:t>Examples of solutions implementing this specification: list of already available Open Source services that are compliant with this specification.</w:t>
      </w:r>
    </w:p>
    <w:p w14:paraId="013140AF" w14:textId="0957AF7F" w:rsidR="005B7DC8" w:rsidRPr="005B7DC8" w:rsidRDefault="005B7DC8" w:rsidP="005B7DC8">
      <w:pPr>
        <w:rPr>
          <w:lang w:val="en-US"/>
        </w:rPr>
      </w:pPr>
      <w:r w:rsidRPr="005B7DC8">
        <w:rPr>
          <w:lang w:val="en-US"/>
        </w:rPr>
        <w:t>In the following sections of the document, we describe the current status of the work to define the content of each main block of the infrastructure.</w:t>
      </w:r>
    </w:p>
    <w:p w14:paraId="0485E468" w14:textId="5F3F7452" w:rsidR="005B7DC8" w:rsidRDefault="004002C6" w:rsidP="005B7DC8">
      <w:pPr>
        <w:pStyle w:val="Heading2"/>
      </w:pPr>
      <w:bookmarkStart w:id="7" w:name="_Toc15645926"/>
      <w:r>
        <w:t xml:space="preserve">EOSC </w:t>
      </w:r>
      <w:r w:rsidR="005B7DC8" w:rsidRPr="005B7DC8">
        <w:t>Access Enabling and Federation services</w:t>
      </w:r>
      <w:bookmarkEnd w:id="7"/>
    </w:p>
    <w:p w14:paraId="585EA288" w14:textId="60C08FB2" w:rsidR="005B7DC8" w:rsidRDefault="005B7DC8" w:rsidP="005B7DC8">
      <w:pPr>
        <w:pStyle w:val="NormalWeb"/>
        <w:spacing w:before="0" w:beforeAutospacing="0" w:after="120" w:afterAutospacing="0"/>
        <w:jc w:val="both"/>
      </w:pPr>
      <w:r>
        <w:rPr>
          <w:rFonts w:ascii="Calibri" w:hAnsi="Calibri" w:cs="Calibri"/>
          <w:color w:val="000000"/>
          <w:sz w:val="22"/>
          <w:szCs w:val="22"/>
        </w:rPr>
        <w:t xml:space="preserve">In the Access Enabling and Federation services blocks, </w:t>
      </w:r>
      <w:r>
        <w:rPr>
          <w:rFonts w:ascii="Calibri" w:hAnsi="Calibri" w:cs="Calibri"/>
          <w:b/>
          <w:bCs/>
          <w:color w:val="000000"/>
          <w:sz w:val="22"/>
          <w:szCs w:val="22"/>
        </w:rPr>
        <w:t>we intend as macro-feature any key access- and federation-enabling function needed to operate the EOSC</w:t>
      </w:r>
      <w:r>
        <w:rPr>
          <w:rFonts w:ascii="Calibri" w:hAnsi="Calibri" w:cs="Calibri"/>
          <w:color w:val="000000"/>
          <w:sz w:val="22"/>
          <w:szCs w:val="22"/>
        </w:rPr>
        <w:t xml:space="preserve">. Services offering these features according to the EOSC specification could be onboarded on the Hub service portfolio described in section </w:t>
      </w:r>
      <w:r>
        <w:rPr>
          <w:rFonts w:ascii="Calibri" w:hAnsi="Calibri" w:cs="Calibri"/>
          <w:color w:val="000000"/>
          <w:sz w:val="22"/>
          <w:szCs w:val="22"/>
        </w:rPr>
        <w:t>2</w:t>
      </w:r>
      <w:r>
        <w:rPr>
          <w:rFonts w:ascii="Calibri" w:hAnsi="Calibri" w:cs="Calibri"/>
          <w:color w:val="000000"/>
          <w:sz w:val="22"/>
          <w:szCs w:val="22"/>
        </w:rPr>
        <w:t>.</w:t>
      </w:r>
    </w:p>
    <w:p w14:paraId="418E2EF2" w14:textId="77777777" w:rsidR="005B7DC8" w:rsidRDefault="005B7DC8" w:rsidP="005B7DC8">
      <w:pPr>
        <w:pStyle w:val="NormalWeb"/>
        <w:spacing w:before="0" w:beforeAutospacing="0" w:after="120" w:afterAutospacing="0"/>
        <w:jc w:val="both"/>
      </w:pPr>
      <w:r>
        <w:rPr>
          <w:rFonts w:ascii="Calibri" w:hAnsi="Calibri" w:cs="Calibri"/>
          <w:color w:val="000000"/>
          <w:sz w:val="22"/>
          <w:szCs w:val="22"/>
        </w:rPr>
        <w:t>We already identified an initial list of macro-features for this block leveraging on the experiences from some of the largest European e-infrastructures that are involved in the project. This list is detailed in the table below.</w:t>
      </w:r>
    </w:p>
    <w:p w14:paraId="705471EE" w14:textId="7223DD57" w:rsidR="005B7DC8" w:rsidRPr="004D249B" w:rsidRDefault="005B7DC8" w:rsidP="005B7DC8">
      <w:pPr>
        <w:pStyle w:val="Caption1"/>
      </w:pPr>
      <w:r>
        <w:t xml:space="preserve">Table 1 – </w:t>
      </w:r>
      <w:r>
        <w:t>Access Enabling and Federation macro-features</w:t>
      </w:r>
    </w:p>
    <w:tbl>
      <w:tblPr>
        <w:tblStyle w:val="TableSimple1"/>
        <w:tblW w:w="0" w:type="auto"/>
        <w:tblLook w:val="04A0" w:firstRow="1" w:lastRow="0" w:firstColumn="1" w:lastColumn="0" w:noHBand="0" w:noVBand="1"/>
      </w:tblPr>
      <w:tblGrid>
        <w:gridCol w:w="2425"/>
        <w:gridCol w:w="6570"/>
      </w:tblGrid>
      <w:tr w:rsidR="005B7DC8" w:rsidRPr="002E5F1F" w14:paraId="1ADA3E61" w14:textId="77777777" w:rsidTr="005B7D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tcPr>
          <w:p w14:paraId="0BFAFB68" w14:textId="14DEC4D2" w:rsidR="005B7DC8" w:rsidRPr="002E5F1F" w:rsidRDefault="005B7DC8" w:rsidP="004A58B9">
            <w:pPr>
              <w:pStyle w:val="NoSpacing"/>
              <w:rPr>
                <w:b w:val="0"/>
                <w:i/>
              </w:rPr>
            </w:pPr>
            <w:r w:rsidRPr="005B7DC8">
              <w:rPr>
                <w:i/>
              </w:rPr>
              <w:t>Macro-features</w:t>
            </w:r>
          </w:p>
        </w:tc>
        <w:tc>
          <w:tcPr>
            <w:tcW w:w="6570" w:type="dxa"/>
          </w:tcPr>
          <w:p w14:paraId="368B6AC5" w14:textId="5C94554C" w:rsidR="005B7DC8" w:rsidRPr="002E5F1F" w:rsidRDefault="005B7DC8" w:rsidP="004A58B9">
            <w:pPr>
              <w:pStyle w:val="NoSpacing"/>
              <w:cnfStyle w:val="100000000000" w:firstRow="1" w:lastRow="0" w:firstColumn="0" w:lastColumn="0" w:oddVBand="0" w:evenVBand="0" w:oddHBand="0" w:evenHBand="0" w:firstRowFirstColumn="0" w:firstRowLastColumn="0" w:lastRowFirstColumn="0" w:lastRowLastColumn="0"/>
              <w:rPr>
                <w:b w:val="0"/>
                <w:i/>
              </w:rPr>
            </w:pPr>
            <w:r w:rsidRPr="005B7DC8">
              <w:rPr>
                <w:i/>
              </w:rPr>
              <w:t>Short description</w:t>
            </w:r>
          </w:p>
        </w:tc>
      </w:tr>
      <w:tr w:rsidR="005B7DC8" w14:paraId="497D9267" w14:textId="77777777" w:rsidTr="005B7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tcPr>
          <w:p w14:paraId="75BC9C29" w14:textId="3AB88ECB" w:rsidR="005B7DC8" w:rsidRDefault="00F814A1" w:rsidP="004A58B9">
            <w:pPr>
              <w:pStyle w:val="NoSpacing"/>
            </w:pPr>
            <w:r>
              <w:t>EOSC Portal</w:t>
            </w:r>
          </w:p>
        </w:tc>
        <w:tc>
          <w:tcPr>
            <w:tcW w:w="6570" w:type="dxa"/>
          </w:tcPr>
          <w:p w14:paraId="3464F237" w14:textId="77777777" w:rsidR="00F814A1" w:rsidRPr="00F814A1" w:rsidRDefault="00F814A1" w:rsidP="00F814A1">
            <w:pPr>
              <w:spacing w:after="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pacing w:val="0"/>
                <w:sz w:val="24"/>
                <w:szCs w:val="24"/>
                <w:lang w:val="en-US"/>
              </w:rPr>
            </w:pPr>
            <w:r w:rsidRPr="00F814A1">
              <w:rPr>
                <w:rFonts w:eastAsia="Times New Roman" w:cs="Calibri"/>
                <w:color w:val="000000"/>
                <w:spacing w:val="0"/>
                <w:lang w:val="en-US"/>
              </w:rPr>
              <w:t xml:space="preserve">The EOSC Portal provides a European-level delivery channel connecting the demand-side (the EOSC Customers) and the supply-side (the EOSC Providers) to allow researchers to conduct their work in a collaborative, open and cost-efficient way for the benefit of society and the public at large.  </w:t>
            </w:r>
            <w:proofErr w:type="gramStart"/>
            <w:r w:rsidRPr="00F814A1">
              <w:rPr>
                <w:rFonts w:eastAsia="Times New Roman" w:cs="Calibri"/>
                <w:color w:val="000000"/>
                <w:spacing w:val="0"/>
                <w:lang w:val="en-US"/>
              </w:rPr>
              <w:t>In particular it</w:t>
            </w:r>
            <w:proofErr w:type="gramEnd"/>
            <w:r w:rsidRPr="00F814A1">
              <w:rPr>
                <w:rFonts w:eastAsia="Times New Roman" w:cs="Calibri"/>
                <w:color w:val="000000"/>
                <w:spacing w:val="0"/>
                <w:lang w:val="en-US"/>
              </w:rPr>
              <w:t xml:space="preserve"> delivers the following functions:</w:t>
            </w:r>
          </w:p>
          <w:p w14:paraId="1FACF17D" w14:textId="77777777" w:rsidR="00F814A1" w:rsidRPr="00F814A1" w:rsidRDefault="00F814A1" w:rsidP="00F814A1">
            <w:pPr>
              <w:numPr>
                <w:ilvl w:val="0"/>
                <w:numId w:val="27"/>
              </w:numPr>
              <w:spacing w:after="0"/>
              <w:textAlignment w:val="baseline"/>
              <w:cnfStyle w:val="000000100000" w:firstRow="0" w:lastRow="0" w:firstColumn="0" w:lastColumn="0" w:oddVBand="0" w:evenVBand="0" w:oddHBand="1" w:evenHBand="0" w:firstRowFirstColumn="0" w:firstRowLastColumn="0" w:lastRowFirstColumn="0" w:lastRowLastColumn="0"/>
              <w:rPr>
                <w:rFonts w:ascii="Noto Sans Symbols" w:eastAsia="Times New Roman" w:hAnsi="Noto Sans Symbols" w:cs="Times New Roman"/>
                <w:color w:val="000000"/>
                <w:spacing w:val="0"/>
                <w:lang w:val="en-US"/>
              </w:rPr>
            </w:pPr>
            <w:r w:rsidRPr="00F814A1">
              <w:rPr>
                <w:rFonts w:eastAsia="Times New Roman" w:cs="Calibri"/>
                <w:color w:val="000000"/>
                <w:spacing w:val="0"/>
                <w:lang w:val="en-US"/>
              </w:rPr>
              <w:t xml:space="preserve">Enable different kinds of users, with different skills and interests, to discover, access, use and reuse a broad spectrum of EOSC Resources (services, datasets, software, support, training, consultancy, </w:t>
            </w:r>
            <w:proofErr w:type="spellStart"/>
            <w:r w:rsidRPr="00F814A1">
              <w:rPr>
                <w:rFonts w:eastAsia="Times New Roman" w:cs="Calibri"/>
                <w:color w:val="000000"/>
                <w:spacing w:val="0"/>
                <w:lang w:val="en-US"/>
              </w:rPr>
              <w:t>etc</w:t>
            </w:r>
            <w:proofErr w:type="spellEnd"/>
            <w:r w:rsidRPr="00F814A1">
              <w:rPr>
                <w:rFonts w:eastAsia="Times New Roman" w:cs="Calibri"/>
                <w:color w:val="000000"/>
                <w:spacing w:val="0"/>
                <w:lang w:val="en-US"/>
              </w:rPr>
              <w:t>) for advanced data-driven research</w:t>
            </w:r>
          </w:p>
          <w:p w14:paraId="48B90327" w14:textId="77777777" w:rsidR="00F814A1" w:rsidRPr="00F814A1" w:rsidRDefault="00F814A1" w:rsidP="00F814A1">
            <w:pPr>
              <w:numPr>
                <w:ilvl w:val="0"/>
                <w:numId w:val="27"/>
              </w:numPr>
              <w:spacing w:after="0"/>
              <w:textAlignment w:val="baseline"/>
              <w:cnfStyle w:val="000000100000" w:firstRow="0" w:lastRow="0" w:firstColumn="0" w:lastColumn="0" w:oddVBand="0" w:evenVBand="0" w:oddHBand="1" w:evenHBand="0" w:firstRowFirstColumn="0" w:firstRowLastColumn="0" w:lastRowFirstColumn="0" w:lastRowLastColumn="0"/>
              <w:rPr>
                <w:rFonts w:ascii="Noto Sans Symbols" w:eastAsia="Times New Roman" w:hAnsi="Noto Sans Symbols" w:cs="Times New Roman"/>
                <w:color w:val="000000"/>
                <w:spacing w:val="0"/>
                <w:lang w:val="en-US"/>
              </w:rPr>
            </w:pPr>
            <w:r w:rsidRPr="00F814A1">
              <w:rPr>
                <w:rFonts w:eastAsia="Times New Roman" w:cs="Calibri"/>
                <w:color w:val="000000"/>
                <w:spacing w:val="0"/>
                <w:lang w:val="en-US"/>
              </w:rPr>
              <w:t>Support interdisciplinary research and facilitate Resource discovery and access at the institutional and inter-institutional level</w:t>
            </w:r>
          </w:p>
          <w:p w14:paraId="7CBAD897" w14:textId="77777777" w:rsidR="00F814A1" w:rsidRPr="00F814A1" w:rsidRDefault="00F814A1" w:rsidP="00F814A1">
            <w:pPr>
              <w:numPr>
                <w:ilvl w:val="0"/>
                <w:numId w:val="27"/>
              </w:numPr>
              <w:spacing w:after="0"/>
              <w:textAlignment w:val="baseline"/>
              <w:cnfStyle w:val="000000100000" w:firstRow="0" w:lastRow="0" w:firstColumn="0" w:lastColumn="0" w:oddVBand="0" w:evenVBand="0" w:oddHBand="1" w:evenHBand="0" w:firstRowFirstColumn="0" w:firstRowLastColumn="0" w:lastRowFirstColumn="0" w:lastRowLastColumn="0"/>
              <w:rPr>
                <w:rFonts w:ascii="Noto Sans Symbols" w:eastAsia="Times New Roman" w:hAnsi="Noto Sans Symbols" w:cs="Times New Roman"/>
                <w:color w:val="000000"/>
                <w:spacing w:val="0"/>
                <w:lang w:val="en-US"/>
              </w:rPr>
            </w:pPr>
            <w:r w:rsidRPr="00F814A1">
              <w:rPr>
                <w:rFonts w:eastAsia="Times New Roman" w:cs="Calibri"/>
                <w:color w:val="000000"/>
                <w:spacing w:val="0"/>
                <w:lang w:val="en-US"/>
              </w:rPr>
              <w:t>Allow researchers and institutions to focus on value creation through sharing and reuse as opposed to duplicating Resources and increase excellence of research and European competitiveness</w:t>
            </w:r>
          </w:p>
          <w:p w14:paraId="27140880" w14:textId="77777777" w:rsidR="00F814A1" w:rsidRPr="00F814A1" w:rsidRDefault="00F814A1" w:rsidP="00F814A1">
            <w:pPr>
              <w:numPr>
                <w:ilvl w:val="0"/>
                <w:numId w:val="27"/>
              </w:numPr>
              <w:spacing w:after="0"/>
              <w:textAlignment w:val="baseline"/>
              <w:cnfStyle w:val="000000100000" w:firstRow="0" w:lastRow="0" w:firstColumn="0" w:lastColumn="0" w:oddVBand="0" w:evenVBand="0" w:oddHBand="1" w:evenHBand="0" w:firstRowFirstColumn="0" w:firstRowLastColumn="0" w:lastRowFirstColumn="0" w:lastRowLastColumn="0"/>
              <w:rPr>
                <w:rFonts w:ascii="Noto Sans Symbols" w:eastAsia="Times New Roman" w:hAnsi="Noto Sans Symbols" w:cs="Times New Roman"/>
                <w:color w:val="000000"/>
                <w:spacing w:val="0"/>
                <w:lang w:val="en-US"/>
              </w:rPr>
            </w:pPr>
            <w:r w:rsidRPr="00F814A1">
              <w:rPr>
                <w:rFonts w:eastAsia="Times New Roman" w:cs="Calibri"/>
                <w:color w:val="000000"/>
                <w:spacing w:val="0"/>
                <w:lang w:val="en-US"/>
              </w:rPr>
              <w:t>Improve the provisioning of access to integrated and composable products and services from the EOSC Catalogue</w:t>
            </w:r>
          </w:p>
          <w:p w14:paraId="4696E2DA" w14:textId="77777777" w:rsidR="00F814A1" w:rsidRPr="00F814A1" w:rsidRDefault="00F814A1" w:rsidP="00F814A1">
            <w:pPr>
              <w:numPr>
                <w:ilvl w:val="0"/>
                <w:numId w:val="27"/>
              </w:numPr>
              <w:spacing w:after="0"/>
              <w:textAlignment w:val="baseline"/>
              <w:cnfStyle w:val="000000100000" w:firstRow="0" w:lastRow="0" w:firstColumn="0" w:lastColumn="0" w:oddVBand="0" w:evenVBand="0" w:oddHBand="1" w:evenHBand="0" w:firstRowFirstColumn="0" w:firstRowLastColumn="0" w:lastRowFirstColumn="0" w:lastRowLastColumn="0"/>
              <w:rPr>
                <w:rFonts w:ascii="Noto Sans Symbols" w:eastAsia="Times New Roman" w:hAnsi="Noto Sans Symbols" w:cs="Times New Roman"/>
                <w:color w:val="000000"/>
                <w:spacing w:val="0"/>
                <w:lang w:val="en-US"/>
              </w:rPr>
            </w:pPr>
            <w:r w:rsidRPr="00F814A1">
              <w:rPr>
                <w:rFonts w:eastAsia="Times New Roman" w:cs="Calibri"/>
                <w:color w:val="000000"/>
                <w:spacing w:val="0"/>
                <w:lang w:val="en-US"/>
              </w:rPr>
              <w:t>Facilitate the composition of services and products to support multi-disciplinary science for example with high-level community-specific interfaces for running workflows involving EOSC services</w:t>
            </w:r>
          </w:p>
          <w:p w14:paraId="2589A28F" w14:textId="77777777" w:rsidR="00F814A1" w:rsidRPr="00F814A1" w:rsidRDefault="00F814A1" w:rsidP="00F814A1">
            <w:pPr>
              <w:numPr>
                <w:ilvl w:val="0"/>
                <w:numId w:val="27"/>
              </w:numPr>
              <w:spacing w:after="0"/>
              <w:textAlignment w:val="baseline"/>
              <w:cnfStyle w:val="000000100000" w:firstRow="0" w:lastRow="0" w:firstColumn="0" w:lastColumn="0" w:oddVBand="0" w:evenVBand="0" w:oddHBand="1" w:evenHBand="0" w:firstRowFirstColumn="0" w:firstRowLastColumn="0" w:lastRowFirstColumn="0" w:lastRowLastColumn="0"/>
              <w:rPr>
                <w:rFonts w:ascii="Noto Sans Symbols" w:eastAsia="Times New Roman" w:hAnsi="Noto Sans Symbols" w:cs="Times New Roman"/>
                <w:color w:val="000000"/>
                <w:spacing w:val="0"/>
                <w:lang w:val="en-US"/>
              </w:rPr>
            </w:pPr>
            <w:r w:rsidRPr="00F814A1">
              <w:rPr>
                <w:rFonts w:eastAsia="Times New Roman" w:cs="Calibri"/>
                <w:color w:val="000000"/>
                <w:spacing w:val="0"/>
                <w:lang w:val="en-US"/>
              </w:rPr>
              <w:t>Help Providers gain additional insight into potential Users outside their traditional constituencies</w:t>
            </w:r>
          </w:p>
          <w:p w14:paraId="2C2E07DD" w14:textId="77777777" w:rsidR="00F814A1" w:rsidRPr="00F814A1" w:rsidRDefault="00F814A1" w:rsidP="00F814A1">
            <w:pPr>
              <w:numPr>
                <w:ilvl w:val="0"/>
                <w:numId w:val="27"/>
              </w:numPr>
              <w:spacing w:after="0"/>
              <w:textAlignment w:val="baseline"/>
              <w:cnfStyle w:val="000000100000" w:firstRow="0" w:lastRow="0" w:firstColumn="0" w:lastColumn="0" w:oddVBand="0" w:evenVBand="0" w:oddHBand="1" w:evenHBand="0" w:firstRowFirstColumn="0" w:firstRowLastColumn="0" w:lastRowFirstColumn="0" w:lastRowLastColumn="0"/>
              <w:rPr>
                <w:rFonts w:ascii="Noto Sans Symbols" w:eastAsia="Times New Roman" w:hAnsi="Noto Sans Symbols" w:cs="Times New Roman"/>
                <w:color w:val="000000"/>
                <w:spacing w:val="0"/>
                <w:lang w:val="en-US"/>
              </w:rPr>
            </w:pPr>
            <w:r w:rsidRPr="00F814A1">
              <w:rPr>
                <w:rFonts w:eastAsia="Times New Roman" w:cs="Calibri"/>
                <w:color w:val="000000"/>
                <w:spacing w:val="0"/>
                <w:lang w:val="en-US"/>
              </w:rPr>
              <w:t>Give Providers the possibility to offer Resources under homogeneous terms of use, acceptable use policies, and in different configuration options, so that Users are guided in the choice.</w:t>
            </w:r>
          </w:p>
          <w:p w14:paraId="7CF080CC" w14:textId="77777777" w:rsidR="00F814A1" w:rsidRPr="00F814A1" w:rsidRDefault="00F814A1" w:rsidP="00F814A1">
            <w:pPr>
              <w:spacing w:after="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pacing w:val="0"/>
                <w:sz w:val="24"/>
                <w:szCs w:val="24"/>
                <w:lang w:val="en-US"/>
              </w:rPr>
            </w:pPr>
            <w:r w:rsidRPr="00F814A1">
              <w:rPr>
                <w:rFonts w:eastAsia="Times New Roman" w:cs="Calibri"/>
                <w:b/>
                <w:bCs/>
                <w:color w:val="000000"/>
                <w:spacing w:val="0"/>
                <w:lang w:val="en-US"/>
              </w:rPr>
              <w:lastRenderedPageBreak/>
              <w:t>Use case.</w:t>
            </w:r>
            <w:r w:rsidRPr="00F814A1">
              <w:rPr>
                <w:rFonts w:eastAsia="Times New Roman" w:cs="Calibri"/>
                <w:color w:val="000000"/>
                <w:spacing w:val="0"/>
                <w:lang w:val="en-US"/>
              </w:rPr>
              <w:t>  The Portal is particularly relevant to support on-demand access to EOSC through Business-to-User (B2U) and Business-to-Business (B2B) transactions.</w:t>
            </w:r>
          </w:p>
          <w:p w14:paraId="318A184F" w14:textId="77777777" w:rsidR="00F814A1" w:rsidRPr="00F814A1" w:rsidRDefault="00F814A1" w:rsidP="00F814A1">
            <w:pPr>
              <w:numPr>
                <w:ilvl w:val="0"/>
                <w:numId w:val="28"/>
              </w:numPr>
              <w:spacing w:after="0"/>
              <w:textAlignment w:val="baseline"/>
              <w:cnfStyle w:val="000000100000" w:firstRow="0" w:lastRow="0" w:firstColumn="0" w:lastColumn="0" w:oddVBand="0" w:evenVBand="0" w:oddHBand="1" w:evenHBand="0" w:firstRowFirstColumn="0" w:firstRowLastColumn="0" w:lastRowFirstColumn="0" w:lastRowLastColumn="0"/>
              <w:rPr>
                <w:rFonts w:ascii="Noto Sans Symbols" w:eastAsia="Times New Roman" w:hAnsi="Noto Sans Symbols" w:cs="Times New Roman"/>
                <w:color w:val="000000"/>
                <w:spacing w:val="0"/>
                <w:lang w:val="en-US"/>
              </w:rPr>
            </w:pPr>
            <w:r w:rsidRPr="00F814A1">
              <w:rPr>
                <w:rFonts w:eastAsia="Times New Roman" w:cs="Calibri"/>
                <w:color w:val="000000"/>
                <w:spacing w:val="0"/>
                <w:lang w:val="en-US"/>
              </w:rPr>
              <w:t xml:space="preserve">B2U is applicable for consumer-oriented Resources appealing to a large potential User pool. B2U transaction will address the digital needs of individual researchers and short- and medium-term research projects.  Because of the large user base, B2U transactions will be possible for those Resources supporting automated or semi-automated provisioning, a short acquisition process, requiring a low-level of </w:t>
            </w:r>
            <w:proofErr w:type="spellStart"/>
            <w:r w:rsidRPr="00F814A1">
              <w:rPr>
                <w:rFonts w:eastAsia="Times New Roman" w:cs="Calibri"/>
                <w:color w:val="000000"/>
                <w:spacing w:val="0"/>
                <w:lang w:val="en-US"/>
              </w:rPr>
              <w:t>specialisation</w:t>
            </w:r>
            <w:proofErr w:type="spellEnd"/>
            <w:r w:rsidRPr="00F814A1">
              <w:rPr>
                <w:rFonts w:eastAsia="Times New Roman" w:cs="Calibri"/>
                <w:color w:val="000000"/>
                <w:spacing w:val="0"/>
                <w:lang w:val="en-US"/>
              </w:rPr>
              <w:t>, and which can be easily compared and chosen without requiring expert support.</w:t>
            </w:r>
          </w:p>
          <w:p w14:paraId="19D34E77" w14:textId="77777777" w:rsidR="00F814A1" w:rsidRPr="00F814A1" w:rsidRDefault="00F814A1" w:rsidP="00F814A1">
            <w:pPr>
              <w:numPr>
                <w:ilvl w:val="0"/>
                <w:numId w:val="28"/>
              </w:numPr>
              <w:spacing w:after="0"/>
              <w:textAlignment w:val="baseline"/>
              <w:cnfStyle w:val="000000100000" w:firstRow="0" w:lastRow="0" w:firstColumn="0" w:lastColumn="0" w:oddVBand="0" w:evenVBand="0" w:oddHBand="1" w:evenHBand="0" w:firstRowFirstColumn="0" w:firstRowLastColumn="0" w:lastRowFirstColumn="0" w:lastRowLastColumn="0"/>
              <w:rPr>
                <w:rFonts w:ascii="Noto Sans Symbols" w:eastAsia="Times New Roman" w:hAnsi="Noto Sans Symbols" w:cs="Times New Roman"/>
                <w:color w:val="000000"/>
                <w:spacing w:val="0"/>
                <w:lang w:val="en-US"/>
              </w:rPr>
            </w:pPr>
            <w:r w:rsidRPr="00F814A1">
              <w:rPr>
                <w:rFonts w:eastAsia="Times New Roman" w:cs="Calibri"/>
                <w:color w:val="000000"/>
                <w:spacing w:val="0"/>
                <w:lang w:val="en-US"/>
              </w:rPr>
              <w:t xml:space="preserve">On the other hand, B2B applies for the acquisition of bespoke solutions and/or of large quantities of EOSC Resources involving potentially multiple Providers.  B2B suits the needs of research performing </w:t>
            </w:r>
            <w:proofErr w:type="spellStart"/>
            <w:r w:rsidRPr="00F814A1">
              <w:rPr>
                <w:rFonts w:eastAsia="Times New Roman" w:cs="Calibri"/>
                <w:color w:val="000000"/>
                <w:spacing w:val="0"/>
                <w:lang w:val="en-US"/>
              </w:rPr>
              <w:t>organisations</w:t>
            </w:r>
            <w:proofErr w:type="spellEnd"/>
            <w:r w:rsidRPr="00F814A1">
              <w:rPr>
                <w:rFonts w:eastAsia="Times New Roman" w:cs="Calibri"/>
                <w:color w:val="000000"/>
                <w:spacing w:val="0"/>
                <w:lang w:val="en-US"/>
              </w:rPr>
              <w:t xml:space="preserve"> and research infrastructures which need to cater for the long-term needs of a large pool of end users.</w:t>
            </w:r>
          </w:p>
          <w:p w14:paraId="5FBFB6F2" w14:textId="5A75F4CF" w:rsidR="005B7DC8" w:rsidRDefault="00F814A1" w:rsidP="00F814A1">
            <w:pPr>
              <w:pStyle w:val="NoSpacing"/>
              <w:cnfStyle w:val="000000100000" w:firstRow="0" w:lastRow="0" w:firstColumn="0" w:lastColumn="0" w:oddVBand="0" w:evenVBand="0" w:oddHBand="1" w:evenHBand="0" w:firstRowFirstColumn="0" w:firstRowLastColumn="0" w:lastRowFirstColumn="0" w:lastRowLastColumn="0"/>
            </w:pPr>
            <w:r w:rsidRPr="00F814A1">
              <w:rPr>
                <w:rFonts w:eastAsia="Times New Roman" w:cs="Calibri"/>
                <w:color w:val="000000"/>
                <w:spacing w:val="0"/>
                <w:lang w:val="en-US"/>
              </w:rPr>
              <w:t>The EOSC Portal Concept 2.0 provides extensive information on potential use cases and a participatory model for resource providers, which are provided with the choice of selecting different EOSC participation levels (e.g. Entry, Standard and High).</w:t>
            </w:r>
          </w:p>
        </w:tc>
      </w:tr>
      <w:tr w:rsidR="005B7DC8" w14:paraId="1580AD7A" w14:textId="77777777" w:rsidTr="005B7DC8">
        <w:tc>
          <w:tcPr>
            <w:cnfStyle w:val="001000000000" w:firstRow="0" w:lastRow="0" w:firstColumn="1" w:lastColumn="0" w:oddVBand="0" w:evenVBand="0" w:oddHBand="0" w:evenHBand="0" w:firstRowFirstColumn="0" w:firstRowLastColumn="0" w:lastRowFirstColumn="0" w:lastRowLastColumn="0"/>
            <w:tcW w:w="2425" w:type="dxa"/>
          </w:tcPr>
          <w:p w14:paraId="7E0217BB" w14:textId="6DE527F8" w:rsidR="005B7DC8" w:rsidRDefault="00F814A1" w:rsidP="004A58B9">
            <w:pPr>
              <w:pStyle w:val="NoSpacing"/>
            </w:pPr>
            <w:r>
              <w:lastRenderedPageBreak/>
              <w:t>AAI</w:t>
            </w:r>
          </w:p>
        </w:tc>
        <w:tc>
          <w:tcPr>
            <w:tcW w:w="6570" w:type="dxa"/>
          </w:tcPr>
          <w:p w14:paraId="5C02F2A7" w14:textId="77777777" w:rsidR="00F814A1" w:rsidRDefault="00F814A1" w:rsidP="00F814A1">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 xml:space="preserve">The EOSC AAI enables seamless access to research data and services in EOSC in a secure and user-friendly way. It also provides </w:t>
            </w:r>
            <w:proofErr w:type="spellStart"/>
            <w:r>
              <w:rPr>
                <w:rFonts w:ascii="Calibri" w:hAnsi="Calibri" w:cs="Calibri"/>
                <w:color w:val="000000"/>
                <w:sz w:val="22"/>
                <w:szCs w:val="22"/>
              </w:rPr>
              <w:t>authorisation</w:t>
            </w:r>
            <w:proofErr w:type="spellEnd"/>
            <w:r>
              <w:rPr>
                <w:rFonts w:ascii="Calibri" w:hAnsi="Calibri" w:cs="Calibri"/>
                <w:color w:val="000000"/>
                <w:sz w:val="22"/>
                <w:szCs w:val="22"/>
              </w:rPr>
              <w:t xml:space="preserve"> management for access control. It is based on the AARC blueprint architecture.</w:t>
            </w:r>
          </w:p>
          <w:p w14:paraId="7823D272" w14:textId="77777777" w:rsidR="00F814A1" w:rsidRDefault="00F814A1" w:rsidP="00F814A1">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Th</w:t>
            </w:r>
            <w:r w:rsidRPr="00F814A1">
              <w:rPr>
                <w:rFonts w:asciiTheme="minorHAnsi" w:hAnsiTheme="minorHAnsi" w:cstheme="minorHAnsi"/>
                <w:color w:val="000000"/>
                <w:sz w:val="22"/>
                <w:szCs w:val="22"/>
              </w:rPr>
              <w:t>e EOSC AAI follows the architectural and policy recommendations defined in the AARC project [</w:t>
            </w:r>
            <w:hyperlink r:id="rId15" w:history="1">
              <w:r w:rsidRPr="00F814A1">
                <w:rPr>
                  <w:rStyle w:val="Hyperlink"/>
                  <w:rFonts w:asciiTheme="minorHAnsi" w:eastAsiaTheme="majorEastAsia" w:hAnsiTheme="minorHAnsi" w:cstheme="minorHAnsi"/>
                  <w:sz w:val="22"/>
                  <w:szCs w:val="22"/>
                </w:rPr>
                <w:t>AARC-Community</w:t>
              </w:r>
            </w:hyperlink>
            <w:r w:rsidRPr="00F814A1">
              <w:rPr>
                <w:rFonts w:asciiTheme="minorHAnsi" w:hAnsiTheme="minorHAnsi" w:cstheme="minorHAnsi"/>
                <w:color w:val="000000"/>
                <w:sz w:val="22"/>
                <w:szCs w:val="22"/>
              </w:rPr>
              <w:t>]. As such, it enables interoperability across different SP-</w:t>
            </w:r>
            <w:proofErr w:type="spellStart"/>
            <w:r w:rsidRPr="00F814A1">
              <w:rPr>
                <w:rFonts w:asciiTheme="minorHAnsi" w:hAnsiTheme="minorHAnsi" w:cstheme="minorHAnsi"/>
                <w:color w:val="000000"/>
                <w:sz w:val="22"/>
                <w:szCs w:val="22"/>
              </w:rPr>
              <w:t>IdP</w:t>
            </w:r>
            <w:proofErr w:type="spellEnd"/>
            <w:r w:rsidRPr="00F814A1">
              <w:rPr>
                <w:rFonts w:asciiTheme="minorHAnsi" w:hAnsiTheme="minorHAnsi" w:cstheme="minorHAnsi"/>
                <w:color w:val="000000"/>
                <w:sz w:val="22"/>
                <w:szCs w:val="22"/>
              </w:rPr>
              <w:t>-Proxy services, each of which acts as a bridge between the community-managed proxies (termed Community AAIs) managing the researchers' identity and the generic services offered by Research Infrastructures and e-Infrastructures (termed R/e-Infrastructures or Infrastructures).  This is the “community-first” approach to the AARC Blueprint Architecture [</w:t>
            </w:r>
            <w:hyperlink r:id="rId16" w:history="1">
              <w:r w:rsidRPr="00F814A1">
                <w:rPr>
                  <w:rStyle w:val="Hyperlink"/>
                  <w:rFonts w:asciiTheme="minorHAnsi" w:eastAsiaTheme="majorEastAsia" w:hAnsiTheme="minorHAnsi" w:cstheme="minorHAnsi"/>
                  <w:sz w:val="22"/>
                  <w:szCs w:val="22"/>
                </w:rPr>
                <w:t>AARC-G045</w:t>
              </w:r>
            </w:hyperlink>
            <w:r w:rsidRPr="00F814A1">
              <w:rPr>
                <w:rFonts w:asciiTheme="minorHAnsi" w:hAnsiTheme="minorHAnsi" w:cstheme="minorHAnsi"/>
                <w:color w:val="000000"/>
                <w:sz w:val="22"/>
                <w:szCs w:val="22"/>
              </w:rPr>
              <w:t>], which enables researchers to sign in with their community identity via their Community AAI. Community-specific se</w:t>
            </w:r>
            <w:r>
              <w:rPr>
                <w:rFonts w:ascii="Calibri" w:hAnsi="Calibri" w:cs="Calibri"/>
                <w:color w:val="000000"/>
                <w:sz w:val="22"/>
                <w:szCs w:val="22"/>
              </w:rPr>
              <w:t xml:space="preserve">rvices are connected to a single Community AAI, while Infrastructure Services are connected to a single Infrastructure Proxy. Lastly, generic services may be connected to more than one Community AAI.  Each Community AAI in turn serves as a bridge between external identity providers and the proxies to the e-infrastructure services. Specifically, Community AAIs connect to </w:t>
            </w:r>
            <w:proofErr w:type="spellStart"/>
            <w:r>
              <w:rPr>
                <w:rFonts w:ascii="Calibri" w:hAnsi="Calibri" w:cs="Calibri"/>
                <w:color w:val="000000"/>
                <w:sz w:val="22"/>
                <w:szCs w:val="22"/>
              </w:rPr>
              <w:t>eduGAIN</w:t>
            </w:r>
            <w:proofErr w:type="spellEnd"/>
            <w:r>
              <w:rPr>
                <w:rFonts w:ascii="Calibri" w:hAnsi="Calibri" w:cs="Calibri"/>
                <w:color w:val="000000"/>
                <w:sz w:val="22"/>
                <w:szCs w:val="22"/>
              </w:rPr>
              <w:t xml:space="preserve"> as service providers but act as identity providers from the services point of view, thereby allowing users to use their credentials from their home </w:t>
            </w:r>
            <w:proofErr w:type="spellStart"/>
            <w:r>
              <w:rPr>
                <w:rFonts w:ascii="Calibri" w:hAnsi="Calibri" w:cs="Calibri"/>
                <w:color w:val="000000"/>
                <w:sz w:val="22"/>
                <w:szCs w:val="22"/>
              </w:rPr>
              <w:t>organisations</w:t>
            </w:r>
            <w:proofErr w:type="spellEnd"/>
            <w:r>
              <w:rPr>
                <w:rFonts w:ascii="Calibri" w:hAnsi="Calibri" w:cs="Calibri"/>
                <w:color w:val="000000"/>
                <w:sz w:val="22"/>
                <w:szCs w:val="22"/>
              </w:rPr>
              <w:t>.  Complementary to this, users without an account on a federated institutional Identity Provider are still able to use social media or other external authentication providers for accessing services.</w:t>
            </w:r>
          </w:p>
          <w:p w14:paraId="114D6131" w14:textId="77777777" w:rsidR="00F814A1" w:rsidRDefault="00F814A1" w:rsidP="00F814A1">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 xml:space="preserve">Research communities can leverage the EOSC AAI services for managing their users and their respective roles and other </w:t>
            </w:r>
            <w:proofErr w:type="spellStart"/>
            <w:r>
              <w:rPr>
                <w:rFonts w:ascii="Calibri" w:hAnsi="Calibri" w:cs="Calibri"/>
                <w:color w:val="000000"/>
                <w:sz w:val="22"/>
                <w:szCs w:val="22"/>
              </w:rPr>
              <w:t>authorisation</w:t>
            </w:r>
            <w:proofErr w:type="spellEnd"/>
            <w:r>
              <w:rPr>
                <w:rFonts w:ascii="Calibri" w:hAnsi="Calibri" w:cs="Calibri"/>
                <w:color w:val="000000"/>
                <w:sz w:val="22"/>
                <w:szCs w:val="22"/>
              </w:rPr>
              <w:t xml:space="preserve">-related </w:t>
            </w:r>
            <w:r>
              <w:rPr>
                <w:rFonts w:ascii="Calibri" w:hAnsi="Calibri" w:cs="Calibri"/>
                <w:color w:val="000000"/>
                <w:sz w:val="22"/>
                <w:szCs w:val="22"/>
              </w:rPr>
              <w:lastRenderedPageBreak/>
              <w:t>information. At the same time, the adoption of standards and open technologies, including SAML 2.0, OpenID Connect, OAuth 2.0 and X.509v3, facilitates interoperability and integration with the existing AAIs of other e-Infrastructures and research communities.</w:t>
            </w:r>
          </w:p>
          <w:p w14:paraId="31555D8A" w14:textId="60965F5A" w:rsidR="005B7DC8" w:rsidRDefault="00F814A1" w:rsidP="00F814A1">
            <w:pPr>
              <w:pStyle w:val="NoSpacing"/>
              <w:cnfStyle w:val="000000000000" w:firstRow="0" w:lastRow="0" w:firstColumn="0" w:lastColumn="0" w:oddVBand="0" w:evenVBand="0" w:oddHBand="0" w:evenHBand="0" w:firstRowFirstColumn="0" w:firstRowLastColumn="0" w:lastRowFirstColumn="0" w:lastRowLastColumn="0"/>
            </w:pPr>
            <w:r>
              <w:rPr>
                <w:rFonts w:cs="Calibri"/>
                <w:b/>
                <w:bCs/>
                <w:color w:val="000000"/>
              </w:rPr>
              <w:t>Use Cases.</w:t>
            </w:r>
            <w:r>
              <w:rPr>
                <w:rFonts w:cs="Calibri"/>
                <w:color w:val="000000"/>
              </w:rPr>
              <w:t xml:space="preserve"> Access to all EOSC shared resources and access enabling services (e.g. the Portal, the Helpdesk, EOSC data and compute and storage resource tier) will require federated authentication and authorisation. In addition, the Life Science Research Infrastructure cluster, as well as other research infrastructures from other scientific domains like Social Sciences and Humanities and Physics, have been piloting different solutions to get AAI as a managed service.</w:t>
            </w:r>
          </w:p>
        </w:tc>
      </w:tr>
      <w:tr w:rsidR="005B7DC8" w14:paraId="538F461F" w14:textId="77777777" w:rsidTr="005B7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tcPr>
          <w:p w14:paraId="04219FC4" w14:textId="69A8E5D6" w:rsidR="005B7DC8" w:rsidRDefault="00F814A1" w:rsidP="004A58B9">
            <w:pPr>
              <w:pStyle w:val="NoSpacing"/>
            </w:pPr>
            <w:r>
              <w:lastRenderedPageBreak/>
              <w:t>Helpdesk</w:t>
            </w:r>
          </w:p>
        </w:tc>
        <w:tc>
          <w:tcPr>
            <w:tcW w:w="6570" w:type="dxa"/>
          </w:tcPr>
          <w:p w14:paraId="20A12590" w14:textId="77777777" w:rsidR="00F814A1" w:rsidRDefault="00F814A1" w:rsidP="00F814A1">
            <w:pPr>
              <w:pStyle w:val="Norma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 w:val="22"/>
                <w:szCs w:val="22"/>
              </w:rPr>
              <w:t>The helpdesk is the tool that supports Incident and Service Request Management to restore normal/agreed service operation within the agreed time after the occurrence of an incident, and to respond to user service requests.  The service works as a unified ticketing system, by connecting individual providers’ helpdesks to the central helpdesk instance, offering a standalone service interface.</w:t>
            </w:r>
          </w:p>
          <w:p w14:paraId="18FAE245" w14:textId="612AC17A" w:rsidR="005B7DC8" w:rsidRDefault="00F814A1" w:rsidP="00F814A1">
            <w:pPr>
              <w:pStyle w:val="NoSpacing"/>
              <w:cnfStyle w:val="000000100000" w:firstRow="0" w:lastRow="0" w:firstColumn="0" w:lastColumn="0" w:oddVBand="0" w:evenVBand="0" w:oddHBand="1" w:evenHBand="0" w:firstRowFirstColumn="0" w:firstRowLastColumn="0" w:lastRowFirstColumn="0" w:lastRowLastColumn="0"/>
            </w:pPr>
            <w:r>
              <w:rPr>
                <w:rFonts w:cs="Calibri"/>
                <w:b/>
                <w:bCs/>
                <w:color w:val="000000"/>
              </w:rPr>
              <w:t>Use case.</w:t>
            </w:r>
            <w:r>
              <w:rPr>
                <w:rFonts w:cs="Calibri"/>
                <w:color w:val="000000"/>
              </w:rPr>
              <w:t xml:space="preserve">  The helpdesk tool is necessary to support Incident and Service Request Management of the resources provided by EOSC. The helpdesk can be implemented as a distributed platform linking together the helpdesks of the suppliers offering resources to EOSC. The linking of existing helpdesks allows streamlining of support processes involving multiple suppliers, and </w:t>
            </w:r>
            <w:proofErr w:type="gramStart"/>
            <w:r>
              <w:rPr>
                <w:rFonts w:cs="Calibri"/>
                <w:color w:val="000000"/>
              </w:rPr>
              <w:t>in particular facilitates</w:t>
            </w:r>
            <w:proofErr w:type="gramEnd"/>
            <w:r>
              <w:rPr>
                <w:rFonts w:cs="Calibri"/>
                <w:color w:val="000000"/>
              </w:rPr>
              <w:t xml:space="preserve"> the work of the support teams that, through linking, are able to use existing in-house helpdesk tools.</w:t>
            </w:r>
          </w:p>
        </w:tc>
      </w:tr>
      <w:tr w:rsidR="005B7DC8" w14:paraId="4C5EB921" w14:textId="77777777" w:rsidTr="005B7DC8">
        <w:tc>
          <w:tcPr>
            <w:cnfStyle w:val="001000000000" w:firstRow="0" w:lastRow="0" w:firstColumn="1" w:lastColumn="0" w:oddVBand="0" w:evenVBand="0" w:oddHBand="0" w:evenHBand="0" w:firstRowFirstColumn="0" w:firstRowLastColumn="0" w:lastRowFirstColumn="0" w:lastRowLastColumn="0"/>
            <w:tcW w:w="2425" w:type="dxa"/>
          </w:tcPr>
          <w:p w14:paraId="2765F99E" w14:textId="32D8A18F" w:rsidR="005B7DC8" w:rsidRDefault="00F814A1" w:rsidP="004A58B9">
            <w:pPr>
              <w:pStyle w:val="NoSpacing"/>
            </w:pPr>
            <w:r>
              <w:t>Monitoring</w:t>
            </w:r>
          </w:p>
        </w:tc>
        <w:tc>
          <w:tcPr>
            <w:tcW w:w="6570" w:type="dxa"/>
          </w:tcPr>
          <w:p w14:paraId="6867AC39" w14:textId="77777777" w:rsidR="00F814A1" w:rsidRDefault="00F814A1" w:rsidP="00F814A1">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 xml:space="preserve">Monitoring provides the capability of checking the status of service end-point interfaces and aggregating such information </w:t>
            </w:r>
            <w:proofErr w:type="gramStart"/>
            <w:r>
              <w:rPr>
                <w:rFonts w:ascii="Calibri" w:hAnsi="Calibri" w:cs="Calibri"/>
                <w:color w:val="000000"/>
                <w:sz w:val="22"/>
                <w:szCs w:val="22"/>
              </w:rPr>
              <w:t>for the production of</w:t>
            </w:r>
            <w:proofErr w:type="gramEnd"/>
            <w:r>
              <w:rPr>
                <w:rFonts w:ascii="Calibri" w:hAnsi="Calibri" w:cs="Calibri"/>
                <w:color w:val="000000"/>
                <w:sz w:val="22"/>
                <w:szCs w:val="22"/>
              </w:rPr>
              <w:t xml:space="preserve"> service reports. </w:t>
            </w:r>
            <w:proofErr w:type="gramStart"/>
            <w:r>
              <w:rPr>
                <w:rFonts w:ascii="Calibri" w:hAnsi="Calibri" w:cs="Calibri"/>
                <w:color w:val="000000"/>
                <w:sz w:val="22"/>
                <w:szCs w:val="22"/>
              </w:rPr>
              <w:t>In particular, it</w:t>
            </w:r>
            <w:proofErr w:type="gramEnd"/>
            <w:r>
              <w:rPr>
                <w:rFonts w:ascii="Calibri" w:hAnsi="Calibri" w:cs="Calibri"/>
                <w:color w:val="000000"/>
                <w:sz w:val="22"/>
                <w:szCs w:val="22"/>
              </w:rPr>
              <w:t xml:space="preserve"> should provide a scalable framework for monitoring status, availability and reliability. It provides monitoring of services, </w:t>
            </w:r>
            <w:proofErr w:type="spellStart"/>
            <w:r>
              <w:rPr>
                <w:rFonts w:ascii="Calibri" w:hAnsi="Calibri" w:cs="Calibri"/>
                <w:color w:val="000000"/>
                <w:sz w:val="22"/>
                <w:szCs w:val="22"/>
              </w:rPr>
              <w:t>visualisation</w:t>
            </w:r>
            <w:proofErr w:type="spellEnd"/>
            <w:r>
              <w:rPr>
                <w:rFonts w:ascii="Calibri" w:hAnsi="Calibri" w:cs="Calibri"/>
                <w:color w:val="000000"/>
                <w:sz w:val="22"/>
                <w:szCs w:val="22"/>
              </w:rPr>
              <w:t xml:space="preserve"> of their status, dashboard interfacing, notification system and generation of availability and reliability reports. Third parties can gather monitoring data from the system through a complete API.</w:t>
            </w:r>
          </w:p>
          <w:p w14:paraId="0E25E144" w14:textId="6C46F633" w:rsidR="005B7DC8" w:rsidRDefault="00F814A1" w:rsidP="00F814A1">
            <w:pPr>
              <w:pStyle w:val="NoSpacing"/>
              <w:cnfStyle w:val="000000000000" w:firstRow="0" w:lastRow="0" w:firstColumn="0" w:lastColumn="0" w:oddVBand="0" w:evenVBand="0" w:oddHBand="0" w:evenHBand="0" w:firstRowFirstColumn="0" w:firstRowLastColumn="0" w:lastRowFirstColumn="0" w:lastRowLastColumn="0"/>
            </w:pPr>
            <w:r>
              <w:rPr>
                <w:rFonts w:cs="Calibri"/>
                <w:b/>
                <w:bCs/>
                <w:color w:val="000000"/>
              </w:rPr>
              <w:t xml:space="preserve">Use case. </w:t>
            </w:r>
            <w:r>
              <w:rPr>
                <w:rFonts w:cs="Calibri"/>
                <w:color w:val="000000"/>
              </w:rPr>
              <w:t> Monitoring information supports Service Report Management, and is consumed to produce Service Reports, i.e. the documents that provide the details of the performance of a service against the service targets defined in service level agreements (SLAs) – often based on key performance indicators (KPIs). Typical users are the EOSC service suppliers.</w:t>
            </w:r>
          </w:p>
        </w:tc>
      </w:tr>
      <w:tr w:rsidR="00F814A1" w14:paraId="5C172DE3" w14:textId="77777777" w:rsidTr="005B7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tcPr>
          <w:p w14:paraId="000FC88B" w14:textId="45F809C7" w:rsidR="00F814A1" w:rsidRDefault="00F814A1" w:rsidP="004A58B9">
            <w:pPr>
              <w:pStyle w:val="NoSpacing"/>
            </w:pPr>
            <w:r>
              <w:t>Accounting</w:t>
            </w:r>
          </w:p>
        </w:tc>
        <w:tc>
          <w:tcPr>
            <w:tcW w:w="6570" w:type="dxa"/>
          </w:tcPr>
          <w:p w14:paraId="0D70DCA2" w14:textId="77777777" w:rsidR="00F814A1" w:rsidRDefault="00F814A1" w:rsidP="00F814A1">
            <w:pPr>
              <w:pStyle w:val="Norma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 w:val="22"/>
                <w:szCs w:val="22"/>
              </w:rPr>
              <w:t xml:space="preserve">Accounting is about collecting, aggregating, storing and displaying EOSC resource usage data produced by the providers participating in EOSC, for example from the providers of Shared Resources. It gathers usage information from the individual resource providers and aggregates it centrally in a secure, GDPR-compliant manner.  Accounting is necessary for providing control over resource consumption by the funders, and reduces the overhead of defining accounting information models, architecture and setup. Accounting is a key service of the EOSC federating core that will support its business </w:t>
            </w:r>
            <w:proofErr w:type="gramStart"/>
            <w:r>
              <w:rPr>
                <w:rFonts w:ascii="Calibri" w:hAnsi="Calibri" w:cs="Calibri"/>
                <w:color w:val="000000"/>
                <w:sz w:val="22"/>
                <w:szCs w:val="22"/>
              </w:rPr>
              <w:t>models, and</w:t>
            </w:r>
            <w:proofErr w:type="gramEnd"/>
            <w:r>
              <w:rPr>
                <w:rFonts w:ascii="Calibri" w:hAnsi="Calibri" w:cs="Calibri"/>
                <w:color w:val="000000"/>
                <w:sz w:val="22"/>
                <w:szCs w:val="22"/>
              </w:rPr>
              <w:t xml:space="preserve"> provides transparency on which resources are being used. The correlation of </w:t>
            </w:r>
            <w:r>
              <w:rPr>
                <w:rFonts w:ascii="Calibri" w:hAnsi="Calibri" w:cs="Calibri"/>
                <w:color w:val="000000"/>
                <w:sz w:val="22"/>
                <w:szCs w:val="22"/>
              </w:rPr>
              <w:lastRenderedPageBreak/>
              <w:t>usage data to service identifiers, scientific product identifiers and user identifiers, supports the development of metrics that relate scientific impact to the extent a researcher and/or project has been embracing open science practices.</w:t>
            </w:r>
          </w:p>
          <w:p w14:paraId="788D342A" w14:textId="43F490CF" w:rsidR="00F814A1" w:rsidRDefault="00F814A1" w:rsidP="00F814A1">
            <w:pPr>
              <w:pStyle w:val="Norma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b/>
                <w:bCs/>
                <w:color w:val="000000"/>
                <w:sz w:val="22"/>
                <w:szCs w:val="22"/>
              </w:rPr>
              <w:t>Use case.</w:t>
            </w:r>
            <w:r>
              <w:rPr>
                <w:rFonts w:ascii="Calibri" w:hAnsi="Calibri" w:cs="Calibri"/>
                <w:color w:val="000000"/>
                <w:sz w:val="22"/>
                <w:szCs w:val="22"/>
              </w:rPr>
              <w:t xml:space="preserve"> Accounting of resource usage is required for any EOSC customers (e.g. platform operator and research infrastructure managers) to get aggregated information on usage of scientific products and services used from the EOSC portfolio, to scale up the in-house</w:t>
            </w:r>
            <w:r>
              <w:rPr>
                <w:rFonts w:ascii="Calibri" w:hAnsi="Calibri" w:cs="Calibri"/>
                <w:color w:val="000000"/>
                <w:sz w:val="22"/>
                <w:szCs w:val="22"/>
              </w:rPr>
              <w:t>.</w:t>
            </w:r>
          </w:p>
        </w:tc>
      </w:tr>
      <w:tr w:rsidR="00F814A1" w14:paraId="3343A326" w14:textId="77777777" w:rsidTr="005B7DC8">
        <w:tc>
          <w:tcPr>
            <w:cnfStyle w:val="001000000000" w:firstRow="0" w:lastRow="0" w:firstColumn="1" w:lastColumn="0" w:oddVBand="0" w:evenVBand="0" w:oddHBand="0" w:evenHBand="0" w:firstRowFirstColumn="0" w:firstRowLastColumn="0" w:lastRowFirstColumn="0" w:lastRowLastColumn="0"/>
            <w:tcW w:w="2425" w:type="dxa"/>
          </w:tcPr>
          <w:p w14:paraId="6350E087" w14:textId="5FF16F83" w:rsidR="00F814A1" w:rsidRDefault="00F814A1" w:rsidP="004A58B9">
            <w:pPr>
              <w:pStyle w:val="NoSpacing"/>
            </w:pPr>
            <w:r>
              <w:lastRenderedPageBreak/>
              <w:t>CMDB</w:t>
            </w:r>
          </w:p>
        </w:tc>
        <w:tc>
          <w:tcPr>
            <w:tcW w:w="6570" w:type="dxa"/>
          </w:tcPr>
          <w:p w14:paraId="593DDA17" w14:textId="77777777" w:rsidR="00F814A1" w:rsidRDefault="00F814A1" w:rsidP="00F814A1">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 xml:space="preserve">The configuration database is an ITIL database used by an </w:t>
            </w:r>
            <w:proofErr w:type="spellStart"/>
            <w:r>
              <w:rPr>
                <w:rFonts w:ascii="Calibri" w:hAnsi="Calibri" w:cs="Calibri"/>
                <w:color w:val="000000"/>
                <w:sz w:val="22"/>
                <w:szCs w:val="22"/>
              </w:rPr>
              <w:t>organisation</w:t>
            </w:r>
            <w:proofErr w:type="spellEnd"/>
            <w:r>
              <w:rPr>
                <w:rFonts w:ascii="Calibri" w:hAnsi="Calibri" w:cs="Calibri"/>
                <w:color w:val="000000"/>
                <w:sz w:val="22"/>
                <w:szCs w:val="22"/>
              </w:rPr>
              <w:t xml:space="preserve"> to store information about hardware and software assets (commonly referred to as Configuration Items). This database acts as a data warehouse for the </w:t>
            </w:r>
            <w:proofErr w:type="spellStart"/>
            <w:r>
              <w:rPr>
                <w:rFonts w:ascii="Calibri" w:hAnsi="Calibri" w:cs="Calibri"/>
                <w:color w:val="000000"/>
                <w:sz w:val="22"/>
                <w:szCs w:val="22"/>
              </w:rPr>
              <w:t>organisation</w:t>
            </w:r>
            <w:proofErr w:type="spellEnd"/>
            <w:r>
              <w:rPr>
                <w:rFonts w:ascii="Calibri" w:hAnsi="Calibri" w:cs="Calibri"/>
                <w:color w:val="000000"/>
                <w:sz w:val="22"/>
                <w:szCs w:val="22"/>
              </w:rPr>
              <w:t xml:space="preserve"> </w:t>
            </w:r>
            <w:proofErr w:type="gramStart"/>
            <w:r>
              <w:rPr>
                <w:rFonts w:ascii="Calibri" w:hAnsi="Calibri" w:cs="Calibri"/>
                <w:color w:val="000000"/>
                <w:sz w:val="22"/>
                <w:szCs w:val="22"/>
              </w:rPr>
              <w:t>and also</w:t>
            </w:r>
            <w:proofErr w:type="gramEnd"/>
            <w:r>
              <w:rPr>
                <w:rFonts w:ascii="Calibri" w:hAnsi="Calibri" w:cs="Calibri"/>
                <w:color w:val="000000"/>
                <w:sz w:val="22"/>
                <w:szCs w:val="22"/>
              </w:rPr>
              <w:t xml:space="preserve"> stores information regarding the relationship between its assets. The CMDB provides a means of understanding the </w:t>
            </w:r>
            <w:proofErr w:type="spellStart"/>
            <w:r>
              <w:rPr>
                <w:rFonts w:ascii="Calibri" w:hAnsi="Calibri" w:cs="Calibri"/>
                <w:color w:val="000000"/>
                <w:sz w:val="22"/>
                <w:szCs w:val="22"/>
              </w:rPr>
              <w:t>organisation's</w:t>
            </w:r>
            <w:proofErr w:type="spellEnd"/>
            <w:r>
              <w:rPr>
                <w:rFonts w:ascii="Calibri" w:hAnsi="Calibri" w:cs="Calibri"/>
                <w:color w:val="000000"/>
                <w:sz w:val="22"/>
                <w:szCs w:val="22"/>
              </w:rPr>
              <w:t xml:space="preserve"> critical assets and their relationships.</w:t>
            </w:r>
          </w:p>
          <w:p w14:paraId="30C2910E" w14:textId="34E484F0" w:rsidR="00F814A1" w:rsidRDefault="00F814A1" w:rsidP="00F814A1">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b/>
                <w:bCs/>
                <w:color w:val="000000"/>
                <w:sz w:val="22"/>
                <w:szCs w:val="22"/>
              </w:rPr>
              <w:t xml:space="preserve">Use case. </w:t>
            </w:r>
            <w:r>
              <w:rPr>
                <w:rFonts w:ascii="Calibri" w:hAnsi="Calibri" w:cs="Calibri"/>
                <w:color w:val="000000"/>
                <w:sz w:val="22"/>
                <w:szCs w:val="22"/>
              </w:rPr>
              <w:t xml:space="preserve">The availability of an EOSC CMDB is relevant to EOSC shared resource </w:t>
            </w:r>
            <w:proofErr w:type="gramStart"/>
            <w:r>
              <w:rPr>
                <w:rFonts w:ascii="Calibri" w:hAnsi="Calibri" w:cs="Calibri"/>
                <w:color w:val="000000"/>
                <w:sz w:val="22"/>
                <w:szCs w:val="22"/>
              </w:rPr>
              <w:t>suppliers, and</w:t>
            </w:r>
            <w:proofErr w:type="gramEnd"/>
            <w:r>
              <w:rPr>
                <w:rFonts w:ascii="Calibri" w:hAnsi="Calibri" w:cs="Calibri"/>
                <w:color w:val="000000"/>
                <w:sz w:val="22"/>
                <w:szCs w:val="22"/>
              </w:rPr>
              <w:t xml:space="preserve"> is requested by the IT configuration management process. It allows the management of the provision of services owned and managed by the EOSC governance. It is envisaged that the management of resources published in EOSC just for the purpose of improving their discoverability, will be delegated to the respective providers and will not be registered in an EOSC CMDB.</w:t>
            </w:r>
          </w:p>
        </w:tc>
      </w:tr>
      <w:tr w:rsidR="00F814A1" w14:paraId="05AF2C44" w14:textId="77777777" w:rsidTr="005B7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tcPr>
          <w:p w14:paraId="2598FBF3" w14:textId="0C560BB1" w:rsidR="00F814A1" w:rsidRDefault="00F814A1" w:rsidP="004A58B9">
            <w:pPr>
              <w:pStyle w:val="NoSpacing"/>
            </w:pPr>
            <w:r>
              <w:rPr>
                <w:rFonts w:cs="Calibri"/>
                <w:color w:val="000000"/>
              </w:rPr>
              <w:t>Order management</w:t>
            </w:r>
          </w:p>
        </w:tc>
        <w:tc>
          <w:tcPr>
            <w:tcW w:w="6570" w:type="dxa"/>
          </w:tcPr>
          <w:p w14:paraId="2DAAA5E3" w14:textId="77777777" w:rsidR="00F814A1" w:rsidRDefault="00F814A1" w:rsidP="00F814A1">
            <w:pPr>
              <w:pStyle w:val="Norma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 w:val="22"/>
                <w:szCs w:val="22"/>
              </w:rPr>
              <w:t>The Order management is a tool that allows to handle orders received through the EOSC Portal. It implements interfaces towards service providers order management tool in case of orders that should not be centrally processed in EOSC.</w:t>
            </w:r>
          </w:p>
          <w:p w14:paraId="79066720" w14:textId="06AAC917" w:rsidR="00F814A1" w:rsidRDefault="00F814A1" w:rsidP="00F814A1">
            <w:pPr>
              <w:pStyle w:val="Norma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b/>
                <w:bCs/>
                <w:color w:val="000000"/>
                <w:sz w:val="22"/>
                <w:szCs w:val="22"/>
              </w:rPr>
              <w:t>Use case.</w:t>
            </w:r>
            <w:r>
              <w:rPr>
                <w:rFonts w:ascii="Calibri" w:hAnsi="Calibri" w:cs="Calibri"/>
                <w:color w:val="000000"/>
                <w:sz w:val="22"/>
                <w:szCs w:val="22"/>
              </w:rPr>
              <w:t xml:space="preserve"> Managing orders from the EOSC Portal.</w:t>
            </w:r>
          </w:p>
        </w:tc>
      </w:tr>
      <w:tr w:rsidR="00F814A1" w14:paraId="11DF1C14" w14:textId="77777777" w:rsidTr="005B7DC8">
        <w:tc>
          <w:tcPr>
            <w:cnfStyle w:val="001000000000" w:firstRow="0" w:lastRow="0" w:firstColumn="1" w:lastColumn="0" w:oddVBand="0" w:evenVBand="0" w:oddHBand="0" w:evenHBand="0" w:firstRowFirstColumn="0" w:firstRowLastColumn="0" w:lastRowFirstColumn="0" w:lastRowLastColumn="0"/>
            <w:tcW w:w="2425" w:type="dxa"/>
          </w:tcPr>
          <w:p w14:paraId="01AF94F0" w14:textId="5C5A8842" w:rsidR="00F814A1" w:rsidRDefault="00F814A1" w:rsidP="004A58B9">
            <w:pPr>
              <w:pStyle w:val="NoSpacing"/>
            </w:pPr>
            <w:r>
              <w:t>Operations Portal</w:t>
            </w:r>
          </w:p>
        </w:tc>
        <w:tc>
          <w:tcPr>
            <w:tcW w:w="6570" w:type="dxa"/>
          </w:tcPr>
          <w:p w14:paraId="7F2B72E8" w14:textId="77777777" w:rsidR="00F814A1" w:rsidRDefault="00F814A1" w:rsidP="00F814A1">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The Operations Portal refers to the set of control dashboards that support the work of EOSC infrastructure managers in charge of supervising the overall status, allocation and accessibility of the EOSC shared resources. It provides central operations management of federated resources. The Operations Portal offers a portfolio of management tools to support communications, customer relationship management, infrastructure oversight, and metrics gathering.</w:t>
            </w:r>
          </w:p>
          <w:p w14:paraId="47F15F3A" w14:textId="40E439F3" w:rsidR="00F814A1" w:rsidRDefault="00F814A1" w:rsidP="00F814A1">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b/>
                <w:bCs/>
                <w:color w:val="000000"/>
                <w:sz w:val="22"/>
                <w:szCs w:val="22"/>
              </w:rPr>
              <w:t xml:space="preserve">Use case. </w:t>
            </w:r>
            <w:r>
              <w:rPr>
                <w:rFonts w:ascii="Calibri" w:hAnsi="Calibri" w:cs="Calibri"/>
                <w:color w:val="000000"/>
                <w:sz w:val="22"/>
                <w:szCs w:val="22"/>
              </w:rPr>
              <w:t>The Operations Portal can support multiple service management activities like incident management and order management if used as a back-office tool of the EOSC Portal.</w:t>
            </w:r>
          </w:p>
        </w:tc>
      </w:tr>
      <w:tr w:rsidR="00F814A1" w14:paraId="3AD29D50" w14:textId="77777777" w:rsidTr="005B7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tcPr>
          <w:p w14:paraId="0339BBE9" w14:textId="0F302B15" w:rsidR="00F814A1" w:rsidRDefault="00F814A1" w:rsidP="004A58B9">
            <w:pPr>
              <w:pStyle w:val="NoSpacing"/>
            </w:pPr>
            <w:r>
              <w:t>Service Portfolio Management</w:t>
            </w:r>
          </w:p>
        </w:tc>
        <w:tc>
          <w:tcPr>
            <w:tcW w:w="6570" w:type="dxa"/>
          </w:tcPr>
          <w:p w14:paraId="00200A29" w14:textId="77777777" w:rsidR="00F814A1" w:rsidRDefault="00F814A1" w:rsidP="00F814A1">
            <w:pPr>
              <w:pStyle w:val="Norma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 w:val="22"/>
                <w:szCs w:val="22"/>
              </w:rPr>
              <w:t xml:space="preserve">The Service Portfolio management tool allows lifecycle management of the resources provided by EOSC. </w:t>
            </w:r>
            <w:proofErr w:type="gramStart"/>
            <w:r>
              <w:rPr>
                <w:rFonts w:ascii="Calibri" w:hAnsi="Calibri" w:cs="Calibri"/>
                <w:color w:val="000000"/>
                <w:sz w:val="22"/>
                <w:szCs w:val="22"/>
              </w:rPr>
              <w:t>In particular, it</w:t>
            </w:r>
            <w:proofErr w:type="gramEnd"/>
            <w:r>
              <w:rPr>
                <w:rFonts w:ascii="Calibri" w:hAnsi="Calibri" w:cs="Calibri"/>
                <w:color w:val="000000"/>
                <w:sz w:val="22"/>
                <w:szCs w:val="22"/>
              </w:rPr>
              <w:t xml:space="preserve"> aims at facilitating service management in IT service provision, including federated scenarios. SPMT represents a complete list of the services managed by a service provider; some of these services are visible to the customers, while others are internal. The service management system is designed to be compatible with the </w:t>
            </w:r>
            <w:proofErr w:type="spellStart"/>
            <w:r>
              <w:rPr>
                <w:rFonts w:ascii="Calibri" w:hAnsi="Calibri" w:cs="Calibri"/>
                <w:color w:val="000000"/>
                <w:sz w:val="22"/>
                <w:szCs w:val="22"/>
              </w:rPr>
              <w:t>FitSM</w:t>
            </w:r>
            <w:proofErr w:type="spellEnd"/>
            <w:r>
              <w:rPr>
                <w:rFonts w:ascii="Calibri" w:hAnsi="Calibri" w:cs="Calibri"/>
                <w:color w:val="000000"/>
                <w:sz w:val="22"/>
                <w:szCs w:val="22"/>
              </w:rPr>
              <w:t xml:space="preserve"> standard.</w:t>
            </w:r>
          </w:p>
          <w:p w14:paraId="58EA97E9" w14:textId="68326FE1" w:rsidR="00F814A1" w:rsidRDefault="00F814A1" w:rsidP="00F814A1">
            <w:pPr>
              <w:pStyle w:val="Norma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b/>
                <w:bCs/>
                <w:color w:val="000000"/>
                <w:sz w:val="22"/>
                <w:szCs w:val="22"/>
              </w:rPr>
              <w:t>Use case.</w:t>
            </w:r>
            <w:r>
              <w:rPr>
                <w:rFonts w:ascii="Calibri" w:hAnsi="Calibri" w:cs="Calibri"/>
                <w:color w:val="000000"/>
                <w:sz w:val="22"/>
                <w:szCs w:val="22"/>
              </w:rPr>
              <w:t xml:space="preserve"> The tool is used by the team involved in the activities of the Service Portfolio Management process, which defines and maintains a service portfolio. A service portfolio is the entity that provides information such as the service value proposition, target customer base, service description, relevant technical specifications, cost and price, risks to the service provider, service level packages offered, etc.</w:t>
            </w:r>
          </w:p>
        </w:tc>
      </w:tr>
      <w:tr w:rsidR="00F814A1" w14:paraId="271ADC3E" w14:textId="77777777" w:rsidTr="005B7DC8">
        <w:tc>
          <w:tcPr>
            <w:cnfStyle w:val="001000000000" w:firstRow="0" w:lastRow="0" w:firstColumn="1" w:lastColumn="0" w:oddVBand="0" w:evenVBand="0" w:oddHBand="0" w:evenHBand="0" w:firstRowFirstColumn="0" w:firstRowLastColumn="0" w:lastRowFirstColumn="0" w:lastRowLastColumn="0"/>
            <w:tcW w:w="2425" w:type="dxa"/>
          </w:tcPr>
          <w:p w14:paraId="011CFCE1" w14:textId="2FCF29E8" w:rsidR="00F814A1" w:rsidRDefault="00F814A1" w:rsidP="004A58B9">
            <w:pPr>
              <w:pStyle w:val="NoSpacing"/>
            </w:pPr>
            <w:r>
              <w:lastRenderedPageBreak/>
              <w:t>Collaborations software &amp; platforms</w:t>
            </w:r>
          </w:p>
        </w:tc>
        <w:tc>
          <w:tcPr>
            <w:tcW w:w="6570" w:type="dxa"/>
          </w:tcPr>
          <w:p w14:paraId="525DB84E" w14:textId="77777777" w:rsidR="00F814A1" w:rsidRDefault="00F814A1" w:rsidP="00F814A1">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Issue management and documentation co-development and sharing.</w:t>
            </w:r>
          </w:p>
          <w:p w14:paraId="501DED06" w14:textId="70745AD4" w:rsidR="00F814A1" w:rsidRDefault="00F814A1" w:rsidP="00F814A1">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b/>
                <w:bCs/>
                <w:color w:val="000000"/>
                <w:sz w:val="22"/>
                <w:szCs w:val="22"/>
              </w:rPr>
              <w:t>Use case.</w:t>
            </w:r>
            <w:r>
              <w:rPr>
                <w:rFonts w:ascii="Calibri" w:hAnsi="Calibri" w:cs="Calibri"/>
                <w:color w:val="000000"/>
                <w:sz w:val="22"/>
                <w:szCs w:val="22"/>
              </w:rPr>
              <w:t xml:space="preserve"> Collaborations between EOSC users and/or service providers.</w:t>
            </w:r>
          </w:p>
        </w:tc>
      </w:tr>
      <w:tr w:rsidR="00F814A1" w14:paraId="2E4A7F11" w14:textId="77777777" w:rsidTr="005B7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tcPr>
          <w:p w14:paraId="244522B1" w14:textId="66943BDE" w:rsidR="00F814A1" w:rsidRDefault="00F814A1" w:rsidP="004A58B9">
            <w:pPr>
              <w:pStyle w:val="NoSpacing"/>
            </w:pPr>
            <w:r>
              <w:rPr>
                <w:rFonts w:cs="Calibri"/>
                <w:color w:val="000000"/>
              </w:rPr>
              <w:t>Security monitoring</w:t>
            </w:r>
          </w:p>
        </w:tc>
        <w:tc>
          <w:tcPr>
            <w:tcW w:w="6570" w:type="dxa"/>
          </w:tcPr>
          <w:p w14:paraId="25FA2F13" w14:textId="77777777" w:rsidR="00F814A1" w:rsidRDefault="00F814A1" w:rsidP="00F814A1">
            <w:pPr>
              <w:pStyle w:val="Norma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 w:val="22"/>
                <w:szCs w:val="22"/>
              </w:rPr>
              <w:t>Provide features to secure monitoring the EOSC services and resources.</w:t>
            </w:r>
          </w:p>
          <w:p w14:paraId="0B509AAC" w14:textId="09ECAF44" w:rsidR="00F814A1" w:rsidRDefault="00F814A1" w:rsidP="00F814A1">
            <w:pPr>
              <w:pStyle w:val="Norma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b/>
                <w:bCs/>
                <w:color w:val="000000"/>
                <w:sz w:val="22"/>
                <w:szCs w:val="22"/>
              </w:rPr>
              <w:t>Use case.</w:t>
            </w:r>
            <w:r>
              <w:rPr>
                <w:rFonts w:ascii="Calibri" w:hAnsi="Calibri" w:cs="Calibri"/>
                <w:color w:val="000000"/>
                <w:sz w:val="22"/>
                <w:szCs w:val="22"/>
              </w:rPr>
              <w:t xml:space="preserve"> Identify security threats in the EOSC.</w:t>
            </w:r>
          </w:p>
        </w:tc>
      </w:tr>
      <w:tr w:rsidR="00F814A1" w14:paraId="549B34E3" w14:textId="77777777" w:rsidTr="005B7DC8">
        <w:tc>
          <w:tcPr>
            <w:cnfStyle w:val="001000000000" w:firstRow="0" w:lastRow="0" w:firstColumn="1" w:lastColumn="0" w:oddVBand="0" w:evenVBand="0" w:oddHBand="0" w:evenHBand="0" w:firstRowFirstColumn="0" w:firstRowLastColumn="0" w:lastRowFirstColumn="0" w:lastRowLastColumn="0"/>
            <w:tcW w:w="2425" w:type="dxa"/>
          </w:tcPr>
          <w:p w14:paraId="2EBF6B1D" w14:textId="137A56A2" w:rsidR="00F814A1" w:rsidRDefault="00F814A1" w:rsidP="004A58B9">
            <w:pPr>
              <w:pStyle w:val="NoSpacing"/>
            </w:pPr>
            <w:r>
              <w:t>Messaging</w:t>
            </w:r>
          </w:p>
        </w:tc>
        <w:tc>
          <w:tcPr>
            <w:tcW w:w="6570" w:type="dxa"/>
          </w:tcPr>
          <w:p w14:paraId="6B5B4226" w14:textId="77777777" w:rsidR="00F814A1" w:rsidRDefault="00F814A1" w:rsidP="00F814A1">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2"/>
                <w:szCs w:val="22"/>
              </w:rPr>
              <w:t>A real-time messaging service that allows to send and receive messages between independent applications.</w:t>
            </w:r>
          </w:p>
          <w:p w14:paraId="007CF3A2" w14:textId="27059707" w:rsidR="00F814A1" w:rsidRDefault="00F814A1" w:rsidP="00F814A1">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b/>
                <w:bCs/>
                <w:color w:val="000000"/>
                <w:sz w:val="22"/>
                <w:szCs w:val="22"/>
              </w:rPr>
              <w:t>Use case.</w:t>
            </w:r>
            <w:r>
              <w:rPr>
                <w:rFonts w:ascii="Calibri" w:hAnsi="Calibri" w:cs="Calibri"/>
                <w:color w:val="000000"/>
                <w:sz w:val="22"/>
                <w:szCs w:val="22"/>
              </w:rPr>
              <w:t xml:space="preserve"> Enabling asynchronous communication between EOSC services.</w:t>
            </w:r>
          </w:p>
        </w:tc>
      </w:tr>
      <w:tr w:rsidR="00F814A1" w14:paraId="05B7D576" w14:textId="77777777" w:rsidTr="005B7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tcPr>
          <w:p w14:paraId="6A14344A" w14:textId="43DA8D78" w:rsidR="00F814A1" w:rsidRDefault="00F814A1" w:rsidP="004A58B9">
            <w:pPr>
              <w:pStyle w:val="NoSpacing"/>
            </w:pPr>
            <w:r>
              <w:t>Software quality assurance</w:t>
            </w:r>
          </w:p>
        </w:tc>
        <w:tc>
          <w:tcPr>
            <w:tcW w:w="6570" w:type="dxa"/>
          </w:tcPr>
          <w:p w14:paraId="3C450628" w14:textId="77777777" w:rsidR="00F814A1" w:rsidRDefault="00F814A1" w:rsidP="00F814A1">
            <w:pPr>
              <w:pStyle w:val="Norma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 w:val="22"/>
                <w:szCs w:val="22"/>
              </w:rPr>
              <w:t xml:space="preserve">A tool that allows to deliver quality software for the EOSC consumption. The software is compiled, validated and distributed following the Software Provisioning Process (SWPP), where the Quality Criteria (QC) definition sets the minimum quality requirements for acceptance. The growing number of software components currently existing to support EOSC infrastructure </w:t>
            </w:r>
            <w:proofErr w:type="spellStart"/>
            <w:r>
              <w:rPr>
                <w:rFonts w:ascii="Calibri" w:hAnsi="Calibri" w:cs="Calibri"/>
                <w:color w:val="000000"/>
                <w:sz w:val="22"/>
                <w:szCs w:val="22"/>
              </w:rPr>
              <w:t>favours</w:t>
            </w:r>
            <w:proofErr w:type="spellEnd"/>
            <w:r>
              <w:rPr>
                <w:rFonts w:ascii="Calibri" w:hAnsi="Calibri" w:cs="Calibri"/>
                <w:color w:val="000000"/>
                <w:sz w:val="22"/>
                <w:szCs w:val="22"/>
              </w:rPr>
              <w:t xml:space="preserve"> the adoption of automated solutions </w:t>
            </w:r>
            <w:proofErr w:type="gramStart"/>
            <w:r>
              <w:rPr>
                <w:rFonts w:ascii="Calibri" w:hAnsi="Calibri" w:cs="Calibri"/>
                <w:color w:val="000000"/>
                <w:sz w:val="22"/>
                <w:szCs w:val="22"/>
              </w:rPr>
              <w:t>towards  the</w:t>
            </w:r>
            <w:proofErr w:type="gramEnd"/>
            <w:r>
              <w:rPr>
                <w:rFonts w:ascii="Calibri" w:hAnsi="Calibri" w:cs="Calibri"/>
                <w:color w:val="000000"/>
                <w:sz w:val="22"/>
                <w:szCs w:val="22"/>
              </w:rPr>
              <w:t xml:space="preserve"> manual-based validation mechanisms.</w:t>
            </w:r>
          </w:p>
          <w:p w14:paraId="2426F5FE" w14:textId="3F09F9A2" w:rsidR="00F814A1" w:rsidRDefault="00F814A1" w:rsidP="00F814A1">
            <w:pPr>
              <w:pStyle w:val="Norma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b/>
                <w:bCs/>
                <w:color w:val="000000"/>
                <w:sz w:val="22"/>
                <w:szCs w:val="22"/>
              </w:rPr>
              <w:t>Use case.</w:t>
            </w:r>
            <w:r>
              <w:rPr>
                <w:rFonts w:ascii="Calibri" w:hAnsi="Calibri" w:cs="Calibri"/>
                <w:color w:val="000000"/>
                <w:sz w:val="22"/>
                <w:szCs w:val="22"/>
              </w:rPr>
              <w:t xml:space="preserve"> Automated validation of software quality.</w:t>
            </w:r>
          </w:p>
        </w:tc>
      </w:tr>
    </w:tbl>
    <w:p w14:paraId="49917150" w14:textId="327206A4" w:rsidR="005B7DC8" w:rsidRDefault="005B7DC8" w:rsidP="005B7DC8"/>
    <w:p w14:paraId="62B99C68" w14:textId="77777777" w:rsidR="00F814A1" w:rsidRDefault="00F814A1" w:rsidP="00F814A1">
      <w:r>
        <w:t>Technical specifications for all these macro-features are under preparation and will be published for feedback as soon as they are ready. An example of an already mature specification is the AAI technical specification that is described later in the document.</w:t>
      </w:r>
    </w:p>
    <w:p w14:paraId="5B759772" w14:textId="1D58EEBF" w:rsidR="00F814A1" w:rsidRDefault="00F814A1" w:rsidP="00F814A1">
      <w:r>
        <w:t xml:space="preserve">The EOSC Portal is as special case within this block. It is currently being further enhanced and developed by a large collaboration that includes EOSC-hub, </w:t>
      </w:r>
      <w:proofErr w:type="spellStart"/>
      <w:r>
        <w:t>OpenAIRE</w:t>
      </w:r>
      <w:proofErr w:type="spellEnd"/>
      <w:r>
        <w:t xml:space="preserve"> Advance and key partners of the </w:t>
      </w:r>
      <w:proofErr w:type="spellStart"/>
      <w:r>
        <w:t>eInfraCentral</w:t>
      </w:r>
      <w:proofErr w:type="spellEnd"/>
      <w:r>
        <w:t xml:space="preserve"> project. More information is available in the EOSC Portal concept paper</w:t>
      </w:r>
      <w:r>
        <w:rPr>
          <w:rStyle w:val="FootnoteReference"/>
        </w:rPr>
        <w:footnoteReference w:id="4"/>
      </w:r>
      <w:r>
        <w:t>. The outcomes of this collaboration will be adopted by this work to technically specify the EOSC Portal.</w:t>
      </w:r>
    </w:p>
    <w:p w14:paraId="2789A44A" w14:textId="72377572" w:rsidR="005B7DC8" w:rsidRDefault="004002C6" w:rsidP="00F814A1">
      <w:pPr>
        <w:pStyle w:val="Heading2"/>
      </w:pPr>
      <w:bookmarkStart w:id="8" w:name="_Toc15645927"/>
      <w:r>
        <w:t xml:space="preserve">EOSC </w:t>
      </w:r>
      <w:r w:rsidR="00F814A1" w:rsidRPr="00F814A1">
        <w:t>Common services</w:t>
      </w:r>
      <w:bookmarkEnd w:id="8"/>
    </w:p>
    <w:p w14:paraId="0D33754A" w14:textId="77777777" w:rsidR="00F814A1" w:rsidRDefault="00F814A1" w:rsidP="00F814A1">
      <w:r>
        <w:t>In the Common services block, we intend as macro-feature a technical function that offers added value on top of the EOSC resources (computing, storage, etc) and that can be adopted by multiple thematic services. Examples of macro-features for this block are IaaS VM/Container management, Cloud Orchestration, metadata management, making scientific artefacts FAIR, etc. A macro-feature in the Common Service block can be implemented and, then, offered by one or more common services.</w:t>
      </w:r>
    </w:p>
    <w:p w14:paraId="0A27491E" w14:textId="77777777" w:rsidR="00F814A1" w:rsidRDefault="00F814A1" w:rsidP="00F814A1">
      <w:r>
        <w:t>In this block, the number of relevant macro-features can be huge, this required to split the work on sub-areas. We used the technical areas we are working on in EOSC-hub to start the process to identify the macro-features:</w:t>
      </w:r>
    </w:p>
    <w:p w14:paraId="202CB4F8" w14:textId="77777777" w:rsidR="00F814A1" w:rsidRDefault="00F814A1" w:rsidP="00F814A1">
      <w:pPr>
        <w:pStyle w:val="ListParagraph"/>
        <w:numPr>
          <w:ilvl w:val="0"/>
          <w:numId w:val="29"/>
        </w:numPr>
      </w:pPr>
      <w:r>
        <w:t>HTC/HPC Compute</w:t>
      </w:r>
    </w:p>
    <w:p w14:paraId="6E2757B3" w14:textId="77777777" w:rsidR="00F814A1" w:rsidRDefault="00F814A1" w:rsidP="00F814A1">
      <w:pPr>
        <w:pStyle w:val="ListParagraph"/>
        <w:numPr>
          <w:ilvl w:val="0"/>
          <w:numId w:val="29"/>
        </w:numPr>
      </w:pPr>
      <w:r>
        <w:t>Cloud Compute (</w:t>
      </w:r>
      <w:proofErr w:type="spellStart"/>
      <w:r>
        <w:t>inc</w:t>
      </w:r>
      <w:proofErr w:type="spellEnd"/>
      <w:r>
        <w:t xml:space="preserve"> Containerisation and orchestration)</w:t>
      </w:r>
    </w:p>
    <w:p w14:paraId="765C5D85" w14:textId="77777777" w:rsidR="00F814A1" w:rsidRDefault="00F814A1" w:rsidP="00F814A1">
      <w:pPr>
        <w:pStyle w:val="ListParagraph"/>
        <w:numPr>
          <w:ilvl w:val="0"/>
          <w:numId w:val="29"/>
        </w:numPr>
      </w:pPr>
      <w:r>
        <w:t>PaaS Solutions</w:t>
      </w:r>
    </w:p>
    <w:p w14:paraId="507C9BF2" w14:textId="77777777" w:rsidR="00F814A1" w:rsidRDefault="00F814A1" w:rsidP="00F814A1">
      <w:pPr>
        <w:pStyle w:val="ListParagraph"/>
        <w:numPr>
          <w:ilvl w:val="0"/>
          <w:numId w:val="29"/>
        </w:numPr>
      </w:pPr>
      <w:r>
        <w:t>Data Platforms for Processing</w:t>
      </w:r>
    </w:p>
    <w:p w14:paraId="57776AA7" w14:textId="77777777" w:rsidR="00F814A1" w:rsidRDefault="00F814A1" w:rsidP="00F814A1">
      <w:pPr>
        <w:pStyle w:val="ListParagraph"/>
        <w:numPr>
          <w:ilvl w:val="0"/>
          <w:numId w:val="29"/>
        </w:numPr>
      </w:pPr>
      <w:r>
        <w:t>Data Publishing and Open Data</w:t>
      </w:r>
    </w:p>
    <w:p w14:paraId="1B437D69" w14:textId="77777777" w:rsidR="00F814A1" w:rsidRDefault="00F814A1" w:rsidP="00F814A1">
      <w:pPr>
        <w:pStyle w:val="ListParagraph"/>
        <w:numPr>
          <w:ilvl w:val="0"/>
          <w:numId w:val="29"/>
        </w:numPr>
      </w:pPr>
      <w:r>
        <w:t>Data Preservation/Curation/Provenance</w:t>
      </w:r>
    </w:p>
    <w:p w14:paraId="072ED879" w14:textId="77777777" w:rsidR="00F814A1" w:rsidRDefault="00F814A1" w:rsidP="00F814A1">
      <w:pPr>
        <w:pStyle w:val="ListParagraph"/>
        <w:numPr>
          <w:ilvl w:val="0"/>
          <w:numId w:val="29"/>
        </w:numPr>
      </w:pPr>
      <w:r>
        <w:lastRenderedPageBreak/>
        <w:t>Metadata Management and Data Discovery</w:t>
      </w:r>
    </w:p>
    <w:p w14:paraId="2B335DB2" w14:textId="77777777" w:rsidR="00F814A1" w:rsidRDefault="00F814A1" w:rsidP="00F814A1">
      <w:pPr>
        <w:pStyle w:val="ListParagraph"/>
        <w:numPr>
          <w:ilvl w:val="0"/>
          <w:numId w:val="29"/>
        </w:numPr>
      </w:pPr>
      <w:r>
        <w:t>Workflow management and user interfaces and Data analytics</w:t>
      </w:r>
    </w:p>
    <w:p w14:paraId="1E7ED003" w14:textId="02E11FF4" w:rsidR="00F814A1" w:rsidRPr="00F814A1" w:rsidRDefault="00F814A1" w:rsidP="00F814A1">
      <w:r>
        <w:t xml:space="preserve">Other technical areas could be added by other initiatives according to their expertise. For example, </w:t>
      </w:r>
      <w:proofErr w:type="spellStart"/>
      <w:r>
        <w:t>OpenAIRE</w:t>
      </w:r>
      <w:proofErr w:type="spellEnd"/>
      <w:r>
        <w:t xml:space="preserve"> suggested to add the Scholarly Communication technical area and proposed macro-features for this area during the last EOSC-hub technical workshop in Amsterdam</w:t>
      </w:r>
      <w:r>
        <w:rPr>
          <w:rStyle w:val="FootnoteReference"/>
        </w:rPr>
        <w:footnoteReference w:id="5"/>
      </w:r>
      <w:r>
        <w:t>.</w:t>
      </w:r>
    </w:p>
    <w:p w14:paraId="0139B194" w14:textId="1EB5D7F2" w:rsidR="005B7DC8" w:rsidRDefault="00FC66CA" w:rsidP="005B7DC8">
      <w:proofErr w:type="gramStart"/>
      <w:r w:rsidRPr="00FC66CA">
        <w:t>Also</w:t>
      </w:r>
      <w:proofErr w:type="gramEnd"/>
      <w:r w:rsidRPr="00FC66CA">
        <w:t xml:space="preserve"> for the Common Services, we agreed to prioritise the preparation of the technical specifications for the macro-features that are more relevant for users according to the use cases analysis. The current list of identified macro-features, organised per technical area, is listed in the following table.</w:t>
      </w:r>
    </w:p>
    <w:p w14:paraId="775B87E6" w14:textId="3F77B849" w:rsidR="00FC66CA" w:rsidRPr="004D249B" w:rsidRDefault="00FC66CA" w:rsidP="00FC66CA">
      <w:pPr>
        <w:pStyle w:val="Caption1"/>
      </w:pPr>
      <w:bookmarkStart w:id="9" w:name="_Hlk15645326"/>
      <w:r>
        <w:t>Table 2. Common services</w:t>
      </w:r>
      <w:r>
        <w:t xml:space="preserve"> macro-features</w:t>
      </w:r>
      <w:r>
        <w:t xml:space="preserve"> per technical area</w:t>
      </w:r>
      <w:bookmarkEnd w:id="9"/>
    </w:p>
    <w:tbl>
      <w:tblPr>
        <w:tblStyle w:val="TableSimple1"/>
        <w:tblW w:w="0" w:type="auto"/>
        <w:tblLook w:val="04A0" w:firstRow="1" w:lastRow="0" w:firstColumn="1" w:lastColumn="0" w:noHBand="0" w:noVBand="1"/>
      </w:tblPr>
      <w:tblGrid>
        <w:gridCol w:w="3595"/>
        <w:gridCol w:w="5421"/>
      </w:tblGrid>
      <w:tr w:rsidR="00FC66CA" w:rsidRPr="002E5F1F" w14:paraId="6D5B32E5" w14:textId="77777777" w:rsidTr="00FC66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5" w:type="dxa"/>
          </w:tcPr>
          <w:p w14:paraId="0D7968D6" w14:textId="77777777" w:rsidR="00FC66CA" w:rsidRPr="002E5F1F" w:rsidRDefault="00FC66CA" w:rsidP="004A58B9">
            <w:pPr>
              <w:pStyle w:val="NoSpacing"/>
              <w:rPr>
                <w:b w:val="0"/>
                <w:i/>
              </w:rPr>
            </w:pPr>
            <w:r w:rsidRPr="005B7DC8">
              <w:rPr>
                <w:i/>
              </w:rPr>
              <w:t>Macro-features</w:t>
            </w:r>
          </w:p>
        </w:tc>
        <w:tc>
          <w:tcPr>
            <w:tcW w:w="5421" w:type="dxa"/>
          </w:tcPr>
          <w:p w14:paraId="05B78AF9" w14:textId="77777777" w:rsidR="00FC66CA" w:rsidRPr="002E5F1F" w:rsidRDefault="00FC66CA" w:rsidP="004A58B9">
            <w:pPr>
              <w:pStyle w:val="NoSpacing"/>
              <w:cnfStyle w:val="100000000000" w:firstRow="1" w:lastRow="0" w:firstColumn="0" w:lastColumn="0" w:oddVBand="0" w:evenVBand="0" w:oddHBand="0" w:evenHBand="0" w:firstRowFirstColumn="0" w:firstRowLastColumn="0" w:lastRowFirstColumn="0" w:lastRowLastColumn="0"/>
              <w:rPr>
                <w:b w:val="0"/>
                <w:i/>
              </w:rPr>
            </w:pPr>
            <w:r w:rsidRPr="005B7DC8">
              <w:rPr>
                <w:i/>
              </w:rPr>
              <w:t>Short description</w:t>
            </w:r>
          </w:p>
        </w:tc>
      </w:tr>
      <w:tr w:rsidR="00FC66CA" w14:paraId="3292D4EF" w14:textId="77777777" w:rsidTr="00FC66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5" w:type="dxa"/>
          </w:tcPr>
          <w:p w14:paraId="5EBC5D1F" w14:textId="34FEEF1C" w:rsidR="00FC66CA" w:rsidRDefault="00FC66CA" w:rsidP="00FC66CA">
            <w:pPr>
              <w:pStyle w:val="NoSpacing"/>
              <w:jc w:val="left"/>
            </w:pPr>
            <w:r w:rsidRPr="00FC66CA">
              <w:t>HTC/HPC Compute</w:t>
            </w:r>
          </w:p>
        </w:tc>
        <w:tc>
          <w:tcPr>
            <w:tcW w:w="5421" w:type="dxa"/>
          </w:tcPr>
          <w:p w14:paraId="3C670703" w14:textId="77777777" w:rsidR="00FC66CA" w:rsidRDefault="00FC66CA" w:rsidP="00FC66CA">
            <w:pPr>
              <w:pStyle w:val="NoSpacing"/>
              <w:numPr>
                <w:ilvl w:val="0"/>
                <w:numId w:val="30"/>
              </w:numPr>
              <w:cnfStyle w:val="000000100000" w:firstRow="0" w:lastRow="0" w:firstColumn="0" w:lastColumn="0" w:oddVBand="0" w:evenVBand="0" w:oddHBand="1" w:evenHBand="0" w:firstRowFirstColumn="0" w:firstRowLastColumn="0" w:lastRowFirstColumn="0" w:lastRowLastColumn="0"/>
            </w:pPr>
            <w:r>
              <w:t>Multitenant job submission</w:t>
            </w:r>
          </w:p>
          <w:p w14:paraId="5784CDD0" w14:textId="77777777" w:rsidR="00FC66CA" w:rsidRDefault="00FC66CA" w:rsidP="00FC66CA">
            <w:pPr>
              <w:pStyle w:val="NoSpacing"/>
              <w:numPr>
                <w:ilvl w:val="0"/>
                <w:numId w:val="30"/>
              </w:numPr>
              <w:cnfStyle w:val="000000100000" w:firstRow="0" w:lastRow="0" w:firstColumn="0" w:lastColumn="0" w:oddVBand="0" w:evenVBand="0" w:oddHBand="1" w:evenHBand="0" w:firstRowFirstColumn="0" w:firstRowLastColumn="0" w:lastRowFirstColumn="0" w:lastRowLastColumn="0"/>
            </w:pPr>
            <w:r>
              <w:t xml:space="preserve">Multitenant </w:t>
            </w:r>
            <w:proofErr w:type="gramStart"/>
            <w:r>
              <w:t>container based</w:t>
            </w:r>
            <w:proofErr w:type="gramEnd"/>
            <w:r>
              <w:t xml:space="preserve"> job submission</w:t>
            </w:r>
          </w:p>
          <w:p w14:paraId="6E64F834" w14:textId="1CD88898" w:rsidR="00FC66CA" w:rsidRDefault="00FC66CA" w:rsidP="00FC66CA">
            <w:pPr>
              <w:pStyle w:val="NoSpacing"/>
              <w:numPr>
                <w:ilvl w:val="0"/>
                <w:numId w:val="30"/>
              </w:numPr>
              <w:cnfStyle w:val="000000100000" w:firstRow="0" w:lastRow="0" w:firstColumn="0" w:lastColumn="0" w:oddVBand="0" w:evenVBand="0" w:oddHBand="1" w:evenHBand="0" w:firstRowFirstColumn="0" w:firstRowLastColumn="0" w:lastRowFirstColumn="0" w:lastRowLastColumn="0"/>
            </w:pPr>
            <w:r>
              <w:t>HTC / HPC clusters on demand</w:t>
            </w:r>
          </w:p>
        </w:tc>
      </w:tr>
      <w:tr w:rsidR="00FC66CA" w14:paraId="3B23C179" w14:textId="77777777" w:rsidTr="00FC66CA">
        <w:tc>
          <w:tcPr>
            <w:cnfStyle w:val="001000000000" w:firstRow="0" w:lastRow="0" w:firstColumn="1" w:lastColumn="0" w:oddVBand="0" w:evenVBand="0" w:oddHBand="0" w:evenHBand="0" w:firstRowFirstColumn="0" w:firstRowLastColumn="0" w:lastRowFirstColumn="0" w:lastRowLastColumn="0"/>
            <w:tcW w:w="3595" w:type="dxa"/>
          </w:tcPr>
          <w:p w14:paraId="45FFB0E9" w14:textId="1CF1A09F" w:rsidR="00FC66CA" w:rsidRDefault="00FC66CA" w:rsidP="00FC66CA">
            <w:pPr>
              <w:pStyle w:val="NoSpacing"/>
              <w:jc w:val="left"/>
            </w:pPr>
            <w:r w:rsidRPr="00FC66CA">
              <w:t>Cloud Compute (</w:t>
            </w:r>
            <w:proofErr w:type="spellStart"/>
            <w:r w:rsidRPr="00FC66CA">
              <w:t>inc</w:t>
            </w:r>
            <w:proofErr w:type="spellEnd"/>
            <w:r w:rsidRPr="00FC66CA">
              <w:t xml:space="preserve"> Containerisation and orchestration)</w:t>
            </w:r>
          </w:p>
        </w:tc>
        <w:tc>
          <w:tcPr>
            <w:tcW w:w="5421" w:type="dxa"/>
          </w:tcPr>
          <w:p w14:paraId="379D300F" w14:textId="77777777" w:rsidR="00FC66CA" w:rsidRDefault="00FC66CA" w:rsidP="00FC66CA">
            <w:pPr>
              <w:pStyle w:val="NoSpacing"/>
              <w:numPr>
                <w:ilvl w:val="0"/>
                <w:numId w:val="30"/>
              </w:numPr>
              <w:cnfStyle w:val="000000000000" w:firstRow="0" w:lastRow="0" w:firstColumn="0" w:lastColumn="0" w:oddVBand="0" w:evenVBand="0" w:oddHBand="0" w:evenHBand="0" w:firstRowFirstColumn="0" w:firstRowLastColumn="0" w:lastRowFirstColumn="0" w:lastRowLastColumn="0"/>
            </w:pPr>
            <w:r>
              <w:t>IaaS: VM Management</w:t>
            </w:r>
          </w:p>
          <w:p w14:paraId="244976A2" w14:textId="77777777" w:rsidR="00FC66CA" w:rsidRDefault="00FC66CA" w:rsidP="00FC66CA">
            <w:pPr>
              <w:pStyle w:val="NoSpacing"/>
              <w:numPr>
                <w:ilvl w:val="0"/>
                <w:numId w:val="30"/>
              </w:numPr>
              <w:cnfStyle w:val="000000000000" w:firstRow="0" w:lastRow="0" w:firstColumn="0" w:lastColumn="0" w:oddVBand="0" w:evenVBand="0" w:oddHBand="0" w:evenHBand="0" w:firstRowFirstColumn="0" w:firstRowLastColumn="0" w:lastRowFirstColumn="0" w:lastRowLastColumn="0"/>
            </w:pPr>
            <w:r>
              <w:t>IaaS: Orchestration</w:t>
            </w:r>
          </w:p>
          <w:p w14:paraId="06746A6E" w14:textId="3158EDC2" w:rsidR="00FC66CA" w:rsidRDefault="00FC66CA" w:rsidP="00FC66CA">
            <w:pPr>
              <w:pStyle w:val="NoSpacing"/>
              <w:numPr>
                <w:ilvl w:val="0"/>
                <w:numId w:val="30"/>
              </w:numPr>
              <w:cnfStyle w:val="000000000000" w:firstRow="0" w:lastRow="0" w:firstColumn="0" w:lastColumn="0" w:oddVBand="0" w:evenVBand="0" w:oddHBand="0" w:evenHBand="0" w:firstRowFirstColumn="0" w:firstRowLastColumn="0" w:lastRowFirstColumn="0" w:lastRowLastColumn="0"/>
            </w:pPr>
            <w:r>
              <w:t>IaaS: Containers</w:t>
            </w:r>
          </w:p>
        </w:tc>
      </w:tr>
      <w:tr w:rsidR="00FC66CA" w14:paraId="3550441A" w14:textId="77777777" w:rsidTr="00FC66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5" w:type="dxa"/>
          </w:tcPr>
          <w:p w14:paraId="65C20BAE" w14:textId="4023D4F7" w:rsidR="00FC66CA" w:rsidRDefault="00FC66CA" w:rsidP="00FC66CA">
            <w:pPr>
              <w:pStyle w:val="NoSpacing"/>
              <w:jc w:val="left"/>
            </w:pPr>
            <w:r w:rsidRPr="00FC66CA">
              <w:t>PaaS Solutions</w:t>
            </w:r>
          </w:p>
        </w:tc>
        <w:tc>
          <w:tcPr>
            <w:tcW w:w="5421" w:type="dxa"/>
          </w:tcPr>
          <w:p w14:paraId="219A3E2F" w14:textId="031E57AB" w:rsidR="00FC66CA" w:rsidRDefault="00FC66CA" w:rsidP="00FC66CA">
            <w:pPr>
              <w:pStyle w:val="NoSpacing"/>
              <w:numPr>
                <w:ilvl w:val="0"/>
                <w:numId w:val="30"/>
              </w:numPr>
              <w:cnfStyle w:val="000000100000" w:firstRow="0" w:lastRow="0" w:firstColumn="0" w:lastColumn="0" w:oddVBand="0" w:evenVBand="0" w:oddHBand="1" w:evenHBand="0" w:firstRowFirstColumn="0" w:firstRowLastColumn="0" w:lastRowFirstColumn="0" w:lastRowLastColumn="0"/>
            </w:pPr>
            <w:r w:rsidRPr="00FC66CA">
              <w:t>PaaS Solution for Cloud service automation and federation of hybrid Cloud resources</w:t>
            </w:r>
          </w:p>
        </w:tc>
      </w:tr>
      <w:tr w:rsidR="00FC66CA" w14:paraId="5ACBF499" w14:textId="77777777" w:rsidTr="00FC66CA">
        <w:tc>
          <w:tcPr>
            <w:cnfStyle w:val="001000000000" w:firstRow="0" w:lastRow="0" w:firstColumn="1" w:lastColumn="0" w:oddVBand="0" w:evenVBand="0" w:oddHBand="0" w:evenHBand="0" w:firstRowFirstColumn="0" w:firstRowLastColumn="0" w:lastRowFirstColumn="0" w:lastRowLastColumn="0"/>
            <w:tcW w:w="3595" w:type="dxa"/>
          </w:tcPr>
          <w:p w14:paraId="635167AB" w14:textId="2392D296" w:rsidR="00FC66CA" w:rsidRDefault="00FC66CA" w:rsidP="00FC66CA">
            <w:pPr>
              <w:pStyle w:val="NoSpacing"/>
              <w:jc w:val="left"/>
            </w:pPr>
            <w:r w:rsidRPr="00FC66CA">
              <w:t>Data Platforms for Processing</w:t>
            </w:r>
          </w:p>
        </w:tc>
        <w:tc>
          <w:tcPr>
            <w:tcW w:w="5421" w:type="dxa"/>
          </w:tcPr>
          <w:p w14:paraId="2C170C19" w14:textId="77777777" w:rsidR="00FC66CA" w:rsidRDefault="00FC66CA" w:rsidP="00FC66CA">
            <w:pPr>
              <w:pStyle w:val="NoSpacing"/>
              <w:numPr>
                <w:ilvl w:val="0"/>
                <w:numId w:val="30"/>
              </w:numPr>
              <w:cnfStyle w:val="000000000000" w:firstRow="0" w:lastRow="0" w:firstColumn="0" w:lastColumn="0" w:oddVBand="0" w:evenVBand="0" w:oddHBand="0" w:evenHBand="0" w:firstRowFirstColumn="0" w:firstRowLastColumn="0" w:lastRowFirstColumn="0" w:lastRowLastColumn="0"/>
            </w:pPr>
            <w:r>
              <w:t>Transparent data processing using POSIX in distributed and hybrid cloud environment including Dockers and Kubernetes and Jupiter</w:t>
            </w:r>
          </w:p>
          <w:p w14:paraId="0B37DFF2" w14:textId="77777777" w:rsidR="00FC66CA" w:rsidRDefault="00FC66CA" w:rsidP="00FC66CA">
            <w:pPr>
              <w:pStyle w:val="NoSpacing"/>
              <w:numPr>
                <w:ilvl w:val="0"/>
                <w:numId w:val="30"/>
              </w:numPr>
              <w:cnfStyle w:val="000000000000" w:firstRow="0" w:lastRow="0" w:firstColumn="0" w:lastColumn="0" w:oddVBand="0" w:evenVBand="0" w:oddHBand="0" w:evenHBand="0" w:firstRowFirstColumn="0" w:firstRowLastColumn="0" w:lastRowFirstColumn="0" w:lastRowLastColumn="0"/>
            </w:pPr>
            <w:r>
              <w:t>Data Ingesting and movement for processing in hybrid cloud environment</w:t>
            </w:r>
          </w:p>
          <w:p w14:paraId="7996F79D" w14:textId="77777777" w:rsidR="00FC66CA" w:rsidRDefault="00FC66CA" w:rsidP="00FC66CA">
            <w:pPr>
              <w:pStyle w:val="NoSpacing"/>
              <w:numPr>
                <w:ilvl w:val="0"/>
                <w:numId w:val="30"/>
              </w:numPr>
              <w:cnfStyle w:val="000000000000" w:firstRow="0" w:lastRow="0" w:firstColumn="0" w:lastColumn="0" w:oddVBand="0" w:evenVBand="0" w:oddHBand="0" w:evenHBand="0" w:firstRowFirstColumn="0" w:firstRowLastColumn="0" w:lastRowFirstColumn="0" w:lastRowLastColumn="0"/>
            </w:pPr>
            <w:r>
              <w:t>Metadata Management in processing workflows</w:t>
            </w:r>
          </w:p>
          <w:p w14:paraId="2FA644C9" w14:textId="77777777" w:rsidR="00FC66CA" w:rsidRDefault="00FC66CA" w:rsidP="00FC66CA">
            <w:pPr>
              <w:pStyle w:val="NoSpacing"/>
              <w:numPr>
                <w:ilvl w:val="0"/>
                <w:numId w:val="30"/>
              </w:numPr>
              <w:cnfStyle w:val="000000000000" w:firstRow="0" w:lastRow="0" w:firstColumn="0" w:lastColumn="0" w:oddVBand="0" w:evenVBand="0" w:oddHBand="0" w:evenHBand="0" w:firstRowFirstColumn="0" w:firstRowLastColumn="0" w:lastRowFirstColumn="0" w:lastRowLastColumn="0"/>
            </w:pPr>
            <w:r>
              <w:t>QoS based data access optimization and tight integration with preservation services</w:t>
            </w:r>
          </w:p>
          <w:p w14:paraId="18A9AB83" w14:textId="77777777" w:rsidR="00FC66CA" w:rsidRDefault="00FC66CA" w:rsidP="00FC66CA">
            <w:pPr>
              <w:pStyle w:val="NoSpacing"/>
              <w:numPr>
                <w:ilvl w:val="0"/>
                <w:numId w:val="30"/>
              </w:numPr>
              <w:cnfStyle w:val="000000000000" w:firstRow="0" w:lastRow="0" w:firstColumn="0" w:lastColumn="0" w:oddVBand="0" w:evenVBand="0" w:oddHBand="0" w:evenHBand="0" w:firstRowFirstColumn="0" w:firstRowLastColumn="0" w:lastRowFirstColumn="0" w:lastRowLastColumn="0"/>
            </w:pPr>
            <w:r>
              <w:t xml:space="preserve">Authorization based on attributes from </w:t>
            </w:r>
            <w:proofErr w:type="spellStart"/>
            <w:r>
              <w:t>IdP</w:t>
            </w:r>
            <w:proofErr w:type="spellEnd"/>
          </w:p>
          <w:p w14:paraId="402587EC" w14:textId="77777777" w:rsidR="00FC66CA" w:rsidRDefault="00FC66CA" w:rsidP="00FC66CA">
            <w:pPr>
              <w:pStyle w:val="NoSpacing"/>
              <w:numPr>
                <w:ilvl w:val="0"/>
                <w:numId w:val="30"/>
              </w:numPr>
              <w:cnfStyle w:val="000000000000" w:firstRow="0" w:lastRow="0" w:firstColumn="0" w:lastColumn="0" w:oddVBand="0" w:evenVBand="0" w:oddHBand="0" w:evenHBand="0" w:firstRowFirstColumn="0" w:firstRowLastColumn="0" w:lastRowFirstColumn="0" w:lastRowLastColumn="0"/>
            </w:pPr>
            <w:r>
              <w:t>Results sharing and experiment repeatability</w:t>
            </w:r>
          </w:p>
          <w:p w14:paraId="1EB9D924" w14:textId="7ADC3F93" w:rsidR="00FC66CA" w:rsidRDefault="00FC66CA" w:rsidP="00FC66CA">
            <w:pPr>
              <w:pStyle w:val="NoSpacing"/>
              <w:numPr>
                <w:ilvl w:val="0"/>
                <w:numId w:val="30"/>
              </w:numPr>
              <w:cnfStyle w:val="000000000000" w:firstRow="0" w:lastRow="0" w:firstColumn="0" w:lastColumn="0" w:oddVBand="0" w:evenVBand="0" w:oddHBand="0" w:evenHBand="0" w:firstRowFirstColumn="0" w:firstRowLastColumn="0" w:lastRowFirstColumn="0" w:lastRowLastColumn="0"/>
            </w:pPr>
            <w:r>
              <w:t>Distribution of software for the processing tasks</w:t>
            </w:r>
          </w:p>
        </w:tc>
      </w:tr>
      <w:tr w:rsidR="00FC66CA" w14:paraId="05347651" w14:textId="77777777" w:rsidTr="00FC66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5" w:type="dxa"/>
          </w:tcPr>
          <w:p w14:paraId="5D73661A" w14:textId="0A11707E" w:rsidR="00FC66CA" w:rsidRDefault="00FC66CA" w:rsidP="00FC66CA">
            <w:pPr>
              <w:pStyle w:val="NoSpacing"/>
              <w:jc w:val="left"/>
            </w:pPr>
            <w:r w:rsidRPr="00FC66CA">
              <w:t>Data Publishing and Open Data</w:t>
            </w:r>
          </w:p>
        </w:tc>
        <w:tc>
          <w:tcPr>
            <w:tcW w:w="5421" w:type="dxa"/>
          </w:tcPr>
          <w:p w14:paraId="17CF4270" w14:textId="7AF2911E" w:rsidR="00FC66CA" w:rsidRDefault="00FC66CA" w:rsidP="00FC66CA">
            <w:pPr>
              <w:pStyle w:val="NormalWeb"/>
              <w:numPr>
                <w:ilvl w:val="0"/>
                <w:numId w:val="30"/>
              </w:numPr>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Data Repository</w:t>
            </w:r>
          </w:p>
        </w:tc>
      </w:tr>
      <w:tr w:rsidR="00FC66CA" w14:paraId="53355BE0" w14:textId="77777777" w:rsidTr="00FC66CA">
        <w:tc>
          <w:tcPr>
            <w:cnfStyle w:val="001000000000" w:firstRow="0" w:lastRow="0" w:firstColumn="1" w:lastColumn="0" w:oddVBand="0" w:evenVBand="0" w:oddHBand="0" w:evenHBand="0" w:firstRowFirstColumn="0" w:firstRowLastColumn="0" w:lastRowFirstColumn="0" w:lastRowLastColumn="0"/>
            <w:tcW w:w="3595" w:type="dxa"/>
          </w:tcPr>
          <w:p w14:paraId="48ABBAAC" w14:textId="532F0BB7" w:rsidR="00FC66CA" w:rsidRDefault="00FC66CA" w:rsidP="00FC66CA">
            <w:pPr>
              <w:pStyle w:val="NoSpacing"/>
              <w:jc w:val="left"/>
            </w:pPr>
            <w:r w:rsidRPr="00FC66CA">
              <w:t>Data Preservation/Curation/Provenance</w:t>
            </w:r>
          </w:p>
        </w:tc>
        <w:tc>
          <w:tcPr>
            <w:tcW w:w="5421" w:type="dxa"/>
          </w:tcPr>
          <w:p w14:paraId="2A621D31" w14:textId="77777777" w:rsidR="00FC66CA" w:rsidRPr="00FC66CA" w:rsidRDefault="00FC66CA" w:rsidP="00FC66CA">
            <w:pPr>
              <w:pStyle w:val="NoSpacing"/>
              <w:numPr>
                <w:ilvl w:val="0"/>
                <w:numId w:val="30"/>
              </w:numPr>
              <w:cnfStyle w:val="000000000000" w:firstRow="0" w:lastRow="0" w:firstColumn="0" w:lastColumn="0" w:oddVBand="0" w:evenVBand="0" w:oddHBand="0" w:evenHBand="0" w:firstRowFirstColumn="0" w:firstRowLastColumn="0" w:lastRowFirstColumn="0" w:lastRowLastColumn="0"/>
            </w:pPr>
            <w:r w:rsidRPr="00FC66CA">
              <w:t>Data Preservation</w:t>
            </w:r>
          </w:p>
          <w:p w14:paraId="1106B300" w14:textId="77777777" w:rsidR="00FC66CA" w:rsidRPr="00FC66CA" w:rsidRDefault="00FC66CA" w:rsidP="00FC66CA">
            <w:pPr>
              <w:pStyle w:val="NoSpacing"/>
              <w:numPr>
                <w:ilvl w:val="0"/>
                <w:numId w:val="30"/>
              </w:numPr>
              <w:cnfStyle w:val="000000000000" w:firstRow="0" w:lastRow="0" w:firstColumn="0" w:lastColumn="0" w:oddVBand="0" w:evenVBand="0" w:oddHBand="0" w:evenHBand="0" w:firstRowFirstColumn="0" w:firstRowLastColumn="0" w:lastRowFirstColumn="0" w:lastRowLastColumn="0"/>
            </w:pPr>
            <w:r w:rsidRPr="00FC66CA">
              <w:t>Tracking of provenance metadata</w:t>
            </w:r>
          </w:p>
          <w:p w14:paraId="4FBAFAD3" w14:textId="490DC471" w:rsidR="00FC66CA" w:rsidRDefault="00FC66CA" w:rsidP="00FC66CA">
            <w:pPr>
              <w:pStyle w:val="NoSpacing"/>
              <w:numPr>
                <w:ilvl w:val="0"/>
                <w:numId w:val="30"/>
              </w:numPr>
              <w:cnfStyle w:val="000000000000" w:firstRow="0" w:lastRow="0" w:firstColumn="0" w:lastColumn="0" w:oddVBand="0" w:evenVBand="0" w:oddHBand="0" w:evenHBand="0" w:firstRowFirstColumn="0" w:firstRowLastColumn="0" w:lastRowFirstColumn="0" w:lastRowLastColumn="0"/>
              <w:rPr>
                <w:rFonts w:cs="Calibri"/>
                <w:color w:val="000000"/>
              </w:rPr>
            </w:pPr>
            <w:r w:rsidRPr="00FC66CA">
              <w:t>Data Curation</w:t>
            </w:r>
          </w:p>
        </w:tc>
      </w:tr>
      <w:tr w:rsidR="00FC66CA" w14:paraId="6051FF2C" w14:textId="77777777" w:rsidTr="00FC66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5" w:type="dxa"/>
          </w:tcPr>
          <w:p w14:paraId="41127771" w14:textId="1EEF4DC6" w:rsidR="00FC66CA" w:rsidRDefault="00FC66CA" w:rsidP="00FC66CA">
            <w:pPr>
              <w:pStyle w:val="NoSpacing"/>
              <w:jc w:val="left"/>
            </w:pPr>
            <w:r w:rsidRPr="00FC66CA">
              <w:t>Metadata Management and Data Discovery</w:t>
            </w:r>
          </w:p>
        </w:tc>
        <w:tc>
          <w:tcPr>
            <w:tcW w:w="5421" w:type="dxa"/>
          </w:tcPr>
          <w:p w14:paraId="0C2FFF1E" w14:textId="77777777" w:rsidR="00FC66CA" w:rsidRPr="00FC66CA" w:rsidRDefault="00FC66CA" w:rsidP="00FC66CA">
            <w:pPr>
              <w:pStyle w:val="NoSpacing"/>
              <w:numPr>
                <w:ilvl w:val="0"/>
                <w:numId w:val="30"/>
              </w:numPr>
              <w:cnfStyle w:val="000000100000" w:firstRow="0" w:lastRow="0" w:firstColumn="0" w:lastColumn="0" w:oddVBand="0" w:evenVBand="0" w:oddHBand="1" w:evenHBand="0" w:firstRowFirstColumn="0" w:firstRowLastColumn="0" w:lastRowFirstColumn="0" w:lastRowLastColumn="0"/>
            </w:pPr>
            <w:r w:rsidRPr="00FC66CA">
              <w:t>Data Discovery and Access</w:t>
            </w:r>
          </w:p>
          <w:p w14:paraId="285ADD18" w14:textId="77777777" w:rsidR="00FC66CA" w:rsidRPr="00FC66CA" w:rsidRDefault="00FC66CA" w:rsidP="00FC66CA">
            <w:pPr>
              <w:pStyle w:val="NoSpacing"/>
              <w:numPr>
                <w:ilvl w:val="0"/>
                <w:numId w:val="30"/>
              </w:numPr>
              <w:cnfStyle w:val="000000100000" w:firstRow="0" w:lastRow="0" w:firstColumn="0" w:lastColumn="0" w:oddVBand="0" w:evenVBand="0" w:oddHBand="1" w:evenHBand="0" w:firstRowFirstColumn="0" w:firstRowLastColumn="0" w:lastRowFirstColumn="0" w:lastRowLastColumn="0"/>
            </w:pPr>
            <w:r w:rsidRPr="00FC66CA">
              <w:t>Metadata cataloguing and indexing</w:t>
            </w:r>
          </w:p>
          <w:p w14:paraId="636CCF1A" w14:textId="40E0A83A" w:rsidR="00FC66CA" w:rsidRDefault="00FC66CA" w:rsidP="00FC66CA">
            <w:pPr>
              <w:pStyle w:val="NoSpacing"/>
              <w:numPr>
                <w:ilvl w:val="0"/>
                <w:numId w:val="30"/>
              </w:numPr>
              <w:cnfStyle w:val="000000100000" w:firstRow="0" w:lastRow="0" w:firstColumn="0" w:lastColumn="0" w:oddVBand="0" w:evenVBand="0" w:oddHBand="1" w:evenHBand="0" w:firstRowFirstColumn="0" w:firstRowLastColumn="0" w:lastRowFirstColumn="0" w:lastRowLastColumn="0"/>
              <w:rPr>
                <w:rFonts w:cs="Calibri"/>
                <w:color w:val="000000"/>
              </w:rPr>
            </w:pPr>
            <w:r w:rsidRPr="00FC66CA">
              <w:t>Annotation</w:t>
            </w:r>
            <w:r w:rsidRPr="00FC66CA">
              <w:rPr>
                <w:rFonts w:cs="Calibri"/>
                <w:color w:val="000000"/>
              </w:rPr>
              <w:t xml:space="preserve"> service</w:t>
            </w:r>
          </w:p>
        </w:tc>
      </w:tr>
      <w:tr w:rsidR="00FC66CA" w14:paraId="75672EC3" w14:textId="77777777" w:rsidTr="00FC66CA">
        <w:tc>
          <w:tcPr>
            <w:cnfStyle w:val="001000000000" w:firstRow="0" w:lastRow="0" w:firstColumn="1" w:lastColumn="0" w:oddVBand="0" w:evenVBand="0" w:oddHBand="0" w:evenHBand="0" w:firstRowFirstColumn="0" w:firstRowLastColumn="0" w:lastRowFirstColumn="0" w:lastRowLastColumn="0"/>
            <w:tcW w:w="3595" w:type="dxa"/>
          </w:tcPr>
          <w:p w14:paraId="44B715F3" w14:textId="6244CA11" w:rsidR="00FC66CA" w:rsidRDefault="00FC66CA" w:rsidP="00FC66CA">
            <w:pPr>
              <w:pStyle w:val="NoSpacing"/>
              <w:jc w:val="left"/>
            </w:pPr>
            <w:r w:rsidRPr="00FC66CA">
              <w:t>Workflow management and user interfaces and Data analytics</w:t>
            </w:r>
          </w:p>
        </w:tc>
        <w:tc>
          <w:tcPr>
            <w:tcW w:w="5421" w:type="dxa"/>
          </w:tcPr>
          <w:p w14:paraId="7EECD857" w14:textId="77777777" w:rsidR="00FC66CA" w:rsidRPr="00FC66CA" w:rsidRDefault="00FC66CA" w:rsidP="00FC66CA">
            <w:pPr>
              <w:pStyle w:val="NoSpacing"/>
              <w:numPr>
                <w:ilvl w:val="0"/>
                <w:numId w:val="30"/>
              </w:numPr>
              <w:cnfStyle w:val="000000000000" w:firstRow="0" w:lastRow="0" w:firstColumn="0" w:lastColumn="0" w:oddVBand="0" w:evenVBand="0" w:oddHBand="0" w:evenHBand="0" w:firstRowFirstColumn="0" w:firstRowLastColumn="0" w:lastRowFirstColumn="0" w:lastRowLastColumn="0"/>
            </w:pPr>
            <w:r w:rsidRPr="00FC66CA">
              <w:t>Portals</w:t>
            </w:r>
          </w:p>
          <w:p w14:paraId="5F347212" w14:textId="77777777" w:rsidR="00FC66CA" w:rsidRPr="00FC66CA" w:rsidRDefault="00FC66CA" w:rsidP="00FC66CA">
            <w:pPr>
              <w:pStyle w:val="NoSpacing"/>
              <w:numPr>
                <w:ilvl w:val="0"/>
                <w:numId w:val="30"/>
              </w:numPr>
              <w:cnfStyle w:val="000000000000" w:firstRow="0" w:lastRow="0" w:firstColumn="0" w:lastColumn="0" w:oddVBand="0" w:evenVBand="0" w:oddHBand="0" w:evenHBand="0" w:firstRowFirstColumn="0" w:firstRowLastColumn="0" w:lastRowFirstColumn="0" w:lastRowLastColumn="0"/>
            </w:pPr>
            <w:r w:rsidRPr="00FC66CA">
              <w:t>Big data analytics</w:t>
            </w:r>
          </w:p>
          <w:p w14:paraId="7A090F1A" w14:textId="77777777" w:rsidR="00FC66CA" w:rsidRPr="00FC66CA" w:rsidRDefault="00FC66CA" w:rsidP="00FC66CA">
            <w:pPr>
              <w:pStyle w:val="NoSpacing"/>
              <w:numPr>
                <w:ilvl w:val="0"/>
                <w:numId w:val="30"/>
              </w:numPr>
              <w:cnfStyle w:val="000000000000" w:firstRow="0" w:lastRow="0" w:firstColumn="0" w:lastColumn="0" w:oddVBand="0" w:evenVBand="0" w:oddHBand="0" w:evenHBand="0" w:firstRowFirstColumn="0" w:firstRowLastColumn="0" w:lastRowFirstColumn="0" w:lastRowLastColumn="0"/>
            </w:pPr>
            <w:r w:rsidRPr="00FC66CA">
              <w:t>ML/DL analytics services</w:t>
            </w:r>
          </w:p>
          <w:p w14:paraId="1280E1E8" w14:textId="48954E3B" w:rsidR="00FC66CA" w:rsidRDefault="00FC66CA" w:rsidP="00FC66CA">
            <w:pPr>
              <w:pStyle w:val="NoSpacing"/>
              <w:numPr>
                <w:ilvl w:val="0"/>
                <w:numId w:val="30"/>
              </w:numPr>
              <w:cnfStyle w:val="000000000000" w:firstRow="0" w:lastRow="0" w:firstColumn="0" w:lastColumn="0" w:oddVBand="0" w:evenVBand="0" w:oddHBand="0" w:evenHBand="0" w:firstRowFirstColumn="0" w:firstRowLastColumn="0" w:lastRowFirstColumn="0" w:lastRowLastColumn="0"/>
              <w:rPr>
                <w:rFonts w:cs="Calibri"/>
                <w:color w:val="000000"/>
              </w:rPr>
            </w:pPr>
            <w:r w:rsidRPr="00FC66CA">
              <w:t>Cloud based IoT Platforms interoperability</w:t>
            </w:r>
          </w:p>
        </w:tc>
      </w:tr>
      <w:tr w:rsidR="00FC66CA" w14:paraId="7359F557" w14:textId="77777777" w:rsidTr="00FC66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5" w:type="dxa"/>
          </w:tcPr>
          <w:p w14:paraId="1279D27F" w14:textId="14E4B21D" w:rsidR="00FC66CA" w:rsidRDefault="00FC66CA" w:rsidP="00FC66CA">
            <w:pPr>
              <w:pStyle w:val="NoSpacing"/>
              <w:jc w:val="left"/>
            </w:pPr>
            <w:r w:rsidRPr="00FC66CA">
              <w:t>Scholarly Communication</w:t>
            </w:r>
          </w:p>
        </w:tc>
        <w:tc>
          <w:tcPr>
            <w:tcW w:w="5421" w:type="dxa"/>
          </w:tcPr>
          <w:p w14:paraId="5A7ADC63" w14:textId="77777777" w:rsidR="00FC66CA" w:rsidRPr="00FC66CA" w:rsidRDefault="00FC66CA" w:rsidP="00FC66CA">
            <w:pPr>
              <w:pStyle w:val="NoSpacing"/>
              <w:numPr>
                <w:ilvl w:val="0"/>
                <w:numId w:val="30"/>
              </w:numPr>
              <w:cnfStyle w:val="000000100000" w:firstRow="0" w:lastRow="0" w:firstColumn="0" w:lastColumn="0" w:oddVBand="0" w:evenVBand="0" w:oddHBand="1" w:evenHBand="0" w:firstRowFirstColumn="0" w:firstRowLastColumn="0" w:lastRowFirstColumn="0" w:lastRowLastColumn="0"/>
            </w:pPr>
            <w:r w:rsidRPr="00FC66CA">
              <w:t>Data Management Plans</w:t>
            </w:r>
          </w:p>
          <w:p w14:paraId="366598CF" w14:textId="77777777" w:rsidR="00FC66CA" w:rsidRPr="00FC66CA" w:rsidRDefault="00FC66CA" w:rsidP="00FC66CA">
            <w:pPr>
              <w:pStyle w:val="NoSpacing"/>
              <w:numPr>
                <w:ilvl w:val="0"/>
                <w:numId w:val="30"/>
              </w:numPr>
              <w:cnfStyle w:val="000000100000" w:firstRow="0" w:lastRow="0" w:firstColumn="0" w:lastColumn="0" w:oddVBand="0" w:evenVBand="0" w:oddHBand="1" w:evenHBand="0" w:firstRowFirstColumn="0" w:firstRowLastColumn="0" w:lastRowFirstColumn="0" w:lastRowLastColumn="0"/>
            </w:pPr>
            <w:r w:rsidRPr="00FC66CA">
              <w:t>Digital Preservation</w:t>
            </w:r>
          </w:p>
          <w:p w14:paraId="72A404AE" w14:textId="77777777" w:rsidR="00FC66CA" w:rsidRPr="00FC66CA" w:rsidRDefault="00FC66CA" w:rsidP="00FC66CA">
            <w:pPr>
              <w:pStyle w:val="NoSpacing"/>
              <w:numPr>
                <w:ilvl w:val="0"/>
                <w:numId w:val="30"/>
              </w:numPr>
              <w:cnfStyle w:val="000000100000" w:firstRow="0" w:lastRow="0" w:firstColumn="0" w:lastColumn="0" w:oddVBand="0" w:evenVBand="0" w:oddHBand="1" w:evenHBand="0" w:firstRowFirstColumn="0" w:firstRowLastColumn="0" w:lastRowFirstColumn="0" w:lastRowLastColumn="0"/>
            </w:pPr>
            <w:r w:rsidRPr="00FC66CA">
              <w:lastRenderedPageBreak/>
              <w:t>Overlay platforms: Peer-review</w:t>
            </w:r>
          </w:p>
          <w:p w14:paraId="19546BFE" w14:textId="77777777" w:rsidR="00FC66CA" w:rsidRPr="00FC66CA" w:rsidRDefault="00FC66CA" w:rsidP="00FC66CA">
            <w:pPr>
              <w:pStyle w:val="NoSpacing"/>
              <w:numPr>
                <w:ilvl w:val="0"/>
                <w:numId w:val="30"/>
              </w:numPr>
              <w:cnfStyle w:val="000000100000" w:firstRow="0" w:lastRow="0" w:firstColumn="0" w:lastColumn="0" w:oddVBand="0" w:evenVBand="0" w:oddHBand="1" w:evenHBand="0" w:firstRowFirstColumn="0" w:firstRowLastColumn="0" w:lastRowFirstColumn="0" w:lastRowLastColumn="0"/>
            </w:pPr>
            <w:r w:rsidRPr="00FC66CA">
              <w:t>Anonymization</w:t>
            </w:r>
          </w:p>
          <w:p w14:paraId="56BFAE96" w14:textId="77777777" w:rsidR="00FC66CA" w:rsidRPr="00FC66CA" w:rsidRDefault="00FC66CA" w:rsidP="00FC66CA">
            <w:pPr>
              <w:pStyle w:val="NoSpacing"/>
              <w:numPr>
                <w:ilvl w:val="0"/>
                <w:numId w:val="30"/>
              </w:numPr>
              <w:cnfStyle w:val="000000100000" w:firstRow="0" w:lastRow="0" w:firstColumn="0" w:lastColumn="0" w:oddVBand="0" w:evenVBand="0" w:oddHBand="1" w:evenHBand="0" w:firstRowFirstColumn="0" w:firstRowLastColumn="0" w:lastRowFirstColumn="0" w:lastRowLastColumn="0"/>
            </w:pPr>
            <w:r w:rsidRPr="00FC66CA">
              <w:t>Aggregator</w:t>
            </w:r>
          </w:p>
          <w:p w14:paraId="12999CFE" w14:textId="77777777" w:rsidR="00FC66CA" w:rsidRPr="00FC66CA" w:rsidRDefault="00FC66CA" w:rsidP="00FC66CA">
            <w:pPr>
              <w:pStyle w:val="NoSpacing"/>
              <w:numPr>
                <w:ilvl w:val="0"/>
                <w:numId w:val="30"/>
              </w:numPr>
              <w:cnfStyle w:val="000000100000" w:firstRow="0" w:lastRow="0" w:firstColumn="0" w:lastColumn="0" w:oddVBand="0" w:evenVBand="0" w:oddHBand="1" w:evenHBand="0" w:firstRowFirstColumn="0" w:firstRowLastColumn="0" w:lastRowFirstColumn="0" w:lastRowLastColumn="0"/>
            </w:pPr>
            <w:r w:rsidRPr="00FC66CA">
              <w:t>Broker</w:t>
            </w:r>
          </w:p>
          <w:p w14:paraId="2A28705A" w14:textId="77777777" w:rsidR="00FC66CA" w:rsidRPr="00FC66CA" w:rsidRDefault="00FC66CA" w:rsidP="00FC66CA">
            <w:pPr>
              <w:pStyle w:val="NoSpacing"/>
              <w:numPr>
                <w:ilvl w:val="0"/>
                <w:numId w:val="30"/>
              </w:numPr>
              <w:cnfStyle w:val="000000100000" w:firstRow="0" w:lastRow="0" w:firstColumn="0" w:lastColumn="0" w:oddVBand="0" w:evenVBand="0" w:oddHBand="1" w:evenHBand="0" w:firstRowFirstColumn="0" w:firstRowLastColumn="0" w:lastRowFirstColumn="0" w:lastRowLastColumn="0"/>
            </w:pPr>
            <w:r w:rsidRPr="00FC66CA">
              <w:t>Entity Registry</w:t>
            </w:r>
          </w:p>
          <w:p w14:paraId="6C6AE963" w14:textId="77777777" w:rsidR="00FC66CA" w:rsidRPr="00FC66CA" w:rsidRDefault="00FC66CA" w:rsidP="00FC66CA">
            <w:pPr>
              <w:pStyle w:val="NoSpacing"/>
              <w:numPr>
                <w:ilvl w:val="0"/>
                <w:numId w:val="30"/>
              </w:numPr>
              <w:cnfStyle w:val="000000100000" w:firstRow="0" w:lastRow="0" w:firstColumn="0" w:lastColumn="0" w:oddVBand="0" w:evenVBand="0" w:oddHBand="1" w:evenHBand="0" w:firstRowFirstColumn="0" w:firstRowLastColumn="0" w:lastRowFirstColumn="0" w:lastRowLastColumn="0"/>
            </w:pPr>
            <w:r w:rsidRPr="00FC66CA">
              <w:t>Metadata validation</w:t>
            </w:r>
          </w:p>
          <w:p w14:paraId="5C8859BF" w14:textId="77777777" w:rsidR="00FC66CA" w:rsidRPr="00FC66CA" w:rsidRDefault="00FC66CA" w:rsidP="00FC66CA">
            <w:pPr>
              <w:pStyle w:val="NoSpacing"/>
              <w:numPr>
                <w:ilvl w:val="0"/>
                <w:numId w:val="30"/>
              </w:numPr>
              <w:cnfStyle w:val="000000100000" w:firstRow="0" w:lastRow="0" w:firstColumn="0" w:lastColumn="0" w:oddVBand="0" w:evenVBand="0" w:oddHBand="1" w:evenHBand="0" w:firstRowFirstColumn="0" w:firstRowLastColumn="0" w:lastRowFirstColumn="0" w:lastRowLastColumn="0"/>
            </w:pPr>
            <w:r w:rsidRPr="00FC66CA">
              <w:t>Annotation</w:t>
            </w:r>
          </w:p>
          <w:p w14:paraId="75E7EC0B" w14:textId="77777777" w:rsidR="00FC66CA" w:rsidRPr="00FC66CA" w:rsidRDefault="00FC66CA" w:rsidP="00FC66CA">
            <w:pPr>
              <w:pStyle w:val="NoSpacing"/>
              <w:numPr>
                <w:ilvl w:val="0"/>
                <w:numId w:val="30"/>
              </w:numPr>
              <w:cnfStyle w:val="000000100000" w:firstRow="0" w:lastRow="0" w:firstColumn="0" w:lastColumn="0" w:oddVBand="0" w:evenVBand="0" w:oddHBand="1" w:evenHBand="0" w:firstRowFirstColumn="0" w:firstRowLastColumn="0" w:lastRowFirstColumn="0" w:lastRowLastColumn="0"/>
            </w:pPr>
            <w:r w:rsidRPr="00FC66CA">
              <w:t>Usage stats</w:t>
            </w:r>
          </w:p>
          <w:p w14:paraId="4E7B82E9" w14:textId="5D576545" w:rsidR="00FC66CA" w:rsidRDefault="00FC66CA" w:rsidP="00FC66CA">
            <w:pPr>
              <w:pStyle w:val="NoSpacing"/>
              <w:numPr>
                <w:ilvl w:val="0"/>
                <w:numId w:val="30"/>
              </w:numPr>
              <w:cnfStyle w:val="000000100000" w:firstRow="0" w:lastRow="0" w:firstColumn="0" w:lastColumn="0" w:oddVBand="0" w:evenVBand="0" w:oddHBand="1" w:evenHBand="0" w:firstRowFirstColumn="0" w:firstRowLastColumn="0" w:lastRowFirstColumn="0" w:lastRowLastColumn="0"/>
              <w:rPr>
                <w:rFonts w:cs="Calibri"/>
                <w:color w:val="000000"/>
              </w:rPr>
            </w:pPr>
            <w:r w:rsidRPr="00FC66CA">
              <w:t>VRE: RI Services for experiments</w:t>
            </w:r>
          </w:p>
        </w:tc>
      </w:tr>
    </w:tbl>
    <w:p w14:paraId="41B08BBB" w14:textId="550C3BB3" w:rsidR="005B7DC8" w:rsidRDefault="005B7DC8" w:rsidP="005B7DC8"/>
    <w:p w14:paraId="515B332B" w14:textId="68658E70" w:rsidR="00FC66CA" w:rsidRDefault="00FC66CA" w:rsidP="005B7DC8">
      <w:r w:rsidRPr="00FC66CA">
        <w:t>An example of an already completed technical specification for the Common Services block is presented in Annex. It details the Cloud IaaS VM Management macro-feature.</w:t>
      </w:r>
    </w:p>
    <w:p w14:paraId="1B165779" w14:textId="43FB092A" w:rsidR="00FC66CA" w:rsidRDefault="00FC66CA" w:rsidP="005B7DC8">
      <w:r w:rsidRPr="00FC66CA">
        <w:t xml:space="preserve">The following picture shows how the EOSC technical architecture will appear when the first set of macro-features and the related technical specifications of this block will be well defined. Thematic services could easily exploit macro-features offered in the common services block through the EOSC standard interfaces (purple arrows in the figure). </w:t>
      </w:r>
      <w:proofErr w:type="gramStart"/>
      <w:r w:rsidRPr="00FC66CA">
        <w:t>Also</w:t>
      </w:r>
      <w:proofErr w:type="gramEnd"/>
      <w:r w:rsidRPr="00FC66CA">
        <w:t xml:space="preserve"> services offering such macro-features in the Common Service block can be made interoperable in an easier way thanks to the EOSC standard interface (red arrows in the figure) offering a combined usage to the thematic services. In this scenario, the service composability would be easier to </w:t>
      </w:r>
      <w:proofErr w:type="gramStart"/>
      <w:r w:rsidRPr="00FC66CA">
        <w:t>obtain</w:t>
      </w:r>
      <w:proofErr w:type="gramEnd"/>
      <w:r w:rsidRPr="00FC66CA">
        <w:t xml:space="preserve"> and the cost of integration works will be reduced with respect to the current one.</w:t>
      </w:r>
    </w:p>
    <w:p w14:paraId="681EF5F4" w14:textId="77777777" w:rsidR="00FC66CA" w:rsidRDefault="00FC66CA" w:rsidP="00FC66CA">
      <w:pPr>
        <w:keepNext/>
      </w:pPr>
      <w:r>
        <w:rPr>
          <w:rFonts w:cs="Calibri"/>
          <w:noProof/>
          <w:color w:val="000000"/>
        </w:rPr>
        <w:drawing>
          <wp:inline distT="0" distB="0" distL="0" distR="0" wp14:anchorId="00F77765" wp14:editId="7878DFA1">
            <wp:extent cx="5731510" cy="3046730"/>
            <wp:effectExtent l="0" t="0" r="2540" b="1270"/>
            <wp:docPr id="17" name="Picture 17" descr="https://lh6.googleusercontent.com/nVijkWPVERxjwWT_EPKtAoXwVBb1cXzVbdtiVXDzZiVvmT_wgZG9l5vjFt7Fq3XdrK4AvIePuBlofgbusz1_H7kj4q9hT9ueNYLBX-1DSPTrreeoZatBEwj3WFeXtZsns5XRXD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https://lh6.googleusercontent.com/nVijkWPVERxjwWT_EPKtAoXwVBb1cXzVbdtiVXDzZiVvmT_wgZG9l5vjFt7Fq3XdrK4AvIePuBlofgbusz1_H7kj4q9hT9ueNYLBX-1DSPTrreeoZatBEwj3WFeXtZsns5XRXDNa"/>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510" cy="3046730"/>
                    </a:xfrm>
                    <a:prstGeom prst="rect">
                      <a:avLst/>
                    </a:prstGeom>
                    <a:noFill/>
                    <a:ln>
                      <a:noFill/>
                    </a:ln>
                  </pic:spPr>
                </pic:pic>
              </a:graphicData>
            </a:graphic>
          </wp:inline>
        </w:drawing>
      </w:r>
    </w:p>
    <w:p w14:paraId="109B5AD1" w14:textId="0E1554EC" w:rsidR="00FC66CA" w:rsidRDefault="00FC66CA" w:rsidP="00FC66CA">
      <w:pPr>
        <w:pStyle w:val="Caption"/>
        <w:jc w:val="center"/>
      </w:pPr>
      <w:r>
        <w:t xml:space="preserve">Figure </w:t>
      </w:r>
      <w:r>
        <w:fldChar w:fldCharType="begin"/>
      </w:r>
      <w:r>
        <w:instrText xml:space="preserve"> SEQ Figure \* ARABIC </w:instrText>
      </w:r>
      <w:r>
        <w:fldChar w:fldCharType="separate"/>
      </w:r>
      <w:r w:rsidR="004002C6">
        <w:rPr>
          <w:noProof/>
        </w:rPr>
        <w:t>3</w:t>
      </w:r>
      <w:r>
        <w:fldChar w:fldCharType="end"/>
      </w:r>
      <w:r>
        <w:t xml:space="preserve">. </w:t>
      </w:r>
      <w:r w:rsidRPr="00272E35">
        <w:t>EOSC Technical Architecture. Interactions between thematic and common services.</w:t>
      </w:r>
    </w:p>
    <w:p w14:paraId="142820A4" w14:textId="08268361" w:rsidR="00FC66CA" w:rsidRDefault="00A02151" w:rsidP="00A02151">
      <w:pPr>
        <w:pStyle w:val="Heading2"/>
      </w:pPr>
      <w:bookmarkStart w:id="10" w:name="_Toc15645928"/>
      <w:r>
        <w:t>EOSC Thematic Services</w:t>
      </w:r>
      <w:bookmarkEnd w:id="10"/>
    </w:p>
    <w:p w14:paraId="26C693AF" w14:textId="77777777" w:rsidR="00A02151" w:rsidRPr="00A02151" w:rsidRDefault="00A02151" w:rsidP="00A02151">
      <w:pPr>
        <w:rPr>
          <w:lang w:val="en-US"/>
        </w:rPr>
      </w:pPr>
      <w:r w:rsidRPr="00A02151">
        <w:rPr>
          <w:lang w:val="en-US"/>
        </w:rPr>
        <w:t xml:space="preserve">As we previously wrote, we want to apply the same process to identify and technical specify macro-features also to the Thematic services. In this block, </w:t>
      </w:r>
      <w:r w:rsidRPr="00A02151">
        <w:rPr>
          <w:b/>
          <w:bCs/>
          <w:lang w:val="en-US"/>
        </w:rPr>
        <w:t>we intend as macro feature a technical function that is discipline oriented and that can be reused in multiple thematic services</w:t>
      </w:r>
      <w:r w:rsidRPr="00A02151">
        <w:rPr>
          <w:lang w:val="en-US"/>
        </w:rPr>
        <w:t>.</w:t>
      </w:r>
    </w:p>
    <w:p w14:paraId="2B1C613D" w14:textId="77777777" w:rsidR="00A02151" w:rsidRPr="00A02151" w:rsidRDefault="00A02151" w:rsidP="00A02151">
      <w:pPr>
        <w:rPr>
          <w:lang w:val="en-US"/>
        </w:rPr>
      </w:pPr>
      <w:r w:rsidRPr="00A02151">
        <w:rPr>
          <w:lang w:val="en-US"/>
        </w:rPr>
        <w:lastRenderedPageBreak/>
        <w:t xml:space="preserve">Discipline oriented macro features need to be identified and specified by experts of the related disciplines. Then, EOSC-hub will start the work to detail this block with the communities participating in the project. However, </w:t>
      </w:r>
      <w:proofErr w:type="gramStart"/>
      <w:r w:rsidRPr="00A02151">
        <w:rPr>
          <w:lang w:val="en-US"/>
        </w:rPr>
        <w:t>community oriented</w:t>
      </w:r>
      <w:proofErr w:type="gramEnd"/>
      <w:r w:rsidRPr="00A02151">
        <w:rPr>
          <w:lang w:val="en-US"/>
        </w:rPr>
        <w:t xml:space="preserve"> projects need to be involved to further enhance this activity.</w:t>
      </w:r>
    </w:p>
    <w:p w14:paraId="5BF37398" w14:textId="7ACB31A1" w:rsidR="00A02151" w:rsidRPr="00A02151" w:rsidRDefault="00A02151" w:rsidP="00A02151">
      <w:pPr>
        <w:rPr>
          <w:lang w:val="en-US"/>
        </w:rPr>
      </w:pPr>
      <w:r w:rsidRPr="00A02151">
        <w:rPr>
          <w:lang w:val="en-US"/>
        </w:rPr>
        <w:t>The following picture shows how the EOSC technical architecture will appear when the first set of macro-features (and the related technical specifications) for the Thematic Services block will be identified.</w:t>
      </w:r>
    </w:p>
    <w:p w14:paraId="452DD9F8" w14:textId="7ACB31A1" w:rsidR="00A02151" w:rsidRDefault="00A02151" w:rsidP="00A02151">
      <w:pPr>
        <w:keepNext/>
      </w:pPr>
      <w:r>
        <w:rPr>
          <w:rFonts w:cs="Calibri"/>
          <w:noProof/>
          <w:color w:val="000000"/>
        </w:rPr>
        <w:drawing>
          <wp:inline distT="0" distB="0" distL="0" distR="0" wp14:anchorId="73F403B0" wp14:editId="6E919DF9">
            <wp:extent cx="5731510" cy="3046730"/>
            <wp:effectExtent l="0" t="0" r="2540" b="1270"/>
            <wp:docPr id="18" name="Picture 18" descr="https://lh5.googleusercontent.com/u8bas6urTeG7EZ3O7G4g1_REAtzqLyeKl_RqrgC2mHiWWOvgqI42Kv1TBVwgqFwzrSszKnwt1JLlRG2tz_bAmmMUDpRLkuSbjOhYyZ7erHiyVR0OVP6JJl29L_7oyGT0EOe02GB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https://lh5.googleusercontent.com/u8bas6urTeG7EZ3O7G4g1_REAtzqLyeKl_RqrgC2mHiWWOvgqI42Kv1TBVwgqFwzrSszKnwt1JLlRG2tz_bAmmMUDpRLkuSbjOhYyZ7erHiyVR0OVP6JJl29L_7oyGT0EOe02GBj"/>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1510" cy="3046730"/>
                    </a:xfrm>
                    <a:prstGeom prst="rect">
                      <a:avLst/>
                    </a:prstGeom>
                    <a:noFill/>
                    <a:ln>
                      <a:noFill/>
                    </a:ln>
                  </pic:spPr>
                </pic:pic>
              </a:graphicData>
            </a:graphic>
          </wp:inline>
        </w:drawing>
      </w:r>
    </w:p>
    <w:p w14:paraId="5453099A" w14:textId="0503320C" w:rsidR="00FC66CA" w:rsidRDefault="00A02151" w:rsidP="00A02151">
      <w:pPr>
        <w:pStyle w:val="Caption"/>
        <w:jc w:val="center"/>
      </w:pPr>
      <w:r>
        <w:t xml:space="preserve">Figure </w:t>
      </w:r>
      <w:r>
        <w:fldChar w:fldCharType="begin"/>
      </w:r>
      <w:r>
        <w:instrText xml:space="preserve"> SEQ Figure \* ARABIC </w:instrText>
      </w:r>
      <w:r>
        <w:fldChar w:fldCharType="separate"/>
      </w:r>
      <w:r w:rsidR="004002C6">
        <w:rPr>
          <w:noProof/>
        </w:rPr>
        <w:t>4</w:t>
      </w:r>
      <w:r>
        <w:fldChar w:fldCharType="end"/>
      </w:r>
      <w:r>
        <w:t xml:space="preserve">. </w:t>
      </w:r>
      <w:r w:rsidRPr="006567F4">
        <w:t>EOSC Technical Architecture. Macro-features in the thematic services block.</w:t>
      </w:r>
    </w:p>
    <w:p w14:paraId="3E034C84" w14:textId="45ED78D6" w:rsidR="00A02151" w:rsidRDefault="00A02151" w:rsidP="00A02151">
      <w:pPr>
        <w:pStyle w:val="Heading1"/>
      </w:pPr>
      <w:bookmarkStart w:id="11" w:name="_Toc15645929"/>
      <w:r w:rsidRPr="00A02151">
        <w:lastRenderedPageBreak/>
        <w:t>Relationship with the EOSC Architecture Working Group objectives</w:t>
      </w:r>
      <w:bookmarkEnd w:id="11"/>
    </w:p>
    <w:p w14:paraId="330B51AC" w14:textId="77777777" w:rsidR="00A02151" w:rsidRPr="00A02151" w:rsidRDefault="00A02151" w:rsidP="00A02151">
      <w:pPr>
        <w:rPr>
          <w:lang w:val="en-US"/>
        </w:rPr>
      </w:pPr>
      <w:r w:rsidRPr="00A02151">
        <w:rPr>
          <w:lang w:val="en-US"/>
        </w:rPr>
        <w:t xml:space="preserve">One of the working groups that has been setup by the EOSC Governance is about the EOSC Architecture. Its main objective is to </w:t>
      </w:r>
      <w:r w:rsidRPr="00A02151">
        <w:rPr>
          <w:i/>
          <w:iCs/>
          <w:lang w:val="en-US"/>
        </w:rPr>
        <w:t>review of the current offering and the required evolution of the EOSC technical architecture, its standards and best practices</w:t>
      </w:r>
      <w:r w:rsidRPr="00A02151">
        <w:rPr>
          <w:lang w:val="en-US"/>
        </w:rPr>
        <w:t>. It has been translated into five sub-objectives listed in the table below.</w:t>
      </w:r>
    </w:p>
    <w:p w14:paraId="42417FFC" w14:textId="2A25D321" w:rsidR="00A02151" w:rsidRDefault="00A02151" w:rsidP="00A02151">
      <w:pPr>
        <w:rPr>
          <w:lang w:val="en-US"/>
        </w:rPr>
      </w:pPr>
      <w:r w:rsidRPr="00A02151">
        <w:rPr>
          <w:lang w:val="en-US"/>
        </w:rPr>
        <w:t>The output of EOSC-hub activity on the EOSC Tech Architecture is intended to become an important input for the activity of this working group and it has been shaped to try to provide valuable results for each of the five sub-objectives. The following table shows the mapping between the Architecture WG sub-objectives and what we expect to deliver within this activity.</w:t>
      </w:r>
    </w:p>
    <w:p w14:paraId="0821523D" w14:textId="26D176F2" w:rsidR="00A02151" w:rsidRPr="00A02151" w:rsidRDefault="00A02151" w:rsidP="00E50B91">
      <w:pPr>
        <w:pStyle w:val="Caption1"/>
        <w:rPr>
          <w:lang w:val="en-US"/>
        </w:rPr>
      </w:pPr>
      <w:r>
        <w:t xml:space="preserve">Table </w:t>
      </w:r>
      <w:r w:rsidR="00E50B91">
        <w:t>3</w:t>
      </w:r>
      <w:r>
        <w:t xml:space="preserve">. </w:t>
      </w:r>
      <w:r w:rsidR="00E50B91">
        <w:t>Mapping between EOSC Architecture WG objectives and the o</w:t>
      </w:r>
      <w:r w:rsidR="00E50B91" w:rsidRPr="00E50B91">
        <w:t>utcome of the EOSC-hub activity on the EOSC technical architecture</w:t>
      </w:r>
    </w:p>
    <w:tbl>
      <w:tblPr>
        <w:tblStyle w:val="TableSimple1"/>
        <w:tblW w:w="0" w:type="auto"/>
        <w:tblLook w:val="04A0" w:firstRow="1" w:lastRow="0" w:firstColumn="1" w:lastColumn="0" w:noHBand="0" w:noVBand="1"/>
      </w:tblPr>
      <w:tblGrid>
        <w:gridCol w:w="3595"/>
        <w:gridCol w:w="5421"/>
      </w:tblGrid>
      <w:tr w:rsidR="00A02151" w:rsidRPr="002E5F1F" w14:paraId="636A93B5" w14:textId="77777777" w:rsidTr="004A58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5" w:type="dxa"/>
          </w:tcPr>
          <w:p w14:paraId="3D6535F9" w14:textId="657B241E" w:rsidR="00A02151" w:rsidRPr="002E5F1F" w:rsidRDefault="00A02151" w:rsidP="004A58B9">
            <w:pPr>
              <w:pStyle w:val="NoSpacing"/>
              <w:rPr>
                <w:b w:val="0"/>
                <w:i/>
              </w:rPr>
            </w:pPr>
            <w:r w:rsidRPr="00A02151">
              <w:rPr>
                <w:i/>
              </w:rPr>
              <w:t xml:space="preserve">EOSC </w:t>
            </w:r>
            <w:r>
              <w:rPr>
                <w:i/>
              </w:rPr>
              <w:t xml:space="preserve">Architecture </w:t>
            </w:r>
            <w:r w:rsidRPr="00A02151">
              <w:rPr>
                <w:i/>
              </w:rPr>
              <w:t>WG objectives - The WG will describe and/or define:</w:t>
            </w:r>
          </w:p>
        </w:tc>
        <w:tc>
          <w:tcPr>
            <w:tcW w:w="5421" w:type="dxa"/>
          </w:tcPr>
          <w:p w14:paraId="6ED45916" w14:textId="32849DA5" w:rsidR="00A02151" w:rsidRPr="002E5F1F" w:rsidRDefault="00A02151" w:rsidP="004A58B9">
            <w:pPr>
              <w:pStyle w:val="NoSpacing"/>
              <w:cnfStyle w:val="100000000000" w:firstRow="1" w:lastRow="0" w:firstColumn="0" w:lastColumn="0" w:oddVBand="0" w:evenVBand="0" w:oddHBand="0" w:evenHBand="0" w:firstRowFirstColumn="0" w:firstRowLastColumn="0" w:lastRowFirstColumn="0" w:lastRowLastColumn="0"/>
              <w:rPr>
                <w:b w:val="0"/>
                <w:i/>
              </w:rPr>
            </w:pPr>
            <w:r w:rsidRPr="00A02151">
              <w:rPr>
                <w:i/>
              </w:rPr>
              <w:t>Outcome of the EOSC-hub activity on the EOSC technical architecture</w:t>
            </w:r>
          </w:p>
        </w:tc>
      </w:tr>
      <w:tr w:rsidR="00A02151" w14:paraId="1629B482" w14:textId="77777777" w:rsidTr="004A58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5" w:type="dxa"/>
          </w:tcPr>
          <w:p w14:paraId="0AB16431" w14:textId="22A09953" w:rsidR="00A02151" w:rsidRDefault="00A02151" w:rsidP="004A58B9">
            <w:pPr>
              <w:pStyle w:val="NoSpacing"/>
              <w:jc w:val="left"/>
            </w:pPr>
            <w:r w:rsidRPr="00A02151">
              <w:t>EOSC core services and their interfaces</w:t>
            </w:r>
          </w:p>
        </w:tc>
        <w:tc>
          <w:tcPr>
            <w:tcW w:w="5421" w:type="dxa"/>
          </w:tcPr>
          <w:p w14:paraId="7AB1E84C" w14:textId="074FA3E1" w:rsidR="00A02151" w:rsidRDefault="00A02151" w:rsidP="004A58B9">
            <w:pPr>
              <w:pStyle w:val="NoSpacing"/>
              <w:numPr>
                <w:ilvl w:val="0"/>
                <w:numId w:val="30"/>
              </w:numPr>
              <w:cnfStyle w:val="000000100000" w:firstRow="0" w:lastRow="0" w:firstColumn="0" w:lastColumn="0" w:oddVBand="0" w:evenVBand="0" w:oddHBand="1" w:evenHBand="0" w:firstRowFirstColumn="0" w:firstRowLastColumn="0" w:lastRowFirstColumn="0" w:lastRowLastColumn="0"/>
            </w:pPr>
            <w:r w:rsidRPr="00A02151">
              <w:t>Definition of the EOSC Access Enabling and Federation services and interfaces</w:t>
            </w:r>
          </w:p>
        </w:tc>
      </w:tr>
      <w:tr w:rsidR="00A02151" w14:paraId="6873ED15" w14:textId="77777777" w:rsidTr="004A58B9">
        <w:tc>
          <w:tcPr>
            <w:cnfStyle w:val="001000000000" w:firstRow="0" w:lastRow="0" w:firstColumn="1" w:lastColumn="0" w:oddVBand="0" w:evenVBand="0" w:oddHBand="0" w:evenHBand="0" w:firstRowFirstColumn="0" w:firstRowLastColumn="0" w:lastRowFirstColumn="0" w:lastRowLastColumn="0"/>
            <w:tcW w:w="3595" w:type="dxa"/>
          </w:tcPr>
          <w:p w14:paraId="58FE8D4E" w14:textId="73E3DF77" w:rsidR="00A02151" w:rsidRDefault="00A02151" w:rsidP="004A58B9">
            <w:pPr>
              <w:pStyle w:val="NoSpacing"/>
              <w:jc w:val="left"/>
            </w:pPr>
            <w:r>
              <w:rPr>
                <w:rFonts w:cs="Calibri"/>
                <w:color w:val="000000"/>
              </w:rPr>
              <w:t>EOSC open source APIs for reuse by thematic services</w:t>
            </w:r>
          </w:p>
        </w:tc>
        <w:tc>
          <w:tcPr>
            <w:tcW w:w="5421" w:type="dxa"/>
          </w:tcPr>
          <w:p w14:paraId="0B328AEF" w14:textId="77777777" w:rsidR="00A02151" w:rsidRPr="00A02151" w:rsidRDefault="00A02151" w:rsidP="00A02151">
            <w:pPr>
              <w:numPr>
                <w:ilvl w:val="0"/>
                <w:numId w:val="30"/>
              </w:numPr>
              <w:spacing w:after="0"/>
              <w:jc w:val="left"/>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color w:val="000000"/>
                <w:spacing w:val="0"/>
                <w:lang w:val="en-US"/>
              </w:rPr>
            </w:pPr>
            <w:r w:rsidRPr="00A02151">
              <w:rPr>
                <w:rFonts w:eastAsia="Times New Roman" w:cs="Calibri"/>
                <w:color w:val="000000"/>
                <w:spacing w:val="0"/>
                <w:lang w:val="en-US"/>
              </w:rPr>
              <w:t>Interoperability guidelines for Common services (EOSC APIs and standards)</w:t>
            </w:r>
          </w:p>
          <w:p w14:paraId="62A82A84" w14:textId="00FAF9FF" w:rsidR="00A02151" w:rsidRPr="00A02151" w:rsidRDefault="00A02151" w:rsidP="00A02151">
            <w:pPr>
              <w:numPr>
                <w:ilvl w:val="0"/>
                <w:numId w:val="30"/>
              </w:numPr>
              <w:spacing w:after="0"/>
              <w:jc w:val="left"/>
              <w:textAlignment w:val="baseline"/>
              <w:cnfStyle w:val="000000000000" w:firstRow="0" w:lastRow="0" w:firstColumn="0" w:lastColumn="0" w:oddVBand="0" w:evenVBand="0" w:oddHBand="0" w:evenHBand="0" w:firstRowFirstColumn="0" w:firstRowLastColumn="0" w:lastRowFirstColumn="0" w:lastRowLastColumn="0"/>
              <w:rPr>
                <w:rFonts w:eastAsia="Times New Roman" w:cs="Calibri"/>
                <w:color w:val="000000"/>
                <w:spacing w:val="0"/>
                <w:lang w:val="en-US"/>
              </w:rPr>
            </w:pPr>
            <w:r w:rsidRPr="00A02151">
              <w:rPr>
                <w:rFonts w:eastAsia="Times New Roman" w:cs="Calibri"/>
                <w:color w:val="000000"/>
                <w:spacing w:val="0"/>
                <w:lang w:val="en-US"/>
              </w:rPr>
              <w:t>Interoperability guidelines for Thematic services (EOSC APIs and standards)</w:t>
            </w:r>
          </w:p>
        </w:tc>
      </w:tr>
      <w:tr w:rsidR="00A02151" w14:paraId="47AF1FB5" w14:textId="77777777" w:rsidTr="004A58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5" w:type="dxa"/>
          </w:tcPr>
          <w:p w14:paraId="425B2462" w14:textId="6C190574" w:rsidR="00A02151" w:rsidRDefault="00A02151" w:rsidP="004A58B9">
            <w:pPr>
              <w:pStyle w:val="NoSpacing"/>
              <w:jc w:val="left"/>
            </w:pPr>
            <w:r>
              <w:rPr>
                <w:rFonts w:cs="Calibri"/>
                <w:color w:val="000000"/>
              </w:rPr>
              <w:t>EOSC portal components and federated catalogues of service offerings</w:t>
            </w:r>
          </w:p>
        </w:tc>
        <w:tc>
          <w:tcPr>
            <w:tcW w:w="5421" w:type="dxa"/>
          </w:tcPr>
          <w:p w14:paraId="3D8F90B4" w14:textId="26593E87" w:rsidR="00A02151" w:rsidRDefault="00A02151" w:rsidP="004A58B9">
            <w:pPr>
              <w:pStyle w:val="NoSpacing"/>
              <w:numPr>
                <w:ilvl w:val="0"/>
                <w:numId w:val="30"/>
              </w:numPr>
              <w:cnfStyle w:val="000000100000" w:firstRow="0" w:lastRow="0" w:firstColumn="0" w:lastColumn="0" w:oddVBand="0" w:evenVBand="0" w:oddHBand="1" w:evenHBand="0" w:firstRowFirstColumn="0" w:firstRowLastColumn="0" w:lastRowFirstColumn="0" w:lastRowLastColumn="0"/>
            </w:pPr>
            <w:r>
              <w:rPr>
                <w:rFonts w:cs="Calibri"/>
                <w:color w:val="000000"/>
              </w:rPr>
              <w:t xml:space="preserve">Outcomes of the collaboration between EOSC-hub, </w:t>
            </w:r>
            <w:proofErr w:type="spellStart"/>
            <w:r>
              <w:rPr>
                <w:rFonts w:cs="Calibri"/>
                <w:color w:val="000000"/>
              </w:rPr>
              <w:t>OpenAIRE</w:t>
            </w:r>
            <w:proofErr w:type="spellEnd"/>
            <w:r>
              <w:rPr>
                <w:rFonts w:cs="Calibri"/>
                <w:color w:val="000000"/>
              </w:rPr>
              <w:t xml:space="preserve"> and key partners from </w:t>
            </w:r>
            <w:proofErr w:type="spellStart"/>
            <w:r>
              <w:rPr>
                <w:rFonts w:cs="Calibri"/>
                <w:color w:val="000000"/>
              </w:rPr>
              <w:t>eInfraCentral</w:t>
            </w:r>
            <w:proofErr w:type="spellEnd"/>
            <w:r>
              <w:rPr>
                <w:rFonts w:cs="Calibri"/>
                <w:color w:val="000000"/>
              </w:rPr>
              <w:t xml:space="preserve"> on the EOSC Portal design and development</w:t>
            </w:r>
          </w:p>
        </w:tc>
      </w:tr>
      <w:tr w:rsidR="00A02151" w14:paraId="1A8EC03C" w14:textId="77777777" w:rsidTr="004A58B9">
        <w:tc>
          <w:tcPr>
            <w:cnfStyle w:val="001000000000" w:firstRow="0" w:lastRow="0" w:firstColumn="1" w:lastColumn="0" w:oddVBand="0" w:evenVBand="0" w:oddHBand="0" w:evenHBand="0" w:firstRowFirstColumn="0" w:firstRowLastColumn="0" w:lastRowFirstColumn="0" w:lastRowLastColumn="0"/>
            <w:tcW w:w="3595" w:type="dxa"/>
          </w:tcPr>
          <w:p w14:paraId="24604630" w14:textId="660AED74" w:rsidR="00A02151" w:rsidRDefault="00A02151" w:rsidP="004A58B9">
            <w:pPr>
              <w:pStyle w:val="NoSpacing"/>
              <w:jc w:val="left"/>
            </w:pPr>
            <w:r>
              <w:rPr>
                <w:rFonts w:cs="Calibri"/>
                <w:color w:val="000000"/>
              </w:rPr>
              <w:t>The EOSC data description standards</w:t>
            </w:r>
          </w:p>
        </w:tc>
        <w:tc>
          <w:tcPr>
            <w:tcW w:w="5421" w:type="dxa"/>
          </w:tcPr>
          <w:p w14:paraId="22A7CDCC" w14:textId="1C4AC6FC" w:rsidR="00A02151" w:rsidRDefault="00A02151" w:rsidP="004A58B9">
            <w:pPr>
              <w:pStyle w:val="NoSpacing"/>
              <w:numPr>
                <w:ilvl w:val="0"/>
                <w:numId w:val="30"/>
              </w:numPr>
              <w:cnfStyle w:val="000000000000" w:firstRow="0" w:lastRow="0" w:firstColumn="0" w:lastColumn="0" w:oddVBand="0" w:evenVBand="0" w:oddHBand="0" w:evenHBand="0" w:firstRowFirstColumn="0" w:firstRowLastColumn="0" w:lastRowFirstColumn="0" w:lastRowLastColumn="0"/>
            </w:pPr>
            <w:r>
              <w:rPr>
                <w:rFonts w:cs="Calibri"/>
                <w:color w:val="000000"/>
              </w:rPr>
              <w:t>To be described in the technical specification of the metadata management macro-feature</w:t>
            </w:r>
          </w:p>
        </w:tc>
      </w:tr>
      <w:tr w:rsidR="00A02151" w14:paraId="460D0911" w14:textId="77777777" w:rsidTr="004A58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5" w:type="dxa"/>
          </w:tcPr>
          <w:p w14:paraId="71718F51" w14:textId="37A724F9" w:rsidR="00A02151" w:rsidRDefault="00A02151" w:rsidP="004A58B9">
            <w:pPr>
              <w:pStyle w:val="NoSpacing"/>
              <w:jc w:val="left"/>
            </w:pPr>
            <w:r>
              <w:rPr>
                <w:rFonts w:cs="Calibri"/>
                <w:color w:val="000000"/>
              </w:rPr>
              <w:t>Standards and best practices necessary to ensure the evolution of EOSC and the widening of its user base to the industry and the public sectors</w:t>
            </w:r>
          </w:p>
        </w:tc>
        <w:tc>
          <w:tcPr>
            <w:tcW w:w="5421" w:type="dxa"/>
          </w:tcPr>
          <w:p w14:paraId="5C4F9FBF" w14:textId="77777777" w:rsidR="00A02151" w:rsidRPr="00A02151" w:rsidRDefault="00A02151" w:rsidP="00A02151">
            <w:pPr>
              <w:numPr>
                <w:ilvl w:val="0"/>
                <w:numId w:val="30"/>
              </w:numPr>
              <w:spacing w:after="0"/>
              <w:jc w:val="left"/>
              <w:textAlignment w:val="baseline"/>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en-US"/>
              </w:rPr>
            </w:pPr>
            <w:r w:rsidRPr="00A02151">
              <w:rPr>
                <w:rFonts w:eastAsia="Times New Roman" w:cs="Calibri"/>
                <w:color w:val="000000"/>
                <w:spacing w:val="0"/>
                <w:lang w:val="en-US"/>
              </w:rPr>
              <w:t>Interoperability guidelines for Common services (EOSC APIs and standards)</w:t>
            </w:r>
          </w:p>
          <w:p w14:paraId="2C94083E" w14:textId="20699BDA" w:rsidR="00A02151" w:rsidRPr="00A02151" w:rsidRDefault="00A02151" w:rsidP="00A02151">
            <w:pPr>
              <w:numPr>
                <w:ilvl w:val="0"/>
                <w:numId w:val="30"/>
              </w:numPr>
              <w:spacing w:after="0"/>
              <w:jc w:val="left"/>
              <w:textAlignment w:val="baseline"/>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en-US"/>
              </w:rPr>
            </w:pPr>
            <w:r w:rsidRPr="00A02151">
              <w:rPr>
                <w:rFonts w:eastAsia="Times New Roman" w:cs="Calibri"/>
                <w:color w:val="000000"/>
                <w:spacing w:val="0"/>
                <w:lang w:val="en-US"/>
              </w:rPr>
              <w:t>Interoperability guidelines for Thematic services (EOSC APIs and standards)</w:t>
            </w:r>
          </w:p>
        </w:tc>
      </w:tr>
    </w:tbl>
    <w:p w14:paraId="4ECFC2A1" w14:textId="77777777" w:rsidR="00A30A98" w:rsidRDefault="00A30A98" w:rsidP="00A30A98"/>
    <w:p w14:paraId="765C67EB" w14:textId="77777777" w:rsidR="00A30A98" w:rsidRDefault="00A30A98" w:rsidP="00A30A98"/>
    <w:p w14:paraId="275A14A0" w14:textId="44D401FB" w:rsidR="00A30A98" w:rsidRDefault="00A30A98" w:rsidP="005959F1">
      <w:pPr>
        <w:pStyle w:val="Appendix"/>
      </w:pPr>
      <w:bookmarkStart w:id="12" w:name="_Toc15645930"/>
      <w:r>
        <w:lastRenderedPageBreak/>
        <w:t>A</w:t>
      </w:r>
      <w:r w:rsidR="00E50B91">
        <w:t>AI Technical Specification</w:t>
      </w:r>
      <w:bookmarkEnd w:id="12"/>
    </w:p>
    <w:p w14:paraId="7B3A223E" w14:textId="77777777" w:rsidR="00E50B91" w:rsidRDefault="00E50B91" w:rsidP="00E50B91">
      <w:pPr>
        <w:pStyle w:val="NormalWeb"/>
        <w:spacing w:before="400" w:beforeAutospacing="0" w:after="120" w:afterAutospacing="0"/>
        <w:jc w:val="both"/>
      </w:pPr>
      <w:r>
        <w:rPr>
          <w:rFonts w:ascii="Calibri" w:hAnsi="Calibri" w:cs="Calibri"/>
          <w:b/>
          <w:bCs/>
          <w:color w:val="000000"/>
          <w:sz w:val="22"/>
          <w:szCs w:val="22"/>
        </w:rPr>
        <w:t>Introduction</w:t>
      </w:r>
    </w:p>
    <w:p w14:paraId="004092F9" w14:textId="77777777" w:rsidR="00E50B91" w:rsidRDefault="00E50B91" w:rsidP="00E50B91">
      <w:pPr>
        <w:pStyle w:val="NormalWeb"/>
        <w:spacing w:before="0" w:beforeAutospacing="0" w:after="0" w:afterAutospacing="0"/>
        <w:jc w:val="both"/>
      </w:pPr>
      <w:r>
        <w:rPr>
          <w:rFonts w:ascii="Calibri" w:hAnsi="Calibri" w:cs="Calibri"/>
          <w:color w:val="000000"/>
          <w:sz w:val="22"/>
          <w:szCs w:val="22"/>
        </w:rPr>
        <w:t>The EOSC AAI enables seamless access to research data and services in EOSC in a secure and user-friendly way.</w:t>
      </w:r>
    </w:p>
    <w:p w14:paraId="4853040B" w14:textId="77777777" w:rsidR="00E50B91" w:rsidRDefault="00E50B91" w:rsidP="00E50B91">
      <w:pPr>
        <w:pStyle w:val="NormalWeb"/>
        <w:spacing w:before="400" w:beforeAutospacing="0" w:after="120" w:afterAutospacing="0"/>
        <w:jc w:val="both"/>
      </w:pPr>
      <w:r>
        <w:rPr>
          <w:rFonts w:ascii="Calibri" w:hAnsi="Calibri" w:cs="Calibri"/>
          <w:b/>
          <w:bCs/>
          <w:color w:val="000000"/>
          <w:sz w:val="22"/>
          <w:szCs w:val="22"/>
        </w:rPr>
        <w:t>High-level Service Architecture</w:t>
      </w:r>
    </w:p>
    <w:p w14:paraId="33CEEC92" w14:textId="77777777" w:rsidR="00E50B91" w:rsidRDefault="00E50B91" w:rsidP="00E50B91">
      <w:pPr>
        <w:pStyle w:val="NormalWeb"/>
        <w:spacing w:before="0" w:beforeAutospacing="0" w:after="0" w:afterAutospacing="0"/>
        <w:jc w:val="both"/>
      </w:pPr>
      <w:r>
        <w:rPr>
          <w:rFonts w:ascii="Calibri" w:hAnsi="Calibri" w:cs="Calibri"/>
          <w:color w:val="000000"/>
          <w:sz w:val="22"/>
          <w:szCs w:val="22"/>
        </w:rPr>
        <w:t>The EOSC AAI follows the architectural and policy recommendations defined in the AARC project [</w:t>
      </w:r>
      <w:hyperlink r:id="rId19" w:history="1">
        <w:r>
          <w:rPr>
            <w:rStyle w:val="Hyperlink"/>
            <w:rFonts w:eastAsiaTheme="majorEastAsia" w:cs="Calibri"/>
            <w:color w:val="1155CC"/>
            <w:sz w:val="22"/>
            <w:szCs w:val="22"/>
          </w:rPr>
          <w:t>AARC-Community</w:t>
        </w:r>
      </w:hyperlink>
      <w:r>
        <w:rPr>
          <w:rFonts w:ascii="Calibri" w:hAnsi="Calibri" w:cs="Calibri"/>
          <w:color w:val="000000"/>
          <w:sz w:val="22"/>
          <w:szCs w:val="22"/>
        </w:rPr>
        <w:t>]. As such, it enables interoperability across different SP-</w:t>
      </w:r>
      <w:proofErr w:type="spellStart"/>
      <w:r>
        <w:rPr>
          <w:rFonts w:ascii="Calibri" w:hAnsi="Calibri" w:cs="Calibri"/>
          <w:color w:val="000000"/>
          <w:sz w:val="22"/>
          <w:szCs w:val="22"/>
        </w:rPr>
        <w:t>IdP</w:t>
      </w:r>
      <w:proofErr w:type="spellEnd"/>
      <w:r>
        <w:rPr>
          <w:rFonts w:ascii="Calibri" w:hAnsi="Calibri" w:cs="Calibri"/>
          <w:color w:val="000000"/>
          <w:sz w:val="22"/>
          <w:szCs w:val="22"/>
        </w:rPr>
        <w:t>-Proxy services, each of which acts as a bridge between the community-managed proxies (termed Community AAIs) managing the researchers' identity and the generic services offered by Research Infrastructure and e-Infrastructures (termed R/e-Infrastructures or Infrastructures). This is the “community-first” approach to the AARC Blueprint Architecture [</w:t>
      </w:r>
      <w:hyperlink r:id="rId20" w:history="1">
        <w:r>
          <w:rPr>
            <w:rStyle w:val="Hyperlink"/>
            <w:rFonts w:eastAsiaTheme="majorEastAsia" w:cs="Calibri"/>
            <w:color w:val="1155CC"/>
            <w:sz w:val="22"/>
            <w:szCs w:val="22"/>
          </w:rPr>
          <w:t>AARC-G045</w:t>
        </w:r>
      </w:hyperlink>
      <w:r>
        <w:rPr>
          <w:rFonts w:ascii="Calibri" w:hAnsi="Calibri" w:cs="Calibri"/>
          <w:color w:val="000000"/>
          <w:sz w:val="22"/>
          <w:szCs w:val="22"/>
        </w:rPr>
        <w:t>], which enables researchers to sign in with their community identity via their Community AAI. A high-level view of the EOSC AAI is provided in the figure below.</w:t>
      </w:r>
    </w:p>
    <w:p w14:paraId="1E84DAC2" w14:textId="77777777" w:rsidR="00E50B91" w:rsidRDefault="00E50B91" w:rsidP="00E50B91">
      <w:pPr>
        <w:pStyle w:val="NormalWeb"/>
        <w:keepNext/>
        <w:spacing w:before="0" w:beforeAutospacing="0" w:after="120" w:afterAutospacing="0"/>
        <w:jc w:val="center"/>
      </w:pPr>
      <w:r>
        <w:rPr>
          <w:rFonts w:ascii="Calibri" w:hAnsi="Calibri" w:cs="Calibri"/>
          <w:noProof/>
          <w:color w:val="000000"/>
          <w:sz w:val="22"/>
          <w:szCs w:val="22"/>
        </w:rPr>
        <w:drawing>
          <wp:inline distT="0" distB="0" distL="0" distR="0" wp14:anchorId="69479C0A" wp14:editId="4AA909CF">
            <wp:extent cx="5257800" cy="3810000"/>
            <wp:effectExtent l="0" t="0" r="0" b="0"/>
            <wp:docPr id="19" name="Picture 19" descr="https://lh3.googleusercontent.com/niOnWc_rEPN8szrplztvSIh3DD3H3XkLBdqykXmKnv3cYSe5oKxxJ5vPdUBQOvb5xV6Nculj1Cv05LwlYvSiroj56Ri8ll5kmeAwPFy9O4_NWU5W6r54Z6mAF8rnz-cFs7m8-Th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https://lh3.googleusercontent.com/niOnWc_rEPN8szrplztvSIh3DD3H3XkLBdqykXmKnv3cYSe5oKxxJ5vPdUBQOvb5xV6Nculj1Cv05LwlYvSiroj56Ri8ll5kmeAwPFy9O4_NWU5W6r54Z6mAF8rnz-cFs7m8-ThZ"/>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57800" cy="3810000"/>
                    </a:xfrm>
                    <a:prstGeom prst="rect">
                      <a:avLst/>
                    </a:prstGeom>
                    <a:noFill/>
                    <a:ln>
                      <a:noFill/>
                    </a:ln>
                  </pic:spPr>
                </pic:pic>
              </a:graphicData>
            </a:graphic>
          </wp:inline>
        </w:drawing>
      </w:r>
    </w:p>
    <w:p w14:paraId="24566559" w14:textId="460DA612" w:rsidR="00E50B91" w:rsidRDefault="00E50B91" w:rsidP="00E50B91">
      <w:pPr>
        <w:pStyle w:val="Caption"/>
        <w:jc w:val="center"/>
      </w:pPr>
      <w:r>
        <w:t xml:space="preserve">Figure </w:t>
      </w:r>
      <w:r>
        <w:fldChar w:fldCharType="begin"/>
      </w:r>
      <w:r>
        <w:instrText xml:space="preserve"> SEQ Figure \* ARABIC </w:instrText>
      </w:r>
      <w:r>
        <w:fldChar w:fldCharType="separate"/>
      </w:r>
      <w:r w:rsidR="004002C6">
        <w:rPr>
          <w:noProof/>
        </w:rPr>
        <w:t>5</w:t>
      </w:r>
      <w:r>
        <w:fldChar w:fldCharType="end"/>
      </w:r>
      <w:r>
        <w:t xml:space="preserve">. </w:t>
      </w:r>
      <w:r w:rsidRPr="00FB3C6B">
        <w:t>AARC Blueprint Architecture.</w:t>
      </w:r>
    </w:p>
    <w:p w14:paraId="1C6F068D" w14:textId="77777777" w:rsidR="00E50B91" w:rsidRDefault="00E50B91" w:rsidP="00E50B91">
      <w:pPr>
        <w:pStyle w:val="NormalWeb"/>
        <w:spacing w:before="0" w:beforeAutospacing="0" w:after="0" w:afterAutospacing="0"/>
        <w:jc w:val="both"/>
      </w:pPr>
      <w:r>
        <w:rPr>
          <w:rFonts w:ascii="Calibri" w:hAnsi="Calibri" w:cs="Calibri"/>
          <w:color w:val="000000"/>
          <w:sz w:val="22"/>
          <w:szCs w:val="22"/>
        </w:rPr>
        <w:t xml:space="preserve">Community-specific services are connected to a single Community AAI, while Infrastructure Services are connected to a single Infrastructure Proxy. Lastly, generic services may be connected to more than one Community AAI. Each Community AAI in turn serves as a bridge between external identity providers and the proxies to the e-infrastructure services. Specifically, Community AAIs connect to </w:t>
      </w:r>
      <w:proofErr w:type="spellStart"/>
      <w:r>
        <w:rPr>
          <w:rFonts w:ascii="Calibri" w:hAnsi="Calibri" w:cs="Calibri"/>
          <w:color w:val="000000"/>
          <w:sz w:val="22"/>
          <w:szCs w:val="22"/>
        </w:rPr>
        <w:t>eduGAIN</w:t>
      </w:r>
      <w:proofErr w:type="spellEnd"/>
      <w:r>
        <w:rPr>
          <w:rFonts w:ascii="Calibri" w:hAnsi="Calibri" w:cs="Calibri"/>
          <w:color w:val="000000"/>
          <w:sz w:val="22"/>
          <w:szCs w:val="22"/>
        </w:rPr>
        <w:t xml:space="preserve"> as service providers but act as identity providers from the services point of view, thereby allowing users to use their credentials from their home </w:t>
      </w:r>
      <w:proofErr w:type="spellStart"/>
      <w:r>
        <w:rPr>
          <w:rFonts w:ascii="Calibri" w:hAnsi="Calibri" w:cs="Calibri"/>
          <w:color w:val="000000"/>
          <w:sz w:val="22"/>
          <w:szCs w:val="22"/>
        </w:rPr>
        <w:t>organisations</w:t>
      </w:r>
      <w:proofErr w:type="spellEnd"/>
      <w:r>
        <w:rPr>
          <w:rFonts w:ascii="Calibri" w:hAnsi="Calibri" w:cs="Calibri"/>
          <w:color w:val="000000"/>
          <w:sz w:val="22"/>
          <w:szCs w:val="22"/>
        </w:rPr>
        <w:t xml:space="preserve">. Complementary to this, users </w:t>
      </w:r>
      <w:r>
        <w:rPr>
          <w:rFonts w:ascii="Calibri" w:hAnsi="Calibri" w:cs="Calibri"/>
          <w:color w:val="000000"/>
          <w:sz w:val="22"/>
          <w:szCs w:val="22"/>
        </w:rPr>
        <w:lastRenderedPageBreak/>
        <w:t>without an account on a federated institutional Identity Provider are still able to use social media or other external authentication providers for accessing services. </w:t>
      </w:r>
    </w:p>
    <w:p w14:paraId="6A5B0731" w14:textId="77777777" w:rsidR="00E50B91" w:rsidRDefault="00E50B91" w:rsidP="00E50B91">
      <w:pPr>
        <w:pStyle w:val="NormalWeb"/>
        <w:spacing w:before="0" w:beforeAutospacing="0" w:after="0" w:afterAutospacing="0"/>
        <w:jc w:val="both"/>
      </w:pPr>
      <w:r>
        <w:rPr>
          <w:rFonts w:ascii="Calibri" w:hAnsi="Calibri" w:cs="Calibri"/>
          <w:color w:val="000000"/>
          <w:sz w:val="22"/>
          <w:szCs w:val="22"/>
        </w:rPr>
        <w:t xml:space="preserve">Research communities can leverage the EOSC AAI services for managing their users and their respective roles and other </w:t>
      </w:r>
      <w:proofErr w:type="spellStart"/>
      <w:r>
        <w:rPr>
          <w:rFonts w:ascii="Calibri" w:hAnsi="Calibri" w:cs="Calibri"/>
          <w:color w:val="000000"/>
          <w:sz w:val="22"/>
          <w:szCs w:val="22"/>
        </w:rPr>
        <w:t>authorisation</w:t>
      </w:r>
      <w:proofErr w:type="spellEnd"/>
      <w:r>
        <w:rPr>
          <w:rFonts w:ascii="Calibri" w:hAnsi="Calibri" w:cs="Calibri"/>
          <w:color w:val="000000"/>
          <w:sz w:val="22"/>
          <w:szCs w:val="22"/>
        </w:rPr>
        <w:t>-related information. At the same time, the adoption of standards and open technologies, including SAML 2.0, OpenID Connect, OAuth 2.0 and X.509v3, facilitates interoperability and integration with the existing AAIs of other e-Infrastructures and research communities.</w:t>
      </w:r>
    </w:p>
    <w:p w14:paraId="412FD6F1" w14:textId="77777777" w:rsidR="00E50B91" w:rsidRDefault="00E50B91" w:rsidP="00E50B91">
      <w:pPr>
        <w:pStyle w:val="NormalWeb"/>
        <w:spacing w:before="400" w:beforeAutospacing="0" w:after="120" w:afterAutospacing="0"/>
        <w:jc w:val="both"/>
      </w:pPr>
      <w:r>
        <w:rPr>
          <w:rFonts w:ascii="Calibri" w:hAnsi="Calibri" w:cs="Calibri"/>
          <w:b/>
          <w:bCs/>
          <w:color w:val="000000"/>
          <w:sz w:val="22"/>
          <w:szCs w:val="22"/>
        </w:rPr>
        <w:t>Adopted standards</w:t>
      </w:r>
    </w:p>
    <w:p w14:paraId="6355A3DB" w14:textId="77777777" w:rsidR="00E50B91" w:rsidRDefault="00E50B91" w:rsidP="00E50B91"/>
    <w:tbl>
      <w:tblPr>
        <w:tblW w:w="9026" w:type="dxa"/>
        <w:tblCellMar>
          <w:top w:w="15" w:type="dxa"/>
          <w:left w:w="15" w:type="dxa"/>
          <w:bottom w:w="15" w:type="dxa"/>
          <w:right w:w="15" w:type="dxa"/>
        </w:tblCellMar>
        <w:tblLook w:val="04A0" w:firstRow="1" w:lastRow="0" w:firstColumn="1" w:lastColumn="0" w:noHBand="0" w:noVBand="1"/>
      </w:tblPr>
      <w:tblGrid>
        <w:gridCol w:w="1520"/>
        <w:gridCol w:w="3499"/>
        <w:gridCol w:w="4007"/>
      </w:tblGrid>
      <w:tr w:rsidR="00E50B91" w14:paraId="64C3C4FE" w14:textId="77777777" w:rsidTr="00E50B91">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677BED43" w14:textId="77777777" w:rsidR="00E50B91" w:rsidRDefault="00E50B91">
            <w:pPr>
              <w:pStyle w:val="NormalWeb"/>
              <w:spacing w:before="0" w:beforeAutospacing="0" w:after="0" w:afterAutospacing="0"/>
              <w:jc w:val="both"/>
            </w:pPr>
            <w:r>
              <w:rPr>
                <w:rFonts w:ascii="Calibri" w:hAnsi="Calibri" w:cs="Calibri"/>
                <w:b/>
                <w:bCs/>
                <w:color w:val="000000"/>
                <w:sz w:val="22"/>
                <w:szCs w:val="22"/>
              </w:rPr>
              <w:t>Standard</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184A01FA" w14:textId="77777777" w:rsidR="00E50B91" w:rsidRDefault="00E50B91">
            <w:pPr>
              <w:pStyle w:val="NormalWeb"/>
              <w:spacing w:before="0" w:beforeAutospacing="0" w:after="0" w:afterAutospacing="0"/>
              <w:jc w:val="both"/>
            </w:pPr>
            <w:r>
              <w:rPr>
                <w:rFonts w:ascii="Calibri" w:hAnsi="Calibri" w:cs="Calibri"/>
                <w:b/>
                <w:bCs/>
                <w:color w:val="000000"/>
                <w:sz w:val="22"/>
                <w:szCs w:val="22"/>
              </w:rPr>
              <w:t>Short description</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6A3A971B" w14:textId="77777777" w:rsidR="00E50B91" w:rsidRDefault="00E50B91">
            <w:pPr>
              <w:pStyle w:val="NormalWeb"/>
              <w:spacing w:before="0" w:beforeAutospacing="0" w:after="0" w:afterAutospacing="0"/>
              <w:jc w:val="both"/>
            </w:pPr>
            <w:r>
              <w:rPr>
                <w:rFonts w:ascii="Calibri" w:hAnsi="Calibri" w:cs="Calibri"/>
                <w:b/>
                <w:bCs/>
                <w:color w:val="000000"/>
                <w:sz w:val="22"/>
                <w:szCs w:val="22"/>
              </w:rPr>
              <w:t>References</w:t>
            </w:r>
          </w:p>
        </w:tc>
      </w:tr>
      <w:tr w:rsidR="00E50B91" w14:paraId="1ED82BC6" w14:textId="77777777" w:rsidTr="00E50B9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692A7A" w14:textId="77777777" w:rsidR="00E50B91" w:rsidRDefault="00E50B91">
            <w:pPr>
              <w:pStyle w:val="NormalWeb"/>
              <w:spacing w:before="0" w:beforeAutospacing="0" w:after="0" w:afterAutospacing="0"/>
            </w:pPr>
            <w:r>
              <w:rPr>
                <w:rFonts w:ascii="Calibri" w:hAnsi="Calibri" w:cs="Calibri"/>
                <w:color w:val="000000"/>
                <w:sz w:val="22"/>
                <w:szCs w:val="22"/>
              </w:rPr>
              <w:t>Security Assertion Markup Language (SAML) 2.0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8F5ADE" w14:textId="77777777" w:rsidR="00E50B91" w:rsidRDefault="00E50B91">
            <w:pPr>
              <w:pStyle w:val="NormalWeb"/>
              <w:spacing w:before="0" w:beforeAutospacing="0" w:after="0" w:afterAutospacing="0"/>
            </w:pPr>
            <w:r>
              <w:rPr>
                <w:rFonts w:ascii="Calibri" w:hAnsi="Calibri" w:cs="Calibri"/>
                <w:color w:val="000000"/>
                <w:sz w:val="22"/>
                <w:szCs w:val="22"/>
              </w:rPr>
              <w:t xml:space="preserve">OASIS standard for exchanging authentication and </w:t>
            </w:r>
            <w:proofErr w:type="spellStart"/>
            <w:r>
              <w:rPr>
                <w:rFonts w:ascii="Calibri" w:hAnsi="Calibri" w:cs="Calibri"/>
                <w:color w:val="000000"/>
                <w:sz w:val="22"/>
                <w:szCs w:val="22"/>
              </w:rPr>
              <w:t>authorisation</w:t>
            </w:r>
            <w:proofErr w:type="spellEnd"/>
            <w:r>
              <w:rPr>
                <w:rFonts w:ascii="Calibri" w:hAnsi="Calibri" w:cs="Calibri"/>
                <w:color w:val="000000"/>
                <w:sz w:val="22"/>
                <w:szCs w:val="22"/>
              </w:rPr>
              <w:t xml:space="preserve"> data between parties.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9DDA9B" w14:textId="77777777" w:rsidR="00E50B91" w:rsidRDefault="00E50B91">
            <w:pPr>
              <w:pStyle w:val="NormalWeb"/>
              <w:spacing w:before="0" w:beforeAutospacing="0" w:after="0" w:afterAutospacing="0"/>
            </w:pPr>
            <w:hyperlink r:id="rId22" w:anchor="samlv2.0" w:history="1">
              <w:r>
                <w:rPr>
                  <w:rStyle w:val="Hyperlink"/>
                  <w:rFonts w:eastAsiaTheme="majorEastAsia" w:cs="Calibri"/>
                  <w:color w:val="1155CC"/>
                  <w:sz w:val="22"/>
                  <w:szCs w:val="22"/>
                </w:rPr>
                <w:t>https://www.oasis-open.org/standards#samlv2.0</w:t>
              </w:r>
            </w:hyperlink>
          </w:p>
        </w:tc>
      </w:tr>
      <w:tr w:rsidR="00E50B91" w14:paraId="1DB6BBD6" w14:textId="77777777" w:rsidTr="00E50B9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141EFF" w14:textId="77777777" w:rsidR="00E50B91" w:rsidRDefault="00E50B91">
            <w:pPr>
              <w:pStyle w:val="NormalWeb"/>
              <w:spacing w:before="0" w:beforeAutospacing="0" w:after="0" w:afterAutospacing="0"/>
            </w:pPr>
            <w:r>
              <w:rPr>
                <w:rFonts w:ascii="Calibri" w:hAnsi="Calibri" w:cs="Calibri"/>
                <w:color w:val="000000"/>
                <w:sz w:val="22"/>
                <w:szCs w:val="22"/>
              </w:rPr>
              <w:t>OAuth 2.0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F61533" w14:textId="77777777" w:rsidR="00E50B91" w:rsidRDefault="00E50B91">
            <w:pPr>
              <w:pStyle w:val="NormalWeb"/>
              <w:spacing w:before="0" w:beforeAutospacing="0" w:after="0" w:afterAutospacing="0"/>
            </w:pPr>
            <w:r>
              <w:rPr>
                <w:rFonts w:ascii="Calibri" w:hAnsi="Calibri" w:cs="Calibri"/>
                <w:color w:val="000000"/>
                <w:sz w:val="22"/>
                <w:szCs w:val="22"/>
              </w:rPr>
              <w:t xml:space="preserve">Standard for </w:t>
            </w:r>
            <w:proofErr w:type="spellStart"/>
            <w:r>
              <w:rPr>
                <w:rFonts w:ascii="Calibri" w:hAnsi="Calibri" w:cs="Calibri"/>
                <w:color w:val="000000"/>
                <w:sz w:val="22"/>
                <w:szCs w:val="22"/>
              </w:rPr>
              <w:t>authorisation</w:t>
            </w:r>
            <w:proofErr w:type="spellEnd"/>
            <w:r>
              <w:rPr>
                <w:rFonts w:ascii="Calibri" w:hAnsi="Calibri" w:cs="Calibri"/>
                <w:color w:val="000000"/>
                <w:sz w:val="22"/>
                <w:szCs w:val="22"/>
              </w:rPr>
              <w:t xml:space="preserve"> that enables delegated access to server resources on behalf of a resource owner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9802F7" w14:textId="77777777" w:rsidR="00E50B91" w:rsidRDefault="00E50B91">
            <w:pPr>
              <w:pStyle w:val="NormalWeb"/>
              <w:spacing w:before="0" w:beforeAutospacing="0" w:after="0" w:afterAutospacing="0"/>
            </w:pPr>
            <w:r>
              <w:rPr>
                <w:rFonts w:ascii="Calibri" w:hAnsi="Calibri" w:cs="Calibri"/>
                <w:color w:val="000000"/>
                <w:sz w:val="22"/>
                <w:szCs w:val="22"/>
              </w:rPr>
              <w:t xml:space="preserve">"The OAuth 2.0 Authorization Framework", RFC 6749, </w:t>
            </w:r>
            <w:hyperlink r:id="rId23" w:history="1">
              <w:r>
                <w:rPr>
                  <w:rStyle w:val="Hyperlink"/>
                  <w:rFonts w:eastAsiaTheme="majorEastAsia" w:cs="Calibri"/>
                  <w:color w:val="1155CC"/>
                  <w:sz w:val="22"/>
                  <w:szCs w:val="22"/>
                </w:rPr>
                <w:t>https://www.rfc-editor.org/info/rfc6749</w:t>
              </w:r>
            </w:hyperlink>
          </w:p>
        </w:tc>
      </w:tr>
      <w:tr w:rsidR="00E50B91" w14:paraId="500549B0" w14:textId="77777777" w:rsidTr="00E50B9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50CF32" w14:textId="77777777" w:rsidR="00E50B91" w:rsidRDefault="00E50B91">
            <w:pPr>
              <w:pStyle w:val="NormalWeb"/>
              <w:spacing w:before="0" w:beforeAutospacing="0" w:after="0" w:afterAutospacing="0"/>
            </w:pPr>
            <w:r>
              <w:rPr>
                <w:rFonts w:ascii="Calibri" w:hAnsi="Calibri" w:cs="Calibri"/>
                <w:color w:val="000000"/>
                <w:sz w:val="22"/>
                <w:szCs w:val="22"/>
              </w:rPr>
              <w:t>OpenID Connect 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296B75" w14:textId="77777777" w:rsidR="00E50B91" w:rsidRDefault="00E50B91">
            <w:pPr>
              <w:pStyle w:val="NormalWeb"/>
              <w:spacing w:before="0" w:beforeAutospacing="0" w:after="0" w:afterAutospacing="0"/>
            </w:pPr>
            <w:r>
              <w:rPr>
                <w:rFonts w:ascii="Calibri" w:hAnsi="Calibri" w:cs="Calibri"/>
                <w:color w:val="000000"/>
                <w:sz w:val="22"/>
                <w:szCs w:val="22"/>
              </w:rPr>
              <w:t>Identity layer on top of the OAuth 2.0 protocol. It enables Clients to verify the identity of the End-User based on the authentication performed by an Authorization Server, as well as to obtain basic profile information about the End-User in an interoperable and REST-like manner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0C4D7C" w14:textId="77777777" w:rsidR="00E50B91" w:rsidRDefault="00E50B91">
            <w:pPr>
              <w:pStyle w:val="NormalWeb"/>
              <w:spacing w:before="0" w:beforeAutospacing="0" w:after="0" w:afterAutospacing="0"/>
            </w:pPr>
            <w:r>
              <w:rPr>
                <w:rFonts w:ascii="Calibri" w:hAnsi="Calibri" w:cs="Calibri"/>
                <w:color w:val="000000"/>
                <w:sz w:val="22"/>
                <w:szCs w:val="22"/>
              </w:rPr>
              <w:t xml:space="preserve">“OpenID Connect Core 1.0”, </w:t>
            </w:r>
            <w:hyperlink r:id="rId24" w:history="1">
              <w:r>
                <w:rPr>
                  <w:rStyle w:val="Hyperlink"/>
                  <w:rFonts w:eastAsiaTheme="majorEastAsia" w:cs="Calibri"/>
                  <w:color w:val="1155CC"/>
                  <w:sz w:val="22"/>
                  <w:szCs w:val="22"/>
                </w:rPr>
                <w:t>https://openid.net/specs/openid-connect-core-1_0.html</w:t>
              </w:r>
            </w:hyperlink>
          </w:p>
        </w:tc>
      </w:tr>
      <w:tr w:rsidR="00E50B91" w14:paraId="17D8EA2A" w14:textId="77777777" w:rsidTr="00E50B9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E8D541" w14:textId="77777777" w:rsidR="00E50B91" w:rsidRDefault="00E50B91">
            <w:pPr>
              <w:pStyle w:val="NormalWeb"/>
              <w:spacing w:before="0" w:beforeAutospacing="0" w:after="0" w:afterAutospacing="0"/>
            </w:pPr>
            <w:r>
              <w:rPr>
                <w:rFonts w:ascii="Calibri" w:hAnsi="Calibri" w:cs="Calibri"/>
                <w:color w:val="000000"/>
                <w:sz w:val="22"/>
                <w:szCs w:val="22"/>
              </w:rPr>
              <w:t>X.509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4A0EA3" w14:textId="77777777" w:rsidR="00E50B91" w:rsidRDefault="00E50B91">
            <w:pPr>
              <w:pStyle w:val="NormalWeb"/>
              <w:spacing w:before="0" w:beforeAutospacing="0" w:after="0" w:afterAutospacing="0"/>
            </w:pPr>
            <w:r>
              <w:rPr>
                <w:rFonts w:ascii="Calibri" w:hAnsi="Calibri" w:cs="Calibri"/>
                <w:color w:val="000000"/>
                <w:sz w:val="22"/>
                <w:szCs w:val="22"/>
              </w:rPr>
              <w:t>ITU-T standard for a public key infrastructure (PKI), also known as PKIX (PKI X509)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20259C" w14:textId="77777777" w:rsidR="00E50B91" w:rsidRDefault="00E50B91">
            <w:pPr>
              <w:pStyle w:val="NormalWeb"/>
              <w:spacing w:before="0" w:beforeAutospacing="0" w:after="200" w:afterAutospacing="0"/>
            </w:pPr>
            <w:r>
              <w:rPr>
                <w:rFonts w:ascii="Calibri" w:hAnsi="Calibri" w:cs="Calibri"/>
                <w:color w:val="000000"/>
                <w:sz w:val="22"/>
                <w:szCs w:val="22"/>
              </w:rPr>
              <w:t xml:space="preserve">"Internet X.509 Public Key Infrastructure Certificate and Certificate Revocation List (CRL) Profile", RFC 5280, </w:t>
            </w:r>
            <w:hyperlink r:id="rId25" w:history="1">
              <w:r>
                <w:rPr>
                  <w:rStyle w:val="Hyperlink"/>
                  <w:rFonts w:eastAsiaTheme="majorEastAsia" w:cs="Calibri"/>
                  <w:color w:val="1155CC"/>
                  <w:sz w:val="22"/>
                  <w:szCs w:val="22"/>
                </w:rPr>
                <w:t>https://www.rfc-editor.org/info/rfc5280</w:t>
              </w:r>
            </w:hyperlink>
          </w:p>
          <w:p w14:paraId="504F9376" w14:textId="77777777" w:rsidR="00E50B91" w:rsidRDefault="00E50B91">
            <w:pPr>
              <w:pStyle w:val="NormalWeb"/>
              <w:spacing w:before="0" w:beforeAutospacing="0" w:after="0" w:afterAutospacing="0"/>
            </w:pPr>
            <w:r>
              <w:rPr>
                <w:rFonts w:ascii="Calibri" w:hAnsi="Calibri" w:cs="Calibri"/>
                <w:color w:val="000000"/>
                <w:sz w:val="22"/>
                <w:szCs w:val="22"/>
              </w:rPr>
              <w:t xml:space="preserve">"Internet X.509 Public Key Infrastructure (PKI) Proxy Certificate Profile", RFC 3820, </w:t>
            </w:r>
            <w:hyperlink r:id="rId26" w:history="1">
              <w:r>
                <w:rPr>
                  <w:rStyle w:val="Hyperlink"/>
                  <w:rFonts w:eastAsiaTheme="majorEastAsia" w:cs="Calibri"/>
                  <w:color w:val="1155CC"/>
                  <w:sz w:val="22"/>
                  <w:szCs w:val="22"/>
                </w:rPr>
                <w:t>https://www.rfc-editor.org/info/rfc3820</w:t>
              </w:r>
            </w:hyperlink>
          </w:p>
        </w:tc>
      </w:tr>
      <w:tr w:rsidR="00E50B91" w14:paraId="3F867308" w14:textId="77777777" w:rsidTr="00E50B9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9C0DFE" w14:textId="77777777" w:rsidR="00E50B91" w:rsidRDefault="00E50B91">
            <w:pPr>
              <w:pStyle w:val="NormalWeb"/>
              <w:spacing w:before="0" w:beforeAutospacing="0" w:after="0" w:afterAutospacing="0"/>
            </w:pPr>
            <w:r>
              <w:rPr>
                <w:rFonts w:ascii="Calibri" w:hAnsi="Calibri" w:cs="Calibri"/>
                <w:color w:val="000000"/>
                <w:sz w:val="22"/>
                <w:szCs w:val="22"/>
              </w:rPr>
              <w:t>Lightweight Directory Access Protocol (LDAP)</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D1C714" w14:textId="77777777" w:rsidR="00E50B91" w:rsidRDefault="00E50B91">
            <w:pPr>
              <w:pStyle w:val="NormalWeb"/>
              <w:spacing w:before="0" w:beforeAutospacing="0" w:after="0" w:afterAutospacing="0"/>
            </w:pPr>
            <w:r>
              <w:rPr>
                <w:rFonts w:ascii="Calibri" w:hAnsi="Calibri" w:cs="Calibri"/>
                <w:color w:val="000000"/>
                <w:sz w:val="22"/>
                <w:szCs w:val="22"/>
              </w:rPr>
              <w:t>Provides access to distributed directory services that act in accordance with X.500 data and service models.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CF2334" w14:textId="77777777" w:rsidR="00E50B91" w:rsidRDefault="00E50B91">
            <w:pPr>
              <w:pStyle w:val="NormalWeb"/>
              <w:spacing w:before="0" w:beforeAutospacing="0" w:after="0" w:afterAutospacing="0"/>
            </w:pPr>
            <w:hyperlink r:id="rId27" w:history="1">
              <w:r>
                <w:rPr>
                  <w:rStyle w:val="Hyperlink"/>
                  <w:rFonts w:eastAsiaTheme="majorEastAsia" w:cs="Calibri"/>
                  <w:color w:val="1155CC"/>
                  <w:sz w:val="22"/>
                  <w:szCs w:val="22"/>
                </w:rPr>
                <w:t>https://tools.ietf.org/html/rfc4511</w:t>
              </w:r>
            </w:hyperlink>
          </w:p>
        </w:tc>
      </w:tr>
    </w:tbl>
    <w:p w14:paraId="23F7DE63" w14:textId="77777777" w:rsidR="00E50B91" w:rsidRDefault="00E50B91" w:rsidP="00E50B91">
      <w:pPr>
        <w:spacing w:after="240"/>
      </w:pPr>
    </w:p>
    <w:tbl>
      <w:tblPr>
        <w:tblW w:w="9026" w:type="dxa"/>
        <w:tblCellMar>
          <w:top w:w="15" w:type="dxa"/>
          <w:left w:w="15" w:type="dxa"/>
          <w:bottom w:w="15" w:type="dxa"/>
          <w:right w:w="15" w:type="dxa"/>
        </w:tblCellMar>
        <w:tblLook w:val="04A0" w:firstRow="1" w:lastRow="0" w:firstColumn="1" w:lastColumn="0" w:noHBand="0" w:noVBand="1"/>
      </w:tblPr>
      <w:tblGrid>
        <w:gridCol w:w="1891"/>
        <w:gridCol w:w="3216"/>
        <w:gridCol w:w="3919"/>
      </w:tblGrid>
      <w:tr w:rsidR="00E50B91" w14:paraId="20745CFA" w14:textId="77777777" w:rsidTr="00E50B91">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771B45B1" w14:textId="77777777" w:rsidR="00E50B91" w:rsidRDefault="00E50B91">
            <w:pPr>
              <w:pStyle w:val="NormalWeb"/>
              <w:spacing w:before="0" w:beforeAutospacing="0" w:after="0" w:afterAutospacing="0"/>
              <w:jc w:val="both"/>
            </w:pPr>
            <w:r>
              <w:rPr>
                <w:rFonts w:ascii="Calibri" w:hAnsi="Calibri" w:cs="Calibri"/>
                <w:b/>
                <w:bCs/>
                <w:color w:val="000000"/>
                <w:sz w:val="22"/>
                <w:szCs w:val="22"/>
              </w:rPr>
              <w:lastRenderedPageBreak/>
              <w:t>Protocol/API</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6C4D8D4F" w14:textId="77777777" w:rsidR="00E50B91" w:rsidRDefault="00E50B91">
            <w:pPr>
              <w:pStyle w:val="NormalWeb"/>
              <w:spacing w:before="0" w:beforeAutospacing="0" w:after="0" w:afterAutospacing="0"/>
              <w:jc w:val="both"/>
            </w:pPr>
            <w:r>
              <w:rPr>
                <w:rFonts w:ascii="Calibri" w:hAnsi="Calibri" w:cs="Calibri"/>
                <w:b/>
                <w:bCs/>
                <w:color w:val="000000"/>
                <w:sz w:val="22"/>
                <w:szCs w:val="22"/>
              </w:rPr>
              <w:t>Short description</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76331332" w14:textId="77777777" w:rsidR="00E50B91" w:rsidRDefault="00E50B91">
            <w:pPr>
              <w:pStyle w:val="NormalWeb"/>
              <w:spacing w:before="0" w:beforeAutospacing="0" w:after="0" w:afterAutospacing="0"/>
              <w:jc w:val="both"/>
            </w:pPr>
            <w:r>
              <w:rPr>
                <w:rFonts w:ascii="Calibri" w:hAnsi="Calibri" w:cs="Calibri"/>
                <w:b/>
                <w:bCs/>
                <w:color w:val="000000"/>
                <w:sz w:val="22"/>
                <w:szCs w:val="22"/>
              </w:rPr>
              <w:t>References</w:t>
            </w:r>
          </w:p>
        </w:tc>
      </w:tr>
      <w:tr w:rsidR="00E50B91" w14:paraId="3BD1F964" w14:textId="77777777" w:rsidTr="00E50B9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1FA762" w14:textId="77777777" w:rsidR="00E50B91" w:rsidRDefault="00E50B91">
            <w:pPr>
              <w:pStyle w:val="NormalWeb"/>
              <w:spacing w:before="0" w:beforeAutospacing="0" w:after="0" w:afterAutospacing="0"/>
            </w:pPr>
            <w:r>
              <w:rPr>
                <w:rFonts w:ascii="Calibri" w:hAnsi="Calibri" w:cs="Calibri"/>
                <w:color w:val="000000"/>
                <w:sz w:val="22"/>
                <w:szCs w:val="22"/>
              </w:rPr>
              <w:t>OAuth 2.0 Token Introspection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6515CB" w14:textId="77777777" w:rsidR="00E50B91" w:rsidRDefault="00E50B91">
            <w:pPr>
              <w:pStyle w:val="NormalWeb"/>
              <w:spacing w:before="0" w:beforeAutospacing="0" w:after="0" w:afterAutospacing="0"/>
            </w:pPr>
            <w:r>
              <w:rPr>
                <w:rFonts w:ascii="Calibri" w:hAnsi="Calibri" w:cs="Calibri"/>
                <w:color w:val="000000"/>
                <w:sz w:val="22"/>
                <w:szCs w:val="22"/>
              </w:rPr>
              <w:t xml:space="preserve">Protocol that allows </w:t>
            </w:r>
            <w:proofErr w:type="spellStart"/>
            <w:r>
              <w:rPr>
                <w:rFonts w:ascii="Calibri" w:hAnsi="Calibri" w:cs="Calibri"/>
                <w:color w:val="000000"/>
                <w:sz w:val="22"/>
                <w:szCs w:val="22"/>
              </w:rPr>
              <w:t>authorised</w:t>
            </w:r>
            <w:proofErr w:type="spellEnd"/>
            <w:r>
              <w:rPr>
                <w:rFonts w:ascii="Calibri" w:hAnsi="Calibri" w:cs="Calibri"/>
                <w:color w:val="000000"/>
                <w:sz w:val="22"/>
                <w:szCs w:val="22"/>
              </w:rPr>
              <w:t xml:space="preserve"> protected resources to query the </w:t>
            </w:r>
            <w:proofErr w:type="spellStart"/>
            <w:r>
              <w:rPr>
                <w:rFonts w:ascii="Calibri" w:hAnsi="Calibri" w:cs="Calibri"/>
                <w:color w:val="000000"/>
                <w:sz w:val="22"/>
                <w:szCs w:val="22"/>
              </w:rPr>
              <w:t>authorisation</w:t>
            </w:r>
            <w:proofErr w:type="spellEnd"/>
            <w:r>
              <w:rPr>
                <w:rFonts w:ascii="Calibri" w:hAnsi="Calibri" w:cs="Calibri"/>
                <w:color w:val="000000"/>
                <w:sz w:val="22"/>
                <w:szCs w:val="22"/>
              </w:rPr>
              <w:t xml:space="preserve"> server for determining the set of metadata for a given OAuth2 token, including its current validity.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01F99E" w14:textId="77777777" w:rsidR="00E50B91" w:rsidRDefault="00E50B91">
            <w:pPr>
              <w:pStyle w:val="NormalWeb"/>
              <w:spacing w:before="0" w:beforeAutospacing="0" w:after="0" w:afterAutospacing="0"/>
            </w:pPr>
            <w:hyperlink r:id="rId28" w:history="1">
              <w:r>
                <w:rPr>
                  <w:rStyle w:val="Hyperlink"/>
                  <w:rFonts w:eastAsiaTheme="majorEastAsia" w:cs="Calibri"/>
                  <w:color w:val="1155CC"/>
                  <w:sz w:val="22"/>
                  <w:szCs w:val="22"/>
                </w:rPr>
                <w:t>https://tools.ietf.org/html/rfc7662</w:t>
              </w:r>
            </w:hyperlink>
          </w:p>
        </w:tc>
      </w:tr>
      <w:tr w:rsidR="00E50B91" w14:paraId="557FDAF1" w14:textId="77777777" w:rsidTr="00E50B9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5946C0" w14:textId="77777777" w:rsidR="00E50B91" w:rsidRDefault="00E50B91">
            <w:pPr>
              <w:pStyle w:val="NormalWeb"/>
              <w:spacing w:before="0" w:beforeAutospacing="0" w:after="0" w:afterAutospacing="0"/>
            </w:pPr>
            <w:r>
              <w:rPr>
                <w:rFonts w:ascii="Calibri" w:hAnsi="Calibri" w:cs="Calibri"/>
                <w:color w:val="000000"/>
                <w:sz w:val="22"/>
                <w:szCs w:val="22"/>
              </w:rPr>
              <w:t>OAuth 2.0 Token Exchange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FBE9EC" w14:textId="77777777" w:rsidR="00E50B91" w:rsidRDefault="00E50B91">
            <w:pPr>
              <w:pStyle w:val="NormalWeb"/>
              <w:spacing w:before="0" w:beforeAutospacing="0" w:after="0" w:afterAutospacing="0"/>
            </w:pPr>
            <w:r>
              <w:rPr>
                <w:rFonts w:ascii="Calibri" w:hAnsi="Calibri" w:cs="Calibri"/>
                <w:color w:val="000000"/>
                <w:sz w:val="22"/>
                <w:szCs w:val="22"/>
              </w:rPr>
              <w:t>Protocol for requesting and obtaining security tokens from OAuth 2.0 authorization servers, including security tokens employing impersonation and delegation.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49E916" w14:textId="77777777" w:rsidR="00E50B91" w:rsidRDefault="00E50B91">
            <w:pPr>
              <w:pStyle w:val="NormalWeb"/>
              <w:spacing w:before="0" w:beforeAutospacing="0" w:after="0" w:afterAutospacing="0"/>
            </w:pPr>
            <w:hyperlink r:id="rId29" w:history="1">
              <w:r>
                <w:rPr>
                  <w:rStyle w:val="Hyperlink"/>
                  <w:rFonts w:eastAsiaTheme="majorEastAsia" w:cs="Calibri"/>
                  <w:color w:val="1155CC"/>
                  <w:sz w:val="22"/>
                  <w:szCs w:val="22"/>
                </w:rPr>
                <w:t>https://tools.ietf.org/id/draft-ietf-oauth-token-exchange-14.html</w:t>
              </w:r>
            </w:hyperlink>
          </w:p>
        </w:tc>
      </w:tr>
      <w:tr w:rsidR="00E50B91" w14:paraId="26797A01" w14:textId="77777777" w:rsidTr="00E50B9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FF233F" w14:textId="77777777" w:rsidR="00E50B91" w:rsidRDefault="00E50B91">
            <w:pPr>
              <w:pStyle w:val="NormalWeb"/>
              <w:spacing w:before="0" w:beforeAutospacing="0" w:after="0" w:afterAutospacing="0"/>
            </w:pPr>
            <w:r>
              <w:rPr>
                <w:rFonts w:ascii="Calibri" w:hAnsi="Calibri" w:cs="Calibri"/>
                <w:color w:val="000000"/>
                <w:sz w:val="22"/>
                <w:szCs w:val="22"/>
              </w:rPr>
              <w:t>OAuth 2.0 Device Authorization Grant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F7FD9A" w14:textId="77777777" w:rsidR="00E50B91" w:rsidRDefault="00E50B91">
            <w:pPr>
              <w:pStyle w:val="NormalWeb"/>
              <w:spacing w:before="0" w:beforeAutospacing="0" w:after="0" w:afterAutospacing="0"/>
            </w:pPr>
            <w:r>
              <w:rPr>
                <w:rFonts w:ascii="Calibri" w:hAnsi="Calibri" w:cs="Calibri"/>
                <w:color w:val="000000"/>
                <w:sz w:val="22"/>
                <w:szCs w:val="22"/>
              </w:rPr>
              <w:t xml:space="preserve">Enables OAuth 2.0 clients on input-constrained devices to obtain user </w:t>
            </w:r>
            <w:proofErr w:type="spellStart"/>
            <w:r>
              <w:rPr>
                <w:rFonts w:ascii="Calibri" w:hAnsi="Calibri" w:cs="Calibri"/>
                <w:color w:val="000000"/>
                <w:sz w:val="22"/>
                <w:szCs w:val="22"/>
              </w:rPr>
              <w:t>authorisation</w:t>
            </w:r>
            <w:proofErr w:type="spellEnd"/>
            <w:r>
              <w:rPr>
                <w:rFonts w:ascii="Calibri" w:hAnsi="Calibri" w:cs="Calibri"/>
                <w:color w:val="000000"/>
                <w:sz w:val="22"/>
                <w:szCs w:val="22"/>
              </w:rPr>
              <w:t xml:space="preserve"> for accessing protected resources without using an on-device user-agent.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C8F55B" w14:textId="77777777" w:rsidR="00E50B91" w:rsidRDefault="00E50B91">
            <w:pPr>
              <w:pStyle w:val="NormalWeb"/>
              <w:spacing w:before="0" w:beforeAutospacing="0" w:after="0" w:afterAutospacing="0"/>
            </w:pPr>
            <w:hyperlink r:id="rId30" w:history="1">
              <w:r>
                <w:rPr>
                  <w:rStyle w:val="Hyperlink"/>
                  <w:rFonts w:eastAsiaTheme="majorEastAsia" w:cs="Calibri"/>
                  <w:color w:val="1155CC"/>
                  <w:sz w:val="22"/>
                  <w:szCs w:val="22"/>
                </w:rPr>
                <w:t>https://tools.ietf.org/html/draft-ietf-oauth-device-flow-15</w:t>
              </w:r>
            </w:hyperlink>
          </w:p>
        </w:tc>
      </w:tr>
      <w:tr w:rsidR="00E50B91" w14:paraId="54422BAC" w14:textId="77777777" w:rsidTr="00E50B9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4A38F4" w14:textId="77777777" w:rsidR="00E50B91" w:rsidRDefault="00E50B91">
            <w:pPr>
              <w:pStyle w:val="NormalWeb"/>
              <w:spacing w:before="0" w:beforeAutospacing="0" w:after="0" w:afterAutospacing="0"/>
            </w:pPr>
            <w:r>
              <w:rPr>
                <w:rFonts w:ascii="Calibri" w:hAnsi="Calibri" w:cs="Calibri"/>
                <w:color w:val="000000"/>
                <w:sz w:val="22"/>
                <w:szCs w:val="22"/>
              </w:rPr>
              <w:t>System for Cross-domain Identity Management (SCIM) 2.0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77B225" w14:textId="77777777" w:rsidR="00E50B91" w:rsidRDefault="00E50B91">
            <w:pPr>
              <w:pStyle w:val="NormalWeb"/>
              <w:spacing w:before="0" w:beforeAutospacing="0" w:after="0" w:afterAutospacing="0"/>
            </w:pPr>
            <w:r>
              <w:rPr>
                <w:rFonts w:ascii="Calibri" w:hAnsi="Calibri" w:cs="Calibri"/>
                <w:color w:val="000000"/>
                <w:sz w:val="22"/>
                <w:szCs w:val="22"/>
              </w:rPr>
              <w:t>Open API for managing identities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FA168C" w14:textId="77777777" w:rsidR="00E50B91" w:rsidRPr="00E50B91" w:rsidRDefault="00E50B91">
            <w:pPr>
              <w:pStyle w:val="NormalWeb"/>
              <w:spacing w:before="0" w:beforeAutospacing="0" w:after="200" w:afterAutospacing="0"/>
              <w:rPr>
                <w:lang w:val="it-IT"/>
              </w:rPr>
            </w:pPr>
            <w:r w:rsidRPr="00E50B91">
              <w:rPr>
                <w:rFonts w:ascii="Calibri" w:hAnsi="Calibri" w:cs="Calibri"/>
                <w:color w:val="000000"/>
                <w:sz w:val="22"/>
                <w:szCs w:val="22"/>
                <w:lang w:val="it-IT"/>
              </w:rPr>
              <w:t xml:space="preserve">SCIM: Core Schema , RFC7643, </w:t>
            </w:r>
            <w:hyperlink r:id="rId31" w:history="1">
              <w:r w:rsidRPr="00E50B91">
                <w:rPr>
                  <w:rStyle w:val="Hyperlink"/>
                  <w:rFonts w:eastAsiaTheme="majorEastAsia" w:cs="Calibri"/>
                  <w:color w:val="1155CC"/>
                  <w:sz w:val="22"/>
                  <w:szCs w:val="22"/>
                  <w:lang w:val="it-IT"/>
                </w:rPr>
                <w:t>https://tools.ietf.org/html/rfc7643</w:t>
              </w:r>
            </w:hyperlink>
          </w:p>
          <w:p w14:paraId="523FE248" w14:textId="77777777" w:rsidR="00E50B91" w:rsidRPr="00E50B91" w:rsidRDefault="00E50B91">
            <w:pPr>
              <w:pStyle w:val="NormalWeb"/>
              <w:spacing w:before="0" w:beforeAutospacing="0" w:after="200" w:afterAutospacing="0"/>
              <w:rPr>
                <w:lang w:val="it-IT"/>
              </w:rPr>
            </w:pPr>
            <w:r w:rsidRPr="00E50B91">
              <w:rPr>
                <w:rFonts w:ascii="Calibri" w:hAnsi="Calibri" w:cs="Calibri"/>
                <w:color w:val="000000"/>
                <w:sz w:val="22"/>
                <w:szCs w:val="22"/>
                <w:lang w:val="it-IT"/>
              </w:rPr>
              <w:t xml:space="preserve">SCIM: Protocol, RFC7644, </w:t>
            </w:r>
            <w:hyperlink r:id="rId32" w:history="1">
              <w:r w:rsidRPr="00E50B91">
                <w:rPr>
                  <w:rStyle w:val="Hyperlink"/>
                  <w:rFonts w:eastAsiaTheme="majorEastAsia" w:cs="Calibri"/>
                  <w:color w:val="1155CC"/>
                  <w:sz w:val="22"/>
                  <w:szCs w:val="22"/>
                  <w:lang w:val="it-IT"/>
                </w:rPr>
                <w:t>https://tools.ietf.org/html/rfc7644</w:t>
              </w:r>
            </w:hyperlink>
          </w:p>
          <w:p w14:paraId="77D8D3CC" w14:textId="77777777" w:rsidR="00E50B91" w:rsidRDefault="00E50B91">
            <w:pPr>
              <w:pStyle w:val="NormalWeb"/>
              <w:spacing w:before="0" w:beforeAutospacing="0" w:after="0" w:afterAutospacing="0"/>
            </w:pPr>
            <w:r>
              <w:rPr>
                <w:rFonts w:ascii="Calibri" w:hAnsi="Calibri" w:cs="Calibri"/>
                <w:color w:val="000000"/>
                <w:sz w:val="22"/>
                <w:szCs w:val="22"/>
              </w:rPr>
              <w:t xml:space="preserve">SCIM: Definitions, Overview, Concepts, and Requirements, RFC7642, </w:t>
            </w:r>
            <w:hyperlink r:id="rId33" w:history="1">
              <w:r>
                <w:rPr>
                  <w:rStyle w:val="Hyperlink"/>
                  <w:rFonts w:eastAsiaTheme="majorEastAsia" w:cs="Calibri"/>
                  <w:color w:val="1155CC"/>
                  <w:sz w:val="22"/>
                  <w:szCs w:val="22"/>
                </w:rPr>
                <w:t>https://tools.ietf.org/html/rfc7642</w:t>
              </w:r>
            </w:hyperlink>
            <w:r>
              <w:rPr>
                <w:rFonts w:ascii="Calibri" w:hAnsi="Calibri" w:cs="Calibri"/>
                <w:color w:val="000000"/>
                <w:sz w:val="22"/>
                <w:szCs w:val="22"/>
              </w:rPr>
              <w:t> </w:t>
            </w:r>
          </w:p>
        </w:tc>
      </w:tr>
    </w:tbl>
    <w:p w14:paraId="09925B5A" w14:textId="77777777" w:rsidR="00E50B91" w:rsidRDefault="00E50B91" w:rsidP="00E50B91">
      <w:pPr>
        <w:pStyle w:val="NormalWeb"/>
        <w:spacing w:before="400" w:beforeAutospacing="0" w:after="120" w:afterAutospacing="0"/>
        <w:jc w:val="both"/>
      </w:pPr>
      <w:r>
        <w:rPr>
          <w:rFonts w:ascii="Calibri" w:hAnsi="Calibri" w:cs="Calibri"/>
          <w:b/>
          <w:bCs/>
          <w:color w:val="000000"/>
          <w:sz w:val="22"/>
          <w:szCs w:val="22"/>
        </w:rPr>
        <w:t>Interoperability guidelines</w:t>
      </w:r>
    </w:p>
    <w:p w14:paraId="4EC73475" w14:textId="77777777" w:rsidR="00E50B91" w:rsidRDefault="00E50B91" w:rsidP="00E50B91">
      <w:pPr>
        <w:pStyle w:val="NormalWeb"/>
        <w:spacing w:before="0" w:beforeAutospacing="0" w:after="0" w:afterAutospacing="0"/>
        <w:jc w:val="both"/>
      </w:pPr>
      <w:r>
        <w:rPr>
          <w:rFonts w:ascii="Calibri" w:hAnsi="Calibri" w:cs="Calibri"/>
          <w:i/>
          <w:iCs/>
          <w:color w:val="000000"/>
          <w:sz w:val="22"/>
          <w:szCs w:val="22"/>
        </w:rPr>
        <w:t>Technical interoperability guidelines</w:t>
      </w:r>
    </w:p>
    <w:p w14:paraId="4B343F26" w14:textId="77777777" w:rsidR="00E50B91" w:rsidRDefault="00E50B91" w:rsidP="00E50B91">
      <w:pPr>
        <w:pStyle w:val="NormalWeb"/>
        <w:numPr>
          <w:ilvl w:val="0"/>
          <w:numId w:val="34"/>
        </w:numPr>
        <w:spacing w:before="0" w:beforeAutospacing="0" w:after="0" w:afterAutospacing="0"/>
        <w:textAlignment w:val="baseline"/>
        <w:rPr>
          <w:rFonts w:ascii="Calibri" w:hAnsi="Calibri" w:cs="Calibri"/>
          <w:color w:val="000000"/>
          <w:sz w:val="22"/>
          <w:szCs w:val="22"/>
        </w:rPr>
      </w:pPr>
      <w:r>
        <w:rPr>
          <w:rFonts w:ascii="Calibri" w:hAnsi="Calibri" w:cs="Calibri"/>
          <w:color w:val="000000"/>
          <w:sz w:val="22"/>
          <w:szCs w:val="22"/>
        </w:rPr>
        <w:t>The attributes used to express user information should follow the REFEDS R&amp;S attribute bundle, as defined in [</w:t>
      </w:r>
      <w:hyperlink r:id="rId34" w:history="1">
        <w:r>
          <w:rPr>
            <w:rStyle w:val="Hyperlink"/>
            <w:rFonts w:eastAsiaTheme="majorEastAsia" w:cs="Calibri"/>
            <w:color w:val="1155CC"/>
            <w:sz w:val="22"/>
            <w:szCs w:val="22"/>
          </w:rPr>
          <w:t>REFEDS-R&amp;S</w:t>
        </w:r>
      </w:hyperlink>
      <w:r>
        <w:rPr>
          <w:rFonts w:ascii="Calibri" w:hAnsi="Calibri" w:cs="Calibri"/>
          <w:color w:val="000000"/>
          <w:sz w:val="22"/>
          <w:szCs w:val="22"/>
        </w:rPr>
        <w:t>]</w:t>
      </w:r>
    </w:p>
    <w:p w14:paraId="2E677C0F" w14:textId="77777777" w:rsidR="00E50B91" w:rsidRDefault="00E50B91" w:rsidP="00E50B91">
      <w:pPr>
        <w:pStyle w:val="NormalWeb"/>
        <w:numPr>
          <w:ilvl w:val="0"/>
          <w:numId w:val="34"/>
        </w:numPr>
        <w:spacing w:before="0" w:beforeAutospacing="0" w:after="0" w:afterAutospacing="0"/>
        <w:jc w:val="both"/>
        <w:textAlignment w:val="baseline"/>
        <w:rPr>
          <w:rFonts w:ascii="Calibri" w:hAnsi="Calibri" w:cs="Calibri"/>
          <w:color w:val="000000"/>
          <w:sz w:val="22"/>
          <w:szCs w:val="22"/>
        </w:rPr>
      </w:pPr>
      <w:r>
        <w:rPr>
          <w:rFonts w:ascii="Calibri" w:hAnsi="Calibri" w:cs="Calibri"/>
          <w:color w:val="000000"/>
          <w:sz w:val="22"/>
          <w:szCs w:val="22"/>
        </w:rPr>
        <w:t xml:space="preserve">VO/group membership and role information, which is typically used by relying parties for </w:t>
      </w:r>
      <w:proofErr w:type="spellStart"/>
      <w:r>
        <w:rPr>
          <w:rFonts w:ascii="Calibri" w:hAnsi="Calibri" w:cs="Calibri"/>
          <w:color w:val="000000"/>
          <w:sz w:val="22"/>
          <w:szCs w:val="22"/>
        </w:rPr>
        <w:t>authorisation</w:t>
      </w:r>
      <w:proofErr w:type="spellEnd"/>
      <w:r>
        <w:rPr>
          <w:rFonts w:ascii="Calibri" w:hAnsi="Calibri" w:cs="Calibri"/>
          <w:color w:val="000000"/>
          <w:sz w:val="22"/>
          <w:szCs w:val="22"/>
        </w:rPr>
        <w:t xml:space="preserve"> purposes, should be expressed according to [</w:t>
      </w:r>
      <w:hyperlink r:id="rId35" w:history="1">
        <w:r>
          <w:rPr>
            <w:rStyle w:val="Hyperlink"/>
            <w:rFonts w:eastAsiaTheme="majorEastAsia" w:cs="Calibri"/>
            <w:color w:val="1155CC"/>
            <w:sz w:val="22"/>
            <w:szCs w:val="22"/>
          </w:rPr>
          <w:t>AARC-G002</w:t>
        </w:r>
      </w:hyperlink>
      <w:r>
        <w:rPr>
          <w:rFonts w:ascii="Calibri" w:hAnsi="Calibri" w:cs="Calibri"/>
          <w:color w:val="000000"/>
          <w:sz w:val="22"/>
          <w:szCs w:val="22"/>
        </w:rPr>
        <w:t>]</w:t>
      </w:r>
    </w:p>
    <w:p w14:paraId="530F0A77" w14:textId="77777777" w:rsidR="00E50B91" w:rsidRDefault="00E50B91" w:rsidP="00E50B91">
      <w:pPr>
        <w:pStyle w:val="NormalWeb"/>
        <w:numPr>
          <w:ilvl w:val="0"/>
          <w:numId w:val="34"/>
        </w:numPr>
        <w:spacing w:before="0" w:beforeAutospacing="0" w:after="120" w:afterAutospacing="0"/>
        <w:jc w:val="both"/>
        <w:textAlignment w:val="baseline"/>
        <w:rPr>
          <w:rFonts w:ascii="Calibri" w:hAnsi="Calibri" w:cs="Calibri"/>
          <w:color w:val="000000"/>
          <w:sz w:val="22"/>
          <w:szCs w:val="22"/>
        </w:rPr>
      </w:pPr>
      <w:r>
        <w:rPr>
          <w:rFonts w:ascii="Calibri" w:hAnsi="Calibri" w:cs="Calibri"/>
          <w:color w:val="000000"/>
          <w:sz w:val="22"/>
          <w:szCs w:val="22"/>
        </w:rPr>
        <w:t>Capabilities, which define the resources or child-resources a user is allowed to access, should be expressed according to [</w:t>
      </w:r>
      <w:hyperlink r:id="rId36" w:history="1">
        <w:r>
          <w:rPr>
            <w:rStyle w:val="Hyperlink"/>
            <w:rFonts w:eastAsiaTheme="majorEastAsia" w:cs="Calibri"/>
            <w:color w:val="1155CC"/>
            <w:sz w:val="22"/>
            <w:szCs w:val="22"/>
          </w:rPr>
          <w:t>AARC-G027</w:t>
        </w:r>
      </w:hyperlink>
      <w:r>
        <w:rPr>
          <w:rFonts w:ascii="Calibri" w:hAnsi="Calibri" w:cs="Calibri"/>
          <w:color w:val="000000"/>
          <w:sz w:val="22"/>
          <w:szCs w:val="22"/>
        </w:rPr>
        <w:t>]</w:t>
      </w:r>
    </w:p>
    <w:p w14:paraId="031147DB" w14:textId="77777777" w:rsidR="00E50B91" w:rsidRDefault="00E50B91" w:rsidP="00E50B91">
      <w:pPr>
        <w:pStyle w:val="NormalWeb"/>
        <w:numPr>
          <w:ilvl w:val="0"/>
          <w:numId w:val="34"/>
        </w:numPr>
        <w:spacing w:before="0" w:beforeAutospacing="0" w:after="120" w:afterAutospacing="0"/>
        <w:jc w:val="both"/>
        <w:textAlignment w:val="baseline"/>
        <w:rPr>
          <w:rFonts w:ascii="Calibri" w:hAnsi="Calibri" w:cs="Calibri"/>
          <w:color w:val="000000"/>
          <w:sz w:val="22"/>
          <w:szCs w:val="22"/>
        </w:rPr>
      </w:pPr>
      <w:r>
        <w:rPr>
          <w:rFonts w:ascii="Calibri" w:hAnsi="Calibri" w:cs="Calibri"/>
          <w:color w:val="000000"/>
          <w:sz w:val="22"/>
          <w:szCs w:val="22"/>
        </w:rPr>
        <w:t>Affiliation information, including (</w:t>
      </w:r>
      <w:proofErr w:type="spellStart"/>
      <w:r>
        <w:rPr>
          <w:rFonts w:ascii="Calibri" w:hAnsi="Calibri" w:cs="Calibri"/>
          <w:color w:val="000000"/>
          <w:sz w:val="22"/>
          <w:szCs w:val="22"/>
        </w:rPr>
        <w:t>i</w:t>
      </w:r>
      <w:proofErr w:type="spellEnd"/>
      <w:r>
        <w:rPr>
          <w:rFonts w:ascii="Calibri" w:hAnsi="Calibri" w:cs="Calibri"/>
          <w:color w:val="000000"/>
          <w:sz w:val="22"/>
          <w:szCs w:val="22"/>
        </w:rPr>
        <w:t xml:space="preserve">) the user’s affiliation within their Home </w:t>
      </w:r>
      <w:proofErr w:type="spellStart"/>
      <w:r>
        <w:rPr>
          <w:rFonts w:ascii="Calibri" w:hAnsi="Calibri" w:cs="Calibri"/>
          <w:color w:val="000000"/>
          <w:sz w:val="22"/>
          <w:szCs w:val="22"/>
        </w:rPr>
        <w:t>Organisation</w:t>
      </w:r>
      <w:proofErr w:type="spellEnd"/>
      <w:r>
        <w:rPr>
          <w:rFonts w:ascii="Calibri" w:hAnsi="Calibri" w:cs="Calibri"/>
          <w:color w:val="000000"/>
          <w:sz w:val="22"/>
          <w:szCs w:val="22"/>
        </w:rPr>
        <w:t>, such as a university, research institution or private company, and (ii) affiliation within the Community, such as cross-</w:t>
      </w:r>
      <w:proofErr w:type="spellStart"/>
      <w:r>
        <w:rPr>
          <w:rFonts w:ascii="Calibri" w:hAnsi="Calibri" w:cs="Calibri"/>
          <w:color w:val="000000"/>
          <w:sz w:val="22"/>
          <w:szCs w:val="22"/>
        </w:rPr>
        <w:t>organisation</w:t>
      </w:r>
      <w:proofErr w:type="spellEnd"/>
      <w:r>
        <w:rPr>
          <w:rFonts w:ascii="Calibri" w:hAnsi="Calibri" w:cs="Calibri"/>
          <w:color w:val="000000"/>
          <w:sz w:val="22"/>
          <w:szCs w:val="22"/>
        </w:rPr>
        <w:t xml:space="preserve"> collaborations, should be expressed according to [</w:t>
      </w:r>
      <w:hyperlink r:id="rId37" w:history="1">
        <w:r>
          <w:rPr>
            <w:rStyle w:val="Hyperlink"/>
            <w:rFonts w:eastAsiaTheme="majorEastAsia" w:cs="Calibri"/>
            <w:color w:val="1155CC"/>
            <w:sz w:val="22"/>
            <w:szCs w:val="22"/>
          </w:rPr>
          <w:t>AARC-G025</w:t>
        </w:r>
      </w:hyperlink>
      <w:r>
        <w:rPr>
          <w:rFonts w:ascii="Calibri" w:hAnsi="Calibri" w:cs="Calibri"/>
          <w:color w:val="000000"/>
          <w:sz w:val="22"/>
          <w:szCs w:val="22"/>
        </w:rPr>
        <w:t>]</w:t>
      </w:r>
    </w:p>
    <w:p w14:paraId="48FE611E" w14:textId="77777777" w:rsidR="00E50B91" w:rsidRDefault="00E50B91" w:rsidP="00E50B91">
      <w:pPr>
        <w:pStyle w:val="NormalWeb"/>
        <w:numPr>
          <w:ilvl w:val="0"/>
          <w:numId w:val="34"/>
        </w:numPr>
        <w:spacing w:before="0" w:beforeAutospacing="0" w:after="120" w:afterAutospacing="0"/>
        <w:jc w:val="both"/>
        <w:textAlignment w:val="baseline"/>
        <w:rPr>
          <w:rFonts w:ascii="Calibri" w:hAnsi="Calibri" w:cs="Calibri"/>
          <w:color w:val="000000"/>
          <w:sz w:val="22"/>
          <w:szCs w:val="22"/>
        </w:rPr>
      </w:pPr>
      <w:r>
        <w:rPr>
          <w:rFonts w:ascii="Calibri" w:hAnsi="Calibri" w:cs="Calibri"/>
          <w:color w:val="000000"/>
          <w:sz w:val="22"/>
          <w:szCs w:val="22"/>
        </w:rPr>
        <w:t>Assurance information used to express how much relying parties can trust the attribute assertions about the authenticating user should follow:</w:t>
      </w:r>
    </w:p>
    <w:p w14:paraId="61E09D75" w14:textId="77777777" w:rsidR="00E50B91" w:rsidRDefault="00E50B91" w:rsidP="00E50B91">
      <w:pPr>
        <w:pStyle w:val="NormalWeb"/>
        <w:numPr>
          <w:ilvl w:val="1"/>
          <w:numId w:val="34"/>
        </w:numPr>
        <w:spacing w:before="0" w:beforeAutospacing="0" w:after="120" w:afterAutospacing="0"/>
        <w:jc w:val="both"/>
        <w:textAlignment w:val="baseline"/>
        <w:rPr>
          <w:rFonts w:ascii="Calibri" w:hAnsi="Calibri" w:cs="Calibri"/>
          <w:color w:val="000000"/>
          <w:sz w:val="22"/>
          <w:szCs w:val="22"/>
        </w:rPr>
      </w:pPr>
      <w:r>
        <w:rPr>
          <w:rFonts w:ascii="Calibri" w:hAnsi="Calibri" w:cs="Calibri"/>
          <w:color w:val="000000"/>
          <w:sz w:val="22"/>
          <w:szCs w:val="22"/>
        </w:rPr>
        <w:t>REFEDS Assurance framework (RAF) [</w:t>
      </w:r>
      <w:hyperlink r:id="rId38" w:history="1">
        <w:r>
          <w:rPr>
            <w:rStyle w:val="Hyperlink"/>
            <w:rFonts w:eastAsiaTheme="majorEastAsia" w:cs="Calibri"/>
            <w:color w:val="1155CC"/>
            <w:sz w:val="22"/>
            <w:szCs w:val="22"/>
          </w:rPr>
          <w:t>RAF-version-1.0</w:t>
        </w:r>
      </w:hyperlink>
      <w:r>
        <w:rPr>
          <w:rFonts w:ascii="Calibri" w:hAnsi="Calibri" w:cs="Calibri"/>
          <w:color w:val="000000"/>
          <w:sz w:val="22"/>
          <w:szCs w:val="22"/>
        </w:rPr>
        <w:t>]</w:t>
      </w:r>
    </w:p>
    <w:p w14:paraId="01056F05" w14:textId="77777777" w:rsidR="00E50B91" w:rsidRDefault="00E50B91" w:rsidP="00E50B91">
      <w:pPr>
        <w:pStyle w:val="NormalWeb"/>
        <w:numPr>
          <w:ilvl w:val="1"/>
          <w:numId w:val="34"/>
        </w:numPr>
        <w:spacing w:before="0" w:beforeAutospacing="0" w:after="120" w:afterAutospacing="0"/>
        <w:jc w:val="both"/>
        <w:textAlignment w:val="baseline"/>
        <w:rPr>
          <w:rFonts w:ascii="Calibri" w:hAnsi="Calibri" w:cs="Calibri"/>
          <w:color w:val="000000"/>
          <w:sz w:val="22"/>
          <w:szCs w:val="22"/>
        </w:rPr>
      </w:pPr>
      <w:r>
        <w:rPr>
          <w:rFonts w:ascii="Calibri" w:hAnsi="Calibri" w:cs="Calibri"/>
          <w:color w:val="000000"/>
          <w:sz w:val="22"/>
          <w:szCs w:val="22"/>
        </w:rPr>
        <w:lastRenderedPageBreak/>
        <w:t>Guideline on the exchange of specific assurance information [</w:t>
      </w:r>
      <w:hyperlink r:id="rId39" w:history="1">
        <w:r>
          <w:rPr>
            <w:rStyle w:val="Hyperlink"/>
            <w:rFonts w:eastAsiaTheme="majorEastAsia" w:cs="Calibri"/>
            <w:color w:val="1155CC"/>
            <w:sz w:val="22"/>
            <w:szCs w:val="22"/>
          </w:rPr>
          <w:t>AARC-G021</w:t>
        </w:r>
      </w:hyperlink>
      <w:r>
        <w:rPr>
          <w:rFonts w:ascii="Calibri" w:hAnsi="Calibri" w:cs="Calibri"/>
          <w:color w:val="000000"/>
          <w:sz w:val="22"/>
          <w:szCs w:val="22"/>
        </w:rPr>
        <w:t>]</w:t>
      </w:r>
    </w:p>
    <w:p w14:paraId="4880BA4E" w14:textId="77777777" w:rsidR="00E50B91" w:rsidRDefault="00E50B91" w:rsidP="00E50B91">
      <w:pPr>
        <w:pStyle w:val="NormalWeb"/>
        <w:numPr>
          <w:ilvl w:val="1"/>
          <w:numId w:val="34"/>
        </w:numPr>
        <w:spacing w:before="0" w:beforeAutospacing="0" w:after="0" w:afterAutospacing="0"/>
        <w:jc w:val="both"/>
        <w:textAlignment w:val="baseline"/>
        <w:rPr>
          <w:rFonts w:ascii="Calibri" w:hAnsi="Calibri" w:cs="Calibri"/>
          <w:color w:val="000000"/>
          <w:sz w:val="22"/>
          <w:szCs w:val="22"/>
        </w:rPr>
      </w:pPr>
      <w:r>
        <w:rPr>
          <w:rFonts w:ascii="Calibri" w:hAnsi="Calibri" w:cs="Calibri"/>
          <w:color w:val="000000"/>
          <w:sz w:val="22"/>
          <w:szCs w:val="22"/>
        </w:rPr>
        <w:t>Guideline for evaluating the combined assurance of linked identities [</w:t>
      </w:r>
      <w:hyperlink r:id="rId40" w:history="1">
        <w:r>
          <w:rPr>
            <w:rStyle w:val="Hyperlink"/>
            <w:rFonts w:eastAsiaTheme="majorEastAsia" w:cs="Calibri"/>
            <w:color w:val="1155CC"/>
            <w:sz w:val="22"/>
            <w:szCs w:val="22"/>
          </w:rPr>
          <w:t>AARC-G031</w:t>
        </w:r>
      </w:hyperlink>
      <w:r>
        <w:rPr>
          <w:rFonts w:ascii="Calibri" w:hAnsi="Calibri" w:cs="Calibri"/>
          <w:color w:val="000000"/>
          <w:sz w:val="22"/>
          <w:szCs w:val="22"/>
        </w:rPr>
        <w:t>]</w:t>
      </w:r>
    </w:p>
    <w:p w14:paraId="0D78119D" w14:textId="77777777" w:rsidR="00E50B91" w:rsidRDefault="00E50B91" w:rsidP="00E50B91">
      <w:pPr>
        <w:pStyle w:val="NormalWeb"/>
        <w:numPr>
          <w:ilvl w:val="1"/>
          <w:numId w:val="34"/>
        </w:numPr>
        <w:spacing w:before="0" w:beforeAutospacing="0" w:after="0" w:afterAutospacing="0"/>
        <w:jc w:val="both"/>
        <w:textAlignment w:val="baseline"/>
        <w:rPr>
          <w:rFonts w:ascii="Calibri" w:hAnsi="Calibri" w:cs="Calibri"/>
          <w:color w:val="000000"/>
          <w:sz w:val="22"/>
          <w:szCs w:val="22"/>
        </w:rPr>
      </w:pPr>
      <w:r>
        <w:rPr>
          <w:rFonts w:ascii="Calibri" w:hAnsi="Calibri" w:cs="Calibri"/>
          <w:color w:val="000000"/>
          <w:sz w:val="22"/>
          <w:szCs w:val="22"/>
        </w:rPr>
        <w:t>Guideline Expression of REFEDS RAF assurance components for identities derived from social media accounts [</w:t>
      </w:r>
      <w:hyperlink r:id="rId41" w:history="1">
        <w:r>
          <w:rPr>
            <w:rStyle w:val="Hyperlink"/>
            <w:rFonts w:eastAsiaTheme="majorEastAsia" w:cs="Calibri"/>
            <w:color w:val="1155CC"/>
            <w:sz w:val="22"/>
            <w:szCs w:val="22"/>
          </w:rPr>
          <w:t>AARC-GO41</w:t>
        </w:r>
      </w:hyperlink>
      <w:r>
        <w:rPr>
          <w:rFonts w:ascii="Calibri" w:hAnsi="Calibri" w:cs="Calibri"/>
          <w:color w:val="000000"/>
          <w:sz w:val="22"/>
          <w:szCs w:val="22"/>
        </w:rPr>
        <w:t>]</w:t>
      </w:r>
    </w:p>
    <w:p w14:paraId="524879B8" w14:textId="77777777" w:rsidR="00E50B91" w:rsidRDefault="00E50B91" w:rsidP="00E50B91">
      <w:pPr>
        <w:pStyle w:val="NormalWeb"/>
        <w:numPr>
          <w:ilvl w:val="1"/>
          <w:numId w:val="34"/>
        </w:numPr>
        <w:spacing w:before="0" w:beforeAutospacing="0" w:after="0" w:afterAutospacing="0"/>
        <w:jc w:val="both"/>
        <w:textAlignment w:val="baseline"/>
        <w:rPr>
          <w:rFonts w:ascii="Calibri" w:hAnsi="Calibri" w:cs="Calibri"/>
          <w:color w:val="000000"/>
          <w:sz w:val="22"/>
          <w:szCs w:val="22"/>
        </w:rPr>
      </w:pPr>
      <w:r>
        <w:rPr>
          <w:rFonts w:ascii="Calibri" w:hAnsi="Calibri" w:cs="Calibri"/>
          <w:color w:val="000000"/>
          <w:sz w:val="22"/>
          <w:szCs w:val="22"/>
        </w:rPr>
        <w:t>Guidelines for expressing the freshness of affiliation information, as defined in [</w:t>
      </w:r>
      <w:hyperlink r:id="rId42" w:history="1">
        <w:r>
          <w:rPr>
            <w:rStyle w:val="Hyperlink"/>
            <w:rFonts w:eastAsiaTheme="majorEastAsia" w:cs="Calibri"/>
            <w:color w:val="1155CC"/>
            <w:sz w:val="22"/>
            <w:szCs w:val="22"/>
          </w:rPr>
          <w:t>AARC-G025</w:t>
        </w:r>
      </w:hyperlink>
      <w:r>
        <w:rPr>
          <w:rFonts w:ascii="Calibri" w:hAnsi="Calibri" w:cs="Calibri"/>
          <w:color w:val="000000"/>
          <w:sz w:val="22"/>
          <w:szCs w:val="22"/>
        </w:rPr>
        <w:t>]</w:t>
      </w:r>
    </w:p>
    <w:p w14:paraId="41725ED6" w14:textId="77777777" w:rsidR="00E50B91" w:rsidRDefault="00E50B91" w:rsidP="00E50B91">
      <w:pPr>
        <w:pStyle w:val="NormalWeb"/>
        <w:numPr>
          <w:ilvl w:val="0"/>
          <w:numId w:val="34"/>
        </w:numPr>
        <w:spacing w:before="0" w:beforeAutospacing="0" w:after="120" w:afterAutospacing="0"/>
        <w:jc w:val="both"/>
        <w:textAlignment w:val="baseline"/>
        <w:rPr>
          <w:rFonts w:ascii="Calibri" w:hAnsi="Calibri" w:cs="Calibri"/>
          <w:color w:val="000000"/>
          <w:sz w:val="22"/>
          <w:szCs w:val="22"/>
        </w:rPr>
      </w:pPr>
      <w:r>
        <w:rPr>
          <w:rFonts w:ascii="Calibri" w:hAnsi="Calibri" w:cs="Calibri"/>
          <w:color w:val="000000"/>
          <w:sz w:val="22"/>
          <w:szCs w:val="22"/>
        </w:rPr>
        <w:t xml:space="preserve">OAuth2 </w:t>
      </w:r>
      <w:proofErr w:type="spellStart"/>
      <w:r>
        <w:rPr>
          <w:rFonts w:ascii="Calibri" w:hAnsi="Calibri" w:cs="Calibri"/>
          <w:color w:val="000000"/>
          <w:sz w:val="22"/>
          <w:szCs w:val="22"/>
        </w:rPr>
        <w:t>Authorisation</w:t>
      </w:r>
      <w:proofErr w:type="spellEnd"/>
      <w:r>
        <w:rPr>
          <w:rFonts w:ascii="Calibri" w:hAnsi="Calibri" w:cs="Calibri"/>
          <w:color w:val="000000"/>
          <w:sz w:val="22"/>
          <w:szCs w:val="22"/>
        </w:rPr>
        <w:t xml:space="preserve"> servers should be able to validate tokens issued by other trusted </w:t>
      </w:r>
      <w:proofErr w:type="spellStart"/>
      <w:r>
        <w:rPr>
          <w:rFonts w:ascii="Calibri" w:hAnsi="Calibri" w:cs="Calibri"/>
          <w:color w:val="000000"/>
          <w:sz w:val="22"/>
          <w:szCs w:val="22"/>
        </w:rPr>
        <w:t>Authorisaton</w:t>
      </w:r>
      <w:proofErr w:type="spellEnd"/>
      <w:r>
        <w:rPr>
          <w:rFonts w:ascii="Calibri" w:hAnsi="Calibri" w:cs="Calibri"/>
          <w:color w:val="000000"/>
          <w:sz w:val="22"/>
          <w:szCs w:val="22"/>
        </w:rPr>
        <w:t xml:space="preserve"> servers. Extending existing flows, such as the OAuth2 Token Exchange flow [</w:t>
      </w:r>
      <w:hyperlink r:id="rId43" w:history="1">
        <w:r>
          <w:rPr>
            <w:rStyle w:val="Hyperlink"/>
            <w:rFonts w:eastAsiaTheme="majorEastAsia" w:cs="Calibri"/>
            <w:color w:val="1155CC"/>
            <w:sz w:val="22"/>
            <w:szCs w:val="22"/>
          </w:rPr>
          <w:t>OAuth2-Token-Exchange-draft</w:t>
        </w:r>
      </w:hyperlink>
      <w:r>
        <w:rPr>
          <w:rFonts w:ascii="Calibri" w:hAnsi="Calibri" w:cs="Calibri"/>
          <w:color w:val="000000"/>
          <w:sz w:val="22"/>
          <w:szCs w:val="22"/>
        </w:rPr>
        <w:t>], will need to be considered for enabling the validation of such externally issued tokens.</w:t>
      </w:r>
    </w:p>
    <w:p w14:paraId="5BAD0D29" w14:textId="77777777" w:rsidR="00E50B91" w:rsidRDefault="00E50B91" w:rsidP="00E50B91">
      <w:pPr>
        <w:pStyle w:val="NormalWeb"/>
        <w:spacing w:before="0" w:beforeAutospacing="0" w:after="0" w:afterAutospacing="0"/>
        <w:jc w:val="both"/>
      </w:pPr>
      <w:r>
        <w:rPr>
          <w:rFonts w:ascii="Calibri" w:hAnsi="Calibri" w:cs="Calibri"/>
          <w:i/>
          <w:iCs/>
          <w:color w:val="000000"/>
          <w:sz w:val="22"/>
          <w:szCs w:val="22"/>
        </w:rPr>
        <w:t>Policy interoperability guidelines</w:t>
      </w:r>
    </w:p>
    <w:p w14:paraId="18DEBA6F" w14:textId="77777777" w:rsidR="00E50B91" w:rsidRDefault="00E50B91" w:rsidP="00E50B91">
      <w:pPr>
        <w:pStyle w:val="NormalWeb"/>
        <w:numPr>
          <w:ilvl w:val="0"/>
          <w:numId w:val="35"/>
        </w:numPr>
        <w:spacing w:before="0" w:beforeAutospacing="0" w:after="0" w:afterAutospacing="0"/>
        <w:jc w:val="both"/>
        <w:textAlignment w:val="baseline"/>
        <w:rPr>
          <w:rFonts w:ascii="Calibri" w:hAnsi="Calibri" w:cs="Calibri"/>
          <w:color w:val="000000"/>
          <w:sz w:val="22"/>
          <w:szCs w:val="22"/>
        </w:rPr>
      </w:pPr>
      <w:r>
        <w:rPr>
          <w:rFonts w:ascii="Calibri" w:hAnsi="Calibri" w:cs="Calibri"/>
          <w:color w:val="000000"/>
          <w:sz w:val="22"/>
          <w:szCs w:val="22"/>
        </w:rPr>
        <w:t>For the EOSC AAI, compliance with the GÉANT Data Protection Code of Conduct version 1 (DPCoCo-v1) [</w:t>
      </w:r>
      <w:hyperlink r:id="rId44" w:history="1">
        <w:r>
          <w:rPr>
            <w:rStyle w:val="Hyperlink"/>
            <w:rFonts w:eastAsiaTheme="majorEastAsia" w:cs="Calibri"/>
            <w:color w:val="1155CC"/>
            <w:sz w:val="22"/>
            <w:szCs w:val="22"/>
          </w:rPr>
          <w:t>DPCoCo-v1</w:t>
        </w:r>
      </w:hyperlink>
      <w:r>
        <w:rPr>
          <w:rFonts w:ascii="Calibri" w:hAnsi="Calibri" w:cs="Calibri"/>
          <w:color w:val="000000"/>
          <w:sz w:val="22"/>
          <w:szCs w:val="22"/>
        </w:rPr>
        <w:t>] is implicit, since it reflects the Data Protection Directive and means compliance with applicable European rules (see [</w:t>
      </w:r>
      <w:hyperlink r:id="rId45" w:history="1">
        <w:r>
          <w:rPr>
            <w:rStyle w:val="Hyperlink"/>
            <w:rFonts w:eastAsiaTheme="majorEastAsia" w:cs="Calibri"/>
            <w:color w:val="1155CC"/>
            <w:sz w:val="22"/>
            <w:szCs w:val="22"/>
          </w:rPr>
          <w:t>AARC-G040</w:t>
        </w:r>
      </w:hyperlink>
      <w:r>
        <w:rPr>
          <w:rFonts w:ascii="Calibri" w:hAnsi="Calibri" w:cs="Calibri"/>
          <w:color w:val="000000"/>
          <w:sz w:val="22"/>
          <w:szCs w:val="22"/>
        </w:rPr>
        <w:t>]). To explicitly declare compliance with DPCoCo-v1, the privacy notice of each EOSC AAI service should include a reference to DPCoCo-v1.</w:t>
      </w:r>
    </w:p>
    <w:p w14:paraId="33A2F450" w14:textId="77777777" w:rsidR="00E50B91" w:rsidRDefault="00E50B91" w:rsidP="00E50B91">
      <w:pPr>
        <w:pStyle w:val="NormalWeb"/>
        <w:numPr>
          <w:ilvl w:val="0"/>
          <w:numId w:val="35"/>
        </w:numPr>
        <w:spacing w:before="0" w:beforeAutospacing="0" w:after="0" w:afterAutospacing="0"/>
        <w:jc w:val="both"/>
        <w:textAlignment w:val="baseline"/>
        <w:rPr>
          <w:rFonts w:ascii="Calibri" w:hAnsi="Calibri" w:cs="Calibri"/>
          <w:color w:val="000000"/>
          <w:sz w:val="22"/>
          <w:szCs w:val="22"/>
        </w:rPr>
      </w:pPr>
      <w:r>
        <w:rPr>
          <w:rFonts w:ascii="Calibri" w:hAnsi="Calibri" w:cs="Calibri"/>
          <w:color w:val="000000"/>
          <w:sz w:val="22"/>
          <w:szCs w:val="22"/>
        </w:rPr>
        <w:t xml:space="preserve">The entities of the EOSC AAI registered with </w:t>
      </w:r>
      <w:proofErr w:type="spellStart"/>
      <w:r>
        <w:rPr>
          <w:rFonts w:ascii="Calibri" w:hAnsi="Calibri" w:cs="Calibri"/>
          <w:color w:val="000000"/>
          <w:sz w:val="22"/>
          <w:szCs w:val="22"/>
        </w:rPr>
        <w:t>eduGAIN</w:t>
      </w:r>
      <w:proofErr w:type="spellEnd"/>
      <w:r>
        <w:rPr>
          <w:rFonts w:ascii="Calibri" w:hAnsi="Calibri" w:cs="Calibri"/>
          <w:color w:val="000000"/>
          <w:sz w:val="22"/>
          <w:szCs w:val="22"/>
        </w:rPr>
        <w:t xml:space="preserve"> should meet the </w:t>
      </w:r>
      <w:proofErr w:type="spellStart"/>
      <w:r>
        <w:rPr>
          <w:rFonts w:ascii="Calibri" w:hAnsi="Calibri" w:cs="Calibri"/>
          <w:color w:val="000000"/>
          <w:sz w:val="22"/>
          <w:szCs w:val="22"/>
        </w:rPr>
        <w:t>Sirtfi</w:t>
      </w:r>
      <w:proofErr w:type="spellEnd"/>
      <w:r>
        <w:rPr>
          <w:rFonts w:ascii="Calibri" w:hAnsi="Calibri" w:cs="Calibri"/>
          <w:color w:val="000000"/>
          <w:sz w:val="22"/>
          <w:szCs w:val="22"/>
        </w:rPr>
        <w:t xml:space="preserve"> [</w:t>
      </w:r>
      <w:hyperlink r:id="rId46" w:history="1">
        <w:r>
          <w:rPr>
            <w:rStyle w:val="Hyperlink"/>
            <w:rFonts w:eastAsiaTheme="majorEastAsia" w:cs="Calibri"/>
            <w:color w:val="1155CC"/>
            <w:sz w:val="22"/>
            <w:szCs w:val="22"/>
          </w:rPr>
          <w:t>Sirtfi-v1.0</w:t>
        </w:r>
      </w:hyperlink>
      <w:r>
        <w:rPr>
          <w:rFonts w:ascii="Calibri" w:hAnsi="Calibri" w:cs="Calibri"/>
          <w:color w:val="000000"/>
          <w:sz w:val="22"/>
          <w:szCs w:val="22"/>
        </w:rPr>
        <w:t xml:space="preserve">] requirements and express </w:t>
      </w:r>
      <w:proofErr w:type="spellStart"/>
      <w:r>
        <w:rPr>
          <w:rFonts w:ascii="Calibri" w:hAnsi="Calibri" w:cs="Calibri"/>
          <w:color w:val="000000"/>
          <w:sz w:val="22"/>
          <w:szCs w:val="22"/>
        </w:rPr>
        <w:t>Sirtfi</w:t>
      </w:r>
      <w:proofErr w:type="spellEnd"/>
      <w:r>
        <w:rPr>
          <w:rFonts w:ascii="Calibri" w:hAnsi="Calibri" w:cs="Calibri"/>
          <w:color w:val="000000"/>
          <w:sz w:val="22"/>
          <w:szCs w:val="22"/>
        </w:rPr>
        <w:t xml:space="preserve"> compliance in their metadata in order to facilitate coordinated response to security incidents across </w:t>
      </w:r>
      <w:proofErr w:type="spellStart"/>
      <w:r>
        <w:rPr>
          <w:rFonts w:ascii="Calibri" w:hAnsi="Calibri" w:cs="Calibri"/>
          <w:color w:val="000000"/>
          <w:sz w:val="22"/>
          <w:szCs w:val="22"/>
        </w:rPr>
        <w:t>organisational</w:t>
      </w:r>
      <w:proofErr w:type="spellEnd"/>
      <w:r>
        <w:rPr>
          <w:rFonts w:ascii="Calibri" w:hAnsi="Calibri" w:cs="Calibri"/>
          <w:color w:val="000000"/>
          <w:sz w:val="22"/>
          <w:szCs w:val="22"/>
        </w:rPr>
        <w:t xml:space="preserve"> boundaries.</w:t>
      </w:r>
    </w:p>
    <w:p w14:paraId="0D837F8D" w14:textId="77777777" w:rsidR="00E50B91" w:rsidRDefault="00E50B91" w:rsidP="00E50B91">
      <w:pPr>
        <w:pStyle w:val="NormalWeb"/>
        <w:numPr>
          <w:ilvl w:val="0"/>
          <w:numId w:val="35"/>
        </w:numPr>
        <w:spacing w:before="0" w:beforeAutospacing="0" w:after="120" w:afterAutospacing="0"/>
        <w:jc w:val="both"/>
        <w:textAlignment w:val="baseline"/>
        <w:rPr>
          <w:rFonts w:ascii="Calibri" w:hAnsi="Calibri" w:cs="Calibri"/>
          <w:color w:val="000000"/>
          <w:sz w:val="22"/>
          <w:szCs w:val="22"/>
        </w:rPr>
      </w:pPr>
      <w:r>
        <w:rPr>
          <w:rFonts w:ascii="Calibri" w:hAnsi="Calibri" w:cs="Calibri"/>
          <w:color w:val="000000"/>
          <w:sz w:val="22"/>
          <w:szCs w:val="22"/>
        </w:rPr>
        <w:t>To reduce the burden on the users and increase the likelihood that they will read the AUP as they access resources from multiple service and resource providers, the EOSC AAI services should adopt the WISE Baseline AUP model [</w:t>
      </w:r>
      <w:hyperlink r:id="rId47" w:history="1">
        <w:r>
          <w:rPr>
            <w:rStyle w:val="Hyperlink"/>
            <w:rFonts w:eastAsiaTheme="majorEastAsia" w:cs="Calibri"/>
            <w:color w:val="1155CC"/>
            <w:sz w:val="22"/>
            <w:szCs w:val="22"/>
          </w:rPr>
          <w:t>WISE-AUP</w:t>
        </w:r>
      </w:hyperlink>
      <w:r>
        <w:rPr>
          <w:rFonts w:ascii="Calibri" w:hAnsi="Calibri" w:cs="Calibri"/>
          <w:color w:val="000000"/>
          <w:sz w:val="22"/>
          <w:szCs w:val="22"/>
        </w:rPr>
        <w:t>].</w:t>
      </w:r>
    </w:p>
    <w:p w14:paraId="08C0F993" w14:textId="77777777" w:rsidR="00E50B91" w:rsidRDefault="00E50B91" w:rsidP="00E50B91">
      <w:pPr>
        <w:pStyle w:val="NormalWeb"/>
        <w:spacing w:before="400" w:beforeAutospacing="0" w:after="120" w:afterAutospacing="0"/>
        <w:jc w:val="both"/>
      </w:pPr>
      <w:r>
        <w:rPr>
          <w:rFonts w:ascii="Calibri" w:hAnsi="Calibri" w:cs="Calibri"/>
          <w:b/>
          <w:bCs/>
          <w:color w:val="000000"/>
          <w:sz w:val="22"/>
          <w:szCs w:val="22"/>
        </w:rPr>
        <w:t>Examples of solutions implementing this specification</w:t>
      </w:r>
    </w:p>
    <w:p w14:paraId="6E333C77" w14:textId="77777777" w:rsidR="00E50B91" w:rsidRDefault="00E50B91" w:rsidP="00E50B91">
      <w:pPr>
        <w:pStyle w:val="NormalWeb"/>
        <w:spacing w:before="0" w:beforeAutospacing="0" w:after="0" w:afterAutospacing="0"/>
      </w:pPr>
      <w:r>
        <w:rPr>
          <w:rFonts w:ascii="Calibri" w:hAnsi="Calibri" w:cs="Calibri"/>
          <w:color w:val="000000"/>
          <w:sz w:val="22"/>
          <w:szCs w:val="22"/>
        </w:rPr>
        <w:t>AAI services:</w:t>
      </w:r>
    </w:p>
    <w:p w14:paraId="3EA386AF" w14:textId="77777777" w:rsidR="00E50B91" w:rsidRDefault="00E50B91" w:rsidP="00E50B91">
      <w:pPr>
        <w:pStyle w:val="NormalWeb"/>
        <w:numPr>
          <w:ilvl w:val="0"/>
          <w:numId w:val="36"/>
        </w:numPr>
        <w:spacing w:before="0" w:beforeAutospacing="0" w:after="0" w:afterAutospacing="0"/>
        <w:textAlignment w:val="baseline"/>
        <w:rPr>
          <w:rFonts w:ascii="Calibri" w:hAnsi="Calibri" w:cs="Calibri"/>
          <w:color w:val="000000"/>
          <w:sz w:val="22"/>
          <w:szCs w:val="22"/>
        </w:rPr>
      </w:pPr>
      <w:hyperlink r:id="rId48" w:history="1">
        <w:r>
          <w:rPr>
            <w:rStyle w:val="Hyperlink"/>
            <w:rFonts w:eastAsiaTheme="majorEastAsia" w:cs="Calibri"/>
            <w:color w:val="1155CC"/>
            <w:sz w:val="22"/>
            <w:szCs w:val="22"/>
          </w:rPr>
          <w:t>B2ACCESS</w:t>
        </w:r>
      </w:hyperlink>
    </w:p>
    <w:p w14:paraId="2272BF51" w14:textId="77777777" w:rsidR="00E50B91" w:rsidRDefault="00E50B91" w:rsidP="00E50B91">
      <w:pPr>
        <w:pStyle w:val="NormalWeb"/>
        <w:numPr>
          <w:ilvl w:val="0"/>
          <w:numId w:val="36"/>
        </w:numPr>
        <w:spacing w:before="0" w:beforeAutospacing="0" w:after="0" w:afterAutospacing="0"/>
        <w:textAlignment w:val="baseline"/>
        <w:rPr>
          <w:rFonts w:ascii="Calibri" w:hAnsi="Calibri" w:cs="Calibri"/>
          <w:color w:val="000000"/>
          <w:sz w:val="22"/>
          <w:szCs w:val="22"/>
        </w:rPr>
      </w:pPr>
      <w:hyperlink r:id="rId49" w:history="1">
        <w:r>
          <w:rPr>
            <w:rStyle w:val="Hyperlink"/>
            <w:rFonts w:eastAsiaTheme="majorEastAsia" w:cs="Calibri"/>
            <w:color w:val="1155CC"/>
            <w:sz w:val="22"/>
            <w:szCs w:val="22"/>
          </w:rPr>
          <w:t>Check-in</w:t>
        </w:r>
      </w:hyperlink>
    </w:p>
    <w:p w14:paraId="272254CD" w14:textId="77777777" w:rsidR="00E50B91" w:rsidRDefault="00E50B91" w:rsidP="00E50B91">
      <w:pPr>
        <w:pStyle w:val="NormalWeb"/>
        <w:numPr>
          <w:ilvl w:val="0"/>
          <w:numId w:val="36"/>
        </w:numPr>
        <w:spacing w:before="0" w:beforeAutospacing="0" w:after="0" w:afterAutospacing="0"/>
        <w:textAlignment w:val="baseline"/>
        <w:rPr>
          <w:rFonts w:ascii="Calibri" w:hAnsi="Calibri" w:cs="Calibri"/>
          <w:color w:val="000000"/>
          <w:sz w:val="22"/>
          <w:szCs w:val="22"/>
        </w:rPr>
      </w:pPr>
      <w:hyperlink r:id="rId50" w:history="1">
        <w:proofErr w:type="spellStart"/>
        <w:r>
          <w:rPr>
            <w:rStyle w:val="Hyperlink"/>
            <w:rFonts w:eastAsiaTheme="majorEastAsia" w:cs="Calibri"/>
            <w:color w:val="1155CC"/>
            <w:sz w:val="22"/>
            <w:szCs w:val="22"/>
          </w:rPr>
          <w:t>eduTEAMS</w:t>
        </w:r>
        <w:proofErr w:type="spellEnd"/>
      </w:hyperlink>
    </w:p>
    <w:p w14:paraId="6B1C1629" w14:textId="77777777" w:rsidR="00E50B91" w:rsidRDefault="00E50B91" w:rsidP="00E50B91">
      <w:pPr>
        <w:pStyle w:val="NormalWeb"/>
        <w:numPr>
          <w:ilvl w:val="0"/>
          <w:numId w:val="36"/>
        </w:numPr>
        <w:spacing w:before="0" w:beforeAutospacing="0" w:after="0" w:afterAutospacing="0"/>
        <w:textAlignment w:val="baseline"/>
        <w:rPr>
          <w:rFonts w:ascii="Calibri" w:hAnsi="Calibri" w:cs="Calibri"/>
          <w:color w:val="000000"/>
          <w:sz w:val="22"/>
          <w:szCs w:val="22"/>
        </w:rPr>
      </w:pPr>
      <w:hyperlink r:id="rId51" w:history="1">
        <w:r>
          <w:rPr>
            <w:rStyle w:val="Hyperlink"/>
            <w:rFonts w:eastAsiaTheme="majorEastAsia" w:cs="Calibri"/>
            <w:color w:val="1155CC"/>
            <w:sz w:val="22"/>
            <w:szCs w:val="22"/>
          </w:rPr>
          <w:t>INDIGO-IAM</w:t>
        </w:r>
      </w:hyperlink>
      <w:r>
        <w:rPr>
          <w:rFonts w:ascii="Calibri" w:hAnsi="Calibri" w:cs="Calibri"/>
          <w:color w:val="000000"/>
          <w:sz w:val="22"/>
          <w:szCs w:val="22"/>
        </w:rPr>
        <w:t> </w:t>
      </w:r>
    </w:p>
    <w:p w14:paraId="2F8B0CFF" w14:textId="77777777" w:rsidR="00E50B91" w:rsidRDefault="00E50B91" w:rsidP="00E50B91">
      <w:pPr>
        <w:pStyle w:val="NormalWeb"/>
        <w:spacing w:before="0" w:beforeAutospacing="0" w:after="0" w:afterAutospacing="0"/>
      </w:pPr>
      <w:r>
        <w:rPr>
          <w:rFonts w:ascii="Calibri" w:hAnsi="Calibri" w:cs="Calibri"/>
          <w:color w:val="000000"/>
          <w:sz w:val="22"/>
          <w:szCs w:val="22"/>
        </w:rPr>
        <w:t>Identity and Access Management:</w:t>
      </w:r>
    </w:p>
    <w:p w14:paraId="047E4DE9" w14:textId="77777777" w:rsidR="00E50B91" w:rsidRDefault="00E50B91" w:rsidP="00E50B91">
      <w:pPr>
        <w:pStyle w:val="NormalWeb"/>
        <w:numPr>
          <w:ilvl w:val="0"/>
          <w:numId w:val="37"/>
        </w:numPr>
        <w:spacing w:before="0" w:beforeAutospacing="0" w:after="0" w:afterAutospacing="0"/>
        <w:textAlignment w:val="baseline"/>
        <w:rPr>
          <w:rFonts w:ascii="Calibri" w:hAnsi="Calibri" w:cs="Calibri"/>
          <w:color w:val="000000"/>
          <w:sz w:val="22"/>
          <w:szCs w:val="22"/>
        </w:rPr>
      </w:pPr>
      <w:hyperlink r:id="rId52" w:history="1">
        <w:r>
          <w:rPr>
            <w:rStyle w:val="Hyperlink"/>
            <w:rFonts w:eastAsiaTheme="majorEastAsia" w:cs="Calibri"/>
            <w:color w:val="1155CC"/>
            <w:sz w:val="22"/>
            <w:szCs w:val="22"/>
          </w:rPr>
          <w:t>Perun</w:t>
        </w:r>
      </w:hyperlink>
    </w:p>
    <w:p w14:paraId="7C7F8AC1" w14:textId="77777777" w:rsidR="00E50B91" w:rsidRDefault="00E50B91" w:rsidP="00E50B91">
      <w:pPr>
        <w:pStyle w:val="NormalWeb"/>
        <w:numPr>
          <w:ilvl w:val="0"/>
          <w:numId w:val="37"/>
        </w:numPr>
        <w:spacing w:before="0" w:beforeAutospacing="0" w:after="0" w:afterAutospacing="0"/>
        <w:textAlignment w:val="baseline"/>
        <w:rPr>
          <w:rFonts w:ascii="Calibri" w:hAnsi="Calibri" w:cs="Calibri"/>
          <w:color w:val="000000"/>
          <w:sz w:val="22"/>
          <w:szCs w:val="22"/>
        </w:rPr>
      </w:pPr>
      <w:hyperlink r:id="rId53" w:history="1">
        <w:r>
          <w:rPr>
            <w:rStyle w:val="Hyperlink"/>
            <w:rFonts w:eastAsiaTheme="majorEastAsia" w:cs="Calibri"/>
            <w:color w:val="1155CC"/>
            <w:sz w:val="22"/>
            <w:szCs w:val="22"/>
          </w:rPr>
          <w:t>Comanage</w:t>
        </w:r>
      </w:hyperlink>
    </w:p>
    <w:p w14:paraId="43FB0746" w14:textId="77777777" w:rsidR="00E50B91" w:rsidRDefault="00E50B91" w:rsidP="00E50B91">
      <w:pPr>
        <w:pStyle w:val="NormalWeb"/>
        <w:numPr>
          <w:ilvl w:val="0"/>
          <w:numId w:val="37"/>
        </w:numPr>
        <w:spacing w:before="0" w:beforeAutospacing="0" w:after="0" w:afterAutospacing="0"/>
        <w:textAlignment w:val="baseline"/>
        <w:rPr>
          <w:rFonts w:ascii="Calibri" w:hAnsi="Calibri" w:cs="Calibri"/>
          <w:color w:val="000000"/>
          <w:sz w:val="22"/>
          <w:szCs w:val="22"/>
        </w:rPr>
      </w:pPr>
      <w:hyperlink r:id="rId54" w:history="1">
        <w:r>
          <w:rPr>
            <w:rStyle w:val="Hyperlink"/>
            <w:rFonts w:eastAsiaTheme="majorEastAsia" w:cs="Calibri"/>
            <w:color w:val="1155CC"/>
            <w:sz w:val="22"/>
            <w:szCs w:val="22"/>
          </w:rPr>
          <w:t>HEXAA</w:t>
        </w:r>
      </w:hyperlink>
    </w:p>
    <w:p w14:paraId="1052D755" w14:textId="77777777" w:rsidR="00E50B91" w:rsidRDefault="00E50B91" w:rsidP="00E50B91">
      <w:pPr>
        <w:pStyle w:val="NormalWeb"/>
        <w:spacing w:before="0" w:beforeAutospacing="0" w:after="0" w:afterAutospacing="0"/>
      </w:pPr>
      <w:r>
        <w:rPr>
          <w:rFonts w:ascii="Calibri" w:hAnsi="Calibri" w:cs="Calibri"/>
          <w:color w:val="000000"/>
          <w:sz w:val="22"/>
          <w:szCs w:val="22"/>
        </w:rPr>
        <w:t>Token Translation Services: </w:t>
      </w:r>
    </w:p>
    <w:p w14:paraId="551B959E" w14:textId="77777777" w:rsidR="00E50B91" w:rsidRDefault="00E50B91" w:rsidP="00E50B91">
      <w:pPr>
        <w:pStyle w:val="NormalWeb"/>
        <w:numPr>
          <w:ilvl w:val="0"/>
          <w:numId w:val="38"/>
        </w:numPr>
        <w:spacing w:before="0" w:beforeAutospacing="0" w:after="0" w:afterAutospacing="0"/>
        <w:textAlignment w:val="baseline"/>
        <w:rPr>
          <w:rFonts w:ascii="Calibri" w:hAnsi="Calibri" w:cs="Calibri"/>
          <w:color w:val="000000"/>
          <w:sz w:val="22"/>
          <w:szCs w:val="22"/>
        </w:rPr>
      </w:pPr>
      <w:hyperlink r:id="rId55" w:history="1">
        <w:proofErr w:type="spellStart"/>
        <w:r>
          <w:rPr>
            <w:rStyle w:val="Hyperlink"/>
            <w:rFonts w:eastAsiaTheme="majorEastAsia" w:cs="Calibri"/>
            <w:color w:val="1155CC"/>
            <w:sz w:val="22"/>
            <w:szCs w:val="22"/>
          </w:rPr>
          <w:t>WaTTS</w:t>
        </w:r>
        <w:proofErr w:type="spellEnd"/>
      </w:hyperlink>
    </w:p>
    <w:p w14:paraId="1E47C204" w14:textId="77777777" w:rsidR="00E50B91" w:rsidRDefault="00E50B91" w:rsidP="00E50B91">
      <w:pPr>
        <w:pStyle w:val="NormalWeb"/>
        <w:numPr>
          <w:ilvl w:val="0"/>
          <w:numId w:val="38"/>
        </w:numPr>
        <w:spacing w:before="0" w:beforeAutospacing="0" w:after="0" w:afterAutospacing="0"/>
        <w:textAlignment w:val="baseline"/>
        <w:rPr>
          <w:rFonts w:ascii="Calibri" w:hAnsi="Calibri" w:cs="Calibri"/>
          <w:color w:val="000000"/>
          <w:sz w:val="22"/>
          <w:szCs w:val="22"/>
        </w:rPr>
      </w:pPr>
      <w:hyperlink r:id="rId56" w:history="1">
        <w:proofErr w:type="spellStart"/>
        <w:r>
          <w:rPr>
            <w:rStyle w:val="Hyperlink"/>
            <w:rFonts w:eastAsiaTheme="majorEastAsia" w:cs="Calibri"/>
            <w:color w:val="1155CC"/>
            <w:sz w:val="22"/>
            <w:szCs w:val="22"/>
          </w:rPr>
          <w:t>MasterPortal</w:t>
        </w:r>
        <w:proofErr w:type="spellEnd"/>
      </w:hyperlink>
    </w:p>
    <w:p w14:paraId="41EAD158" w14:textId="77777777" w:rsidR="00E50B91" w:rsidRDefault="00E50B91" w:rsidP="00E50B91">
      <w:pPr>
        <w:pStyle w:val="NormalWeb"/>
        <w:numPr>
          <w:ilvl w:val="0"/>
          <w:numId w:val="38"/>
        </w:numPr>
        <w:spacing w:before="0" w:beforeAutospacing="0" w:after="0" w:afterAutospacing="0"/>
        <w:textAlignment w:val="baseline"/>
        <w:rPr>
          <w:rFonts w:ascii="Calibri" w:hAnsi="Calibri" w:cs="Calibri"/>
          <w:color w:val="000000"/>
          <w:sz w:val="22"/>
          <w:szCs w:val="22"/>
        </w:rPr>
      </w:pPr>
      <w:hyperlink r:id="rId57" w:history="1">
        <w:r>
          <w:rPr>
            <w:rStyle w:val="Hyperlink"/>
            <w:rFonts w:eastAsiaTheme="majorEastAsia" w:cs="Calibri"/>
            <w:color w:val="1155CC"/>
            <w:sz w:val="22"/>
            <w:szCs w:val="22"/>
          </w:rPr>
          <w:t>RCauth.eu</w:t>
        </w:r>
      </w:hyperlink>
    </w:p>
    <w:p w14:paraId="686DF828" w14:textId="77777777" w:rsidR="00E50B91" w:rsidRDefault="00E50B91" w:rsidP="00E50B91">
      <w:pPr>
        <w:pStyle w:val="NormalWeb"/>
        <w:spacing w:before="360" w:beforeAutospacing="0" w:after="120" w:afterAutospacing="0"/>
        <w:jc w:val="both"/>
      </w:pPr>
      <w:r>
        <w:rPr>
          <w:rFonts w:ascii="Calibri" w:hAnsi="Calibri" w:cs="Calibri"/>
          <w:b/>
          <w:bCs/>
          <w:color w:val="000000"/>
          <w:sz w:val="22"/>
          <w:szCs w:val="22"/>
        </w:rPr>
        <w:t>Procedure to integrate a service with the EOSC Hub AAI</w:t>
      </w:r>
    </w:p>
    <w:p w14:paraId="5DD5F28B" w14:textId="77777777" w:rsidR="00E50B91" w:rsidRDefault="00E50B91" w:rsidP="00E50B91">
      <w:pPr>
        <w:pStyle w:val="NormalWeb"/>
        <w:numPr>
          <w:ilvl w:val="0"/>
          <w:numId w:val="39"/>
        </w:numPr>
        <w:spacing w:before="0" w:beforeAutospacing="0" w:after="0" w:afterAutospacing="0"/>
        <w:textAlignment w:val="baseline"/>
        <w:rPr>
          <w:rFonts w:ascii="Calibri" w:hAnsi="Calibri" w:cs="Calibri"/>
          <w:color w:val="000000"/>
          <w:sz w:val="22"/>
          <w:szCs w:val="22"/>
        </w:rPr>
      </w:pPr>
      <w:hyperlink r:id="rId58" w:history="1">
        <w:r>
          <w:rPr>
            <w:rStyle w:val="Hyperlink"/>
            <w:rFonts w:eastAsiaTheme="majorEastAsia" w:cs="Calibri"/>
            <w:color w:val="1155CC"/>
            <w:sz w:val="22"/>
            <w:szCs w:val="22"/>
          </w:rPr>
          <w:t>B2ACCESS</w:t>
        </w:r>
      </w:hyperlink>
    </w:p>
    <w:p w14:paraId="73C69A6E" w14:textId="77777777" w:rsidR="00E50B91" w:rsidRDefault="00E50B91" w:rsidP="00E50B91">
      <w:pPr>
        <w:pStyle w:val="NormalWeb"/>
        <w:numPr>
          <w:ilvl w:val="0"/>
          <w:numId w:val="39"/>
        </w:numPr>
        <w:spacing w:before="0" w:beforeAutospacing="0" w:after="0" w:afterAutospacing="0"/>
        <w:textAlignment w:val="baseline"/>
        <w:rPr>
          <w:rFonts w:ascii="Calibri" w:hAnsi="Calibri" w:cs="Calibri"/>
          <w:color w:val="000000"/>
          <w:sz w:val="22"/>
          <w:szCs w:val="22"/>
        </w:rPr>
      </w:pPr>
      <w:hyperlink r:id="rId59" w:history="1">
        <w:r>
          <w:rPr>
            <w:rStyle w:val="Hyperlink"/>
            <w:rFonts w:eastAsiaTheme="majorEastAsia" w:cs="Calibri"/>
            <w:color w:val="1155CC"/>
            <w:sz w:val="22"/>
            <w:szCs w:val="22"/>
          </w:rPr>
          <w:t>Check-in</w:t>
        </w:r>
      </w:hyperlink>
    </w:p>
    <w:p w14:paraId="251F694B" w14:textId="77777777" w:rsidR="00E50B91" w:rsidRDefault="00E50B91" w:rsidP="00E50B91">
      <w:pPr>
        <w:pStyle w:val="NormalWeb"/>
        <w:numPr>
          <w:ilvl w:val="0"/>
          <w:numId w:val="39"/>
        </w:numPr>
        <w:spacing w:before="0" w:beforeAutospacing="0" w:after="0" w:afterAutospacing="0"/>
        <w:textAlignment w:val="baseline"/>
        <w:rPr>
          <w:rFonts w:ascii="Calibri" w:hAnsi="Calibri" w:cs="Calibri"/>
          <w:color w:val="000000"/>
          <w:sz w:val="22"/>
          <w:szCs w:val="22"/>
        </w:rPr>
      </w:pPr>
      <w:hyperlink r:id="rId60" w:history="1">
        <w:proofErr w:type="spellStart"/>
        <w:r>
          <w:rPr>
            <w:rStyle w:val="Hyperlink"/>
            <w:rFonts w:eastAsiaTheme="majorEastAsia" w:cs="Calibri"/>
            <w:color w:val="1155CC"/>
            <w:sz w:val="22"/>
            <w:szCs w:val="22"/>
          </w:rPr>
          <w:t>eduTEAMS</w:t>
        </w:r>
        <w:proofErr w:type="spellEnd"/>
      </w:hyperlink>
    </w:p>
    <w:p w14:paraId="41173B7C" w14:textId="77777777" w:rsidR="00E50B91" w:rsidRDefault="00E50B91" w:rsidP="00E50B91">
      <w:pPr>
        <w:pStyle w:val="NormalWeb"/>
        <w:numPr>
          <w:ilvl w:val="0"/>
          <w:numId w:val="39"/>
        </w:numPr>
        <w:spacing w:before="0" w:beforeAutospacing="0" w:after="0" w:afterAutospacing="0"/>
        <w:textAlignment w:val="baseline"/>
        <w:rPr>
          <w:rFonts w:ascii="Calibri" w:hAnsi="Calibri" w:cs="Calibri"/>
          <w:color w:val="000000"/>
          <w:sz w:val="22"/>
          <w:szCs w:val="22"/>
        </w:rPr>
      </w:pPr>
      <w:hyperlink r:id="rId61" w:history="1">
        <w:r>
          <w:rPr>
            <w:rStyle w:val="Hyperlink"/>
            <w:rFonts w:eastAsiaTheme="majorEastAsia" w:cs="Calibri"/>
            <w:color w:val="1155CC"/>
            <w:sz w:val="22"/>
            <w:szCs w:val="22"/>
          </w:rPr>
          <w:t>INDIGO-IAM</w:t>
        </w:r>
      </w:hyperlink>
      <w:r>
        <w:rPr>
          <w:rFonts w:ascii="Calibri" w:hAnsi="Calibri" w:cs="Calibri"/>
          <w:color w:val="000000"/>
          <w:sz w:val="22"/>
          <w:szCs w:val="22"/>
        </w:rPr>
        <w:t> </w:t>
      </w:r>
    </w:p>
    <w:p w14:paraId="3351EAB3" w14:textId="77777777" w:rsidR="00E50B91" w:rsidRDefault="00E50B91" w:rsidP="00E50B91">
      <w:pPr>
        <w:pStyle w:val="NormalWeb"/>
        <w:numPr>
          <w:ilvl w:val="0"/>
          <w:numId w:val="40"/>
        </w:numPr>
        <w:spacing w:before="0" w:beforeAutospacing="0" w:after="0" w:afterAutospacing="0"/>
        <w:textAlignment w:val="baseline"/>
        <w:rPr>
          <w:rFonts w:ascii="Calibri" w:hAnsi="Calibri" w:cs="Calibri"/>
          <w:color w:val="000000"/>
          <w:sz w:val="22"/>
          <w:szCs w:val="22"/>
        </w:rPr>
      </w:pPr>
      <w:hyperlink r:id="rId62" w:history="1">
        <w:r>
          <w:rPr>
            <w:rStyle w:val="Hyperlink"/>
            <w:rFonts w:eastAsiaTheme="majorEastAsia" w:cs="Calibri"/>
            <w:color w:val="1155CC"/>
            <w:sz w:val="22"/>
            <w:szCs w:val="22"/>
          </w:rPr>
          <w:t>Perun</w:t>
        </w:r>
      </w:hyperlink>
    </w:p>
    <w:p w14:paraId="68A5A905" w14:textId="77777777" w:rsidR="00E50B91" w:rsidRDefault="00E50B91" w:rsidP="00E50B91">
      <w:pPr>
        <w:pStyle w:val="NormalWeb"/>
        <w:numPr>
          <w:ilvl w:val="0"/>
          <w:numId w:val="41"/>
        </w:numPr>
        <w:spacing w:before="0" w:beforeAutospacing="0" w:after="0" w:afterAutospacing="0"/>
        <w:textAlignment w:val="baseline"/>
        <w:rPr>
          <w:rFonts w:ascii="Calibri" w:hAnsi="Calibri" w:cs="Calibri"/>
          <w:color w:val="000000"/>
          <w:sz w:val="22"/>
          <w:szCs w:val="22"/>
        </w:rPr>
      </w:pPr>
      <w:hyperlink r:id="rId63" w:history="1">
        <w:proofErr w:type="spellStart"/>
        <w:r>
          <w:rPr>
            <w:rStyle w:val="Hyperlink"/>
            <w:rFonts w:eastAsiaTheme="majorEastAsia" w:cs="Calibri"/>
            <w:color w:val="1155CC"/>
            <w:sz w:val="22"/>
            <w:szCs w:val="22"/>
          </w:rPr>
          <w:t>WaTTS</w:t>
        </w:r>
        <w:proofErr w:type="spellEnd"/>
      </w:hyperlink>
    </w:p>
    <w:p w14:paraId="36521669" w14:textId="77777777" w:rsidR="00E50B91" w:rsidRDefault="00E50B91" w:rsidP="00E50B91">
      <w:pPr>
        <w:pStyle w:val="NormalWeb"/>
        <w:numPr>
          <w:ilvl w:val="0"/>
          <w:numId w:val="41"/>
        </w:numPr>
        <w:spacing w:before="0" w:beforeAutospacing="0" w:after="0" w:afterAutospacing="0"/>
        <w:textAlignment w:val="baseline"/>
        <w:rPr>
          <w:rFonts w:ascii="Calibri" w:hAnsi="Calibri" w:cs="Calibri"/>
          <w:color w:val="000000"/>
          <w:sz w:val="22"/>
          <w:szCs w:val="22"/>
        </w:rPr>
      </w:pPr>
      <w:hyperlink r:id="rId64" w:history="1">
        <w:proofErr w:type="spellStart"/>
        <w:r>
          <w:rPr>
            <w:rStyle w:val="Hyperlink"/>
            <w:rFonts w:eastAsiaTheme="majorEastAsia" w:cs="Calibri"/>
            <w:color w:val="1155CC"/>
            <w:sz w:val="22"/>
            <w:szCs w:val="22"/>
          </w:rPr>
          <w:t>MasterPortal</w:t>
        </w:r>
        <w:proofErr w:type="spellEnd"/>
      </w:hyperlink>
    </w:p>
    <w:p w14:paraId="06327BB6" w14:textId="77777777" w:rsidR="00E50B91" w:rsidRDefault="00E50B91" w:rsidP="00E50B91">
      <w:pPr>
        <w:pStyle w:val="NormalWeb"/>
        <w:numPr>
          <w:ilvl w:val="0"/>
          <w:numId w:val="41"/>
        </w:numPr>
        <w:spacing w:before="0" w:beforeAutospacing="0" w:after="0" w:afterAutospacing="0"/>
        <w:textAlignment w:val="baseline"/>
        <w:rPr>
          <w:rFonts w:ascii="Calibri" w:hAnsi="Calibri" w:cs="Calibri"/>
          <w:color w:val="000000"/>
          <w:sz w:val="22"/>
          <w:szCs w:val="22"/>
        </w:rPr>
      </w:pPr>
      <w:hyperlink r:id="rId65" w:anchor="Self-Registration" w:history="1">
        <w:r>
          <w:rPr>
            <w:rStyle w:val="Hyperlink"/>
            <w:rFonts w:eastAsiaTheme="majorEastAsia" w:cs="Calibri"/>
            <w:color w:val="1155CC"/>
            <w:sz w:val="22"/>
            <w:szCs w:val="22"/>
          </w:rPr>
          <w:t>RCauth.eu</w:t>
        </w:r>
      </w:hyperlink>
    </w:p>
    <w:p w14:paraId="145CCE7B" w14:textId="476A056C" w:rsidR="00E50B91" w:rsidRDefault="00E50B91" w:rsidP="00E50B91"/>
    <w:p w14:paraId="495ED7AD" w14:textId="4C887DAB" w:rsidR="00E50B91" w:rsidRPr="00E50B91" w:rsidRDefault="00E50B91" w:rsidP="00E50B91">
      <w:pPr>
        <w:pStyle w:val="Appendix"/>
      </w:pPr>
      <w:bookmarkStart w:id="13" w:name="_Toc15645931"/>
      <w:r w:rsidRPr="00E50B91">
        <w:lastRenderedPageBreak/>
        <w:t>Cloud IaaS VM Management Technical Specification</w:t>
      </w:r>
      <w:bookmarkEnd w:id="13"/>
    </w:p>
    <w:p w14:paraId="3C34DDA2" w14:textId="77777777" w:rsidR="00E50B91" w:rsidRDefault="00E50B91" w:rsidP="00E50B91">
      <w:pPr>
        <w:pStyle w:val="NormalWeb"/>
        <w:spacing w:before="400" w:beforeAutospacing="0" w:after="120" w:afterAutospacing="0"/>
        <w:jc w:val="both"/>
      </w:pPr>
      <w:r>
        <w:rPr>
          <w:rFonts w:ascii="Calibri" w:hAnsi="Calibri" w:cs="Calibri"/>
          <w:b/>
          <w:bCs/>
          <w:color w:val="000000"/>
          <w:sz w:val="22"/>
          <w:szCs w:val="22"/>
        </w:rPr>
        <w:t>Introduction</w:t>
      </w:r>
    </w:p>
    <w:p w14:paraId="5327674B" w14:textId="77777777" w:rsidR="00E50B91" w:rsidRDefault="00E50B91" w:rsidP="00E50B91">
      <w:pPr>
        <w:pStyle w:val="NormalWeb"/>
        <w:spacing w:before="0" w:beforeAutospacing="0" w:after="0" w:afterAutospacing="0"/>
        <w:jc w:val="both"/>
      </w:pPr>
      <w:r>
        <w:rPr>
          <w:rFonts w:ascii="Calibri" w:hAnsi="Calibri" w:cs="Calibri"/>
          <w:color w:val="000000"/>
          <w:sz w:val="22"/>
          <w:szCs w:val="22"/>
        </w:rPr>
        <w:t>Services of Cloud IaaS VM Management provide on-demand API-based access to computing resources as Virtual Machines that can run user-defined arbitrary software (including operating systems and applications). Services in this category also allow management of block storage that can be associated to the VMs and network management to provide connectivity between VMs and external networks.</w:t>
      </w:r>
    </w:p>
    <w:p w14:paraId="29B28C94" w14:textId="77777777" w:rsidR="00E50B91" w:rsidRDefault="00E50B91" w:rsidP="00E50B91">
      <w:pPr>
        <w:pStyle w:val="NormalWeb"/>
        <w:spacing w:before="400" w:beforeAutospacing="0" w:after="120" w:afterAutospacing="0"/>
        <w:jc w:val="both"/>
      </w:pPr>
      <w:r>
        <w:rPr>
          <w:rFonts w:ascii="Calibri" w:hAnsi="Calibri" w:cs="Calibri"/>
          <w:b/>
          <w:bCs/>
          <w:color w:val="000000"/>
          <w:sz w:val="22"/>
          <w:szCs w:val="22"/>
        </w:rPr>
        <w:t>High-level Service Architecture</w:t>
      </w:r>
    </w:p>
    <w:p w14:paraId="1DB8D181" w14:textId="77777777" w:rsidR="00E50B91" w:rsidRDefault="00E50B91" w:rsidP="00E50B91">
      <w:pPr>
        <w:pStyle w:val="NormalWeb"/>
        <w:keepNext/>
        <w:spacing w:before="0" w:beforeAutospacing="0" w:after="0" w:afterAutospacing="0"/>
        <w:jc w:val="center"/>
      </w:pPr>
      <w:r>
        <w:rPr>
          <w:rFonts w:ascii="Arial" w:hAnsi="Arial" w:cs="Arial"/>
          <w:i/>
          <w:iCs/>
          <w:noProof/>
          <w:color w:val="000000"/>
          <w:sz w:val="22"/>
          <w:szCs w:val="22"/>
        </w:rPr>
        <w:drawing>
          <wp:inline distT="0" distB="0" distL="0" distR="0" wp14:anchorId="009A5829" wp14:editId="6685E1C5">
            <wp:extent cx="3667125" cy="3533775"/>
            <wp:effectExtent l="0" t="0" r="9525" b="0"/>
            <wp:docPr id="20" name="Picture 20" descr="https://lh6.googleusercontent.com/NKcGUABiyMbp4XY8PyH6_1_sq6bJxf6hE0fkdTLY61FKHOyYigaDCUO0w38Dyp-qU3YSS72S1Lf26SFBnTpzC1kRuUeGS5-TwH1vUt21bOc8Hiza95SkSadcCLcZQVgTluiKT9g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https://lh6.googleusercontent.com/NKcGUABiyMbp4XY8PyH6_1_sq6bJxf6hE0fkdTLY61FKHOyYigaDCUO0w38Dyp-qU3YSS72S1Lf26SFBnTpzC1kRuUeGS5-TwH1vUt21bOc8Hiza95SkSadcCLcZQVgTluiKT9g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667125" cy="3533775"/>
                    </a:xfrm>
                    <a:prstGeom prst="rect">
                      <a:avLst/>
                    </a:prstGeom>
                    <a:noFill/>
                    <a:ln>
                      <a:noFill/>
                    </a:ln>
                  </pic:spPr>
                </pic:pic>
              </a:graphicData>
            </a:graphic>
          </wp:inline>
        </w:drawing>
      </w:r>
    </w:p>
    <w:p w14:paraId="41C7C58F" w14:textId="20EA7E93" w:rsidR="00E50B91" w:rsidRDefault="00E50B91" w:rsidP="00E50B91">
      <w:pPr>
        <w:pStyle w:val="Caption"/>
        <w:jc w:val="center"/>
      </w:pPr>
      <w:r>
        <w:t xml:space="preserve">Figure </w:t>
      </w:r>
      <w:r>
        <w:fldChar w:fldCharType="begin"/>
      </w:r>
      <w:r>
        <w:instrText xml:space="preserve"> SEQ Figure \* ARABIC </w:instrText>
      </w:r>
      <w:r>
        <w:fldChar w:fldCharType="separate"/>
      </w:r>
      <w:r w:rsidR="004002C6">
        <w:rPr>
          <w:noProof/>
        </w:rPr>
        <w:t>6</w:t>
      </w:r>
      <w:r>
        <w:fldChar w:fldCharType="end"/>
      </w:r>
      <w:r>
        <w:t xml:space="preserve">. </w:t>
      </w:r>
      <w:r w:rsidRPr="00734718">
        <w:t>Cloud IaaS VM Management. High level architecture.</w:t>
      </w:r>
    </w:p>
    <w:p w14:paraId="7B1D2451" w14:textId="77777777" w:rsidR="00E50B91" w:rsidRDefault="00E50B91" w:rsidP="00E50B91">
      <w:pPr>
        <w:pStyle w:val="NormalWeb"/>
        <w:spacing w:before="0" w:beforeAutospacing="0" w:after="0" w:afterAutospacing="0"/>
        <w:jc w:val="both"/>
      </w:pPr>
      <w:r>
        <w:rPr>
          <w:rFonts w:ascii="Calibri" w:hAnsi="Calibri" w:cs="Calibri"/>
          <w:color w:val="000000"/>
          <w:sz w:val="22"/>
          <w:szCs w:val="22"/>
        </w:rPr>
        <w:t>IaaS VM Management services allow users to manage VMs that are instantiated from VM images and can be associated with permanent block storage. The VMs can execute any kind of workload, including new services or platforms that are accessed by platform users, which may be different from the IaaS VM Management users that manage the IaaS resources.</w:t>
      </w:r>
    </w:p>
    <w:p w14:paraId="28072246" w14:textId="77777777" w:rsidR="00E50B91" w:rsidRDefault="00E50B91" w:rsidP="00E50B91">
      <w:pPr>
        <w:pStyle w:val="NormalWeb"/>
        <w:spacing w:before="400" w:beforeAutospacing="0" w:after="120" w:afterAutospacing="0"/>
        <w:jc w:val="both"/>
      </w:pPr>
      <w:r>
        <w:rPr>
          <w:rFonts w:ascii="Calibri" w:hAnsi="Calibri" w:cs="Calibri"/>
          <w:b/>
          <w:bCs/>
          <w:color w:val="000000"/>
          <w:sz w:val="22"/>
          <w:szCs w:val="22"/>
        </w:rPr>
        <w:t>Adopted standards</w:t>
      </w:r>
    </w:p>
    <w:p w14:paraId="34BAB22B" w14:textId="77777777" w:rsidR="00E50B91" w:rsidRDefault="00E50B91" w:rsidP="00E50B91"/>
    <w:tbl>
      <w:tblPr>
        <w:tblW w:w="9026" w:type="dxa"/>
        <w:tblCellMar>
          <w:top w:w="15" w:type="dxa"/>
          <w:left w:w="15" w:type="dxa"/>
          <w:bottom w:w="15" w:type="dxa"/>
          <w:right w:w="15" w:type="dxa"/>
        </w:tblCellMar>
        <w:tblLook w:val="04A0" w:firstRow="1" w:lastRow="0" w:firstColumn="1" w:lastColumn="0" w:noHBand="0" w:noVBand="1"/>
      </w:tblPr>
      <w:tblGrid>
        <w:gridCol w:w="2510"/>
        <w:gridCol w:w="5303"/>
        <w:gridCol w:w="1213"/>
      </w:tblGrid>
      <w:tr w:rsidR="00E50B91" w14:paraId="5CBEC354" w14:textId="77777777" w:rsidTr="00E50B91">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7951F42F" w14:textId="77777777" w:rsidR="00E50B91" w:rsidRDefault="00E50B91">
            <w:pPr>
              <w:pStyle w:val="NormalWeb"/>
              <w:spacing w:before="0" w:beforeAutospacing="0" w:after="0" w:afterAutospacing="0"/>
              <w:jc w:val="both"/>
            </w:pPr>
            <w:r>
              <w:rPr>
                <w:rFonts w:ascii="Calibri" w:hAnsi="Calibri" w:cs="Calibri"/>
                <w:b/>
                <w:bCs/>
                <w:color w:val="000000"/>
                <w:sz w:val="22"/>
                <w:szCs w:val="22"/>
              </w:rPr>
              <w:t>Standard</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5811A3BD" w14:textId="77777777" w:rsidR="00E50B91" w:rsidRDefault="00E50B91">
            <w:pPr>
              <w:pStyle w:val="NormalWeb"/>
              <w:spacing w:before="0" w:beforeAutospacing="0" w:after="0" w:afterAutospacing="0"/>
              <w:jc w:val="both"/>
            </w:pPr>
            <w:r>
              <w:rPr>
                <w:rFonts w:ascii="Calibri" w:hAnsi="Calibri" w:cs="Calibri"/>
                <w:b/>
                <w:bCs/>
                <w:color w:val="000000"/>
                <w:sz w:val="22"/>
                <w:szCs w:val="22"/>
              </w:rPr>
              <w:t>Short description</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37C35C75" w14:textId="77777777" w:rsidR="00E50B91" w:rsidRDefault="00E50B91">
            <w:pPr>
              <w:pStyle w:val="NormalWeb"/>
              <w:spacing w:before="0" w:beforeAutospacing="0" w:after="0" w:afterAutospacing="0"/>
              <w:jc w:val="both"/>
            </w:pPr>
            <w:r>
              <w:rPr>
                <w:rFonts w:ascii="Calibri" w:hAnsi="Calibri" w:cs="Calibri"/>
                <w:b/>
                <w:bCs/>
                <w:color w:val="000000"/>
                <w:sz w:val="22"/>
                <w:szCs w:val="22"/>
              </w:rPr>
              <w:t>References</w:t>
            </w:r>
          </w:p>
        </w:tc>
      </w:tr>
      <w:tr w:rsidR="00E50B91" w14:paraId="05C4814E" w14:textId="77777777" w:rsidTr="00E50B9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584AA7" w14:textId="77777777" w:rsidR="00E50B91" w:rsidRDefault="00E50B91">
            <w:pPr>
              <w:pStyle w:val="NormalWeb"/>
              <w:spacing w:before="0" w:beforeAutospacing="0" w:after="0" w:afterAutospacing="0"/>
            </w:pPr>
            <w:r>
              <w:rPr>
                <w:rFonts w:ascii="Calibri" w:hAnsi="Calibri" w:cs="Calibri"/>
                <w:color w:val="000000"/>
                <w:sz w:val="22"/>
                <w:szCs w:val="22"/>
              </w:rPr>
              <w:t>Open Virtualization Format (OVF)</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34BA0A" w14:textId="77777777" w:rsidR="00E50B91" w:rsidRDefault="00E50B91">
            <w:pPr>
              <w:pStyle w:val="NormalWeb"/>
              <w:spacing w:before="0" w:beforeAutospacing="0" w:after="0" w:afterAutospacing="0"/>
            </w:pPr>
            <w:r>
              <w:rPr>
                <w:rFonts w:ascii="Calibri" w:hAnsi="Calibri" w:cs="Calibri"/>
                <w:color w:val="000000"/>
                <w:sz w:val="22"/>
                <w:szCs w:val="22"/>
              </w:rPr>
              <w:t>Packaging format for software solutions based on virtual systems (VM image format)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D1F584" w14:textId="77777777" w:rsidR="00E50B91" w:rsidRDefault="00E50B91">
            <w:pPr>
              <w:pStyle w:val="NormalWeb"/>
              <w:spacing w:before="0" w:beforeAutospacing="0" w:after="0" w:afterAutospacing="0"/>
            </w:pPr>
            <w:hyperlink r:id="rId67" w:history="1">
              <w:r>
                <w:rPr>
                  <w:rStyle w:val="Hyperlink"/>
                  <w:rFonts w:eastAsiaTheme="majorEastAsia" w:cs="Calibri"/>
                  <w:color w:val="1155CC"/>
                  <w:sz w:val="22"/>
                  <w:szCs w:val="22"/>
                </w:rPr>
                <w:t>OVF 2.1.1</w:t>
              </w:r>
            </w:hyperlink>
          </w:p>
        </w:tc>
      </w:tr>
    </w:tbl>
    <w:p w14:paraId="5EA1313A" w14:textId="77777777" w:rsidR="00E50B91" w:rsidRDefault="00E50B91" w:rsidP="00E50B91">
      <w:pPr>
        <w:spacing w:after="240"/>
      </w:pPr>
    </w:p>
    <w:tbl>
      <w:tblPr>
        <w:tblW w:w="9026" w:type="dxa"/>
        <w:tblCellMar>
          <w:top w:w="15" w:type="dxa"/>
          <w:left w:w="15" w:type="dxa"/>
          <w:bottom w:w="15" w:type="dxa"/>
          <w:right w:w="15" w:type="dxa"/>
        </w:tblCellMar>
        <w:tblLook w:val="04A0" w:firstRow="1" w:lastRow="0" w:firstColumn="1" w:lastColumn="0" w:noHBand="0" w:noVBand="1"/>
      </w:tblPr>
      <w:tblGrid>
        <w:gridCol w:w="2351"/>
        <w:gridCol w:w="4963"/>
        <w:gridCol w:w="1712"/>
      </w:tblGrid>
      <w:tr w:rsidR="00E50B91" w14:paraId="625EEBC2" w14:textId="77777777" w:rsidTr="00E50B91">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68EA5822" w14:textId="77777777" w:rsidR="00E50B91" w:rsidRDefault="00E50B91">
            <w:pPr>
              <w:pStyle w:val="NormalWeb"/>
              <w:spacing w:before="0" w:beforeAutospacing="0" w:after="0" w:afterAutospacing="0"/>
              <w:jc w:val="both"/>
            </w:pPr>
            <w:r>
              <w:rPr>
                <w:rFonts w:ascii="Calibri" w:hAnsi="Calibri" w:cs="Calibri"/>
                <w:b/>
                <w:bCs/>
                <w:color w:val="000000"/>
                <w:sz w:val="22"/>
                <w:szCs w:val="22"/>
              </w:rPr>
              <w:t>Protocol/API</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0143F6EF" w14:textId="77777777" w:rsidR="00E50B91" w:rsidRDefault="00E50B91">
            <w:pPr>
              <w:pStyle w:val="NormalWeb"/>
              <w:spacing w:before="0" w:beforeAutospacing="0" w:after="0" w:afterAutospacing="0"/>
              <w:jc w:val="both"/>
            </w:pPr>
            <w:r>
              <w:rPr>
                <w:rFonts w:ascii="Calibri" w:hAnsi="Calibri" w:cs="Calibri"/>
                <w:b/>
                <w:bCs/>
                <w:color w:val="000000"/>
                <w:sz w:val="22"/>
                <w:szCs w:val="22"/>
              </w:rPr>
              <w:t>Short description</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2764D57D" w14:textId="77777777" w:rsidR="00E50B91" w:rsidRDefault="00E50B91">
            <w:pPr>
              <w:pStyle w:val="NormalWeb"/>
              <w:spacing w:before="0" w:beforeAutospacing="0" w:after="0" w:afterAutospacing="0"/>
              <w:jc w:val="both"/>
            </w:pPr>
            <w:r>
              <w:rPr>
                <w:rFonts w:ascii="Calibri" w:hAnsi="Calibri" w:cs="Calibri"/>
                <w:b/>
                <w:bCs/>
                <w:color w:val="000000"/>
                <w:sz w:val="22"/>
                <w:szCs w:val="22"/>
              </w:rPr>
              <w:t>References</w:t>
            </w:r>
          </w:p>
        </w:tc>
      </w:tr>
      <w:tr w:rsidR="00E50B91" w14:paraId="70183377" w14:textId="77777777" w:rsidTr="00E50B9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876487" w14:textId="77777777" w:rsidR="00E50B91" w:rsidRDefault="00E50B91">
            <w:pPr>
              <w:pStyle w:val="NormalWeb"/>
              <w:spacing w:before="0" w:beforeAutospacing="0" w:after="0" w:afterAutospacing="0"/>
            </w:pPr>
            <w:r>
              <w:rPr>
                <w:rFonts w:ascii="Calibri" w:hAnsi="Calibri" w:cs="Calibri"/>
                <w:color w:val="000000"/>
                <w:sz w:val="22"/>
                <w:szCs w:val="22"/>
              </w:rPr>
              <w:t>OpenStack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28788A" w14:textId="77777777" w:rsidR="00E50B91" w:rsidRDefault="00E50B91">
            <w:pPr>
              <w:pStyle w:val="NormalWeb"/>
              <w:spacing w:before="0" w:beforeAutospacing="0" w:after="0" w:afterAutospacing="0"/>
            </w:pPr>
            <w:r>
              <w:rPr>
                <w:rFonts w:ascii="Calibri" w:hAnsi="Calibri" w:cs="Calibri"/>
                <w:color w:val="000000"/>
                <w:sz w:val="22"/>
                <w:szCs w:val="22"/>
              </w:rPr>
              <w:t>OpenStack is an Open Source cloud operating system that controls large pools of compute, storage, and networking resources throughout a datacenter, all managed and provisioned through APIs with common authentication mechanisms.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A53CBF" w14:textId="77777777" w:rsidR="00E50B91" w:rsidRDefault="00E50B91">
            <w:pPr>
              <w:pStyle w:val="NormalWeb"/>
              <w:spacing w:before="0" w:beforeAutospacing="0" w:after="0" w:afterAutospacing="0"/>
            </w:pPr>
            <w:hyperlink r:id="rId68" w:history="1">
              <w:r>
                <w:rPr>
                  <w:rStyle w:val="Hyperlink"/>
                  <w:rFonts w:eastAsiaTheme="majorEastAsia" w:cs="Calibri"/>
                  <w:color w:val="1155CC"/>
                  <w:sz w:val="22"/>
                  <w:szCs w:val="22"/>
                </w:rPr>
                <w:t>OpenStack API</w:t>
              </w:r>
            </w:hyperlink>
          </w:p>
        </w:tc>
      </w:tr>
      <w:tr w:rsidR="00E50B91" w14:paraId="67A1106E" w14:textId="77777777" w:rsidTr="00E50B9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7B5264" w14:textId="77777777" w:rsidR="00E50B91" w:rsidRDefault="00E50B91">
            <w:pPr>
              <w:pStyle w:val="NormalWeb"/>
              <w:spacing w:before="0" w:beforeAutospacing="0" w:after="0" w:afterAutospacing="0"/>
            </w:pPr>
            <w:r>
              <w:rPr>
                <w:rFonts w:ascii="Calibri" w:hAnsi="Calibri" w:cs="Calibri"/>
                <w:color w:val="000000"/>
                <w:sz w:val="22"/>
                <w:szCs w:val="22"/>
              </w:rPr>
              <w:t xml:space="preserve">Amazon EC2/EBS/VPS &amp; </w:t>
            </w:r>
            <w:r>
              <w:rPr>
                <w:rFonts w:ascii="Calibri" w:hAnsi="Calibri" w:cs="Calibri"/>
                <w:color w:val="444444"/>
                <w:shd w:val="clear" w:color="auto" w:fill="FFFFFF"/>
              </w:rPr>
              <w:t>AWS VPN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14B166" w14:textId="77777777" w:rsidR="00E50B91" w:rsidRDefault="00E50B91">
            <w:pPr>
              <w:pStyle w:val="NormalWeb"/>
              <w:spacing w:before="0" w:beforeAutospacing="0" w:after="0" w:afterAutospacing="0"/>
            </w:pPr>
            <w:r>
              <w:rPr>
                <w:rFonts w:ascii="Calibri" w:hAnsi="Calibri" w:cs="Calibri"/>
                <w:color w:val="000000"/>
                <w:sz w:val="22"/>
                <w:szCs w:val="22"/>
              </w:rPr>
              <w:t>Amazon Elastic Compute Cloud (EC2), Elastic Block Storage (EBS), Virtual Private Cloud (VPS) and AWS Virtual Private Network (AWS VPN) provide management of Virtual Machines and associated block storage and network features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E685A0" w14:textId="77777777" w:rsidR="00E50B91" w:rsidRDefault="00E50B91">
            <w:pPr>
              <w:pStyle w:val="NormalWeb"/>
              <w:spacing w:before="0" w:beforeAutospacing="0" w:after="0" w:afterAutospacing="0"/>
            </w:pPr>
            <w:hyperlink r:id="rId69" w:history="1">
              <w:r>
                <w:rPr>
                  <w:rStyle w:val="Hyperlink"/>
                  <w:rFonts w:eastAsiaTheme="majorEastAsia" w:cs="Calibri"/>
                  <w:color w:val="1155CC"/>
                  <w:sz w:val="22"/>
                  <w:szCs w:val="22"/>
                </w:rPr>
                <w:t>AWS EC2 API</w:t>
              </w:r>
            </w:hyperlink>
          </w:p>
        </w:tc>
      </w:tr>
      <w:tr w:rsidR="00E50B91" w14:paraId="3AFC5A3F" w14:textId="77777777" w:rsidTr="00E50B9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004CD7" w14:textId="77777777" w:rsidR="00E50B91" w:rsidRDefault="00E50B91">
            <w:pPr>
              <w:pStyle w:val="NormalWeb"/>
              <w:spacing w:before="0" w:beforeAutospacing="0" w:after="0" w:afterAutospacing="0"/>
            </w:pPr>
            <w:r>
              <w:rPr>
                <w:rFonts w:ascii="Calibri" w:hAnsi="Calibri" w:cs="Calibri"/>
                <w:color w:val="000000"/>
                <w:sz w:val="22"/>
                <w:szCs w:val="22"/>
              </w:rPr>
              <w:t>Azure Virtual Machines/Disks/</w:t>
            </w:r>
            <w:proofErr w:type="spellStart"/>
            <w:r>
              <w:rPr>
                <w:rFonts w:ascii="Calibri" w:hAnsi="Calibri" w:cs="Calibri"/>
                <w:color w:val="000000"/>
                <w:sz w:val="22"/>
                <w:szCs w:val="22"/>
              </w:rPr>
              <w:t>VNet</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9097C5" w14:textId="77777777" w:rsidR="00E50B91" w:rsidRDefault="00E50B91">
            <w:pPr>
              <w:pStyle w:val="NormalWeb"/>
              <w:spacing w:before="0" w:beforeAutospacing="0" w:after="0" w:afterAutospacing="0"/>
            </w:pPr>
            <w:r>
              <w:rPr>
                <w:rFonts w:ascii="Calibri" w:hAnsi="Calibri" w:cs="Calibri"/>
                <w:color w:val="000000"/>
                <w:sz w:val="22"/>
                <w:szCs w:val="22"/>
              </w:rPr>
              <w:t>IaaS VM management services from Microsoft Azure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1B14DE" w14:textId="77777777" w:rsidR="00E50B91" w:rsidRDefault="00E50B91">
            <w:pPr>
              <w:pStyle w:val="NormalWeb"/>
              <w:spacing w:before="0" w:beforeAutospacing="0" w:after="0" w:afterAutospacing="0"/>
            </w:pPr>
            <w:hyperlink r:id="rId70" w:history="1">
              <w:r>
                <w:rPr>
                  <w:rStyle w:val="Hyperlink"/>
                  <w:rFonts w:eastAsiaTheme="majorEastAsia" w:cs="Calibri"/>
                  <w:color w:val="1155CC"/>
                  <w:sz w:val="22"/>
                  <w:szCs w:val="22"/>
                </w:rPr>
                <w:t>Azure Virtual Machines API</w:t>
              </w:r>
            </w:hyperlink>
          </w:p>
        </w:tc>
      </w:tr>
      <w:tr w:rsidR="00E50B91" w14:paraId="41075708" w14:textId="77777777" w:rsidTr="00E50B9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1EF54E" w14:textId="77777777" w:rsidR="00E50B91" w:rsidRDefault="00E50B91">
            <w:pPr>
              <w:pStyle w:val="NormalWeb"/>
              <w:spacing w:before="0" w:beforeAutospacing="0" w:after="0" w:afterAutospacing="0"/>
            </w:pPr>
            <w:r>
              <w:rPr>
                <w:rFonts w:ascii="Calibri" w:hAnsi="Calibri" w:cs="Calibri"/>
                <w:color w:val="000000"/>
                <w:sz w:val="22"/>
                <w:szCs w:val="22"/>
              </w:rPr>
              <w:t>Google Cloud Compute Engine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B5AA0D" w14:textId="77777777" w:rsidR="00E50B91" w:rsidRDefault="00E50B91">
            <w:pPr>
              <w:pStyle w:val="NormalWeb"/>
              <w:spacing w:before="0" w:beforeAutospacing="0" w:after="0" w:afterAutospacing="0"/>
            </w:pPr>
            <w:r>
              <w:rPr>
                <w:rFonts w:ascii="Calibri" w:hAnsi="Calibri" w:cs="Calibri"/>
                <w:color w:val="000000"/>
                <w:sz w:val="22"/>
                <w:szCs w:val="22"/>
              </w:rPr>
              <w:t>IaaS VM management service from Google Cloud Platform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4959D0" w14:textId="77777777" w:rsidR="00E50B91" w:rsidRDefault="00E50B91">
            <w:pPr>
              <w:pStyle w:val="NormalWeb"/>
              <w:spacing w:before="0" w:beforeAutospacing="0" w:after="0" w:afterAutospacing="0"/>
            </w:pPr>
            <w:hyperlink r:id="rId71" w:history="1">
              <w:r>
                <w:rPr>
                  <w:rStyle w:val="Hyperlink"/>
                  <w:rFonts w:eastAsiaTheme="majorEastAsia" w:cs="Calibri"/>
                  <w:color w:val="1155CC"/>
                  <w:sz w:val="22"/>
                  <w:szCs w:val="22"/>
                </w:rPr>
                <w:t>Google Cloud Compute Engine API</w:t>
              </w:r>
            </w:hyperlink>
          </w:p>
        </w:tc>
      </w:tr>
      <w:tr w:rsidR="00E50B91" w14:paraId="2ACEB22F" w14:textId="77777777" w:rsidTr="00E50B9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A298E9" w14:textId="77777777" w:rsidR="00E50B91" w:rsidRDefault="00E50B91">
            <w:pPr>
              <w:pStyle w:val="NormalWeb"/>
              <w:spacing w:before="0" w:beforeAutospacing="0" w:after="0" w:afterAutospacing="0"/>
            </w:pPr>
            <w:r>
              <w:rPr>
                <w:rFonts w:ascii="Calibri" w:hAnsi="Calibri" w:cs="Calibri"/>
                <w:color w:val="000000"/>
                <w:sz w:val="22"/>
                <w:szCs w:val="22"/>
              </w:rPr>
              <w:t>OGF OCCI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D0F5AA" w14:textId="77777777" w:rsidR="00E50B91" w:rsidRDefault="00E50B91">
            <w:pPr>
              <w:pStyle w:val="NormalWeb"/>
              <w:spacing w:before="0" w:beforeAutospacing="0" w:after="0" w:afterAutospacing="0"/>
            </w:pPr>
            <w:r>
              <w:rPr>
                <w:rFonts w:ascii="Calibri" w:hAnsi="Calibri" w:cs="Calibri"/>
                <w:color w:val="000000"/>
                <w:sz w:val="22"/>
                <w:szCs w:val="22"/>
              </w:rPr>
              <w:t>Open community-lead specifications delivered through the Open Grid Forum. OCCI is a Protocol and API for all kinds of Management tasks, focused on IaaS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6D5E7D" w14:textId="77777777" w:rsidR="00E50B91" w:rsidRDefault="00E50B91">
            <w:pPr>
              <w:pStyle w:val="NormalWeb"/>
              <w:spacing w:before="0" w:beforeAutospacing="0" w:after="0" w:afterAutospacing="0"/>
            </w:pPr>
            <w:hyperlink r:id="rId72" w:history="1">
              <w:r>
                <w:rPr>
                  <w:rStyle w:val="Hyperlink"/>
                  <w:rFonts w:eastAsiaTheme="majorEastAsia" w:cs="Calibri"/>
                  <w:color w:val="1155CC"/>
                  <w:sz w:val="22"/>
                  <w:szCs w:val="22"/>
                </w:rPr>
                <w:t>OCCI Specification</w:t>
              </w:r>
            </w:hyperlink>
          </w:p>
        </w:tc>
      </w:tr>
      <w:tr w:rsidR="00E50B91" w14:paraId="266C224D" w14:textId="77777777" w:rsidTr="00E50B9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968792" w14:textId="77777777" w:rsidR="00E50B91" w:rsidRDefault="00E50B91">
            <w:pPr>
              <w:pStyle w:val="NormalWeb"/>
              <w:spacing w:before="0" w:beforeAutospacing="0" w:after="0" w:afterAutospacing="0"/>
            </w:pPr>
            <w:r>
              <w:rPr>
                <w:rFonts w:ascii="Calibri" w:hAnsi="Calibri" w:cs="Calibri"/>
                <w:color w:val="000000"/>
                <w:sz w:val="22"/>
                <w:szCs w:val="22"/>
              </w:rPr>
              <w:t>DMTF CIMI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DBC55A" w14:textId="77777777" w:rsidR="00E50B91" w:rsidRDefault="00E50B91">
            <w:pPr>
              <w:pStyle w:val="NormalWeb"/>
              <w:spacing w:before="0" w:beforeAutospacing="0" w:after="0" w:afterAutospacing="0"/>
            </w:pPr>
            <w:r>
              <w:rPr>
                <w:rFonts w:ascii="Calibri" w:hAnsi="Calibri" w:cs="Calibri"/>
                <w:color w:val="000000"/>
                <w:sz w:val="22"/>
                <w:szCs w:val="22"/>
              </w:rPr>
              <w:t>The CIMI specification describes the model and protocol for management interactions between a cloud Infrastructure as a Service (IaaS) provider and the consumers of an IaaS service.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2EFB50" w14:textId="77777777" w:rsidR="00E50B91" w:rsidRDefault="00E50B91">
            <w:pPr>
              <w:pStyle w:val="NormalWeb"/>
              <w:spacing w:before="0" w:beforeAutospacing="0" w:after="0" w:afterAutospacing="0"/>
            </w:pPr>
            <w:hyperlink r:id="rId73" w:history="1">
              <w:r>
                <w:rPr>
                  <w:rStyle w:val="Hyperlink"/>
                  <w:rFonts w:eastAsiaTheme="majorEastAsia" w:cs="Calibri"/>
                  <w:color w:val="1155CC"/>
                  <w:sz w:val="22"/>
                  <w:szCs w:val="22"/>
                </w:rPr>
                <w:t>CIMI 2.0.0</w:t>
              </w:r>
            </w:hyperlink>
          </w:p>
        </w:tc>
      </w:tr>
    </w:tbl>
    <w:p w14:paraId="1D6CAFBA" w14:textId="77777777" w:rsidR="00E50B91" w:rsidRDefault="00E50B91" w:rsidP="00E50B91">
      <w:pPr>
        <w:pStyle w:val="NormalWeb"/>
        <w:spacing w:before="400" w:beforeAutospacing="0" w:after="120" w:afterAutospacing="0"/>
        <w:jc w:val="both"/>
      </w:pPr>
      <w:r>
        <w:rPr>
          <w:rFonts w:ascii="Calibri" w:hAnsi="Calibri" w:cs="Calibri"/>
          <w:b/>
          <w:bCs/>
          <w:color w:val="000000"/>
          <w:sz w:val="22"/>
          <w:szCs w:val="22"/>
        </w:rPr>
        <w:t>Interoperability guidelines</w:t>
      </w:r>
    </w:p>
    <w:p w14:paraId="6D9E3E8C" w14:textId="77777777" w:rsidR="00E50B91" w:rsidRDefault="00E50B91" w:rsidP="00E50B91">
      <w:pPr>
        <w:pStyle w:val="NormalWeb"/>
        <w:spacing w:before="0" w:beforeAutospacing="0" w:after="0" w:afterAutospacing="0"/>
      </w:pPr>
      <w:r>
        <w:rPr>
          <w:rFonts w:ascii="Calibri" w:hAnsi="Calibri" w:cs="Calibri"/>
          <w:color w:val="000000"/>
          <w:sz w:val="22"/>
          <w:szCs w:val="22"/>
        </w:rPr>
        <w:t>Interoperable service in this category must:</w:t>
      </w:r>
    </w:p>
    <w:p w14:paraId="6AD261BD" w14:textId="77777777" w:rsidR="00E50B91" w:rsidRDefault="00E50B91" w:rsidP="00E50B91">
      <w:pPr>
        <w:pStyle w:val="NormalWeb"/>
        <w:numPr>
          <w:ilvl w:val="0"/>
          <w:numId w:val="42"/>
        </w:numPr>
        <w:spacing w:before="0" w:beforeAutospacing="0" w:after="0" w:afterAutospacing="0"/>
        <w:textAlignment w:val="baseline"/>
        <w:rPr>
          <w:rFonts w:ascii="Calibri" w:hAnsi="Calibri" w:cs="Calibri"/>
          <w:color w:val="000000"/>
          <w:sz w:val="22"/>
          <w:szCs w:val="22"/>
        </w:rPr>
      </w:pPr>
      <w:r>
        <w:rPr>
          <w:rFonts w:ascii="Calibri" w:hAnsi="Calibri" w:cs="Calibri"/>
          <w:b/>
          <w:bCs/>
          <w:color w:val="000000"/>
          <w:sz w:val="22"/>
          <w:szCs w:val="22"/>
        </w:rPr>
        <w:t>Provide API access</w:t>
      </w:r>
      <w:r>
        <w:rPr>
          <w:rFonts w:ascii="Calibri" w:hAnsi="Calibri" w:cs="Calibri"/>
          <w:color w:val="000000"/>
          <w:sz w:val="22"/>
          <w:szCs w:val="22"/>
        </w:rPr>
        <w:t xml:space="preserve"> for on-demand management of VMs and associated resources. Open and/or Standard APIs are preferred. Services that provide the capability to manage VMs through graphical dashboards but limit API access to users cannot be considered interoperable. See table above for a non-comprehensive list of APIs that may be supported by the service.</w:t>
      </w:r>
    </w:p>
    <w:p w14:paraId="23FC8A9F" w14:textId="77777777" w:rsidR="00E50B91" w:rsidRDefault="00E50B91" w:rsidP="00E50B91">
      <w:pPr>
        <w:rPr>
          <w:rFonts w:ascii="Times New Roman" w:hAnsi="Times New Roman" w:cs="Times New Roman"/>
          <w:sz w:val="24"/>
          <w:szCs w:val="24"/>
        </w:rPr>
      </w:pPr>
    </w:p>
    <w:p w14:paraId="2A5EAC16" w14:textId="77777777" w:rsidR="00E50B91" w:rsidRDefault="00E50B91" w:rsidP="00E50B91">
      <w:pPr>
        <w:pStyle w:val="NormalWeb"/>
        <w:spacing w:before="0" w:beforeAutospacing="0" w:after="0" w:afterAutospacing="0"/>
      </w:pPr>
      <w:r>
        <w:rPr>
          <w:rFonts w:ascii="Calibri" w:hAnsi="Calibri" w:cs="Calibri"/>
          <w:i/>
          <w:iCs/>
          <w:color w:val="000000"/>
          <w:sz w:val="22"/>
          <w:szCs w:val="22"/>
        </w:rPr>
        <w:t>AAI interoperability</w:t>
      </w:r>
    </w:p>
    <w:p w14:paraId="0CFC95EC" w14:textId="77777777" w:rsidR="00E50B91" w:rsidRDefault="00E50B91" w:rsidP="00E50B91">
      <w:pPr>
        <w:pStyle w:val="NormalWeb"/>
        <w:numPr>
          <w:ilvl w:val="0"/>
          <w:numId w:val="43"/>
        </w:numPr>
        <w:spacing w:before="0" w:beforeAutospacing="0" w:after="0" w:afterAutospacing="0"/>
        <w:textAlignment w:val="baseline"/>
        <w:rPr>
          <w:rFonts w:ascii="Calibri" w:hAnsi="Calibri" w:cs="Calibri"/>
          <w:color w:val="000000"/>
          <w:sz w:val="22"/>
          <w:szCs w:val="22"/>
        </w:rPr>
      </w:pPr>
      <w:r>
        <w:rPr>
          <w:rFonts w:ascii="Calibri" w:hAnsi="Calibri" w:cs="Calibri"/>
          <w:color w:val="000000"/>
          <w:sz w:val="22"/>
          <w:szCs w:val="22"/>
        </w:rPr>
        <w:t>Services should provide access to users authenticated with one of the EOSC-hub AAI federated identity protocols (OpenID Connect and/or SAML).</w:t>
      </w:r>
    </w:p>
    <w:p w14:paraId="51102E9D" w14:textId="77777777" w:rsidR="00E50B91" w:rsidRDefault="00E50B91" w:rsidP="00E50B91">
      <w:pPr>
        <w:rPr>
          <w:rFonts w:ascii="Times New Roman" w:hAnsi="Times New Roman" w:cs="Times New Roman"/>
          <w:sz w:val="24"/>
          <w:szCs w:val="24"/>
        </w:rPr>
      </w:pPr>
    </w:p>
    <w:p w14:paraId="74D9197E" w14:textId="77777777" w:rsidR="00E50B91" w:rsidRDefault="00E50B91" w:rsidP="00E50B91">
      <w:pPr>
        <w:pStyle w:val="NormalWeb"/>
        <w:spacing w:before="0" w:beforeAutospacing="0" w:after="0" w:afterAutospacing="0"/>
      </w:pPr>
      <w:r>
        <w:rPr>
          <w:rFonts w:ascii="Calibri" w:hAnsi="Calibri" w:cs="Calibri"/>
          <w:i/>
          <w:iCs/>
          <w:color w:val="000000"/>
          <w:sz w:val="22"/>
          <w:szCs w:val="22"/>
        </w:rPr>
        <w:t>Orchestration interoperability</w:t>
      </w:r>
    </w:p>
    <w:p w14:paraId="47B3FC85" w14:textId="77777777" w:rsidR="00E50B91" w:rsidRDefault="00E50B91" w:rsidP="00E50B91">
      <w:pPr>
        <w:pStyle w:val="NormalWeb"/>
        <w:numPr>
          <w:ilvl w:val="0"/>
          <w:numId w:val="44"/>
        </w:numPr>
        <w:spacing w:before="0" w:beforeAutospacing="0" w:after="0" w:afterAutospacing="0"/>
        <w:textAlignment w:val="baseline"/>
        <w:rPr>
          <w:rFonts w:ascii="Calibri" w:hAnsi="Calibri" w:cs="Calibri"/>
          <w:color w:val="000000"/>
          <w:sz w:val="22"/>
          <w:szCs w:val="22"/>
        </w:rPr>
      </w:pPr>
      <w:r>
        <w:rPr>
          <w:rFonts w:ascii="Calibri" w:hAnsi="Calibri" w:cs="Calibri"/>
          <w:color w:val="000000"/>
          <w:sz w:val="22"/>
          <w:szCs w:val="22"/>
        </w:rPr>
        <w:t>Services should expose APIs that are supported by the IaaS Orchestrator services of EOSC-hub.</w:t>
      </w:r>
    </w:p>
    <w:p w14:paraId="5EEB5CFF" w14:textId="77777777" w:rsidR="00E50B91" w:rsidRDefault="00E50B91" w:rsidP="00E50B91">
      <w:pPr>
        <w:rPr>
          <w:rFonts w:ascii="Times New Roman" w:hAnsi="Times New Roman" w:cs="Times New Roman"/>
          <w:sz w:val="24"/>
          <w:szCs w:val="24"/>
        </w:rPr>
      </w:pPr>
    </w:p>
    <w:p w14:paraId="065B84F2" w14:textId="77777777" w:rsidR="00E50B91" w:rsidRDefault="00E50B91" w:rsidP="00E50B91">
      <w:pPr>
        <w:pStyle w:val="NormalWeb"/>
        <w:spacing w:before="0" w:beforeAutospacing="0" w:after="0" w:afterAutospacing="0"/>
      </w:pPr>
      <w:r>
        <w:rPr>
          <w:rFonts w:ascii="Calibri" w:hAnsi="Calibri" w:cs="Calibri"/>
          <w:i/>
          <w:iCs/>
          <w:color w:val="000000"/>
          <w:sz w:val="22"/>
          <w:szCs w:val="22"/>
        </w:rPr>
        <w:t>Federation interoperability:</w:t>
      </w:r>
    </w:p>
    <w:p w14:paraId="0007F762" w14:textId="77777777" w:rsidR="00E50B91" w:rsidRDefault="00E50B91" w:rsidP="00E50B91">
      <w:pPr>
        <w:pStyle w:val="NormalWeb"/>
        <w:numPr>
          <w:ilvl w:val="0"/>
          <w:numId w:val="45"/>
        </w:numPr>
        <w:spacing w:before="0" w:beforeAutospacing="0" w:after="0" w:afterAutospacing="0"/>
        <w:textAlignment w:val="baseline"/>
        <w:rPr>
          <w:rFonts w:ascii="Calibri" w:hAnsi="Calibri" w:cs="Calibri"/>
          <w:color w:val="000000"/>
          <w:sz w:val="22"/>
          <w:szCs w:val="22"/>
        </w:rPr>
      </w:pPr>
      <w:r>
        <w:rPr>
          <w:rFonts w:ascii="Calibri" w:hAnsi="Calibri" w:cs="Calibri"/>
          <w:color w:val="000000"/>
          <w:sz w:val="22"/>
          <w:szCs w:val="22"/>
        </w:rPr>
        <w:t>Services in this category that need to be federated into a cloud federation should provide API-based access to:</w:t>
      </w:r>
    </w:p>
    <w:p w14:paraId="4CAA184F" w14:textId="77777777" w:rsidR="00E50B91" w:rsidRDefault="00E50B91" w:rsidP="00E50B91">
      <w:pPr>
        <w:pStyle w:val="NormalWeb"/>
        <w:numPr>
          <w:ilvl w:val="1"/>
          <w:numId w:val="45"/>
        </w:numPr>
        <w:spacing w:before="0" w:beforeAutospacing="0" w:after="0" w:afterAutospacing="0"/>
        <w:textAlignment w:val="baseline"/>
        <w:rPr>
          <w:rFonts w:ascii="Calibri" w:hAnsi="Calibri" w:cs="Calibri"/>
          <w:color w:val="000000"/>
          <w:sz w:val="22"/>
          <w:szCs w:val="22"/>
        </w:rPr>
      </w:pPr>
      <w:r>
        <w:rPr>
          <w:rFonts w:ascii="Calibri" w:hAnsi="Calibri" w:cs="Calibri"/>
          <w:color w:val="000000"/>
          <w:sz w:val="22"/>
          <w:szCs w:val="22"/>
        </w:rPr>
        <w:t>Management of VM images, i.e. allow to create (upload) and delete VM images from which VMs can be instantiated.</w:t>
      </w:r>
    </w:p>
    <w:p w14:paraId="347360E6" w14:textId="77777777" w:rsidR="00E50B91" w:rsidRDefault="00E50B91" w:rsidP="00E50B91">
      <w:pPr>
        <w:pStyle w:val="NormalWeb"/>
        <w:numPr>
          <w:ilvl w:val="1"/>
          <w:numId w:val="45"/>
        </w:numPr>
        <w:spacing w:before="0" w:beforeAutospacing="0" w:after="0" w:afterAutospacing="0"/>
        <w:textAlignment w:val="baseline"/>
        <w:rPr>
          <w:rFonts w:ascii="Calibri" w:hAnsi="Calibri" w:cs="Calibri"/>
          <w:color w:val="000000"/>
          <w:sz w:val="22"/>
          <w:szCs w:val="22"/>
        </w:rPr>
      </w:pPr>
      <w:r>
        <w:rPr>
          <w:rFonts w:ascii="Calibri" w:hAnsi="Calibri" w:cs="Calibri"/>
          <w:color w:val="000000"/>
          <w:sz w:val="22"/>
          <w:szCs w:val="22"/>
        </w:rPr>
        <w:t>Access usage information of individual VMs and block storage so accounting records can be generated for integration into the EOSC-hub central services.</w:t>
      </w:r>
    </w:p>
    <w:p w14:paraId="495922A2" w14:textId="77777777" w:rsidR="00E50B91" w:rsidRDefault="00E50B91" w:rsidP="00E50B91">
      <w:pPr>
        <w:pStyle w:val="NormalWeb"/>
        <w:spacing w:before="400" w:beforeAutospacing="0" w:after="120" w:afterAutospacing="0"/>
        <w:jc w:val="both"/>
      </w:pPr>
      <w:r>
        <w:rPr>
          <w:rFonts w:ascii="Calibri" w:hAnsi="Calibri" w:cs="Calibri"/>
          <w:b/>
          <w:bCs/>
          <w:color w:val="000000"/>
          <w:sz w:val="22"/>
          <w:szCs w:val="22"/>
        </w:rPr>
        <w:t>Examples of solutions implementing this specification</w:t>
      </w:r>
    </w:p>
    <w:p w14:paraId="7B927AD6" w14:textId="77777777" w:rsidR="00E50B91" w:rsidRDefault="00E50B91" w:rsidP="00E50B91">
      <w:pPr>
        <w:pStyle w:val="NormalWeb"/>
        <w:spacing w:before="0" w:beforeAutospacing="0" w:after="0" w:afterAutospacing="0"/>
      </w:pPr>
      <w:r>
        <w:rPr>
          <w:rFonts w:ascii="Calibri" w:hAnsi="Calibri" w:cs="Calibri"/>
          <w:color w:val="000000"/>
          <w:sz w:val="22"/>
          <w:szCs w:val="22"/>
        </w:rPr>
        <w:t>EOSC-hub services:</w:t>
      </w:r>
    </w:p>
    <w:p w14:paraId="3D7F69B7" w14:textId="77777777" w:rsidR="00E50B91" w:rsidRDefault="00E50B91" w:rsidP="00E50B91">
      <w:pPr>
        <w:pStyle w:val="NormalWeb"/>
        <w:numPr>
          <w:ilvl w:val="0"/>
          <w:numId w:val="46"/>
        </w:numPr>
        <w:spacing w:before="0" w:beforeAutospacing="0" w:after="0" w:afterAutospacing="0"/>
        <w:textAlignment w:val="baseline"/>
        <w:rPr>
          <w:rFonts w:ascii="Calibri" w:hAnsi="Calibri" w:cs="Calibri"/>
          <w:color w:val="000000"/>
          <w:sz w:val="22"/>
          <w:szCs w:val="22"/>
        </w:rPr>
      </w:pPr>
      <w:hyperlink r:id="rId74" w:history="1">
        <w:r>
          <w:rPr>
            <w:rStyle w:val="Hyperlink"/>
            <w:rFonts w:eastAsiaTheme="majorEastAsia" w:cs="Calibri"/>
            <w:color w:val="1155CC"/>
            <w:sz w:val="22"/>
            <w:szCs w:val="22"/>
          </w:rPr>
          <w:t>EGI Cloud Compute</w:t>
        </w:r>
      </w:hyperlink>
    </w:p>
    <w:p w14:paraId="5C0762A0" w14:textId="77777777" w:rsidR="00E50B91" w:rsidRDefault="00E50B91" w:rsidP="00E50B91">
      <w:pPr>
        <w:rPr>
          <w:rFonts w:ascii="Times New Roman" w:hAnsi="Times New Roman" w:cs="Times New Roman"/>
          <w:sz w:val="24"/>
          <w:szCs w:val="24"/>
        </w:rPr>
      </w:pPr>
    </w:p>
    <w:p w14:paraId="225F8977" w14:textId="77777777" w:rsidR="00E50B91" w:rsidRDefault="00E50B91" w:rsidP="00E50B91">
      <w:pPr>
        <w:pStyle w:val="NormalWeb"/>
        <w:spacing w:before="0" w:beforeAutospacing="0" w:after="0" w:afterAutospacing="0"/>
      </w:pPr>
      <w:proofErr w:type="spellStart"/>
      <w:r>
        <w:rPr>
          <w:rFonts w:ascii="Calibri" w:hAnsi="Calibri" w:cs="Calibri"/>
          <w:color w:val="000000"/>
          <w:sz w:val="22"/>
          <w:szCs w:val="22"/>
        </w:rPr>
        <w:t>OpenSource</w:t>
      </w:r>
      <w:proofErr w:type="spellEnd"/>
      <w:r>
        <w:rPr>
          <w:rFonts w:ascii="Calibri" w:hAnsi="Calibri" w:cs="Calibri"/>
          <w:color w:val="000000"/>
          <w:sz w:val="22"/>
          <w:szCs w:val="22"/>
        </w:rPr>
        <w:t xml:space="preserve"> implementations:</w:t>
      </w:r>
    </w:p>
    <w:p w14:paraId="46295EF1" w14:textId="77777777" w:rsidR="00E50B91" w:rsidRDefault="00E50B91" w:rsidP="00E50B91">
      <w:pPr>
        <w:pStyle w:val="NormalWeb"/>
        <w:numPr>
          <w:ilvl w:val="0"/>
          <w:numId w:val="47"/>
        </w:numPr>
        <w:spacing w:before="0" w:beforeAutospacing="0" w:after="0" w:afterAutospacing="0"/>
        <w:textAlignment w:val="baseline"/>
        <w:rPr>
          <w:rFonts w:ascii="Calibri" w:hAnsi="Calibri" w:cs="Calibri"/>
          <w:color w:val="000000"/>
          <w:sz w:val="22"/>
          <w:szCs w:val="22"/>
        </w:rPr>
      </w:pPr>
      <w:hyperlink r:id="rId75" w:history="1">
        <w:r>
          <w:rPr>
            <w:rStyle w:val="Hyperlink"/>
            <w:rFonts w:eastAsiaTheme="majorEastAsia" w:cs="Calibri"/>
            <w:color w:val="1155CC"/>
            <w:sz w:val="22"/>
            <w:szCs w:val="22"/>
          </w:rPr>
          <w:t>OpenStack</w:t>
        </w:r>
      </w:hyperlink>
    </w:p>
    <w:p w14:paraId="3C2C0CAE" w14:textId="77777777" w:rsidR="00E50B91" w:rsidRDefault="00E50B91" w:rsidP="00E50B91">
      <w:pPr>
        <w:pStyle w:val="NormalWeb"/>
        <w:numPr>
          <w:ilvl w:val="0"/>
          <w:numId w:val="47"/>
        </w:numPr>
        <w:spacing w:before="0" w:beforeAutospacing="0" w:after="0" w:afterAutospacing="0"/>
        <w:textAlignment w:val="baseline"/>
        <w:rPr>
          <w:rFonts w:ascii="Calibri" w:hAnsi="Calibri" w:cs="Calibri"/>
          <w:color w:val="000000"/>
          <w:sz w:val="22"/>
          <w:szCs w:val="22"/>
        </w:rPr>
      </w:pPr>
      <w:hyperlink r:id="rId76" w:history="1">
        <w:proofErr w:type="spellStart"/>
        <w:r>
          <w:rPr>
            <w:rStyle w:val="Hyperlink"/>
            <w:rFonts w:eastAsiaTheme="majorEastAsia" w:cs="Calibri"/>
            <w:color w:val="1155CC"/>
            <w:sz w:val="22"/>
            <w:szCs w:val="22"/>
          </w:rPr>
          <w:t>OpenNebula</w:t>
        </w:r>
        <w:proofErr w:type="spellEnd"/>
      </w:hyperlink>
    </w:p>
    <w:p w14:paraId="45D5FF04" w14:textId="77777777" w:rsidR="00A30A98" w:rsidRPr="001C68FD" w:rsidRDefault="00A30A98" w:rsidP="00A30A98"/>
    <w:p w14:paraId="3DA51279" w14:textId="77777777" w:rsidR="00A30A98" w:rsidRPr="002A7241" w:rsidRDefault="00A30A98" w:rsidP="00A30A98"/>
    <w:p w14:paraId="00C27385" w14:textId="77777777" w:rsidR="00A30A98" w:rsidRPr="00D95F48" w:rsidRDefault="00A30A98" w:rsidP="00A30A98"/>
    <w:p w14:paraId="3ED65456" w14:textId="77777777" w:rsidR="004338C6" w:rsidRPr="00A30A98" w:rsidRDefault="004338C6" w:rsidP="00A30A98"/>
    <w:sectPr w:rsidR="004338C6" w:rsidRPr="00A30A98" w:rsidSect="00247395">
      <w:headerReference w:type="even" r:id="rId77"/>
      <w:headerReference w:type="default" r:id="rId78"/>
      <w:footerReference w:type="first" r:id="rId79"/>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25CF13" w14:textId="77777777" w:rsidR="00A04362" w:rsidRDefault="00A04362" w:rsidP="00835E24">
      <w:pPr>
        <w:spacing w:after="0" w:line="240" w:lineRule="auto"/>
      </w:pPr>
      <w:r>
        <w:separator/>
      </w:r>
    </w:p>
  </w:endnote>
  <w:endnote w:type="continuationSeparator" w:id="0">
    <w:p w14:paraId="7DB7DF21" w14:textId="77777777" w:rsidR="00A04362" w:rsidRDefault="00A04362"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Noto Sans Symbol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40" w:type="pct"/>
      <w:tblLook w:val="04A0" w:firstRow="1" w:lastRow="0" w:firstColumn="1" w:lastColumn="0" w:noHBand="0" w:noVBand="1"/>
    </w:tblPr>
    <w:tblGrid>
      <w:gridCol w:w="8930"/>
      <w:gridCol w:w="710"/>
    </w:tblGrid>
    <w:tr w:rsidR="00247395" w:rsidRPr="00980A57" w14:paraId="5E61FD79" w14:textId="77777777" w:rsidTr="00247395">
      <w:trPr>
        <w:trHeight w:val="475"/>
      </w:trPr>
      <w:tc>
        <w:tcPr>
          <w:tcW w:w="4632" w:type="pct"/>
          <w:shd w:val="clear" w:color="auto" w:fill="7DA9DF"/>
          <w:vAlign w:val="center"/>
        </w:tcPr>
        <w:p w14:paraId="7B139DD4" w14:textId="77777777" w:rsidR="00247395" w:rsidRPr="00980A57" w:rsidRDefault="00247395"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3A9AC41A" w14:textId="77777777" w:rsidR="00247395" w:rsidRPr="00EE208C" w:rsidRDefault="00247395" w:rsidP="00247395">
          <w:pPr>
            <w:pStyle w:val="Header"/>
            <w:jc w:val="right"/>
            <w:rPr>
              <w:color w:val="002060"/>
              <w:sz w:val="18"/>
            </w:rPr>
          </w:pPr>
        </w:p>
      </w:tc>
    </w:tr>
  </w:tbl>
  <w:p w14:paraId="7045F79A" w14:textId="77777777" w:rsidR="00247395" w:rsidRDefault="00247395">
    <w:pPr>
      <w:pStyle w:val="Footer"/>
    </w:pPr>
    <w:r w:rsidRPr="00980A57">
      <w:rPr>
        <w:noProof/>
        <w:lang w:eastAsia="en-GB"/>
      </w:rPr>
      <w:drawing>
        <wp:anchor distT="0" distB="0" distL="114300" distR="114300" simplePos="0" relativeHeight="251659264" behindDoc="0" locked="0" layoutInCell="1" allowOverlap="1" wp14:anchorId="0243965B" wp14:editId="75EBC0C0">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AA5D1A" w14:textId="77777777" w:rsidR="00A04362" w:rsidRDefault="00A04362" w:rsidP="00835E24">
      <w:pPr>
        <w:spacing w:after="0" w:line="240" w:lineRule="auto"/>
      </w:pPr>
      <w:r>
        <w:separator/>
      </w:r>
    </w:p>
  </w:footnote>
  <w:footnote w:type="continuationSeparator" w:id="0">
    <w:p w14:paraId="5CF2FEAE" w14:textId="77777777" w:rsidR="00A04362" w:rsidRDefault="00A04362" w:rsidP="00835E24">
      <w:pPr>
        <w:spacing w:after="0" w:line="240" w:lineRule="auto"/>
      </w:pPr>
      <w:r>
        <w:continuationSeparator/>
      </w:r>
    </w:p>
  </w:footnote>
  <w:footnote w:id="1">
    <w:p w14:paraId="34F64CDD" w14:textId="1A237DCD" w:rsidR="008C0020" w:rsidRPr="008C0020" w:rsidRDefault="008C0020">
      <w:pPr>
        <w:pStyle w:val="FootnoteText"/>
        <w:rPr>
          <w:lang w:val="en-US"/>
        </w:rPr>
      </w:pPr>
      <w:r>
        <w:rPr>
          <w:rStyle w:val="FootnoteReference"/>
        </w:rPr>
        <w:footnoteRef/>
      </w:r>
      <w:r>
        <w:t xml:space="preserve"> </w:t>
      </w:r>
      <w:r>
        <w:rPr>
          <w:rFonts w:cs="Calibri"/>
          <w:color w:val="000000"/>
        </w:rPr>
        <w:t>https://documents.egi.eu/document/3479</w:t>
      </w:r>
    </w:p>
  </w:footnote>
  <w:footnote w:id="2">
    <w:p w14:paraId="38D210BC" w14:textId="49698E73" w:rsidR="008C0020" w:rsidRPr="008C0020" w:rsidRDefault="008C0020">
      <w:pPr>
        <w:pStyle w:val="FootnoteText"/>
        <w:rPr>
          <w:lang w:val="en-US"/>
        </w:rPr>
      </w:pPr>
      <w:r>
        <w:rPr>
          <w:rStyle w:val="FootnoteReference"/>
        </w:rPr>
        <w:footnoteRef/>
      </w:r>
      <w:r>
        <w:t xml:space="preserve"> </w:t>
      </w:r>
      <w:r w:rsidRPr="008C0020">
        <w:t>https://documents.egi.eu/document/3470</w:t>
      </w:r>
    </w:p>
  </w:footnote>
  <w:footnote w:id="3">
    <w:p w14:paraId="70288C21" w14:textId="78FE4D21" w:rsidR="001113C3" w:rsidRPr="001113C3" w:rsidRDefault="001113C3">
      <w:pPr>
        <w:pStyle w:val="FootnoteText"/>
        <w:rPr>
          <w:lang w:val="en-US"/>
        </w:rPr>
      </w:pPr>
      <w:r>
        <w:rPr>
          <w:rStyle w:val="FootnoteReference"/>
        </w:rPr>
        <w:footnoteRef/>
      </w:r>
      <w:r>
        <w:t xml:space="preserve"> </w:t>
      </w:r>
      <w:r w:rsidRPr="001113C3">
        <w:t>Definition from Wikipedia: https://en.wikipedia.org/wiki/Reference_architecture</w:t>
      </w:r>
    </w:p>
  </w:footnote>
  <w:footnote w:id="4">
    <w:p w14:paraId="77CBD2E6" w14:textId="5FC720EF" w:rsidR="00F814A1" w:rsidRPr="00F814A1" w:rsidRDefault="00F814A1">
      <w:pPr>
        <w:pStyle w:val="FootnoteText"/>
        <w:rPr>
          <w:lang w:val="en-US"/>
        </w:rPr>
      </w:pPr>
      <w:r>
        <w:rPr>
          <w:rStyle w:val="FootnoteReference"/>
        </w:rPr>
        <w:footnoteRef/>
      </w:r>
      <w:r>
        <w:t xml:space="preserve"> </w:t>
      </w:r>
      <w:r w:rsidRPr="00F814A1">
        <w:t>https://wiki.eosc-hub.eu/display/EOSC/EOSC+Portal</w:t>
      </w:r>
    </w:p>
  </w:footnote>
  <w:footnote w:id="5">
    <w:p w14:paraId="119396A1" w14:textId="230DD5DC" w:rsidR="00F814A1" w:rsidRPr="00F814A1" w:rsidRDefault="00F814A1">
      <w:pPr>
        <w:pStyle w:val="FootnoteText"/>
        <w:rPr>
          <w:lang w:val="en-US"/>
        </w:rPr>
      </w:pPr>
      <w:r>
        <w:rPr>
          <w:rStyle w:val="FootnoteReference"/>
        </w:rPr>
        <w:footnoteRef/>
      </w:r>
      <w:r>
        <w:t xml:space="preserve"> </w:t>
      </w:r>
      <w:r w:rsidRPr="00F814A1">
        <w:t>https://indico.egi.eu/indico/event/4675/overview</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41A396" w14:textId="77777777" w:rsidR="007A21E4" w:rsidRDefault="007A21E4" w:rsidP="00CD5AFC">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42D92E7" w14:textId="77777777" w:rsidR="007A21E4" w:rsidRDefault="007A21E4"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A77A91" w14:textId="77777777" w:rsidR="007A21E4" w:rsidRDefault="007A21E4" w:rsidP="00CD5AFC">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B05AC">
      <w:rPr>
        <w:rStyle w:val="PageNumber"/>
        <w:noProof/>
      </w:rPr>
      <w:t>8</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B80FB4" w14:paraId="26F9A41E" w14:textId="77777777" w:rsidTr="00D065EF">
      <w:tc>
        <w:tcPr>
          <w:tcW w:w="4621" w:type="dxa"/>
        </w:tcPr>
        <w:p w14:paraId="401600BD" w14:textId="77777777" w:rsidR="00B80FB4" w:rsidRDefault="00B80FB4" w:rsidP="007A21E4">
          <w:pPr>
            <w:ind w:right="360"/>
          </w:pPr>
        </w:p>
      </w:tc>
      <w:tc>
        <w:tcPr>
          <w:tcW w:w="4621" w:type="dxa"/>
        </w:tcPr>
        <w:p w14:paraId="27273A70" w14:textId="77777777" w:rsidR="00B80FB4" w:rsidRDefault="00B80FB4" w:rsidP="00D065EF">
          <w:pPr>
            <w:jc w:val="right"/>
          </w:pPr>
        </w:p>
      </w:tc>
    </w:tr>
  </w:tbl>
  <w:p w14:paraId="5219ED09" w14:textId="77777777" w:rsidR="000852E1" w:rsidRDefault="000852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44C83"/>
    <w:multiLevelType w:val="hybridMultilevel"/>
    <w:tmpl w:val="25EE6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C854F9"/>
    <w:multiLevelType w:val="hybridMultilevel"/>
    <w:tmpl w:val="2F842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A4B10FA"/>
    <w:multiLevelType w:val="multilevel"/>
    <w:tmpl w:val="00C25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C714D9"/>
    <w:multiLevelType w:val="hybridMultilevel"/>
    <w:tmpl w:val="EA322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8378D1"/>
    <w:multiLevelType w:val="multilevel"/>
    <w:tmpl w:val="819A710C"/>
    <w:lvl w:ilvl="0">
      <w:start w:val="1"/>
      <w:numFmt w:val="decimal"/>
      <w:pStyle w:val="Heading1"/>
      <w:lvlText w:val="%1"/>
      <w:lvlJc w:val="left"/>
      <w:pPr>
        <w:ind w:left="432" w:hanging="432"/>
      </w:pPr>
      <w:rPr>
        <w:rFonts w:hint="default"/>
      </w:rPr>
    </w:lvl>
    <w:lvl w:ilvl="1">
      <w:start w:val="1"/>
      <w:numFmt w:val="decimal"/>
      <w:pStyle w:val="Heading2"/>
      <w:lvlText w:val="%1.%2 "/>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8" w15:restartNumberingAfterBreak="0">
    <w:nsid w:val="1BC4628F"/>
    <w:multiLevelType w:val="multilevel"/>
    <w:tmpl w:val="AD6C7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975F8D"/>
    <w:multiLevelType w:val="hybridMultilevel"/>
    <w:tmpl w:val="1446260A"/>
    <w:lvl w:ilvl="0" w:tplc="9D7418DA">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 w15:restartNumberingAfterBreak="0">
    <w:nsid w:val="2F050368"/>
    <w:multiLevelType w:val="multilevel"/>
    <w:tmpl w:val="B3D2F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F1216B"/>
    <w:multiLevelType w:val="hybridMultilevel"/>
    <w:tmpl w:val="1370ECE8"/>
    <w:lvl w:ilvl="0" w:tplc="384E8FA2">
      <w:start w:val="1"/>
      <w:numFmt w:val="decimal"/>
      <w:lvlText w:val="%1."/>
      <w:lvlJc w:val="left"/>
      <w:pPr>
        <w:ind w:left="144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7CA78EF"/>
    <w:multiLevelType w:val="multilevel"/>
    <w:tmpl w:val="88EEBA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D220EAE"/>
    <w:multiLevelType w:val="multilevel"/>
    <w:tmpl w:val="DDDCF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FD17E7B"/>
    <w:multiLevelType w:val="multilevel"/>
    <w:tmpl w:val="283E1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1EA6C48"/>
    <w:multiLevelType w:val="multilevel"/>
    <w:tmpl w:val="CD386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A174C3"/>
    <w:multiLevelType w:val="multilevel"/>
    <w:tmpl w:val="5EB0F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8DB34D5"/>
    <w:multiLevelType w:val="hybridMultilevel"/>
    <w:tmpl w:val="33EC5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F4A197F"/>
    <w:multiLevelType w:val="multilevel"/>
    <w:tmpl w:val="AC56E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5601AF9"/>
    <w:multiLevelType w:val="multilevel"/>
    <w:tmpl w:val="E3F845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6251682"/>
    <w:multiLevelType w:val="hybridMultilevel"/>
    <w:tmpl w:val="6FB29128"/>
    <w:lvl w:ilvl="0" w:tplc="1B40B90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A8B5CDE"/>
    <w:multiLevelType w:val="hybridMultilevel"/>
    <w:tmpl w:val="DE5E72DC"/>
    <w:lvl w:ilvl="0" w:tplc="C08A29D4">
      <w:start w:val="1"/>
      <w:numFmt w:val="bullet"/>
      <w:lvlText w:val="•"/>
      <w:lvlJc w:val="left"/>
      <w:pPr>
        <w:tabs>
          <w:tab w:val="num" w:pos="720"/>
        </w:tabs>
        <w:ind w:left="720" w:hanging="360"/>
      </w:pPr>
      <w:rPr>
        <w:rFonts w:ascii="Arial" w:hAnsi="Arial" w:hint="default"/>
      </w:rPr>
    </w:lvl>
    <w:lvl w:ilvl="1" w:tplc="3430649A" w:tentative="1">
      <w:start w:val="1"/>
      <w:numFmt w:val="bullet"/>
      <w:lvlText w:val="•"/>
      <w:lvlJc w:val="left"/>
      <w:pPr>
        <w:tabs>
          <w:tab w:val="num" w:pos="1440"/>
        </w:tabs>
        <w:ind w:left="1440" w:hanging="360"/>
      </w:pPr>
      <w:rPr>
        <w:rFonts w:ascii="Arial" w:hAnsi="Arial" w:hint="default"/>
      </w:rPr>
    </w:lvl>
    <w:lvl w:ilvl="2" w:tplc="E048AD58" w:tentative="1">
      <w:start w:val="1"/>
      <w:numFmt w:val="bullet"/>
      <w:lvlText w:val="•"/>
      <w:lvlJc w:val="left"/>
      <w:pPr>
        <w:tabs>
          <w:tab w:val="num" w:pos="2160"/>
        </w:tabs>
        <w:ind w:left="2160" w:hanging="360"/>
      </w:pPr>
      <w:rPr>
        <w:rFonts w:ascii="Arial" w:hAnsi="Arial" w:hint="default"/>
      </w:rPr>
    </w:lvl>
    <w:lvl w:ilvl="3" w:tplc="83609420" w:tentative="1">
      <w:start w:val="1"/>
      <w:numFmt w:val="bullet"/>
      <w:lvlText w:val="•"/>
      <w:lvlJc w:val="left"/>
      <w:pPr>
        <w:tabs>
          <w:tab w:val="num" w:pos="2880"/>
        </w:tabs>
        <w:ind w:left="2880" w:hanging="360"/>
      </w:pPr>
      <w:rPr>
        <w:rFonts w:ascii="Arial" w:hAnsi="Arial" w:hint="default"/>
      </w:rPr>
    </w:lvl>
    <w:lvl w:ilvl="4" w:tplc="FDF2BE3E" w:tentative="1">
      <w:start w:val="1"/>
      <w:numFmt w:val="bullet"/>
      <w:lvlText w:val="•"/>
      <w:lvlJc w:val="left"/>
      <w:pPr>
        <w:tabs>
          <w:tab w:val="num" w:pos="3600"/>
        </w:tabs>
        <w:ind w:left="3600" w:hanging="360"/>
      </w:pPr>
      <w:rPr>
        <w:rFonts w:ascii="Arial" w:hAnsi="Arial" w:hint="default"/>
      </w:rPr>
    </w:lvl>
    <w:lvl w:ilvl="5" w:tplc="C3DE97C6" w:tentative="1">
      <w:start w:val="1"/>
      <w:numFmt w:val="bullet"/>
      <w:lvlText w:val="•"/>
      <w:lvlJc w:val="left"/>
      <w:pPr>
        <w:tabs>
          <w:tab w:val="num" w:pos="4320"/>
        </w:tabs>
        <w:ind w:left="4320" w:hanging="360"/>
      </w:pPr>
      <w:rPr>
        <w:rFonts w:ascii="Arial" w:hAnsi="Arial" w:hint="default"/>
      </w:rPr>
    </w:lvl>
    <w:lvl w:ilvl="6" w:tplc="19E24074" w:tentative="1">
      <w:start w:val="1"/>
      <w:numFmt w:val="bullet"/>
      <w:lvlText w:val="•"/>
      <w:lvlJc w:val="left"/>
      <w:pPr>
        <w:tabs>
          <w:tab w:val="num" w:pos="5040"/>
        </w:tabs>
        <w:ind w:left="5040" w:hanging="360"/>
      </w:pPr>
      <w:rPr>
        <w:rFonts w:ascii="Arial" w:hAnsi="Arial" w:hint="default"/>
      </w:rPr>
    </w:lvl>
    <w:lvl w:ilvl="7" w:tplc="08FE5ACC" w:tentative="1">
      <w:start w:val="1"/>
      <w:numFmt w:val="bullet"/>
      <w:lvlText w:val="•"/>
      <w:lvlJc w:val="left"/>
      <w:pPr>
        <w:tabs>
          <w:tab w:val="num" w:pos="5760"/>
        </w:tabs>
        <w:ind w:left="5760" w:hanging="360"/>
      </w:pPr>
      <w:rPr>
        <w:rFonts w:ascii="Arial" w:hAnsi="Arial" w:hint="default"/>
      </w:rPr>
    </w:lvl>
    <w:lvl w:ilvl="8" w:tplc="D2A45F90"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5E912FE6"/>
    <w:multiLevelType w:val="multilevel"/>
    <w:tmpl w:val="79D67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0736F2B"/>
    <w:multiLevelType w:val="multilevel"/>
    <w:tmpl w:val="1E946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3736C30"/>
    <w:multiLevelType w:val="multilevel"/>
    <w:tmpl w:val="99F49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690A61FF"/>
    <w:multiLevelType w:val="multilevel"/>
    <w:tmpl w:val="86DAE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E7D7ED4"/>
    <w:multiLevelType w:val="multilevel"/>
    <w:tmpl w:val="B48CD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F887D7B"/>
    <w:multiLevelType w:val="multilevel"/>
    <w:tmpl w:val="72189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1603CC3"/>
    <w:multiLevelType w:val="multilevel"/>
    <w:tmpl w:val="A5FC3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3183B5C"/>
    <w:multiLevelType w:val="multilevel"/>
    <w:tmpl w:val="14AA1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67B21E7"/>
    <w:multiLevelType w:val="hybridMultilevel"/>
    <w:tmpl w:val="C44630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6F86743"/>
    <w:multiLevelType w:val="multilevel"/>
    <w:tmpl w:val="75023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85F2787"/>
    <w:multiLevelType w:val="multilevel"/>
    <w:tmpl w:val="30929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CE36688"/>
    <w:multiLevelType w:val="hybridMultilevel"/>
    <w:tmpl w:val="7AF2FA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29"/>
  </w:num>
  <w:num w:numId="3">
    <w:abstractNumId w:val="36"/>
  </w:num>
  <w:num w:numId="4">
    <w:abstractNumId w:val="2"/>
  </w:num>
  <w:num w:numId="5">
    <w:abstractNumId w:val="6"/>
  </w:num>
  <w:num w:numId="6">
    <w:abstractNumId w:val="15"/>
  </w:num>
  <w:num w:numId="7">
    <w:abstractNumId w:val="15"/>
    <w:lvlOverride w:ilvl="0">
      <w:startOverride w:val="1"/>
    </w:lvlOverride>
  </w:num>
  <w:num w:numId="8">
    <w:abstractNumId w:val="11"/>
  </w:num>
  <w:num w:numId="9">
    <w:abstractNumId w:val="7"/>
  </w:num>
  <w:num w:numId="10">
    <w:abstractNumId w:val="10"/>
  </w:num>
  <w:num w:numId="11">
    <w:abstractNumId w:val="5"/>
  </w:num>
  <w:num w:numId="12">
    <w:abstractNumId w:val="41"/>
  </w:num>
  <w:num w:numId="13">
    <w:abstractNumId w:val="31"/>
  </w:num>
  <w:num w:numId="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25"/>
  </w:num>
  <w:num w:numId="18">
    <w:abstractNumId w:val="26"/>
  </w:num>
  <w:num w:numId="19">
    <w:abstractNumId w:val="9"/>
  </w:num>
  <w:num w:numId="20">
    <w:abstractNumId w:val="13"/>
  </w:num>
  <w:num w:numId="21">
    <w:abstractNumId w:val="38"/>
  </w:num>
  <w:num w:numId="22">
    <w:abstractNumId w:val="42"/>
  </w:num>
  <w:num w:numId="23">
    <w:abstractNumId w:val="1"/>
  </w:num>
  <w:num w:numId="24">
    <w:abstractNumId w:val="0"/>
  </w:num>
  <w:num w:numId="25">
    <w:abstractNumId w:val="28"/>
  </w:num>
  <w:num w:numId="26">
    <w:abstractNumId w:val="12"/>
  </w:num>
  <w:num w:numId="27">
    <w:abstractNumId w:val="23"/>
  </w:num>
  <w:num w:numId="28">
    <w:abstractNumId w:val="19"/>
  </w:num>
  <w:num w:numId="29">
    <w:abstractNumId w:val="4"/>
  </w:num>
  <w:num w:numId="30">
    <w:abstractNumId w:val="22"/>
  </w:num>
  <w:num w:numId="31">
    <w:abstractNumId w:val="35"/>
  </w:num>
  <w:num w:numId="32">
    <w:abstractNumId w:val="34"/>
  </w:num>
  <w:num w:numId="33">
    <w:abstractNumId w:val="16"/>
  </w:num>
  <w:num w:numId="34">
    <w:abstractNumId w:val="24"/>
  </w:num>
  <w:num w:numId="35">
    <w:abstractNumId w:val="18"/>
  </w:num>
  <w:num w:numId="36">
    <w:abstractNumId w:val="3"/>
  </w:num>
  <w:num w:numId="37">
    <w:abstractNumId w:val="27"/>
  </w:num>
  <w:num w:numId="38">
    <w:abstractNumId w:val="40"/>
  </w:num>
  <w:num w:numId="39">
    <w:abstractNumId w:val="39"/>
  </w:num>
  <w:num w:numId="40">
    <w:abstractNumId w:val="17"/>
  </w:num>
  <w:num w:numId="41">
    <w:abstractNumId w:val="8"/>
  </w:num>
  <w:num w:numId="42">
    <w:abstractNumId w:val="32"/>
  </w:num>
  <w:num w:numId="43">
    <w:abstractNumId w:val="33"/>
  </w:num>
  <w:num w:numId="44">
    <w:abstractNumId w:val="20"/>
  </w:num>
  <w:num w:numId="45">
    <w:abstractNumId w:val="14"/>
  </w:num>
  <w:num w:numId="46">
    <w:abstractNumId w:val="37"/>
  </w:num>
  <w:num w:numId="4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09C"/>
    <w:rsid w:val="000502D5"/>
    <w:rsid w:val="00062C7D"/>
    <w:rsid w:val="000852E1"/>
    <w:rsid w:val="000C55D6"/>
    <w:rsid w:val="000E00D2"/>
    <w:rsid w:val="000E17FC"/>
    <w:rsid w:val="001013F4"/>
    <w:rsid w:val="0010672E"/>
    <w:rsid w:val="001113C3"/>
    <w:rsid w:val="00130F8B"/>
    <w:rsid w:val="001624FB"/>
    <w:rsid w:val="00163455"/>
    <w:rsid w:val="00180B8D"/>
    <w:rsid w:val="001B3DB9"/>
    <w:rsid w:val="001C5A49"/>
    <w:rsid w:val="001C5D2E"/>
    <w:rsid w:val="001C68FD"/>
    <w:rsid w:val="001D1FF5"/>
    <w:rsid w:val="001F4463"/>
    <w:rsid w:val="002212FA"/>
    <w:rsid w:val="00221D0C"/>
    <w:rsid w:val="00221F36"/>
    <w:rsid w:val="00227F47"/>
    <w:rsid w:val="00243304"/>
    <w:rsid w:val="00247395"/>
    <w:rsid w:val="002539A4"/>
    <w:rsid w:val="00264900"/>
    <w:rsid w:val="002803A7"/>
    <w:rsid w:val="00283160"/>
    <w:rsid w:val="002A3C5A"/>
    <w:rsid w:val="002A7241"/>
    <w:rsid w:val="002C4B0F"/>
    <w:rsid w:val="002E5F1F"/>
    <w:rsid w:val="00337DFA"/>
    <w:rsid w:val="0035124F"/>
    <w:rsid w:val="0035647B"/>
    <w:rsid w:val="00361FCF"/>
    <w:rsid w:val="00372E16"/>
    <w:rsid w:val="00380288"/>
    <w:rsid w:val="003B503F"/>
    <w:rsid w:val="004002C6"/>
    <w:rsid w:val="004161FD"/>
    <w:rsid w:val="004338C6"/>
    <w:rsid w:val="00454D75"/>
    <w:rsid w:val="0049232C"/>
    <w:rsid w:val="004A3ECF"/>
    <w:rsid w:val="004B04FF"/>
    <w:rsid w:val="004B3854"/>
    <w:rsid w:val="004D249B"/>
    <w:rsid w:val="004D6DFA"/>
    <w:rsid w:val="004E24E2"/>
    <w:rsid w:val="00501E2A"/>
    <w:rsid w:val="00551BFA"/>
    <w:rsid w:val="0056751B"/>
    <w:rsid w:val="0059009C"/>
    <w:rsid w:val="005927C3"/>
    <w:rsid w:val="005959F1"/>
    <w:rsid w:val="005962E0"/>
    <w:rsid w:val="005A339C"/>
    <w:rsid w:val="005A5BE8"/>
    <w:rsid w:val="005B05AC"/>
    <w:rsid w:val="005B5622"/>
    <w:rsid w:val="005B78D7"/>
    <w:rsid w:val="005B7DC8"/>
    <w:rsid w:val="005D14DF"/>
    <w:rsid w:val="005D18AA"/>
    <w:rsid w:val="005E5D31"/>
    <w:rsid w:val="0060134C"/>
    <w:rsid w:val="006014D2"/>
    <w:rsid w:val="0066656C"/>
    <w:rsid w:val="006669E7"/>
    <w:rsid w:val="006971E0"/>
    <w:rsid w:val="006C5298"/>
    <w:rsid w:val="006D3CEF"/>
    <w:rsid w:val="006D527C"/>
    <w:rsid w:val="006F5AEC"/>
    <w:rsid w:val="006F7556"/>
    <w:rsid w:val="0072045A"/>
    <w:rsid w:val="00733386"/>
    <w:rsid w:val="00782A92"/>
    <w:rsid w:val="00797721"/>
    <w:rsid w:val="007A21E4"/>
    <w:rsid w:val="007C78CA"/>
    <w:rsid w:val="007D1D57"/>
    <w:rsid w:val="00807121"/>
    <w:rsid w:val="00813ED4"/>
    <w:rsid w:val="00826B23"/>
    <w:rsid w:val="00835E24"/>
    <w:rsid w:val="00840515"/>
    <w:rsid w:val="00873234"/>
    <w:rsid w:val="0089665B"/>
    <w:rsid w:val="008B1E35"/>
    <w:rsid w:val="008B2F11"/>
    <w:rsid w:val="008C0020"/>
    <w:rsid w:val="008D1EC3"/>
    <w:rsid w:val="008E2AA9"/>
    <w:rsid w:val="008F6E93"/>
    <w:rsid w:val="009138D4"/>
    <w:rsid w:val="00931656"/>
    <w:rsid w:val="00947A45"/>
    <w:rsid w:val="00976A73"/>
    <w:rsid w:val="00980A57"/>
    <w:rsid w:val="00987A38"/>
    <w:rsid w:val="009925ED"/>
    <w:rsid w:val="009C7E88"/>
    <w:rsid w:val="009F1D83"/>
    <w:rsid w:val="009F1E23"/>
    <w:rsid w:val="00A02151"/>
    <w:rsid w:val="00A04362"/>
    <w:rsid w:val="00A070B9"/>
    <w:rsid w:val="00A10542"/>
    <w:rsid w:val="00A30A98"/>
    <w:rsid w:val="00A312B2"/>
    <w:rsid w:val="00A5267D"/>
    <w:rsid w:val="00A53F7F"/>
    <w:rsid w:val="00A56645"/>
    <w:rsid w:val="00A67816"/>
    <w:rsid w:val="00A8783E"/>
    <w:rsid w:val="00AB042E"/>
    <w:rsid w:val="00AF7E31"/>
    <w:rsid w:val="00B107DD"/>
    <w:rsid w:val="00B453BC"/>
    <w:rsid w:val="00B46C00"/>
    <w:rsid w:val="00B60F00"/>
    <w:rsid w:val="00B735D1"/>
    <w:rsid w:val="00B75013"/>
    <w:rsid w:val="00B80FB4"/>
    <w:rsid w:val="00B85B70"/>
    <w:rsid w:val="00B9637E"/>
    <w:rsid w:val="00B964AE"/>
    <w:rsid w:val="00B96E8A"/>
    <w:rsid w:val="00C40D39"/>
    <w:rsid w:val="00C55EFB"/>
    <w:rsid w:val="00C63D9F"/>
    <w:rsid w:val="00C82428"/>
    <w:rsid w:val="00C96C8F"/>
    <w:rsid w:val="00CB19EC"/>
    <w:rsid w:val="00CB1D9E"/>
    <w:rsid w:val="00CD57DB"/>
    <w:rsid w:val="00CE0301"/>
    <w:rsid w:val="00CE56EE"/>
    <w:rsid w:val="00CF1E31"/>
    <w:rsid w:val="00D04EA5"/>
    <w:rsid w:val="00D065EF"/>
    <w:rsid w:val="00D075E1"/>
    <w:rsid w:val="00D26F29"/>
    <w:rsid w:val="00D42568"/>
    <w:rsid w:val="00D6727A"/>
    <w:rsid w:val="00D75EB4"/>
    <w:rsid w:val="00D859A3"/>
    <w:rsid w:val="00D85E33"/>
    <w:rsid w:val="00D9315C"/>
    <w:rsid w:val="00D95F48"/>
    <w:rsid w:val="00DA32F9"/>
    <w:rsid w:val="00DD422B"/>
    <w:rsid w:val="00E04C11"/>
    <w:rsid w:val="00E06D2A"/>
    <w:rsid w:val="00E120DF"/>
    <w:rsid w:val="00E13CE0"/>
    <w:rsid w:val="00E208DA"/>
    <w:rsid w:val="00E50B91"/>
    <w:rsid w:val="00E56EBE"/>
    <w:rsid w:val="00E57F0F"/>
    <w:rsid w:val="00E62B0B"/>
    <w:rsid w:val="00E8128D"/>
    <w:rsid w:val="00EA697D"/>
    <w:rsid w:val="00EA73F8"/>
    <w:rsid w:val="00EB31FA"/>
    <w:rsid w:val="00EC504F"/>
    <w:rsid w:val="00EC75A5"/>
    <w:rsid w:val="00EE208C"/>
    <w:rsid w:val="00F06E24"/>
    <w:rsid w:val="00F13A51"/>
    <w:rsid w:val="00F337DD"/>
    <w:rsid w:val="00F42F91"/>
    <w:rsid w:val="00F5363A"/>
    <w:rsid w:val="00F7162A"/>
    <w:rsid w:val="00F814A1"/>
    <w:rsid w:val="00F81A6C"/>
    <w:rsid w:val="00FA3312"/>
    <w:rsid w:val="00FB5C97"/>
    <w:rsid w:val="00FC66CA"/>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E817563"/>
  <w15:docId w15:val="{93C91619-3363-4C78-AFEF-6C4AFFB7C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5959F1"/>
    <w:pPr>
      <w:keepNext/>
      <w:keepLines/>
      <w:pageBreakBefore/>
      <w:numPr>
        <w:numId w:val="9"/>
      </w:numPr>
      <w:spacing w:before="480"/>
      <w:ind w:left="567" w:hanging="567"/>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60134C"/>
    <w:pPr>
      <w:keepNext/>
      <w:keepLines/>
      <w:numPr>
        <w:ilvl w:val="1"/>
        <w:numId w:val="9"/>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A070B9"/>
    <w:pPr>
      <w:keepNext/>
      <w:keepLines/>
      <w:numPr>
        <w:ilvl w:val="2"/>
        <w:numId w:val="9"/>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numPr>
        <w:ilvl w:val="3"/>
        <w:numId w:val="9"/>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9"/>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070B9"/>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5959F1"/>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60134C"/>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247395"/>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16"/>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7365D" w:themeColor="text2" w:themeShade="BF"/>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styleId="TableGridLight">
    <w:name w:val="Grid Table Light"/>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paragraph" w:styleId="NormalWeb">
    <w:name w:val="Normal (Web)"/>
    <w:basedOn w:val="Normal"/>
    <w:uiPriority w:val="99"/>
    <w:unhideWhenUsed/>
    <w:rsid w:val="001B3DB9"/>
    <w:pPr>
      <w:spacing w:before="100" w:beforeAutospacing="1" w:after="100" w:afterAutospacing="1" w:line="240" w:lineRule="auto"/>
      <w:jc w:val="left"/>
    </w:pPr>
    <w:rPr>
      <w:rFonts w:ascii="Times New Roman" w:eastAsia="Times New Roman" w:hAnsi="Times New Roman" w:cs="Times New Roman"/>
      <w:spacing w:val="0"/>
      <w:sz w:val="24"/>
      <w:szCs w:val="24"/>
      <w:lang w:val="en-US"/>
    </w:rPr>
  </w:style>
  <w:style w:type="paragraph" w:styleId="FootnoteText">
    <w:name w:val="footnote text"/>
    <w:basedOn w:val="Normal"/>
    <w:link w:val="FootnoteTextChar"/>
    <w:uiPriority w:val="99"/>
    <w:semiHidden/>
    <w:unhideWhenUsed/>
    <w:rsid w:val="008C002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C0020"/>
    <w:rPr>
      <w:rFonts w:ascii="Calibri" w:hAnsi="Calibri"/>
      <w:spacing w:val="2"/>
      <w:sz w:val="20"/>
      <w:szCs w:val="20"/>
    </w:rPr>
  </w:style>
  <w:style w:type="character" w:styleId="FootnoteReference">
    <w:name w:val="footnote reference"/>
    <w:basedOn w:val="DefaultParagraphFont"/>
    <w:uiPriority w:val="99"/>
    <w:semiHidden/>
    <w:unhideWhenUsed/>
    <w:rsid w:val="008C002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92819259">
      <w:bodyDiv w:val="1"/>
      <w:marLeft w:val="0"/>
      <w:marRight w:val="0"/>
      <w:marTop w:val="0"/>
      <w:marBottom w:val="0"/>
      <w:divBdr>
        <w:top w:val="none" w:sz="0" w:space="0" w:color="auto"/>
        <w:left w:val="none" w:sz="0" w:space="0" w:color="auto"/>
        <w:bottom w:val="none" w:sz="0" w:space="0" w:color="auto"/>
        <w:right w:val="none" w:sz="0" w:space="0" w:color="auto"/>
      </w:divBdr>
    </w:div>
    <w:div w:id="107549020">
      <w:bodyDiv w:val="1"/>
      <w:marLeft w:val="0"/>
      <w:marRight w:val="0"/>
      <w:marTop w:val="0"/>
      <w:marBottom w:val="0"/>
      <w:divBdr>
        <w:top w:val="none" w:sz="0" w:space="0" w:color="auto"/>
        <w:left w:val="none" w:sz="0" w:space="0" w:color="auto"/>
        <w:bottom w:val="none" w:sz="0" w:space="0" w:color="auto"/>
        <w:right w:val="none" w:sz="0" w:space="0" w:color="auto"/>
      </w:divBdr>
    </w:div>
    <w:div w:id="109325178">
      <w:bodyDiv w:val="1"/>
      <w:marLeft w:val="0"/>
      <w:marRight w:val="0"/>
      <w:marTop w:val="0"/>
      <w:marBottom w:val="0"/>
      <w:divBdr>
        <w:top w:val="none" w:sz="0" w:space="0" w:color="auto"/>
        <w:left w:val="none" w:sz="0" w:space="0" w:color="auto"/>
        <w:bottom w:val="none" w:sz="0" w:space="0" w:color="auto"/>
        <w:right w:val="none" w:sz="0" w:space="0" w:color="auto"/>
      </w:divBdr>
    </w:div>
    <w:div w:id="142704462">
      <w:bodyDiv w:val="1"/>
      <w:marLeft w:val="0"/>
      <w:marRight w:val="0"/>
      <w:marTop w:val="0"/>
      <w:marBottom w:val="0"/>
      <w:divBdr>
        <w:top w:val="none" w:sz="0" w:space="0" w:color="auto"/>
        <w:left w:val="none" w:sz="0" w:space="0" w:color="auto"/>
        <w:bottom w:val="none" w:sz="0" w:space="0" w:color="auto"/>
        <w:right w:val="none" w:sz="0" w:space="0" w:color="auto"/>
      </w:divBdr>
    </w:div>
    <w:div w:id="200944964">
      <w:bodyDiv w:val="1"/>
      <w:marLeft w:val="0"/>
      <w:marRight w:val="0"/>
      <w:marTop w:val="0"/>
      <w:marBottom w:val="0"/>
      <w:divBdr>
        <w:top w:val="none" w:sz="0" w:space="0" w:color="auto"/>
        <w:left w:val="none" w:sz="0" w:space="0" w:color="auto"/>
        <w:bottom w:val="none" w:sz="0" w:space="0" w:color="auto"/>
        <w:right w:val="none" w:sz="0" w:space="0" w:color="auto"/>
      </w:divBdr>
    </w:div>
    <w:div w:id="357972244">
      <w:bodyDiv w:val="1"/>
      <w:marLeft w:val="0"/>
      <w:marRight w:val="0"/>
      <w:marTop w:val="0"/>
      <w:marBottom w:val="0"/>
      <w:divBdr>
        <w:top w:val="none" w:sz="0" w:space="0" w:color="auto"/>
        <w:left w:val="none" w:sz="0" w:space="0" w:color="auto"/>
        <w:bottom w:val="none" w:sz="0" w:space="0" w:color="auto"/>
        <w:right w:val="none" w:sz="0" w:space="0" w:color="auto"/>
      </w:divBdr>
    </w:div>
    <w:div w:id="421150115">
      <w:bodyDiv w:val="1"/>
      <w:marLeft w:val="0"/>
      <w:marRight w:val="0"/>
      <w:marTop w:val="0"/>
      <w:marBottom w:val="0"/>
      <w:divBdr>
        <w:top w:val="none" w:sz="0" w:space="0" w:color="auto"/>
        <w:left w:val="none" w:sz="0" w:space="0" w:color="auto"/>
        <w:bottom w:val="none" w:sz="0" w:space="0" w:color="auto"/>
        <w:right w:val="none" w:sz="0" w:space="0" w:color="auto"/>
      </w:divBdr>
    </w:div>
    <w:div w:id="498156823">
      <w:bodyDiv w:val="1"/>
      <w:marLeft w:val="0"/>
      <w:marRight w:val="0"/>
      <w:marTop w:val="0"/>
      <w:marBottom w:val="0"/>
      <w:divBdr>
        <w:top w:val="none" w:sz="0" w:space="0" w:color="auto"/>
        <w:left w:val="none" w:sz="0" w:space="0" w:color="auto"/>
        <w:bottom w:val="none" w:sz="0" w:space="0" w:color="auto"/>
        <w:right w:val="none" w:sz="0" w:space="0" w:color="auto"/>
      </w:divBdr>
    </w:div>
    <w:div w:id="524438841">
      <w:bodyDiv w:val="1"/>
      <w:marLeft w:val="0"/>
      <w:marRight w:val="0"/>
      <w:marTop w:val="0"/>
      <w:marBottom w:val="0"/>
      <w:divBdr>
        <w:top w:val="none" w:sz="0" w:space="0" w:color="auto"/>
        <w:left w:val="none" w:sz="0" w:space="0" w:color="auto"/>
        <w:bottom w:val="none" w:sz="0" w:space="0" w:color="auto"/>
        <w:right w:val="none" w:sz="0" w:space="0" w:color="auto"/>
      </w:divBdr>
      <w:divsChild>
        <w:div w:id="417678195">
          <w:marLeft w:val="0"/>
          <w:marRight w:val="0"/>
          <w:marTop w:val="0"/>
          <w:marBottom w:val="0"/>
          <w:divBdr>
            <w:top w:val="none" w:sz="0" w:space="0" w:color="auto"/>
            <w:left w:val="none" w:sz="0" w:space="0" w:color="auto"/>
            <w:bottom w:val="none" w:sz="0" w:space="0" w:color="auto"/>
            <w:right w:val="none" w:sz="0" w:space="0" w:color="auto"/>
          </w:divBdr>
        </w:div>
      </w:divsChild>
    </w:div>
    <w:div w:id="540440836">
      <w:bodyDiv w:val="1"/>
      <w:marLeft w:val="0"/>
      <w:marRight w:val="0"/>
      <w:marTop w:val="0"/>
      <w:marBottom w:val="0"/>
      <w:divBdr>
        <w:top w:val="none" w:sz="0" w:space="0" w:color="auto"/>
        <w:left w:val="none" w:sz="0" w:space="0" w:color="auto"/>
        <w:bottom w:val="none" w:sz="0" w:space="0" w:color="auto"/>
        <w:right w:val="none" w:sz="0" w:space="0" w:color="auto"/>
      </w:divBdr>
    </w:div>
    <w:div w:id="544485160">
      <w:bodyDiv w:val="1"/>
      <w:marLeft w:val="0"/>
      <w:marRight w:val="0"/>
      <w:marTop w:val="0"/>
      <w:marBottom w:val="0"/>
      <w:divBdr>
        <w:top w:val="none" w:sz="0" w:space="0" w:color="auto"/>
        <w:left w:val="none" w:sz="0" w:space="0" w:color="auto"/>
        <w:bottom w:val="none" w:sz="0" w:space="0" w:color="auto"/>
        <w:right w:val="none" w:sz="0" w:space="0" w:color="auto"/>
      </w:divBdr>
    </w:div>
    <w:div w:id="566233786">
      <w:bodyDiv w:val="1"/>
      <w:marLeft w:val="0"/>
      <w:marRight w:val="0"/>
      <w:marTop w:val="0"/>
      <w:marBottom w:val="0"/>
      <w:divBdr>
        <w:top w:val="none" w:sz="0" w:space="0" w:color="auto"/>
        <w:left w:val="none" w:sz="0" w:space="0" w:color="auto"/>
        <w:bottom w:val="none" w:sz="0" w:space="0" w:color="auto"/>
        <w:right w:val="none" w:sz="0" w:space="0" w:color="auto"/>
      </w:divBdr>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581838267">
      <w:bodyDiv w:val="1"/>
      <w:marLeft w:val="0"/>
      <w:marRight w:val="0"/>
      <w:marTop w:val="0"/>
      <w:marBottom w:val="0"/>
      <w:divBdr>
        <w:top w:val="none" w:sz="0" w:space="0" w:color="auto"/>
        <w:left w:val="none" w:sz="0" w:space="0" w:color="auto"/>
        <w:bottom w:val="none" w:sz="0" w:space="0" w:color="auto"/>
        <w:right w:val="none" w:sz="0" w:space="0" w:color="auto"/>
      </w:divBdr>
    </w:div>
    <w:div w:id="598217966">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07070533">
      <w:bodyDiv w:val="1"/>
      <w:marLeft w:val="0"/>
      <w:marRight w:val="0"/>
      <w:marTop w:val="0"/>
      <w:marBottom w:val="0"/>
      <w:divBdr>
        <w:top w:val="none" w:sz="0" w:space="0" w:color="auto"/>
        <w:left w:val="none" w:sz="0" w:space="0" w:color="auto"/>
        <w:bottom w:val="none" w:sz="0" w:space="0" w:color="auto"/>
        <w:right w:val="none" w:sz="0" w:space="0" w:color="auto"/>
      </w:divBdr>
    </w:div>
    <w:div w:id="822939320">
      <w:bodyDiv w:val="1"/>
      <w:marLeft w:val="0"/>
      <w:marRight w:val="0"/>
      <w:marTop w:val="0"/>
      <w:marBottom w:val="0"/>
      <w:divBdr>
        <w:top w:val="none" w:sz="0" w:space="0" w:color="auto"/>
        <w:left w:val="none" w:sz="0" w:space="0" w:color="auto"/>
        <w:bottom w:val="none" w:sz="0" w:space="0" w:color="auto"/>
        <w:right w:val="none" w:sz="0" w:space="0" w:color="auto"/>
      </w:divBdr>
    </w:div>
    <w:div w:id="844172776">
      <w:bodyDiv w:val="1"/>
      <w:marLeft w:val="0"/>
      <w:marRight w:val="0"/>
      <w:marTop w:val="0"/>
      <w:marBottom w:val="0"/>
      <w:divBdr>
        <w:top w:val="none" w:sz="0" w:space="0" w:color="auto"/>
        <w:left w:val="none" w:sz="0" w:space="0" w:color="auto"/>
        <w:bottom w:val="none" w:sz="0" w:space="0" w:color="auto"/>
        <w:right w:val="none" w:sz="0" w:space="0" w:color="auto"/>
      </w:divBdr>
    </w:div>
    <w:div w:id="923757373">
      <w:bodyDiv w:val="1"/>
      <w:marLeft w:val="0"/>
      <w:marRight w:val="0"/>
      <w:marTop w:val="0"/>
      <w:marBottom w:val="0"/>
      <w:divBdr>
        <w:top w:val="none" w:sz="0" w:space="0" w:color="auto"/>
        <w:left w:val="none" w:sz="0" w:space="0" w:color="auto"/>
        <w:bottom w:val="none" w:sz="0" w:space="0" w:color="auto"/>
        <w:right w:val="none" w:sz="0" w:space="0" w:color="auto"/>
      </w:divBdr>
    </w:div>
    <w:div w:id="1008171718">
      <w:bodyDiv w:val="1"/>
      <w:marLeft w:val="0"/>
      <w:marRight w:val="0"/>
      <w:marTop w:val="0"/>
      <w:marBottom w:val="0"/>
      <w:divBdr>
        <w:top w:val="none" w:sz="0" w:space="0" w:color="auto"/>
        <w:left w:val="none" w:sz="0" w:space="0" w:color="auto"/>
        <w:bottom w:val="none" w:sz="0" w:space="0" w:color="auto"/>
        <w:right w:val="none" w:sz="0" w:space="0" w:color="auto"/>
      </w:divBdr>
    </w:div>
    <w:div w:id="1030229382">
      <w:bodyDiv w:val="1"/>
      <w:marLeft w:val="0"/>
      <w:marRight w:val="0"/>
      <w:marTop w:val="0"/>
      <w:marBottom w:val="0"/>
      <w:divBdr>
        <w:top w:val="none" w:sz="0" w:space="0" w:color="auto"/>
        <w:left w:val="none" w:sz="0" w:space="0" w:color="auto"/>
        <w:bottom w:val="none" w:sz="0" w:space="0" w:color="auto"/>
        <w:right w:val="none" w:sz="0" w:space="0" w:color="auto"/>
      </w:divBdr>
    </w:div>
    <w:div w:id="1041130801">
      <w:bodyDiv w:val="1"/>
      <w:marLeft w:val="0"/>
      <w:marRight w:val="0"/>
      <w:marTop w:val="0"/>
      <w:marBottom w:val="0"/>
      <w:divBdr>
        <w:top w:val="none" w:sz="0" w:space="0" w:color="auto"/>
        <w:left w:val="none" w:sz="0" w:space="0" w:color="auto"/>
        <w:bottom w:val="none" w:sz="0" w:space="0" w:color="auto"/>
        <w:right w:val="none" w:sz="0" w:space="0" w:color="auto"/>
      </w:divBdr>
      <w:divsChild>
        <w:div w:id="2115241821">
          <w:marLeft w:val="0"/>
          <w:marRight w:val="0"/>
          <w:marTop w:val="0"/>
          <w:marBottom w:val="0"/>
          <w:divBdr>
            <w:top w:val="none" w:sz="0" w:space="0" w:color="auto"/>
            <w:left w:val="none" w:sz="0" w:space="0" w:color="auto"/>
            <w:bottom w:val="none" w:sz="0" w:space="0" w:color="auto"/>
            <w:right w:val="none" w:sz="0" w:space="0" w:color="auto"/>
          </w:divBdr>
        </w:div>
        <w:div w:id="1725132187">
          <w:marLeft w:val="0"/>
          <w:marRight w:val="0"/>
          <w:marTop w:val="0"/>
          <w:marBottom w:val="0"/>
          <w:divBdr>
            <w:top w:val="none" w:sz="0" w:space="0" w:color="auto"/>
            <w:left w:val="none" w:sz="0" w:space="0" w:color="auto"/>
            <w:bottom w:val="none" w:sz="0" w:space="0" w:color="auto"/>
            <w:right w:val="none" w:sz="0" w:space="0" w:color="auto"/>
          </w:divBdr>
        </w:div>
      </w:divsChild>
    </w:div>
    <w:div w:id="1068764729">
      <w:bodyDiv w:val="1"/>
      <w:marLeft w:val="0"/>
      <w:marRight w:val="0"/>
      <w:marTop w:val="0"/>
      <w:marBottom w:val="0"/>
      <w:divBdr>
        <w:top w:val="none" w:sz="0" w:space="0" w:color="auto"/>
        <w:left w:val="none" w:sz="0" w:space="0" w:color="auto"/>
        <w:bottom w:val="none" w:sz="0" w:space="0" w:color="auto"/>
        <w:right w:val="none" w:sz="0" w:space="0" w:color="auto"/>
      </w:divBdr>
    </w:div>
    <w:div w:id="1092819464">
      <w:bodyDiv w:val="1"/>
      <w:marLeft w:val="0"/>
      <w:marRight w:val="0"/>
      <w:marTop w:val="0"/>
      <w:marBottom w:val="0"/>
      <w:divBdr>
        <w:top w:val="none" w:sz="0" w:space="0" w:color="auto"/>
        <w:left w:val="none" w:sz="0" w:space="0" w:color="auto"/>
        <w:bottom w:val="none" w:sz="0" w:space="0" w:color="auto"/>
        <w:right w:val="none" w:sz="0" w:space="0" w:color="auto"/>
      </w:divBdr>
    </w:div>
    <w:div w:id="1158689758">
      <w:bodyDiv w:val="1"/>
      <w:marLeft w:val="0"/>
      <w:marRight w:val="0"/>
      <w:marTop w:val="0"/>
      <w:marBottom w:val="0"/>
      <w:divBdr>
        <w:top w:val="none" w:sz="0" w:space="0" w:color="auto"/>
        <w:left w:val="none" w:sz="0" w:space="0" w:color="auto"/>
        <w:bottom w:val="none" w:sz="0" w:space="0" w:color="auto"/>
        <w:right w:val="none" w:sz="0" w:space="0" w:color="auto"/>
      </w:divBdr>
    </w:div>
    <w:div w:id="1243372030">
      <w:bodyDiv w:val="1"/>
      <w:marLeft w:val="0"/>
      <w:marRight w:val="0"/>
      <w:marTop w:val="0"/>
      <w:marBottom w:val="0"/>
      <w:divBdr>
        <w:top w:val="none" w:sz="0" w:space="0" w:color="auto"/>
        <w:left w:val="none" w:sz="0" w:space="0" w:color="auto"/>
        <w:bottom w:val="none" w:sz="0" w:space="0" w:color="auto"/>
        <w:right w:val="none" w:sz="0" w:space="0" w:color="auto"/>
      </w:divBdr>
    </w:div>
    <w:div w:id="1330599307">
      <w:bodyDiv w:val="1"/>
      <w:marLeft w:val="0"/>
      <w:marRight w:val="0"/>
      <w:marTop w:val="0"/>
      <w:marBottom w:val="0"/>
      <w:divBdr>
        <w:top w:val="none" w:sz="0" w:space="0" w:color="auto"/>
        <w:left w:val="none" w:sz="0" w:space="0" w:color="auto"/>
        <w:bottom w:val="none" w:sz="0" w:space="0" w:color="auto"/>
        <w:right w:val="none" w:sz="0" w:space="0" w:color="auto"/>
      </w:divBdr>
    </w:div>
    <w:div w:id="1337224653">
      <w:bodyDiv w:val="1"/>
      <w:marLeft w:val="0"/>
      <w:marRight w:val="0"/>
      <w:marTop w:val="0"/>
      <w:marBottom w:val="0"/>
      <w:divBdr>
        <w:top w:val="none" w:sz="0" w:space="0" w:color="auto"/>
        <w:left w:val="none" w:sz="0" w:space="0" w:color="auto"/>
        <w:bottom w:val="none" w:sz="0" w:space="0" w:color="auto"/>
        <w:right w:val="none" w:sz="0" w:space="0" w:color="auto"/>
      </w:divBdr>
      <w:divsChild>
        <w:div w:id="535431854">
          <w:marLeft w:val="0"/>
          <w:marRight w:val="0"/>
          <w:marTop w:val="0"/>
          <w:marBottom w:val="0"/>
          <w:divBdr>
            <w:top w:val="none" w:sz="0" w:space="0" w:color="auto"/>
            <w:left w:val="none" w:sz="0" w:space="0" w:color="auto"/>
            <w:bottom w:val="none" w:sz="0" w:space="0" w:color="auto"/>
            <w:right w:val="none" w:sz="0" w:space="0" w:color="auto"/>
          </w:divBdr>
        </w:div>
      </w:divsChild>
    </w:div>
    <w:div w:id="1432703474">
      <w:bodyDiv w:val="1"/>
      <w:marLeft w:val="0"/>
      <w:marRight w:val="0"/>
      <w:marTop w:val="0"/>
      <w:marBottom w:val="0"/>
      <w:divBdr>
        <w:top w:val="none" w:sz="0" w:space="0" w:color="auto"/>
        <w:left w:val="none" w:sz="0" w:space="0" w:color="auto"/>
        <w:bottom w:val="none" w:sz="0" w:space="0" w:color="auto"/>
        <w:right w:val="none" w:sz="0" w:space="0" w:color="auto"/>
      </w:divBdr>
    </w:div>
    <w:div w:id="1551571835">
      <w:bodyDiv w:val="1"/>
      <w:marLeft w:val="0"/>
      <w:marRight w:val="0"/>
      <w:marTop w:val="0"/>
      <w:marBottom w:val="0"/>
      <w:divBdr>
        <w:top w:val="none" w:sz="0" w:space="0" w:color="auto"/>
        <w:left w:val="none" w:sz="0" w:space="0" w:color="auto"/>
        <w:bottom w:val="none" w:sz="0" w:space="0" w:color="auto"/>
        <w:right w:val="none" w:sz="0" w:space="0" w:color="auto"/>
      </w:divBdr>
    </w:div>
    <w:div w:id="1565873237">
      <w:bodyDiv w:val="1"/>
      <w:marLeft w:val="0"/>
      <w:marRight w:val="0"/>
      <w:marTop w:val="0"/>
      <w:marBottom w:val="0"/>
      <w:divBdr>
        <w:top w:val="none" w:sz="0" w:space="0" w:color="auto"/>
        <w:left w:val="none" w:sz="0" w:space="0" w:color="auto"/>
        <w:bottom w:val="none" w:sz="0" w:space="0" w:color="auto"/>
        <w:right w:val="none" w:sz="0" w:space="0" w:color="auto"/>
      </w:divBdr>
      <w:divsChild>
        <w:div w:id="522205524">
          <w:marLeft w:val="0"/>
          <w:marRight w:val="0"/>
          <w:marTop w:val="0"/>
          <w:marBottom w:val="0"/>
          <w:divBdr>
            <w:top w:val="none" w:sz="0" w:space="0" w:color="auto"/>
            <w:left w:val="none" w:sz="0" w:space="0" w:color="auto"/>
            <w:bottom w:val="none" w:sz="0" w:space="0" w:color="auto"/>
            <w:right w:val="none" w:sz="0" w:space="0" w:color="auto"/>
          </w:divBdr>
        </w:div>
      </w:divsChild>
    </w:div>
    <w:div w:id="1575049852">
      <w:bodyDiv w:val="1"/>
      <w:marLeft w:val="0"/>
      <w:marRight w:val="0"/>
      <w:marTop w:val="0"/>
      <w:marBottom w:val="0"/>
      <w:divBdr>
        <w:top w:val="none" w:sz="0" w:space="0" w:color="auto"/>
        <w:left w:val="none" w:sz="0" w:space="0" w:color="auto"/>
        <w:bottom w:val="none" w:sz="0" w:space="0" w:color="auto"/>
        <w:right w:val="none" w:sz="0" w:space="0" w:color="auto"/>
      </w:divBdr>
    </w:div>
    <w:div w:id="1597907271">
      <w:bodyDiv w:val="1"/>
      <w:marLeft w:val="0"/>
      <w:marRight w:val="0"/>
      <w:marTop w:val="0"/>
      <w:marBottom w:val="0"/>
      <w:divBdr>
        <w:top w:val="none" w:sz="0" w:space="0" w:color="auto"/>
        <w:left w:val="none" w:sz="0" w:space="0" w:color="auto"/>
        <w:bottom w:val="none" w:sz="0" w:space="0" w:color="auto"/>
        <w:right w:val="none" w:sz="0" w:space="0" w:color="auto"/>
      </w:divBdr>
      <w:divsChild>
        <w:div w:id="886375036">
          <w:marLeft w:val="0"/>
          <w:marRight w:val="0"/>
          <w:marTop w:val="0"/>
          <w:marBottom w:val="0"/>
          <w:divBdr>
            <w:top w:val="none" w:sz="0" w:space="0" w:color="auto"/>
            <w:left w:val="none" w:sz="0" w:space="0" w:color="auto"/>
            <w:bottom w:val="none" w:sz="0" w:space="0" w:color="auto"/>
            <w:right w:val="none" w:sz="0" w:space="0" w:color="auto"/>
          </w:divBdr>
        </w:div>
      </w:divsChild>
    </w:div>
    <w:div w:id="1620641839">
      <w:bodyDiv w:val="1"/>
      <w:marLeft w:val="0"/>
      <w:marRight w:val="0"/>
      <w:marTop w:val="0"/>
      <w:marBottom w:val="0"/>
      <w:divBdr>
        <w:top w:val="none" w:sz="0" w:space="0" w:color="auto"/>
        <w:left w:val="none" w:sz="0" w:space="0" w:color="auto"/>
        <w:bottom w:val="none" w:sz="0" w:space="0" w:color="auto"/>
        <w:right w:val="none" w:sz="0" w:space="0" w:color="auto"/>
      </w:divBdr>
    </w:div>
    <w:div w:id="1625117732">
      <w:bodyDiv w:val="1"/>
      <w:marLeft w:val="0"/>
      <w:marRight w:val="0"/>
      <w:marTop w:val="0"/>
      <w:marBottom w:val="0"/>
      <w:divBdr>
        <w:top w:val="none" w:sz="0" w:space="0" w:color="auto"/>
        <w:left w:val="none" w:sz="0" w:space="0" w:color="auto"/>
        <w:bottom w:val="none" w:sz="0" w:space="0" w:color="auto"/>
        <w:right w:val="none" w:sz="0" w:space="0" w:color="auto"/>
      </w:divBdr>
    </w:div>
    <w:div w:id="1709336769">
      <w:bodyDiv w:val="1"/>
      <w:marLeft w:val="0"/>
      <w:marRight w:val="0"/>
      <w:marTop w:val="0"/>
      <w:marBottom w:val="0"/>
      <w:divBdr>
        <w:top w:val="none" w:sz="0" w:space="0" w:color="auto"/>
        <w:left w:val="none" w:sz="0" w:space="0" w:color="auto"/>
        <w:bottom w:val="none" w:sz="0" w:space="0" w:color="auto"/>
        <w:right w:val="none" w:sz="0" w:space="0" w:color="auto"/>
      </w:divBdr>
      <w:divsChild>
        <w:div w:id="791561257">
          <w:marLeft w:val="0"/>
          <w:marRight w:val="0"/>
          <w:marTop w:val="0"/>
          <w:marBottom w:val="0"/>
          <w:divBdr>
            <w:top w:val="none" w:sz="0" w:space="0" w:color="auto"/>
            <w:left w:val="none" w:sz="0" w:space="0" w:color="auto"/>
            <w:bottom w:val="none" w:sz="0" w:space="0" w:color="auto"/>
            <w:right w:val="none" w:sz="0" w:space="0" w:color="auto"/>
          </w:divBdr>
        </w:div>
        <w:div w:id="998656221">
          <w:marLeft w:val="0"/>
          <w:marRight w:val="0"/>
          <w:marTop w:val="0"/>
          <w:marBottom w:val="0"/>
          <w:divBdr>
            <w:top w:val="none" w:sz="0" w:space="0" w:color="auto"/>
            <w:left w:val="none" w:sz="0" w:space="0" w:color="auto"/>
            <w:bottom w:val="none" w:sz="0" w:space="0" w:color="auto"/>
            <w:right w:val="none" w:sz="0" w:space="0" w:color="auto"/>
          </w:divBdr>
        </w:div>
      </w:divsChild>
    </w:div>
    <w:div w:id="1750302543">
      <w:bodyDiv w:val="1"/>
      <w:marLeft w:val="0"/>
      <w:marRight w:val="0"/>
      <w:marTop w:val="0"/>
      <w:marBottom w:val="0"/>
      <w:divBdr>
        <w:top w:val="none" w:sz="0" w:space="0" w:color="auto"/>
        <w:left w:val="none" w:sz="0" w:space="0" w:color="auto"/>
        <w:bottom w:val="none" w:sz="0" w:space="0" w:color="auto"/>
        <w:right w:val="none" w:sz="0" w:space="0" w:color="auto"/>
      </w:divBdr>
    </w:div>
    <w:div w:id="1790709461">
      <w:bodyDiv w:val="1"/>
      <w:marLeft w:val="0"/>
      <w:marRight w:val="0"/>
      <w:marTop w:val="0"/>
      <w:marBottom w:val="0"/>
      <w:divBdr>
        <w:top w:val="none" w:sz="0" w:space="0" w:color="auto"/>
        <w:left w:val="none" w:sz="0" w:space="0" w:color="auto"/>
        <w:bottom w:val="none" w:sz="0" w:space="0" w:color="auto"/>
        <w:right w:val="none" w:sz="0" w:space="0" w:color="auto"/>
      </w:divBdr>
    </w:div>
    <w:div w:id="1817841594">
      <w:bodyDiv w:val="1"/>
      <w:marLeft w:val="0"/>
      <w:marRight w:val="0"/>
      <w:marTop w:val="0"/>
      <w:marBottom w:val="0"/>
      <w:divBdr>
        <w:top w:val="none" w:sz="0" w:space="0" w:color="auto"/>
        <w:left w:val="none" w:sz="0" w:space="0" w:color="auto"/>
        <w:bottom w:val="none" w:sz="0" w:space="0" w:color="auto"/>
        <w:right w:val="none" w:sz="0" w:space="0" w:color="auto"/>
      </w:divBdr>
      <w:divsChild>
        <w:div w:id="392002848">
          <w:marLeft w:val="0"/>
          <w:marRight w:val="0"/>
          <w:marTop w:val="0"/>
          <w:marBottom w:val="0"/>
          <w:divBdr>
            <w:top w:val="none" w:sz="0" w:space="0" w:color="auto"/>
            <w:left w:val="none" w:sz="0" w:space="0" w:color="auto"/>
            <w:bottom w:val="none" w:sz="0" w:space="0" w:color="auto"/>
            <w:right w:val="none" w:sz="0" w:space="0" w:color="auto"/>
          </w:divBdr>
        </w:div>
      </w:divsChild>
    </w:div>
    <w:div w:id="1832679131">
      <w:bodyDiv w:val="1"/>
      <w:marLeft w:val="0"/>
      <w:marRight w:val="0"/>
      <w:marTop w:val="0"/>
      <w:marBottom w:val="0"/>
      <w:divBdr>
        <w:top w:val="none" w:sz="0" w:space="0" w:color="auto"/>
        <w:left w:val="none" w:sz="0" w:space="0" w:color="auto"/>
        <w:bottom w:val="none" w:sz="0" w:space="0" w:color="auto"/>
        <w:right w:val="none" w:sz="0" w:space="0" w:color="auto"/>
      </w:divBdr>
    </w:div>
    <w:div w:id="1847744829">
      <w:bodyDiv w:val="1"/>
      <w:marLeft w:val="0"/>
      <w:marRight w:val="0"/>
      <w:marTop w:val="0"/>
      <w:marBottom w:val="0"/>
      <w:divBdr>
        <w:top w:val="none" w:sz="0" w:space="0" w:color="auto"/>
        <w:left w:val="none" w:sz="0" w:space="0" w:color="auto"/>
        <w:bottom w:val="none" w:sz="0" w:space="0" w:color="auto"/>
        <w:right w:val="none" w:sz="0" w:space="0" w:color="auto"/>
      </w:divBdr>
    </w:div>
    <w:div w:id="1863474828">
      <w:bodyDiv w:val="1"/>
      <w:marLeft w:val="0"/>
      <w:marRight w:val="0"/>
      <w:marTop w:val="0"/>
      <w:marBottom w:val="0"/>
      <w:divBdr>
        <w:top w:val="none" w:sz="0" w:space="0" w:color="auto"/>
        <w:left w:val="none" w:sz="0" w:space="0" w:color="auto"/>
        <w:bottom w:val="none" w:sz="0" w:space="0" w:color="auto"/>
        <w:right w:val="none" w:sz="0" w:space="0" w:color="auto"/>
      </w:divBdr>
    </w:div>
    <w:div w:id="1867016307">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 w:id="2145997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7.png"/><Relationship Id="rId26" Type="http://schemas.openxmlformats.org/officeDocument/2006/relationships/hyperlink" Target="https://www.rfc-editor.org/info/rfc3820" TargetMode="External"/><Relationship Id="rId39" Type="http://schemas.openxmlformats.org/officeDocument/2006/relationships/hyperlink" Target="https://aarc-project.eu/guidelines/aarc-g021/" TargetMode="External"/><Relationship Id="rId21" Type="http://schemas.openxmlformats.org/officeDocument/2006/relationships/image" Target="media/image8.png"/><Relationship Id="rId34" Type="http://schemas.openxmlformats.org/officeDocument/2006/relationships/hyperlink" Target="https://refeds.org/category/research-and-scholarship" TargetMode="External"/><Relationship Id="rId42" Type="http://schemas.openxmlformats.org/officeDocument/2006/relationships/hyperlink" Target="https://aarc-project.eu/guidelines/aarc-g025/" TargetMode="External"/><Relationship Id="rId47" Type="http://schemas.openxmlformats.org/officeDocument/2006/relationships/hyperlink" Target="https://wiki.geant.org/download/attachments/123766285/WISE-SCI-Baseline-AUP-V1.0.1-draft.pdf?version=1&amp;modificationDate=1557297275149&amp;api=v2" TargetMode="External"/><Relationship Id="rId50" Type="http://schemas.openxmlformats.org/officeDocument/2006/relationships/hyperlink" Target="https://wiki.geant.org/display/eduTEAMS/What+is+eduTEAMS" TargetMode="External"/><Relationship Id="rId55" Type="http://schemas.openxmlformats.org/officeDocument/2006/relationships/hyperlink" Target="https://watts-prod.data.kit.edu/docs/user/index.html" TargetMode="External"/><Relationship Id="rId63" Type="http://schemas.openxmlformats.org/officeDocument/2006/relationships/hyperlink" Target="https://watts-prod.data.kit.edu/docs/user/rsp.html" TargetMode="External"/><Relationship Id="rId68" Type="http://schemas.openxmlformats.org/officeDocument/2006/relationships/hyperlink" Target="https://docs.openstack.org/api/" TargetMode="External"/><Relationship Id="rId76" Type="http://schemas.openxmlformats.org/officeDocument/2006/relationships/hyperlink" Target="https://opennebula.org/" TargetMode="External"/><Relationship Id="rId7" Type="http://schemas.openxmlformats.org/officeDocument/2006/relationships/endnotes" Target="endnotes.xml"/><Relationship Id="rId71" Type="http://schemas.openxmlformats.org/officeDocument/2006/relationships/hyperlink" Target="https://cloud.google.com/compute/docs/apis" TargetMode="External"/><Relationship Id="rId2" Type="http://schemas.openxmlformats.org/officeDocument/2006/relationships/numbering" Target="numbering.xml"/><Relationship Id="rId16" Type="http://schemas.openxmlformats.org/officeDocument/2006/relationships/hyperlink" Target="https://aarc-project.eu/guidelines/aarc-g045/" TargetMode="External"/><Relationship Id="rId29" Type="http://schemas.openxmlformats.org/officeDocument/2006/relationships/hyperlink" Target="https://tools.ietf.org/id/draft-ietf-oauth-token-exchange-14.html" TargetMode="External"/><Relationship Id="rId11" Type="http://schemas.openxmlformats.org/officeDocument/2006/relationships/hyperlink" Target="http://creativecommons.org/licenses/by/4.0/" TargetMode="External"/><Relationship Id="rId24" Type="http://schemas.openxmlformats.org/officeDocument/2006/relationships/hyperlink" Target="https://openid.net/specs/openid-connect-core-1_0.html" TargetMode="External"/><Relationship Id="rId32" Type="http://schemas.openxmlformats.org/officeDocument/2006/relationships/hyperlink" Target="https://tools.ietf.org/html/rfc7644" TargetMode="External"/><Relationship Id="rId37" Type="http://schemas.openxmlformats.org/officeDocument/2006/relationships/hyperlink" Target="https://aarc-project.eu/guidelines/aarc-g025/" TargetMode="External"/><Relationship Id="rId40" Type="http://schemas.openxmlformats.org/officeDocument/2006/relationships/hyperlink" Target="https://aarc-project.eu/guidelines/aarc-g031/" TargetMode="External"/><Relationship Id="rId45" Type="http://schemas.openxmlformats.org/officeDocument/2006/relationships/hyperlink" Target="https://aarc-project.eu/guidelines/aarc-g040/" TargetMode="External"/><Relationship Id="rId53" Type="http://schemas.openxmlformats.org/officeDocument/2006/relationships/hyperlink" Target="https://www.internet2.edu/products-services/trust-identity/comanage/" TargetMode="External"/><Relationship Id="rId58" Type="http://schemas.openxmlformats.org/officeDocument/2006/relationships/hyperlink" Target="https://eudat.eu/services/userdoc/b2access-service-integration" TargetMode="External"/><Relationship Id="rId66" Type="http://schemas.openxmlformats.org/officeDocument/2006/relationships/image" Target="media/image9.png"/><Relationship Id="rId74" Type="http://schemas.openxmlformats.org/officeDocument/2006/relationships/hyperlink" Target="https://www.egi.eu/services/cloud-compute/" TargetMode="External"/><Relationship Id="rId79"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hyperlink" Target="https://indigo-iam.github.io/docs/v/current/" TargetMode="External"/><Relationship Id="rId10" Type="http://schemas.openxmlformats.org/officeDocument/2006/relationships/image" Target="media/image3.png"/><Relationship Id="rId19" Type="http://schemas.openxmlformats.org/officeDocument/2006/relationships/hyperlink" Target="https://aarc-community.org" TargetMode="External"/><Relationship Id="rId31" Type="http://schemas.openxmlformats.org/officeDocument/2006/relationships/hyperlink" Target="https://tools.ietf.org/html/rfc7643" TargetMode="External"/><Relationship Id="rId44" Type="http://schemas.openxmlformats.org/officeDocument/2006/relationships/hyperlink" Target="https://wiki.refeds.org/download/attachments/1606087/GEANT_DP_CoCo_ver1.0.pdf?version=1&amp;modificationDate=1450367740260&amp;api=v2" TargetMode="External"/><Relationship Id="rId52" Type="http://schemas.openxmlformats.org/officeDocument/2006/relationships/hyperlink" Target="https://perun-aai.org/" TargetMode="External"/><Relationship Id="rId60" Type="http://schemas.openxmlformats.org/officeDocument/2006/relationships/hyperlink" Target="https://wiki.geant.org/display/eduTEAMS" TargetMode="External"/><Relationship Id="rId65" Type="http://schemas.openxmlformats.org/officeDocument/2006/relationships/hyperlink" Target="https://wiki.nikhef.nl/grid/AARC_Pilot_-_RCAuth.eu" TargetMode="External"/><Relationship Id="rId73" Type="http://schemas.openxmlformats.org/officeDocument/2006/relationships/hyperlink" Target="https://www.dmtf.org/sites/default/files/standards/documents/DSP0263_2.0.0.pdf" TargetMode="External"/><Relationship Id="rId78" Type="http://schemas.openxmlformats.org/officeDocument/2006/relationships/header" Target="header2.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hyperlink" Target="https://www.oasis-open.org/standards" TargetMode="External"/><Relationship Id="rId27" Type="http://schemas.openxmlformats.org/officeDocument/2006/relationships/hyperlink" Target="https://tools.ietf.org/html/rfc4511" TargetMode="External"/><Relationship Id="rId30" Type="http://schemas.openxmlformats.org/officeDocument/2006/relationships/hyperlink" Target="https://tools.ietf.org/html/draft-ietf-oauth-device-flow-15" TargetMode="External"/><Relationship Id="rId35" Type="http://schemas.openxmlformats.org/officeDocument/2006/relationships/hyperlink" Target="https://aarc-project.eu/guidelines/aarc-g002/" TargetMode="External"/><Relationship Id="rId43" Type="http://schemas.openxmlformats.org/officeDocument/2006/relationships/hyperlink" Target="https://tools.ietf.org/html/draft-ietf-oauth-token-exchange-16" TargetMode="External"/><Relationship Id="rId48" Type="http://schemas.openxmlformats.org/officeDocument/2006/relationships/hyperlink" Target="https://www.eudat.eu/services/b2access" TargetMode="External"/><Relationship Id="rId56" Type="http://schemas.openxmlformats.org/officeDocument/2006/relationships/hyperlink" Target="https://wiki.nikhef.nl/grid/Master_Portal_Internals" TargetMode="External"/><Relationship Id="rId64" Type="http://schemas.openxmlformats.org/officeDocument/2006/relationships/hyperlink" Target="https://wiki.nikhef.nl/grid/RCAuth.eu_MasterPortal_VOPortal_integration_guide" TargetMode="External"/><Relationship Id="rId69" Type="http://schemas.openxmlformats.org/officeDocument/2006/relationships/hyperlink" Target="https://docs.aws.amazon.com/AWSEC2/latest/APIReference/Welcome.html" TargetMode="External"/><Relationship Id="rId77"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hyperlink" Target="https://www.indigo-datacloud.eu/identity-and-access-management" TargetMode="External"/><Relationship Id="rId72" Type="http://schemas.openxmlformats.org/officeDocument/2006/relationships/hyperlink" Target="http://occi-wg.org/about/specification/" TargetMode="Externa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wiki.eosc-hub.eu/display/EOSC/EOSC-hub+Glossary" TargetMode="External"/><Relationship Id="rId17" Type="http://schemas.openxmlformats.org/officeDocument/2006/relationships/image" Target="media/image6.png"/><Relationship Id="rId25" Type="http://schemas.openxmlformats.org/officeDocument/2006/relationships/hyperlink" Target="https://www.rfc-editor.org/info/rfc5280" TargetMode="External"/><Relationship Id="rId33" Type="http://schemas.openxmlformats.org/officeDocument/2006/relationships/hyperlink" Target="https://tools.ietf.org/html/rfc7642" TargetMode="External"/><Relationship Id="rId38" Type="http://schemas.openxmlformats.org/officeDocument/2006/relationships/hyperlink" Target="https://wiki.refeds.org/display/ASS/REFEDS+Assurance+Framework+ver+1.0" TargetMode="External"/><Relationship Id="rId46" Type="http://schemas.openxmlformats.org/officeDocument/2006/relationships/hyperlink" Target="https://refeds.org/wp-content/uploads/2016/01/Sirtfi-1.0.pdf" TargetMode="External"/><Relationship Id="rId59" Type="http://schemas.openxmlformats.org/officeDocument/2006/relationships/hyperlink" Target="https://wiki.egi.eu/wiki/AAI_guide_for_SPs" TargetMode="External"/><Relationship Id="rId67" Type="http://schemas.openxmlformats.org/officeDocument/2006/relationships/hyperlink" Target="https://www.dmtf.org/sites/default/files/standards/documents/DSP0243_2.1.1.pdf" TargetMode="External"/><Relationship Id="rId20" Type="http://schemas.openxmlformats.org/officeDocument/2006/relationships/hyperlink" Target="https://aarc-project.eu/guidelines/aarc-g045/" TargetMode="External"/><Relationship Id="rId41" Type="http://schemas.openxmlformats.org/officeDocument/2006/relationships/hyperlink" Target="https://aarc-project.eu/guidelines/aarc-g041/" TargetMode="External"/><Relationship Id="rId54" Type="http://schemas.openxmlformats.org/officeDocument/2006/relationships/hyperlink" Target="https://hexaa.eu/" TargetMode="External"/><Relationship Id="rId62" Type="http://schemas.openxmlformats.org/officeDocument/2006/relationships/hyperlink" Target="https://perun-aai.org/documentation/technical-documentation" TargetMode="External"/><Relationship Id="rId70" Type="http://schemas.openxmlformats.org/officeDocument/2006/relationships/hyperlink" Target="https://docs.microsoft.com/en-us/rest/api/compute/virtualmachines" TargetMode="External"/><Relationship Id="rId75" Type="http://schemas.openxmlformats.org/officeDocument/2006/relationships/hyperlink" Target="https://www.openstack.org/"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aarc-community.org" TargetMode="External"/><Relationship Id="rId23" Type="http://schemas.openxmlformats.org/officeDocument/2006/relationships/hyperlink" Target="https://www.rfc-editor.org/info/rfc6749" TargetMode="External"/><Relationship Id="rId28" Type="http://schemas.openxmlformats.org/officeDocument/2006/relationships/hyperlink" Target="https://tools.ietf.org/html/rfc7662" TargetMode="External"/><Relationship Id="rId36" Type="http://schemas.openxmlformats.org/officeDocument/2006/relationships/hyperlink" Target="https://aarc-project.eu/guidelines/aarc-g002/" TargetMode="External"/><Relationship Id="rId49" Type="http://schemas.openxmlformats.org/officeDocument/2006/relationships/hyperlink" Target="https://wiki.egi.eu/wiki/AAI" TargetMode="External"/><Relationship Id="rId57" Type="http://schemas.openxmlformats.org/officeDocument/2006/relationships/hyperlink" Target="https://rcauth.e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_rels/settings.xml.rels><?xml version="1.0" encoding="UTF-8" standalone="yes"?>
<Relationships xmlns="http://schemas.openxmlformats.org/package/2006/relationships"><Relationship Id="rId1" Type="http://schemas.openxmlformats.org/officeDocument/2006/relationships/attachedTemplate" Target="file:///C:\EGI\EOSC-Hub\WP10\20190625_TechWS\Webinar-20190724\EOSC-hub%20Briefing%20Paper%20-%20EOSC%20Technical%20Architectur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FA06BA-DF80-41F3-8B0F-DF1F68DFD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EOSC-hub Briefing Paper - EOSC Technical Architecture</Template>
  <TotalTime>159</TotalTime>
  <Pages>27</Pages>
  <Words>7930</Words>
  <Characters>45201</Characters>
  <Application>Microsoft Office Word</Application>
  <DocSecurity>0</DocSecurity>
  <Lines>376</Lines>
  <Paragraphs>106</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53025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Diego</dc:creator>
  <cp:lastModifiedBy>Diego Scardaci</cp:lastModifiedBy>
  <cp:revision>8</cp:revision>
  <cp:lastPrinted>2019-08-02T11:43:00Z</cp:lastPrinted>
  <dcterms:created xsi:type="dcterms:W3CDTF">2019-08-02T09:09:00Z</dcterms:created>
  <dcterms:modified xsi:type="dcterms:W3CDTF">2019-08-02T11:45:00Z</dcterms:modified>
</cp:coreProperties>
</file>