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1778D0EF" w:rsidR="000502D5" w:rsidRPr="00E04C11" w:rsidRDefault="00B16C67" w:rsidP="000502D5">
      <w:pPr>
        <w:pStyle w:val="Title"/>
        <w:rPr>
          <w:i w:val="0"/>
        </w:rPr>
      </w:pPr>
      <w:r w:rsidRPr="00B16C67">
        <w:rPr>
          <w:i w:val="0"/>
        </w:rPr>
        <w:t>Test report and feedback from the customers</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C17FC8"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4B860FA2" w:rsidR="00D859A3" w:rsidRPr="007255C2" w:rsidRDefault="00D859A3" w:rsidP="00D87A5E">
            <w:pPr>
              <w:snapToGrid w:val="0"/>
              <w:spacing w:before="120"/>
              <w:rPr>
                <w:rFonts w:cs="Open Sans"/>
                <w:b/>
              </w:rPr>
            </w:pPr>
            <w:r>
              <w:rPr>
                <w:rFonts w:cs="Open Sans"/>
                <w:b/>
              </w:rPr>
              <w:t>Author:</w:t>
            </w:r>
            <w:r w:rsidR="00B16C67">
              <w:rPr>
                <w:rFonts w:cs="Open Sans"/>
                <w:b/>
              </w:rPr>
              <w:t xml:space="preserve"> Diego Scardaci</w:t>
            </w:r>
          </w:p>
        </w:tc>
        <w:tc>
          <w:tcPr>
            <w:tcW w:w="3968" w:type="dxa"/>
            <w:tcBorders>
              <w:top w:val="single" w:sz="20" w:space="0" w:color="000080"/>
            </w:tcBorders>
            <w:shd w:val="clear" w:color="auto" w:fill="auto"/>
            <w:vAlign w:val="center"/>
          </w:tcPr>
          <w:p w14:paraId="7D735D2D" w14:textId="77777777" w:rsidR="00D859A3" w:rsidRPr="00C17FC8" w:rsidRDefault="00D859A3" w:rsidP="00D87A5E">
            <w:pPr>
              <w:snapToGrid w:val="0"/>
              <w:spacing w:before="120"/>
              <w:jc w:val="left"/>
              <w:rPr>
                <w:rFonts w:cs="Open Sans"/>
                <w:lang w:val="it-IT"/>
              </w:rPr>
            </w:pPr>
          </w:p>
        </w:tc>
      </w:tr>
      <w:tr w:rsidR="00D859A3" w:rsidRPr="007255C2" w14:paraId="53587B51" w14:textId="77777777" w:rsidTr="00D87A5E">
        <w:trPr>
          <w:cantSplit/>
          <w:trHeight w:val="508"/>
          <w:jc w:val="center"/>
        </w:trPr>
        <w:tc>
          <w:tcPr>
            <w:tcW w:w="2645" w:type="dxa"/>
            <w:shd w:val="clear" w:color="auto" w:fill="auto"/>
            <w:vAlign w:val="center"/>
          </w:tcPr>
          <w:p w14:paraId="6C6BCD3A" w14:textId="6FE01242" w:rsidR="00D859A3" w:rsidRPr="007255C2" w:rsidRDefault="00D859A3" w:rsidP="00D87A5E">
            <w:pPr>
              <w:snapToGrid w:val="0"/>
              <w:spacing w:before="120"/>
              <w:rPr>
                <w:rFonts w:cs="Open Sans"/>
                <w:b/>
              </w:rPr>
            </w:pPr>
            <w:r w:rsidRPr="007255C2">
              <w:rPr>
                <w:rFonts w:cs="Open Sans"/>
                <w:b/>
              </w:rPr>
              <w:t>Version</w:t>
            </w:r>
            <w:r>
              <w:rPr>
                <w:rFonts w:cs="Open Sans"/>
                <w:b/>
              </w:rPr>
              <w:t>:</w:t>
            </w:r>
            <w:r w:rsidR="00B16C67">
              <w:rPr>
                <w:rFonts w:cs="Open Sans"/>
                <w:b/>
              </w:rPr>
              <w:t xml:space="preserve"> 1.0</w:t>
            </w:r>
          </w:p>
        </w:tc>
        <w:tc>
          <w:tcPr>
            <w:tcW w:w="3968" w:type="dxa"/>
            <w:shd w:val="clear" w:color="auto" w:fill="auto"/>
            <w:vAlign w:val="center"/>
          </w:tcPr>
          <w:p w14:paraId="7EAD245A" w14:textId="77777777" w:rsidR="00D859A3" w:rsidRPr="007255C2" w:rsidRDefault="00D859A3" w:rsidP="00D87A5E">
            <w:pPr>
              <w:pStyle w:val="DocDate"/>
              <w:snapToGrid w:val="0"/>
              <w:jc w:val="left"/>
              <w:rPr>
                <w:rFonts w:ascii="Calibri" w:hAnsi="Calibri" w:cs="Open Sans"/>
                <w:b w:val="0"/>
                <w:highlight w:val="yellow"/>
              </w:rPr>
            </w:pPr>
          </w:p>
        </w:tc>
      </w:tr>
      <w:tr w:rsidR="00D859A3" w:rsidRPr="007255C2" w14:paraId="1619EF97" w14:textId="77777777" w:rsidTr="00D87A5E">
        <w:trPr>
          <w:cantSplit/>
          <w:trHeight w:val="526"/>
          <w:jc w:val="center"/>
        </w:trPr>
        <w:tc>
          <w:tcPr>
            <w:tcW w:w="2645" w:type="dxa"/>
            <w:tcBorders>
              <w:bottom w:val="single" w:sz="20" w:space="0" w:color="000080"/>
            </w:tcBorders>
            <w:shd w:val="clear" w:color="auto" w:fill="auto"/>
            <w:vAlign w:val="center"/>
          </w:tcPr>
          <w:p w14:paraId="047FBE8D" w14:textId="75922FB5"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r w:rsidR="00984212">
              <w:rPr>
                <w:rFonts w:cs="Open Sans"/>
                <w:b/>
              </w:rPr>
              <w:t xml:space="preserve"> </w:t>
            </w:r>
            <w:r w:rsidR="00984212" w:rsidRPr="00984212">
              <w:rPr>
                <w:rFonts w:cs="Open Sans"/>
                <w:b/>
              </w:rPr>
              <w:t>https://documents.egi.eu/document/3580</w:t>
            </w:r>
            <w:bookmarkStart w:id="0" w:name="_GoBack"/>
            <w:bookmarkEnd w:id="0"/>
          </w:p>
        </w:tc>
        <w:tc>
          <w:tcPr>
            <w:tcW w:w="3968" w:type="dxa"/>
            <w:tcBorders>
              <w:bottom w:val="single" w:sz="20" w:space="0" w:color="000080"/>
            </w:tcBorders>
            <w:shd w:val="clear" w:color="auto" w:fill="auto"/>
            <w:vAlign w:val="center"/>
          </w:tcPr>
          <w:p w14:paraId="33BDDED2" w14:textId="77777777" w:rsidR="00D859A3" w:rsidRPr="007255C2" w:rsidRDefault="00D859A3" w:rsidP="00D87A5E">
            <w:pPr>
              <w:snapToGrid w:val="0"/>
              <w:spacing w:before="120"/>
              <w:jc w:val="left"/>
              <w:rPr>
                <w:rFonts w:cs="Open Sans"/>
                <w:highlight w:val="yellow"/>
              </w:rPr>
            </w:pP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B16C67" w:rsidRPr="00984212" w14:paraId="1A1BE410" w14:textId="77777777" w:rsidTr="00D87A5E">
        <w:tc>
          <w:tcPr>
            <w:tcW w:w="817" w:type="dxa"/>
            <w:shd w:val="clear" w:color="auto" w:fill="auto"/>
          </w:tcPr>
          <w:p w14:paraId="5CF6ACDC" w14:textId="1748D472" w:rsidR="00B16C67" w:rsidRDefault="00B16C67" w:rsidP="00B16C67">
            <w:pPr>
              <w:pStyle w:val="NoSpacing"/>
              <w:rPr>
                <w:b/>
              </w:rPr>
            </w:pPr>
            <w:r>
              <w:rPr>
                <w:b/>
              </w:rPr>
              <w:t>v.0.1</w:t>
            </w:r>
          </w:p>
        </w:tc>
        <w:tc>
          <w:tcPr>
            <w:tcW w:w="1418" w:type="dxa"/>
            <w:shd w:val="clear" w:color="auto" w:fill="auto"/>
          </w:tcPr>
          <w:p w14:paraId="7E525806" w14:textId="57E7721A" w:rsidR="00B16C67" w:rsidRDefault="00B16C67" w:rsidP="00B16C67">
            <w:pPr>
              <w:pStyle w:val="NoSpacing"/>
            </w:pPr>
            <w:r>
              <w:t>2019-10-31</w:t>
            </w:r>
          </w:p>
        </w:tc>
        <w:tc>
          <w:tcPr>
            <w:tcW w:w="5528" w:type="dxa"/>
            <w:shd w:val="clear" w:color="auto" w:fill="auto"/>
          </w:tcPr>
          <w:p w14:paraId="3807D1CB" w14:textId="5AECFD9F" w:rsidR="00B16C67" w:rsidRDefault="00B16C67" w:rsidP="00B16C67">
            <w:pPr>
              <w:pStyle w:val="NoSpacing"/>
            </w:pPr>
            <w:r>
              <w:t>Initial version</w:t>
            </w:r>
          </w:p>
        </w:tc>
        <w:tc>
          <w:tcPr>
            <w:tcW w:w="1479" w:type="dxa"/>
            <w:shd w:val="clear" w:color="auto" w:fill="auto"/>
          </w:tcPr>
          <w:p w14:paraId="4F0A0236" w14:textId="77777777" w:rsidR="00B16C67" w:rsidRDefault="00B16C67" w:rsidP="00B16C67">
            <w:pPr>
              <w:pStyle w:val="NoSpacing"/>
              <w:rPr>
                <w:rFonts w:cs="Calibri"/>
                <w:color w:val="000000"/>
              </w:rPr>
            </w:pPr>
            <w:r>
              <w:rPr>
                <w:rFonts w:cs="Calibri"/>
                <w:color w:val="000000"/>
              </w:rPr>
              <w:t>Nicolas Liampotis; Ioannis Igoumenos, Nick Evangelou</w:t>
            </w:r>
            <w:r w:rsidR="00856FF6">
              <w:rPr>
                <w:rFonts w:cs="Calibri"/>
                <w:color w:val="000000"/>
              </w:rPr>
              <w:t xml:space="preserve"> (GRNET)</w:t>
            </w:r>
          </w:p>
          <w:p w14:paraId="1F083D14" w14:textId="61BDF9DF" w:rsidR="00856FF6" w:rsidRPr="00856FF6" w:rsidRDefault="00856FF6" w:rsidP="00B16C67">
            <w:pPr>
              <w:pStyle w:val="NoSpacing"/>
              <w:rPr>
                <w:lang w:val="it-IT"/>
              </w:rPr>
            </w:pPr>
            <w:r w:rsidRPr="00856FF6">
              <w:rPr>
                <w:rFonts w:cs="Calibri"/>
                <w:color w:val="000000"/>
                <w:lang w:val="it-IT"/>
              </w:rPr>
              <w:t>Diego Scardaci and Valeria Ar</w:t>
            </w:r>
            <w:r>
              <w:rPr>
                <w:rFonts w:cs="Calibri"/>
                <w:color w:val="000000"/>
                <w:lang w:val="it-IT"/>
              </w:rPr>
              <w:t>dizzone (EGI F.)</w:t>
            </w:r>
          </w:p>
        </w:tc>
      </w:tr>
      <w:tr w:rsidR="00EC504F" w:rsidRPr="00984212" w14:paraId="51BEF978" w14:textId="77777777" w:rsidTr="00D87A5E">
        <w:tc>
          <w:tcPr>
            <w:tcW w:w="817" w:type="dxa"/>
            <w:shd w:val="clear" w:color="auto" w:fill="auto"/>
          </w:tcPr>
          <w:p w14:paraId="027EC6C0" w14:textId="77777777" w:rsidR="00EC504F" w:rsidRPr="002E5F1F" w:rsidRDefault="00EC504F" w:rsidP="00D87A5E">
            <w:pPr>
              <w:pStyle w:val="NoSpacing"/>
              <w:rPr>
                <w:b/>
              </w:rPr>
            </w:pPr>
            <w:r>
              <w:rPr>
                <w:b/>
              </w:rPr>
              <w:t>v.1</w:t>
            </w:r>
          </w:p>
        </w:tc>
        <w:tc>
          <w:tcPr>
            <w:tcW w:w="1418" w:type="dxa"/>
            <w:shd w:val="clear" w:color="auto" w:fill="auto"/>
          </w:tcPr>
          <w:p w14:paraId="549B6DAB" w14:textId="5A8E8AB2" w:rsidR="00EC504F" w:rsidRDefault="00856FF6" w:rsidP="00D87A5E">
            <w:pPr>
              <w:pStyle w:val="NoSpacing"/>
            </w:pPr>
            <w:r>
              <w:t>2020-03-09</w:t>
            </w:r>
          </w:p>
        </w:tc>
        <w:tc>
          <w:tcPr>
            <w:tcW w:w="5528" w:type="dxa"/>
            <w:shd w:val="clear" w:color="auto" w:fill="auto"/>
          </w:tcPr>
          <w:p w14:paraId="69CB229F" w14:textId="3A2969A0" w:rsidR="00EC504F" w:rsidRDefault="00856FF6" w:rsidP="00D87A5E">
            <w:pPr>
              <w:pStyle w:val="NoSpacing"/>
            </w:pPr>
            <w:r>
              <w:t>First version</w:t>
            </w:r>
          </w:p>
        </w:tc>
        <w:tc>
          <w:tcPr>
            <w:tcW w:w="1479" w:type="dxa"/>
            <w:shd w:val="clear" w:color="auto" w:fill="auto"/>
          </w:tcPr>
          <w:p w14:paraId="42FA21D9" w14:textId="77777777" w:rsidR="00856FF6" w:rsidRDefault="00856FF6" w:rsidP="00856FF6">
            <w:pPr>
              <w:pStyle w:val="NoSpacing"/>
              <w:rPr>
                <w:rFonts w:cs="Calibri"/>
                <w:color w:val="000000"/>
              </w:rPr>
            </w:pPr>
            <w:r>
              <w:rPr>
                <w:rFonts w:cs="Calibri"/>
                <w:color w:val="000000"/>
              </w:rPr>
              <w:t>Nicolas Liampotis; Ioannis Igoumenos, Nick Evangelou (GRNET)</w:t>
            </w:r>
          </w:p>
          <w:p w14:paraId="30FC1504" w14:textId="10F15EF9" w:rsidR="00EC504F" w:rsidRPr="00856FF6" w:rsidRDefault="00856FF6" w:rsidP="00856FF6">
            <w:pPr>
              <w:pStyle w:val="NoSpacing"/>
              <w:rPr>
                <w:lang w:val="it-IT"/>
              </w:rPr>
            </w:pPr>
            <w:r w:rsidRPr="00856FF6">
              <w:rPr>
                <w:rFonts w:cs="Calibri"/>
                <w:color w:val="000000"/>
                <w:lang w:val="it-IT"/>
              </w:rPr>
              <w:t>Diego Scardaci and Valeria Ar</w:t>
            </w:r>
            <w:r>
              <w:rPr>
                <w:rFonts w:cs="Calibri"/>
                <w:color w:val="000000"/>
                <w:lang w:val="it-IT"/>
              </w:rPr>
              <w:t>dizzone (EGI F.)</w:t>
            </w:r>
          </w:p>
        </w:tc>
      </w:tr>
      <w:tr w:rsidR="00EC504F" w14:paraId="752701AC" w14:textId="77777777" w:rsidTr="00D87A5E">
        <w:tc>
          <w:tcPr>
            <w:tcW w:w="817" w:type="dxa"/>
            <w:shd w:val="clear" w:color="auto" w:fill="auto"/>
          </w:tcPr>
          <w:p w14:paraId="26754138" w14:textId="77777777" w:rsidR="00EC504F" w:rsidRPr="002E5F1F" w:rsidRDefault="00EC504F" w:rsidP="00D87A5E">
            <w:pPr>
              <w:pStyle w:val="NoSpacing"/>
              <w:rPr>
                <w:b/>
              </w:rPr>
            </w:pPr>
            <w:r>
              <w:rPr>
                <w:b/>
              </w:rPr>
              <w:t>...</w:t>
            </w:r>
          </w:p>
        </w:tc>
        <w:tc>
          <w:tcPr>
            <w:tcW w:w="1418" w:type="dxa"/>
            <w:shd w:val="clear" w:color="auto" w:fill="auto"/>
          </w:tcPr>
          <w:p w14:paraId="7B53C5E6" w14:textId="77777777" w:rsidR="00EC504F" w:rsidRDefault="00EC504F" w:rsidP="00D87A5E">
            <w:pPr>
              <w:pStyle w:val="NoSpacing"/>
            </w:pPr>
          </w:p>
        </w:tc>
        <w:tc>
          <w:tcPr>
            <w:tcW w:w="5528" w:type="dxa"/>
            <w:shd w:val="clear" w:color="auto" w:fill="auto"/>
          </w:tcPr>
          <w:p w14:paraId="57DC1079" w14:textId="77777777" w:rsidR="00EC504F" w:rsidRDefault="00EC504F" w:rsidP="00D87A5E">
            <w:pPr>
              <w:pStyle w:val="NoSpacing"/>
            </w:pPr>
          </w:p>
        </w:tc>
        <w:tc>
          <w:tcPr>
            <w:tcW w:w="1479" w:type="dxa"/>
            <w:shd w:val="clear" w:color="auto" w:fill="auto"/>
          </w:tcPr>
          <w:p w14:paraId="3070DEFB" w14:textId="77777777" w:rsidR="00EC504F" w:rsidRDefault="00EC504F" w:rsidP="00D87A5E">
            <w:pPr>
              <w:pStyle w:val="NoSpacing"/>
            </w:pPr>
          </w:p>
        </w:tc>
      </w:tr>
      <w:tr w:rsidR="00EC504F" w14:paraId="03BB90CE" w14:textId="77777777" w:rsidTr="00D87A5E">
        <w:tc>
          <w:tcPr>
            <w:tcW w:w="817" w:type="dxa"/>
            <w:shd w:val="clear" w:color="auto" w:fill="auto"/>
          </w:tcPr>
          <w:p w14:paraId="7478100D" w14:textId="77777777" w:rsidR="00EC504F" w:rsidRPr="002E5F1F" w:rsidRDefault="00EC504F" w:rsidP="00D87A5E">
            <w:pPr>
              <w:pStyle w:val="NoSpacing"/>
              <w:rPr>
                <w:b/>
              </w:rPr>
            </w:pPr>
            <w:r>
              <w:rPr>
                <w:b/>
              </w:rPr>
              <w:t>...</w:t>
            </w: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77777777" w:rsidR="00EC504F" w:rsidRPr="002E5F1F" w:rsidRDefault="00EC504F" w:rsidP="00D87A5E">
            <w:pPr>
              <w:pStyle w:val="NoSpacing"/>
              <w:rPr>
                <w:b/>
              </w:rPr>
            </w:pPr>
            <w:r>
              <w:rPr>
                <w:b/>
              </w:rPr>
              <w:t>v.n</w:t>
            </w:r>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84FCD32" w14:textId="73BB5331" w:rsidR="00EC504F" w:rsidRDefault="00873234" w:rsidP="00EC504F">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B6B107F" w14:textId="38CC2CC3" w:rsidR="0024287D" w:rsidRDefault="00227F47">
          <w:pPr>
            <w:pStyle w:val="TOC1"/>
            <w:tabs>
              <w:tab w:val="left" w:pos="400"/>
              <w:tab w:val="right" w:leader="dot" w:pos="9016"/>
            </w:tabs>
            <w:rPr>
              <w:rFonts w:asciiTheme="minorHAnsi" w:eastAsiaTheme="minorEastAsia" w:hAnsiTheme="minorHAnsi"/>
              <w:noProof/>
              <w:spacing w:val="0"/>
              <w:lang w:val="en-US"/>
            </w:rPr>
          </w:pPr>
          <w:r>
            <w:fldChar w:fldCharType="begin"/>
          </w:r>
          <w:r>
            <w:instrText xml:space="preserve"> TOC \o "1-3" \h \z \u </w:instrText>
          </w:r>
          <w:r>
            <w:fldChar w:fldCharType="separate"/>
          </w:r>
          <w:hyperlink w:anchor="_Toc34646696" w:history="1">
            <w:r w:rsidR="0024287D" w:rsidRPr="00CF6622">
              <w:rPr>
                <w:rStyle w:val="Hyperlink"/>
                <w:noProof/>
              </w:rPr>
              <w:t>1</w:t>
            </w:r>
            <w:r w:rsidR="0024287D">
              <w:rPr>
                <w:rFonts w:asciiTheme="minorHAnsi" w:eastAsiaTheme="minorEastAsia" w:hAnsiTheme="minorHAnsi"/>
                <w:noProof/>
                <w:spacing w:val="0"/>
                <w:lang w:val="en-US"/>
              </w:rPr>
              <w:tab/>
            </w:r>
            <w:r w:rsidR="0024287D" w:rsidRPr="00CF6622">
              <w:rPr>
                <w:rStyle w:val="Hyperlink"/>
                <w:noProof/>
              </w:rPr>
              <w:t>Introduction</w:t>
            </w:r>
            <w:r w:rsidR="0024287D">
              <w:rPr>
                <w:noProof/>
                <w:webHidden/>
              </w:rPr>
              <w:tab/>
            </w:r>
            <w:r w:rsidR="0024287D">
              <w:rPr>
                <w:noProof/>
                <w:webHidden/>
              </w:rPr>
              <w:fldChar w:fldCharType="begin"/>
            </w:r>
            <w:r w:rsidR="0024287D">
              <w:rPr>
                <w:noProof/>
                <w:webHidden/>
              </w:rPr>
              <w:instrText xml:space="preserve"> PAGEREF _Toc34646696 \h </w:instrText>
            </w:r>
            <w:r w:rsidR="0024287D">
              <w:rPr>
                <w:noProof/>
                <w:webHidden/>
              </w:rPr>
            </w:r>
            <w:r w:rsidR="0024287D">
              <w:rPr>
                <w:noProof/>
                <w:webHidden/>
              </w:rPr>
              <w:fldChar w:fldCharType="separate"/>
            </w:r>
            <w:r w:rsidR="0024287D">
              <w:rPr>
                <w:noProof/>
                <w:webHidden/>
              </w:rPr>
              <w:t>4</w:t>
            </w:r>
            <w:r w:rsidR="0024287D">
              <w:rPr>
                <w:noProof/>
                <w:webHidden/>
              </w:rPr>
              <w:fldChar w:fldCharType="end"/>
            </w:r>
          </w:hyperlink>
        </w:p>
        <w:p w14:paraId="1564ABD6" w14:textId="2197102E" w:rsidR="0024287D" w:rsidRDefault="00E56414">
          <w:pPr>
            <w:pStyle w:val="TOC1"/>
            <w:tabs>
              <w:tab w:val="left" w:pos="400"/>
              <w:tab w:val="right" w:leader="dot" w:pos="9016"/>
            </w:tabs>
            <w:rPr>
              <w:rFonts w:asciiTheme="minorHAnsi" w:eastAsiaTheme="minorEastAsia" w:hAnsiTheme="minorHAnsi"/>
              <w:noProof/>
              <w:spacing w:val="0"/>
              <w:lang w:val="en-US"/>
            </w:rPr>
          </w:pPr>
          <w:hyperlink w:anchor="_Toc34646697" w:history="1">
            <w:r w:rsidR="0024287D" w:rsidRPr="00CF6622">
              <w:rPr>
                <w:rStyle w:val="Hyperlink"/>
                <w:noProof/>
              </w:rPr>
              <w:t>2</w:t>
            </w:r>
            <w:r w:rsidR="0024287D">
              <w:rPr>
                <w:rFonts w:asciiTheme="minorHAnsi" w:eastAsiaTheme="minorEastAsia" w:hAnsiTheme="minorHAnsi"/>
                <w:noProof/>
                <w:spacing w:val="0"/>
                <w:lang w:val="en-US"/>
              </w:rPr>
              <w:tab/>
            </w:r>
            <w:r w:rsidR="0024287D" w:rsidRPr="00CF6622">
              <w:rPr>
                <w:rStyle w:val="Hyperlink"/>
                <w:noProof/>
              </w:rPr>
              <w:t>Testing</w:t>
            </w:r>
            <w:r w:rsidR="0024287D">
              <w:rPr>
                <w:noProof/>
                <w:webHidden/>
              </w:rPr>
              <w:tab/>
            </w:r>
            <w:r w:rsidR="0024287D">
              <w:rPr>
                <w:noProof/>
                <w:webHidden/>
              </w:rPr>
              <w:fldChar w:fldCharType="begin"/>
            </w:r>
            <w:r w:rsidR="0024287D">
              <w:rPr>
                <w:noProof/>
                <w:webHidden/>
              </w:rPr>
              <w:instrText xml:space="preserve"> PAGEREF _Toc34646697 \h </w:instrText>
            </w:r>
            <w:r w:rsidR="0024287D">
              <w:rPr>
                <w:noProof/>
                <w:webHidden/>
              </w:rPr>
            </w:r>
            <w:r w:rsidR="0024287D">
              <w:rPr>
                <w:noProof/>
                <w:webHidden/>
              </w:rPr>
              <w:fldChar w:fldCharType="separate"/>
            </w:r>
            <w:r w:rsidR="0024287D">
              <w:rPr>
                <w:noProof/>
                <w:webHidden/>
              </w:rPr>
              <w:t>5</w:t>
            </w:r>
            <w:r w:rsidR="0024287D">
              <w:rPr>
                <w:noProof/>
                <w:webHidden/>
              </w:rPr>
              <w:fldChar w:fldCharType="end"/>
            </w:r>
          </w:hyperlink>
        </w:p>
        <w:p w14:paraId="5220E019" w14:textId="26A97D47" w:rsidR="0024287D" w:rsidRDefault="00E56414">
          <w:pPr>
            <w:pStyle w:val="TOC1"/>
            <w:tabs>
              <w:tab w:val="left" w:pos="400"/>
              <w:tab w:val="right" w:leader="dot" w:pos="9016"/>
            </w:tabs>
            <w:rPr>
              <w:rFonts w:asciiTheme="minorHAnsi" w:eastAsiaTheme="minorEastAsia" w:hAnsiTheme="minorHAnsi"/>
              <w:noProof/>
              <w:spacing w:val="0"/>
              <w:lang w:val="en-US"/>
            </w:rPr>
          </w:pPr>
          <w:hyperlink w:anchor="_Toc34646698" w:history="1">
            <w:r w:rsidR="0024287D" w:rsidRPr="00CF6622">
              <w:rPr>
                <w:rStyle w:val="Hyperlink"/>
                <w:noProof/>
              </w:rPr>
              <w:t>3</w:t>
            </w:r>
            <w:r w:rsidR="0024287D">
              <w:rPr>
                <w:rFonts w:asciiTheme="minorHAnsi" w:eastAsiaTheme="minorEastAsia" w:hAnsiTheme="minorHAnsi"/>
                <w:noProof/>
                <w:spacing w:val="0"/>
                <w:lang w:val="en-US"/>
              </w:rPr>
              <w:tab/>
            </w:r>
            <w:r w:rsidR="0024287D" w:rsidRPr="00CF6622">
              <w:rPr>
                <w:rStyle w:val="Hyperlink"/>
                <w:noProof/>
              </w:rPr>
              <w:t>Service Components</w:t>
            </w:r>
            <w:r w:rsidR="0024287D">
              <w:rPr>
                <w:noProof/>
                <w:webHidden/>
              </w:rPr>
              <w:tab/>
            </w:r>
            <w:r w:rsidR="0024287D">
              <w:rPr>
                <w:noProof/>
                <w:webHidden/>
              </w:rPr>
              <w:fldChar w:fldCharType="begin"/>
            </w:r>
            <w:r w:rsidR="0024287D">
              <w:rPr>
                <w:noProof/>
                <w:webHidden/>
              </w:rPr>
              <w:instrText xml:space="preserve"> PAGEREF _Toc34646698 \h </w:instrText>
            </w:r>
            <w:r w:rsidR="0024287D">
              <w:rPr>
                <w:noProof/>
                <w:webHidden/>
              </w:rPr>
            </w:r>
            <w:r w:rsidR="0024287D">
              <w:rPr>
                <w:noProof/>
                <w:webHidden/>
              </w:rPr>
              <w:fldChar w:fldCharType="separate"/>
            </w:r>
            <w:r w:rsidR="0024287D">
              <w:rPr>
                <w:noProof/>
                <w:webHidden/>
              </w:rPr>
              <w:t>7</w:t>
            </w:r>
            <w:r w:rsidR="0024287D">
              <w:rPr>
                <w:noProof/>
                <w:webHidden/>
              </w:rPr>
              <w:fldChar w:fldCharType="end"/>
            </w:r>
          </w:hyperlink>
        </w:p>
        <w:p w14:paraId="5241F121" w14:textId="08BDDACF" w:rsidR="0024287D" w:rsidRDefault="00E56414">
          <w:pPr>
            <w:pStyle w:val="TOC2"/>
            <w:tabs>
              <w:tab w:val="left" w:pos="880"/>
              <w:tab w:val="right" w:leader="dot" w:pos="9016"/>
            </w:tabs>
            <w:rPr>
              <w:rFonts w:asciiTheme="minorHAnsi" w:eastAsiaTheme="minorEastAsia" w:hAnsiTheme="minorHAnsi"/>
              <w:noProof/>
              <w:spacing w:val="0"/>
              <w:lang w:val="en-US"/>
            </w:rPr>
          </w:pPr>
          <w:hyperlink w:anchor="_Toc34646699" w:history="1">
            <w:r w:rsidR="0024287D" w:rsidRPr="00CF6622">
              <w:rPr>
                <w:rStyle w:val="Hyperlink"/>
                <w:noProof/>
              </w:rPr>
              <w:t>3.1</w:t>
            </w:r>
            <w:r w:rsidR="0024287D">
              <w:rPr>
                <w:rFonts w:asciiTheme="minorHAnsi" w:eastAsiaTheme="minorEastAsia" w:hAnsiTheme="minorHAnsi"/>
                <w:noProof/>
                <w:spacing w:val="0"/>
                <w:lang w:val="en-US"/>
              </w:rPr>
              <w:tab/>
            </w:r>
            <w:r w:rsidR="0024287D" w:rsidRPr="00CF6622">
              <w:rPr>
                <w:rStyle w:val="Hyperlink"/>
                <w:noProof/>
              </w:rPr>
              <w:t>Monitoring</w:t>
            </w:r>
            <w:r w:rsidR="0024287D">
              <w:rPr>
                <w:noProof/>
                <w:webHidden/>
              </w:rPr>
              <w:tab/>
            </w:r>
            <w:r w:rsidR="0024287D">
              <w:rPr>
                <w:noProof/>
                <w:webHidden/>
              </w:rPr>
              <w:fldChar w:fldCharType="begin"/>
            </w:r>
            <w:r w:rsidR="0024287D">
              <w:rPr>
                <w:noProof/>
                <w:webHidden/>
              </w:rPr>
              <w:instrText xml:space="preserve"> PAGEREF _Toc34646699 \h </w:instrText>
            </w:r>
            <w:r w:rsidR="0024287D">
              <w:rPr>
                <w:noProof/>
                <w:webHidden/>
              </w:rPr>
            </w:r>
            <w:r w:rsidR="0024287D">
              <w:rPr>
                <w:noProof/>
                <w:webHidden/>
              </w:rPr>
              <w:fldChar w:fldCharType="separate"/>
            </w:r>
            <w:r w:rsidR="0024287D">
              <w:rPr>
                <w:noProof/>
                <w:webHidden/>
              </w:rPr>
              <w:t>11</w:t>
            </w:r>
            <w:r w:rsidR="0024287D">
              <w:rPr>
                <w:noProof/>
                <w:webHidden/>
              </w:rPr>
              <w:fldChar w:fldCharType="end"/>
            </w:r>
          </w:hyperlink>
        </w:p>
        <w:p w14:paraId="46CC54DB" w14:textId="5F3ADE5D" w:rsidR="0024287D" w:rsidRDefault="00E56414">
          <w:pPr>
            <w:pStyle w:val="TOC1"/>
            <w:tabs>
              <w:tab w:val="left" w:pos="400"/>
              <w:tab w:val="right" w:leader="dot" w:pos="9016"/>
            </w:tabs>
            <w:rPr>
              <w:rFonts w:asciiTheme="minorHAnsi" w:eastAsiaTheme="minorEastAsia" w:hAnsiTheme="minorHAnsi"/>
              <w:noProof/>
              <w:spacing w:val="0"/>
              <w:lang w:val="en-US"/>
            </w:rPr>
          </w:pPr>
          <w:hyperlink w:anchor="_Toc34646700" w:history="1">
            <w:r w:rsidR="0024287D" w:rsidRPr="00CF6622">
              <w:rPr>
                <w:rStyle w:val="Hyperlink"/>
                <w:noProof/>
              </w:rPr>
              <w:t>4</w:t>
            </w:r>
            <w:r w:rsidR="0024287D">
              <w:rPr>
                <w:rFonts w:asciiTheme="minorHAnsi" w:eastAsiaTheme="minorEastAsia" w:hAnsiTheme="minorHAnsi"/>
                <w:noProof/>
                <w:spacing w:val="0"/>
                <w:lang w:val="en-US"/>
              </w:rPr>
              <w:tab/>
            </w:r>
            <w:r w:rsidR="0024287D" w:rsidRPr="00CF6622">
              <w:rPr>
                <w:rStyle w:val="Hyperlink"/>
                <w:noProof/>
              </w:rPr>
              <w:t>Approval of the acceptance criteria</w:t>
            </w:r>
            <w:r w:rsidR="0024287D">
              <w:rPr>
                <w:noProof/>
                <w:webHidden/>
              </w:rPr>
              <w:tab/>
            </w:r>
            <w:r w:rsidR="0024287D">
              <w:rPr>
                <w:noProof/>
                <w:webHidden/>
              </w:rPr>
              <w:fldChar w:fldCharType="begin"/>
            </w:r>
            <w:r w:rsidR="0024287D">
              <w:rPr>
                <w:noProof/>
                <w:webHidden/>
              </w:rPr>
              <w:instrText xml:space="preserve"> PAGEREF _Toc34646700 \h </w:instrText>
            </w:r>
            <w:r w:rsidR="0024287D">
              <w:rPr>
                <w:noProof/>
                <w:webHidden/>
              </w:rPr>
            </w:r>
            <w:r w:rsidR="0024287D">
              <w:rPr>
                <w:noProof/>
                <w:webHidden/>
              </w:rPr>
              <w:fldChar w:fldCharType="separate"/>
            </w:r>
            <w:r w:rsidR="0024287D">
              <w:rPr>
                <w:noProof/>
                <w:webHidden/>
              </w:rPr>
              <w:t>13</w:t>
            </w:r>
            <w:r w:rsidR="0024287D">
              <w:rPr>
                <w:noProof/>
                <w:webHidden/>
              </w:rPr>
              <w:fldChar w:fldCharType="end"/>
            </w:r>
          </w:hyperlink>
        </w:p>
        <w:p w14:paraId="7D628E07" w14:textId="27E0358B"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DDFCC0F" w14:textId="30C301E6" w:rsidR="00227F47" w:rsidRPr="00D065EF" w:rsidRDefault="00B16C67" w:rsidP="004D249B">
      <w:pPr>
        <w:pStyle w:val="Heading1"/>
      </w:pPr>
      <w:bookmarkStart w:id="1" w:name="_Toc34646696"/>
      <w:r w:rsidRPr="00B16C67">
        <w:lastRenderedPageBreak/>
        <w:t>Introduction</w:t>
      </w:r>
      <w:bookmarkEnd w:id="1"/>
    </w:p>
    <w:p w14:paraId="2354E040" w14:textId="25A7C874" w:rsidR="00227F47" w:rsidRDefault="00B16C67" w:rsidP="00227F47">
      <w:r>
        <w:rPr>
          <w:rFonts w:cs="Calibri"/>
          <w:color w:val="000000"/>
        </w:rPr>
        <w:t>The Check-in service is the AAI Platform for the EGI infrastructure. The Check-in service enables the Integration of external IdPs (from eduGAIN and individual organizations) with the EGI services through the Check-in IdP/SP proxy component, so that users are able to access the EGI services (web and non-web based) using credentials from their home organizations or other external IdPs. The proxy supports credential translation from SAML2 to SAML2, OIDC and X.509v3 and from OIDC/OAUTH2 to SAML2, OIDC and X.509v3. The Check-in Service enables the users to manage their accounts from a single interface, to link multiple accounts/identities together and to access the EGI services based on their roles and VO membership rights. For VOs, the Check-in Service provides an intuitive interface to manage their users and their respective roles and group rights. For VOs, operating their own Group/VO Management system, the Check-in service has a comprehensive list of connectors that allows to integrate their systems as externally managed Attribute Authorities. This is not meant to be an exhaustive list of the functionality of the Check-in Service. More information can be found on the EGI Check-in Service wiki page (</w:t>
      </w:r>
      <w:hyperlink r:id="rId10" w:history="1">
        <w:r>
          <w:rPr>
            <w:rStyle w:val="Hyperlink"/>
            <w:rFonts w:cs="Calibri"/>
            <w:color w:val="1155CC"/>
          </w:rPr>
          <w:t>https://wiki.egi.eu/wiki/AAI</w:t>
        </w:r>
      </w:hyperlink>
      <w:r>
        <w:rPr>
          <w:rFonts w:cs="Calibri"/>
          <w:color w:val="000000"/>
        </w:rPr>
        <w:t>).</w:t>
      </w:r>
    </w:p>
    <w:p w14:paraId="0A2BC1F5" w14:textId="570C09C2" w:rsidR="00227F47" w:rsidRDefault="00B16C67" w:rsidP="004D249B">
      <w:pPr>
        <w:pStyle w:val="Heading1"/>
      </w:pPr>
      <w:bookmarkStart w:id="2" w:name="_Toc34646697"/>
      <w:r>
        <w:lastRenderedPageBreak/>
        <w:t>Testing</w:t>
      </w:r>
      <w:bookmarkEnd w:id="2"/>
    </w:p>
    <w:p w14:paraId="5BA5E762" w14:textId="75591AB9" w:rsidR="00B16C67" w:rsidRDefault="00B16C67" w:rsidP="00B16C67">
      <w:r>
        <w:t xml:space="preserve">Check-in Service framework gets periodically tested and evaluated in order to be robust and available to its users 24/7. It depends on the specific stage of the development, deployment or operational cycle we need to evaluate the approach of testing we will follow. For example, we perform different testing during the development of new features, than during the deployment phase. Also the deployment phase needs to fulfil different criteria for each environment. Currently we sustain three different environments, the development, the demo and the production. </w:t>
      </w:r>
    </w:p>
    <w:p w14:paraId="06AA859A" w14:textId="77777777" w:rsidR="00B16C67" w:rsidRDefault="00B16C67" w:rsidP="00B16C67">
      <w:r>
        <w:t>In addition, there are health checks/tests that provide a snapshot of the availability and status of the service and its different components.</w:t>
      </w:r>
    </w:p>
    <w:p w14:paraId="1CEC612B" w14:textId="23ED1F8F" w:rsidR="00227F47" w:rsidRDefault="00B16C67" w:rsidP="00B16C67">
      <w:r>
        <w:t>The table below summarises the different categories of the performed tests and their results.</w:t>
      </w:r>
    </w:p>
    <w:p w14:paraId="30D9D893" w14:textId="77777777" w:rsidR="00B16C67" w:rsidRDefault="00B16C67" w:rsidP="00B16C67">
      <w:pPr>
        <w:spacing w:after="0"/>
        <w:jc w:val="left"/>
        <w:rPr>
          <w:rFonts w:ascii="Times New Roman" w:hAnsi="Times New Roman"/>
          <w:spacing w:val="0"/>
        </w:rPr>
      </w:pPr>
    </w:p>
    <w:tbl>
      <w:tblPr>
        <w:tblW w:w="0" w:type="auto"/>
        <w:tblCellMar>
          <w:top w:w="15" w:type="dxa"/>
          <w:left w:w="15" w:type="dxa"/>
          <w:bottom w:w="15" w:type="dxa"/>
          <w:right w:w="15" w:type="dxa"/>
        </w:tblCellMar>
        <w:tblLook w:val="04A0" w:firstRow="1" w:lastRow="0" w:firstColumn="1" w:lastColumn="0" w:noHBand="0" w:noVBand="1"/>
      </w:tblPr>
      <w:tblGrid>
        <w:gridCol w:w="1917"/>
        <w:gridCol w:w="7189"/>
      </w:tblGrid>
      <w:tr w:rsidR="00B16C67" w14:paraId="78F8903B" w14:textId="77777777" w:rsidTr="00B16C67">
        <w:trPr>
          <w:trHeight w:val="32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center"/>
            <w:hideMark/>
          </w:tcPr>
          <w:p w14:paraId="30564743" w14:textId="77777777" w:rsidR="00B16C67" w:rsidRDefault="00B16C67">
            <w:pPr>
              <w:pStyle w:val="NormalWeb"/>
              <w:spacing w:before="0" w:beforeAutospacing="0" w:after="0" w:afterAutospacing="0"/>
              <w:jc w:val="center"/>
            </w:pPr>
            <w:r>
              <w:rPr>
                <w:rFonts w:ascii="Calibri" w:hAnsi="Calibri" w:cs="Calibri"/>
                <w:b/>
                <w:bCs/>
                <w:color w:val="333333"/>
                <w:sz w:val="22"/>
                <w:szCs w:val="22"/>
              </w:rPr>
              <w:t>Testing</w:t>
            </w:r>
          </w:p>
        </w:tc>
      </w:tr>
      <w:tr w:rsidR="00B16C67" w14:paraId="34B413B4" w14:textId="77777777" w:rsidTr="00B16C67">
        <w:trPr>
          <w:trHeight w:val="32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2C21ECB" w14:textId="77777777" w:rsidR="00B16C67" w:rsidRDefault="00B16C67">
            <w:pPr>
              <w:pStyle w:val="NormalWeb"/>
              <w:spacing w:before="0" w:beforeAutospacing="0" w:after="0" w:afterAutospacing="0"/>
              <w:jc w:val="center"/>
            </w:pPr>
            <w:r>
              <w:rPr>
                <w:rFonts w:ascii="Calibri" w:hAnsi="Calibri" w:cs="Calibri"/>
                <w:b/>
                <w:bCs/>
                <w:color w:val="172B4D"/>
                <w:sz w:val="22"/>
                <w:szCs w:val="22"/>
              </w:rPr>
              <w:t>Testing Category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C243939" w14:textId="77777777" w:rsidR="00B16C67" w:rsidRDefault="00B16C67">
            <w:pPr>
              <w:pStyle w:val="NormalWeb"/>
              <w:spacing w:before="0" w:beforeAutospacing="0" w:after="0" w:afterAutospacing="0"/>
              <w:jc w:val="center"/>
            </w:pPr>
            <w:r>
              <w:rPr>
                <w:rFonts w:ascii="Calibri" w:hAnsi="Calibri" w:cs="Calibri"/>
                <w:b/>
                <w:bCs/>
                <w:color w:val="172B4D"/>
                <w:sz w:val="22"/>
                <w:szCs w:val="22"/>
              </w:rPr>
              <w:t>Tested Activity and Results</w:t>
            </w:r>
          </w:p>
        </w:tc>
      </w:tr>
      <w:tr w:rsidR="00B16C67" w14:paraId="7592A197" w14:textId="77777777" w:rsidTr="00B16C67">
        <w:trPr>
          <w:trHeight w:val="198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B64AB9E" w14:textId="77777777" w:rsidR="00B16C67" w:rsidRDefault="00B16C67">
            <w:pPr>
              <w:pStyle w:val="NormalWeb"/>
              <w:spacing w:before="0" w:beforeAutospacing="0" w:after="0" w:afterAutospacing="0"/>
            </w:pPr>
            <w:r>
              <w:rPr>
                <w:rFonts w:ascii="Calibri" w:hAnsi="Calibri" w:cs="Calibri"/>
                <w:b/>
                <w:bCs/>
                <w:color w:val="172B4D"/>
                <w:sz w:val="22"/>
                <w:szCs w:val="22"/>
              </w:rPr>
              <w:t>Functional and technical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018B453" w14:textId="77777777" w:rsidR="00B16C67" w:rsidRDefault="00B16C67">
            <w:pPr>
              <w:pStyle w:val="NormalWeb"/>
              <w:spacing w:before="0" w:beforeAutospacing="0" w:after="0" w:afterAutospacing="0"/>
            </w:pPr>
            <w:r>
              <w:rPr>
                <w:rFonts w:ascii="Calibri" w:hAnsi="Calibri" w:cs="Calibri"/>
                <w:color w:val="000000"/>
                <w:sz w:val="22"/>
                <w:szCs w:val="22"/>
              </w:rPr>
              <w:t>Check-in is able to:</w:t>
            </w:r>
          </w:p>
          <w:p w14:paraId="2ECAAB98" w14:textId="77777777" w:rsidR="00B16C67" w:rsidRDefault="00B16C67">
            <w:pPr>
              <w:pStyle w:val="NormalWeb"/>
              <w:spacing w:before="0" w:beforeAutospacing="0" w:after="0" w:afterAutospacing="0"/>
            </w:pPr>
            <w:r>
              <w:rPr>
                <w:rFonts w:ascii="Calibri" w:hAnsi="Calibri" w:cs="Calibri"/>
                <w:color w:val="000000"/>
                <w:sz w:val="22"/>
                <w:szCs w:val="22"/>
              </w:rPr>
              <w:t>- Integrate with IdPs supporting the SAML2 standard</w:t>
            </w:r>
          </w:p>
          <w:p w14:paraId="3025BF16" w14:textId="77777777" w:rsidR="00B16C67" w:rsidRDefault="00B16C67">
            <w:pPr>
              <w:pStyle w:val="NormalWeb"/>
              <w:spacing w:before="0" w:beforeAutospacing="0" w:after="0" w:afterAutospacing="0"/>
            </w:pPr>
            <w:r>
              <w:rPr>
                <w:rFonts w:ascii="Calibri" w:hAnsi="Calibri" w:cs="Calibri"/>
                <w:color w:val="000000"/>
                <w:sz w:val="22"/>
                <w:szCs w:val="22"/>
              </w:rPr>
              <w:t>- Integrate with IdPs supporting the OpenID Connect/OAuth2 standard</w:t>
            </w:r>
          </w:p>
          <w:p w14:paraId="332072CE" w14:textId="77777777" w:rsidR="00B16C67" w:rsidRDefault="00B16C67">
            <w:pPr>
              <w:pStyle w:val="NormalWeb"/>
              <w:spacing w:before="0" w:beforeAutospacing="0" w:after="0" w:afterAutospacing="0"/>
            </w:pPr>
            <w:r>
              <w:rPr>
                <w:rFonts w:ascii="Calibri" w:hAnsi="Calibri" w:cs="Calibri"/>
                <w:color w:val="000000"/>
                <w:sz w:val="22"/>
                <w:szCs w:val="22"/>
              </w:rPr>
              <w:t>- Integrate with SPs supporting SAML2 and OpenID Connect/OAuth2</w:t>
            </w:r>
          </w:p>
          <w:p w14:paraId="7EE10B12" w14:textId="77777777" w:rsidR="00B16C67" w:rsidRDefault="00B16C67">
            <w:pPr>
              <w:pStyle w:val="NormalWeb"/>
              <w:spacing w:before="0" w:beforeAutospacing="0" w:after="0" w:afterAutospacing="0"/>
            </w:pPr>
            <w:r>
              <w:rPr>
                <w:rFonts w:ascii="Calibri" w:hAnsi="Calibri" w:cs="Calibri"/>
                <w:color w:val="000000"/>
                <w:sz w:val="22"/>
                <w:szCs w:val="22"/>
              </w:rPr>
              <w:t>- Provide support for command-line access using OpenID Connect/OAuth2</w:t>
            </w:r>
          </w:p>
          <w:p w14:paraId="1A72A143" w14:textId="77777777" w:rsidR="00B16C67" w:rsidRDefault="00B16C67">
            <w:pPr>
              <w:pStyle w:val="NormalWeb"/>
              <w:spacing w:before="0" w:beforeAutospacing="0" w:after="0" w:afterAutospacing="0"/>
            </w:pPr>
            <w:r>
              <w:rPr>
                <w:rFonts w:ascii="Calibri" w:hAnsi="Calibri" w:cs="Calibri"/>
                <w:color w:val="000000"/>
                <w:sz w:val="22"/>
                <w:szCs w:val="22"/>
              </w:rPr>
              <w:t>- Gather attributes from existing EGI ops tools such as the GOCDB (site roles) and the Ops Portal (membership in VOMS-managed VOs)</w:t>
            </w:r>
          </w:p>
          <w:p w14:paraId="3AA13439" w14:textId="77777777" w:rsidR="00B16C67" w:rsidRDefault="00B16C67">
            <w:pPr>
              <w:pStyle w:val="NormalWeb"/>
              <w:spacing w:before="0" w:beforeAutospacing="0" w:after="0" w:afterAutospacing="0"/>
            </w:pPr>
            <w:r>
              <w:rPr>
                <w:rFonts w:ascii="Calibri" w:hAnsi="Calibri" w:cs="Calibri"/>
                <w:color w:val="000000"/>
                <w:sz w:val="22"/>
                <w:szCs w:val="22"/>
              </w:rPr>
              <w:t>- Has been registered with eduGAIN as an SP</w:t>
            </w:r>
          </w:p>
          <w:p w14:paraId="555D40FA" w14:textId="77777777" w:rsidR="00B16C67" w:rsidRDefault="00B16C67">
            <w:pPr>
              <w:pStyle w:val="NormalWeb"/>
              <w:spacing w:before="0" w:beforeAutospacing="0" w:after="0" w:afterAutospacing="0"/>
            </w:pPr>
            <w:r>
              <w:rPr>
                <w:rFonts w:ascii="Calibri" w:hAnsi="Calibri" w:cs="Calibri"/>
                <w:color w:val="000000"/>
                <w:sz w:val="22"/>
                <w:szCs w:val="22"/>
              </w:rPr>
              <w:t>- Consume group information from multiple attributes authorities and aggregate</w:t>
            </w:r>
          </w:p>
        </w:tc>
      </w:tr>
      <w:tr w:rsidR="00B16C67" w14:paraId="3BD749C3" w14:textId="77777777" w:rsidTr="00B16C67">
        <w:trPr>
          <w:trHeight w:val="134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54E17D7" w14:textId="77777777" w:rsidR="00B16C67" w:rsidRDefault="00B16C67">
            <w:pPr>
              <w:pStyle w:val="NormalWeb"/>
              <w:spacing w:before="0" w:beforeAutospacing="0" w:after="0" w:afterAutospacing="0"/>
            </w:pPr>
            <w:r>
              <w:rPr>
                <w:rFonts w:ascii="Calibri" w:hAnsi="Calibri" w:cs="Calibri"/>
                <w:b/>
                <w:bCs/>
                <w:color w:val="172B4D"/>
                <w:sz w:val="22"/>
                <w:szCs w:val="22"/>
              </w:rPr>
              <w:t>Availability, continuity and performance-related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FF561DA" w14:textId="77777777" w:rsidR="00B16C67" w:rsidRDefault="00B16C67">
            <w:pPr>
              <w:pStyle w:val="NormalWeb"/>
              <w:spacing w:before="0" w:beforeAutospacing="0" w:after="0" w:afterAutospacing="0"/>
            </w:pPr>
            <w:r>
              <w:rPr>
                <w:rFonts w:ascii="Calibri" w:hAnsi="Calibri" w:cs="Calibri"/>
                <w:color w:val="000000"/>
                <w:sz w:val="22"/>
                <w:szCs w:val="22"/>
              </w:rPr>
              <w:t>Monthly Availability - Defined as the ability of a service or service component to fulfil its intended function at a specific time or over a calendar month.</w:t>
            </w:r>
          </w:p>
          <w:p w14:paraId="33B7E4BA" w14:textId="77777777" w:rsidR="00B16C67" w:rsidRDefault="00B16C67">
            <w:pPr>
              <w:pStyle w:val="NormalWeb"/>
              <w:spacing w:before="0" w:beforeAutospacing="0" w:after="0" w:afterAutospacing="0"/>
            </w:pPr>
            <w:r>
              <w:rPr>
                <w:rFonts w:ascii="Calibri" w:hAnsi="Calibri" w:cs="Calibri"/>
                <w:color w:val="000000"/>
                <w:sz w:val="22"/>
                <w:szCs w:val="22"/>
              </w:rPr>
              <w:t>- For IdP/SP Proxy (including IdP Discovery Service): Over 99% (minimum requirement: 99%)</w:t>
            </w:r>
          </w:p>
          <w:p w14:paraId="30CE8937" w14:textId="77777777" w:rsidR="00B16C67" w:rsidRDefault="00B16C67">
            <w:pPr>
              <w:pStyle w:val="NormalWeb"/>
              <w:spacing w:before="0" w:beforeAutospacing="0" w:after="0" w:afterAutospacing="0"/>
            </w:pPr>
            <w:r>
              <w:rPr>
                <w:rFonts w:ascii="Calibri" w:hAnsi="Calibri" w:cs="Calibri"/>
                <w:color w:val="000000"/>
                <w:sz w:val="22"/>
                <w:szCs w:val="22"/>
              </w:rPr>
              <w:t>- User Enrolment and Group/Virtual Organisation (VO) Management: 99% (minimum requirement: 99%)</w:t>
            </w:r>
          </w:p>
          <w:p w14:paraId="7E72CE0E" w14:textId="77777777" w:rsidR="00B16C67" w:rsidRDefault="00B16C67">
            <w:pPr>
              <w:pStyle w:val="NormalWeb"/>
              <w:spacing w:before="0" w:beforeAutospacing="0" w:after="0" w:afterAutospacing="0"/>
            </w:pPr>
            <w:r>
              <w:rPr>
                <w:rFonts w:ascii="Calibri" w:hAnsi="Calibri" w:cs="Calibri"/>
                <w:color w:val="000000"/>
                <w:sz w:val="22"/>
                <w:szCs w:val="22"/>
              </w:rPr>
              <w:t>- For TTS (Master Portal): Over 99% (minimum requirement: 90%)</w:t>
            </w:r>
          </w:p>
          <w:p w14:paraId="1557EF71" w14:textId="77777777" w:rsidR="00B16C67" w:rsidRDefault="00B16C67">
            <w:pPr>
              <w:pStyle w:val="NormalWeb"/>
              <w:spacing w:before="0" w:beforeAutospacing="0" w:after="0" w:afterAutospacing="0"/>
            </w:pPr>
            <w:r>
              <w:rPr>
                <w:rFonts w:ascii="Calibri" w:hAnsi="Calibri" w:cs="Calibri"/>
                <w:color w:val="000000"/>
                <w:sz w:val="22"/>
                <w:szCs w:val="22"/>
              </w:rPr>
              <w:t>Monthly Reliability - Defined as the ability of a service or service component to fulfil its intended function at a specific time or over a calendar month, excluding scheduled maintenance periods.</w:t>
            </w:r>
          </w:p>
          <w:p w14:paraId="69897B5E" w14:textId="77777777" w:rsidR="00B16C67" w:rsidRDefault="00B16C67">
            <w:pPr>
              <w:pStyle w:val="NormalWeb"/>
              <w:spacing w:before="0" w:beforeAutospacing="0" w:after="0" w:afterAutospacing="0"/>
            </w:pPr>
            <w:r>
              <w:rPr>
                <w:rFonts w:ascii="Calibri" w:hAnsi="Calibri" w:cs="Calibri"/>
                <w:color w:val="000000"/>
                <w:sz w:val="22"/>
                <w:szCs w:val="22"/>
              </w:rPr>
              <w:t>- For IdP/SP Proxy (including IdP Discovery Service): Over 99% (minimum requirement: 99%)</w:t>
            </w:r>
          </w:p>
          <w:p w14:paraId="5A4EC3A0" w14:textId="77777777" w:rsidR="00B16C67" w:rsidRDefault="00B16C67">
            <w:pPr>
              <w:pStyle w:val="NormalWeb"/>
              <w:spacing w:before="0" w:beforeAutospacing="0" w:after="0" w:afterAutospacing="0"/>
            </w:pPr>
            <w:r>
              <w:rPr>
                <w:rFonts w:ascii="Calibri" w:hAnsi="Calibri" w:cs="Calibri"/>
                <w:color w:val="000000"/>
                <w:sz w:val="22"/>
                <w:szCs w:val="22"/>
              </w:rPr>
              <w:t>- User Enrolment and Group/Virtual Organisation (VO) Management: 99% (minimum requirement: 99%)</w:t>
            </w:r>
          </w:p>
          <w:p w14:paraId="1AB3C258" w14:textId="77777777" w:rsidR="00B16C67" w:rsidRDefault="00B16C67">
            <w:pPr>
              <w:pStyle w:val="NormalWeb"/>
              <w:spacing w:before="0" w:beforeAutospacing="0" w:after="0" w:afterAutospacing="0"/>
            </w:pPr>
            <w:r>
              <w:rPr>
                <w:rFonts w:ascii="Calibri" w:hAnsi="Calibri" w:cs="Calibri"/>
                <w:color w:val="000000"/>
                <w:sz w:val="22"/>
                <w:szCs w:val="22"/>
              </w:rPr>
              <w:t>- For TTS (Master Portal): Over 99% (minimum requirement: 90%)</w:t>
            </w:r>
          </w:p>
          <w:p w14:paraId="7D336F0D" w14:textId="77777777" w:rsidR="00B16C67" w:rsidRDefault="00B16C67"/>
          <w:p w14:paraId="393831B2" w14:textId="77777777" w:rsidR="00B16C67" w:rsidRDefault="00B16C67">
            <w:pPr>
              <w:pStyle w:val="NormalWeb"/>
              <w:spacing w:before="0" w:beforeAutospacing="0" w:after="0" w:afterAutospacing="0"/>
            </w:pPr>
            <w:r>
              <w:rPr>
                <w:rFonts w:ascii="Calibri" w:hAnsi="Calibri" w:cs="Calibri"/>
                <w:color w:val="000000"/>
                <w:sz w:val="22"/>
                <w:szCs w:val="22"/>
              </w:rPr>
              <w:t xml:space="preserve">See also </w:t>
            </w:r>
            <w:hyperlink r:id="rId11" w:history="1">
              <w:r>
                <w:rPr>
                  <w:rStyle w:val="Hyperlink"/>
                  <w:rFonts w:eastAsiaTheme="majorEastAsia" w:cs="Calibri"/>
                  <w:color w:val="1155CC"/>
                  <w:sz w:val="22"/>
                  <w:szCs w:val="22"/>
                </w:rPr>
                <w:t>ARGO dashboard</w:t>
              </w:r>
            </w:hyperlink>
          </w:p>
        </w:tc>
      </w:tr>
      <w:tr w:rsidR="00B16C67" w14:paraId="09E3BF0B" w14:textId="77777777" w:rsidTr="00B16C67">
        <w:trPr>
          <w:trHeight w:val="18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D359E59" w14:textId="77777777" w:rsidR="00B16C67" w:rsidRDefault="00B16C67">
            <w:pPr>
              <w:pStyle w:val="NormalWeb"/>
              <w:spacing w:before="0" w:beforeAutospacing="0" w:after="0" w:afterAutospacing="0"/>
            </w:pPr>
            <w:r>
              <w:rPr>
                <w:rFonts w:ascii="Calibri" w:hAnsi="Calibri" w:cs="Calibri"/>
                <w:b/>
                <w:bCs/>
                <w:color w:val="172B4D"/>
                <w:sz w:val="22"/>
                <w:szCs w:val="22"/>
              </w:rPr>
              <w:lastRenderedPageBreak/>
              <w:t>Security and data protection-related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1D089460" w14:textId="77777777" w:rsidR="00B16C67" w:rsidRDefault="00B16C67">
            <w:pPr>
              <w:pStyle w:val="NormalWeb"/>
              <w:spacing w:before="0" w:beforeAutospacing="0" w:after="0" w:afterAutospacing="0"/>
            </w:pPr>
            <w:r>
              <w:rPr>
                <w:rFonts w:ascii="Calibri" w:hAnsi="Calibri" w:cs="Calibri"/>
                <w:color w:val="000000"/>
                <w:sz w:val="22"/>
                <w:szCs w:val="22"/>
              </w:rPr>
              <w:t>Service is compliant with the privacy European regulations. It also fulfils:</w:t>
            </w:r>
          </w:p>
          <w:p w14:paraId="6D30EAC2" w14:textId="77777777" w:rsidR="00B16C67" w:rsidRDefault="00B16C67">
            <w:pPr>
              <w:pStyle w:val="NormalWeb"/>
              <w:spacing w:before="0" w:beforeAutospacing="0" w:after="0" w:afterAutospacing="0"/>
            </w:pPr>
            <w:r>
              <w:rPr>
                <w:rFonts w:ascii="Calibri" w:hAnsi="Calibri" w:cs="Calibri"/>
                <w:color w:val="000000"/>
                <w:sz w:val="22"/>
                <w:szCs w:val="22"/>
              </w:rPr>
              <w:t>- REFEDS Code of Conduct</w:t>
            </w:r>
          </w:p>
          <w:p w14:paraId="08AB040C" w14:textId="77777777" w:rsidR="00B16C67" w:rsidRDefault="00B16C67">
            <w:pPr>
              <w:pStyle w:val="NormalWeb"/>
              <w:spacing w:before="0" w:beforeAutospacing="0" w:after="0" w:afterAutospacing="0"/>
            </w:pPr>
            <w:r>
              <w:rPr>
                <w:rFonts w:ascii="Calibri" w:hAnsi="Calibri" w:cs="Calibri"/>
                <w:color w:val="000000"/>
                <w:sz w:val="22"/>
                <w:szCs w:val="22"/>
              </w:rPr>
              <w:t>- SIRTIFI</w:t>
            </w:r>
          </w:p>
          <w:p w14:paraId="23C705AC" w14:textId="77777777" w:rsidR="00B16C67" w:rsidRDefault="00B16C67">
            <w:pPr>
              <w:pStyle w:val="NormalWeb"/>
              <w:spacing w:before="0" w:beforeAutospacing="0" w:after="0" w:afterAutospacing="0"/>
            </w:pPr>
            <w:r>
              <w:rPr>
                <w:rFonts w:ascii="Calibri" w:hAnsi="Calibri" w:cs="Calibri"/>
                <w:color w:val="000000"/>
                <w:sz w:val="22"/>
                <w:szCs w:val="22"/>
              </w:rPr>
              <w:t>- It is ready to comply with additional requirements provided by actions such as the AARC/AARC2 projects</w:t>
            </w:r>
          </w:p>
          <w:p w14:paraId="25314BA3" w14:textId="77777777" w:rsidR="00B16C67" w:rsidRDefault="00B16C67"/>
          <w:p w14:paraId="6F2F6FDF" w14:textId="77777777" w:rsidR="00B16C67" w:rsidRDefault="00B16C67">
            <w:pPr>
              <w:pStyle w:val="NormalWeb"/>
              <w:spacing w:before="0" w:beforeAutospacing="0" w:after="0" w:afterAutospacing="0"/>
            </w:pPr>
            <w:r>
              <w:rPr>
                <w:rFonts w:ascii="Calibri" w:hAnsi="Calibri" w:cs="Calibri"/>
                <w:color w:val="000000"/>
                <w:sz w:val="22"/>
                <w:szCs w:val="22"/>
              </w:rPr>
              <w:t>A thorough process of system security testing from a user’s as well as inside and outside (black-box) point of view together with testing of the underlying operating system, other software package dependencies and its configurations. The main results are summarized in Annex I which follows the WISE based Risk Assessment template. At the end of each periodic assessment we document the results and undertake any necessary actions.</w:t>
            </w:r>
          </w:p>
        </w:tc>
      </w:tr>
      <w:tr w:rsidR="00B16C67" w14:paraId="60F5F4DA" w14:textId="77777777" w:rsidTr="00B16C67">
        <w:trPr>
          <w:trHeight w:val="174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124B462" w14:textId="77777777" w:rsidR="00B16C67" w:rsidRDefault="00B16C67">
            <w:pPr>
              <w:pStyle w:val="NormalWeb"/>
              <w:spacing w:before="0" w:beforeAutospacing="0" w:after="0" w:afterAutospacing="0"/>
            </w:pPr>
            <w:r>
              <w:rPr>
                <w:rFonts w:ascii="Calibri" w:hAnsi="Calibri" w:cs="Calibri"/>
                <w:b/>
                <w:bCs/>
                <w:color w:val="172B4D"/>
                <w:sz w:val="22"/>
                <w:szCs w:val="22"/>
              </w:rPr>
              <w:t>Usability-related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7828CD98" w14:textId="77777777" w:rsidR="00B16C67" w:rsidRDefault="00B16C67">
            <w:pPr>
              <w:pStyle w:val="NormalWeb"/>
              <w:spacing w:before="0" w:beforeAutospacing="0" w:after="0" w:afterAutospacing="0"/>
            </w:pPr>
            <w:r>
              <w:rPr>
                <w:rFonts w:ascii="Calibri" w:hAnsi="Calibri" w:cs="Calibri"/>
                <w:color w:val="000000"/>
                <w:sz w:val="22"/>
                <w:szCs w:val="22"/>
              </w:rPr>
              <w:t>The service provides information to the user about:</w:t>
            </w:r>
          </w:p>
          <w:p w14:paraId="506430B0" w14:textId="77777777" w:rsidR="00B16C67" w:rsidRDefault="00B16C67">
            <w:pPr>
              <w:pStyle w:val="NormalWeb"/>
              <w:spacing w:before="0" w:beforeAutospacing="0" w:after="0" w:afterAutospacing="0"/>
            </w:pPr>
            <w:r>
              <w:rPr>
                <w:rFonts w:ascii="Calibri" w:hAnsi="Calibri" w:cs="Calibri"/>
                <w:color w:val="000000"/>
                <w:sz w:val="22"/>
                <w:szCs w:val="22"/>
              </w:rPr>
              <w:t>- Who is asking for authentication</w:t>
            </w:r>
          </w:p>
          <w:p w14:paraId="2EACA7AE" w14:textId="77777777" w:rsidR="00B16C67" w:rsidRDefault="00B16C67">
            <w:pPr>
              <w:pStyle w:val="NormalWeb"/>
              <w:spacing w:before="0" w:beforeAutospacing="0" w:after="0" w:afterAutospacing="0"/>
            </w:pPr>
            <w:r>
              <w:rPr>
                <w:rFonts w:ascii="Calibri" w:hAnsi="Calibri" w:cs="Calibri"/>
                <w:color w:val="000000"/>
                <w:sz w:val="22"/>
                <w:szCs w:val="22"/>
              </w:rPr>
              <w:t>- Who is providing attributes (e.g. which IdP)</w:t>
            </w:r>
          </w:p>
          <w:p w14:paraId="30A98C96" w14:textId="77777777" w:rsidR="00B16C67" w:rsidRDefault="00B16C67">
            <w:pPr>
              <w:pStyle w:val="NormalWeb"/>
              <w:spacing w:before="0" w:beforeAutospacing="0" w:after="0" w:afterAutospacing="0"/>
            </w:pPr>
            <w:r>
              <w:rPr>
                <w:rFonts w:ascii="Calibri" w:hAnsi="Calibri" w:cs="Calibri"/>
                <w:color w:val="000000"/>
                <w:sz w:val="22"/>
                <w:szCs w:val="22"/>
              </w:rPr>
              <w:t>- Consent/user notice</w:t>
            </w:r>
          </w:p>
          <w:p w14:paraId="7383302E" w14:textId="77777777" w:rsidR="00B16C67" w:rsidRDefault="00B16C67">
            <w:pPr>
              <w:pStyle w:val="NormalWeb"/>
              <w:spacing w:before="0" w:beforeAutospacing="0" w:after="0" w:afterAutospacing="0"/>
            </w:pPr>
            <w:r>
              <w:rPr>
                <w:rFonts w:ascii="Calibri" w:hAnsi="Calibri" w:cs="Calibri"/>
                <w:color w:val="000000"/>
                <w:sz w:val="22"/>
                <w:szCs w:val="22"/>
              </w:rPr>
              <w:t>The service is easy to use and transparent for the users in most of the usage scenarios. It works in a ‘set and forget’ fashion for SPs and IdPs, and users of course.</w:t>
            </w:r>
          </w:p>
          <w:p w14:paraId="0ADC3ED0" w14:textId="77777777" w:rsidR="00B16C67" w:rsidRDefault="00B16C67"/>
          <w:p w14:paraId="3E626CD5" w14:textId="77777777" w:rsidR="00B16C67" w:rsidRDefault="00B16C67">
            <w:pPr>
              <w:pStyle w:val="NormalWeb"/>
              <w:spacing w:before="0" w:beforeAutospacing="0" w:after="0" w:afterAutospacing="0"/>
            </w:pPr>
            <w:r>
              <w:rPr>
                <w:rFonts w:ascii="Calibri" w:hAnsi="Calibri" w:cs="Calibri"/>
                <w:color w:val="000000"/>
                <w:sz w:val="22"/>
                <w:szCs w:val="22"/>
              </w:rPr>
              <w:t>Documentation evaluation: Usually the first sanity check aiming to help to identify early potential risks (ie. the required documentation is missing), spaces for improvements and possibilities for optimising the system (ie. desirable documentation is missing).</w:t>
            </w:r>
          </w:p>
        </w:tc>
      </w:tr>
      <w:tr w:rsidR="00B16C67" w14:paraId="6CE7503C" w14:textId="77777777" w:rsidTr="00B16C67">
        <w:trPr>
          <w:trHeight w:val="84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6BF485A" w14:textId="77777777" w:rsidR="00B16C67" w:rsidRDefault="00B16C67">
            <w:pPr>
              <w:pStyle w:val="NormalWeb"/>
              <w:spacing w:before="0" w:beforeAutospacing="0" w:after="0" w:afterAutospacing="0"/>
            </w:pPr>
            <w:r>
              <w:rPr>
                <w:rFonts w:ascii="Calibri" w:hAnsi="Calibri" w:cs="Calibri"/>
                <w:b/>
                <w:bCs/>
                <w:color w:val="172B4D"/>
                <w:sz w:val="22"/>
                <w:szCs w:val="22"/>
              </w:rPr>
              <w:t>Code quality-related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034799E3" w14:textId="77777777" w:rsidR="00B16C67" w:rsidRDefault="00B16C67">
            <w:pPr>
              <w:pStyle w:val="NormalWeb"/>
              <w:spacing w:before="0" w:beforeAutospacing="0" w:after="0" w:afterAutospacing="0"/>
            </w:pPr>
            <w:r>
              <w:rPr>
                <w:rFonts w:ascii="Calibri" w:hAnsi="Calibri" w:cs="Calibri"/>
                <w:color w:val="000000"/>
                <w:sz w:val="22"/>
                <w:szCs w:val="22"/>
              </w:rPr>
              <w:t>Code review completed by the code inspection (expert analysis) to examine the source code and identify: potential bugs, bad code architecture, duplicated code and similar coding irregularities. Functional and user interface testing is being held before every change. Higher risk changes are reviewed by the EGI Change Advisory Board before being released in production.</w:t>
            </w:r>
          </w:p>
        </w:tc>
      </w:tr>
    </w:tbl>
    <w:p w14:paraId="5488AF2B" w14:textId="44097931" w:rsidR="006D527C" w:rsidRPr="006D527C" w:rsidRDefault="006D527C" w:rsidP="00B16C67">
      <w:pPr>
        <w:pStyle w:val="Heading6"/>
        <w:numPr>
          <w:ilvl w:val="0"/>
          <w:numId w:val="0"/>
        </w:numPr>
      </w:pPr>
    </w:p>
    <w:p w14:paraId="1AB4DF10" w14:textId="77777777" w:rsidR="006D527C" w:rsidRDefault="006D527C" w:rsidP="00D95F48"/>
    <w:p w14:paraId="27DE2582" w14:textId="159829B6" w:rsidR="00D95F48" w:rsidRDefault="00B16C67" w:rsidP="004D249B">
      <w:pPr>
        <w:pStyle w:val="Heading1"/>
      </w:pPr>
      <w:bookmarkStart w:id="3" w:name="_Toc34646698"/>
      <w:r>
        <w:lastRenderedPageBreak/>
        <w:t>Service Components</w:t>
      </w:r>
      <w:bookmarkEnd w:id="3"/>
    </w:p>
    <w:p w14:paraId="0984F201" w14:textId="5D5D743A" w:rsidR="00B16C67" w:rsidRDefault="00B16C67" w:rsidP="00B16C67">
      <w:pPr>
        <w:rPr>
          <w:rFonts w:cs="Calibri"/>
          <w:color w:val="000000"/>
        </w:rPr>
      </w:pPr>
      <w:r>
        <w:rPr>
          <w:rFonts w:cs="Calibri"/>
          <w:color w:val="000000"/>
        </w:rPr>
        <w:t>Check-in comprises two main components, namely the Identity Provider (IdP)/Service Provider (SP) Proxy (IdP/SP Proxy) and the User Enrolment and Group/Virtual Organisation (VO) Management. Figure 1 shows the Check-in high-level architecture diagram and interconnections to other AAI services, IdPs and tools.</w:t>
      </w:r>
    </w:p>
    <w:p w14:paraId="3DD942D6" w14:textId="77777777" w:rsidR="00B16C67" w:rsidRDefault="00B16C67" w:rsidP="00B16C67">
      <w:pPr>
        <w:keepNext/>
        <w:jc w:val="center"/>
      </w:pPr>
      <w:r>
        <w:rPr>
          <w:noProof/>
          <w:bdr w:val="none" w:sz="0" w:space="0" w:color="auto" w:frame="1"/>
        </w:rPr>
        <w:drawing>
          <wp:inline distT="0" distB="0" distL="0" distR="0" wp14:anchorId="40971CFB" wp14:editId="7591263D">
            <wp:extent cx="4791075" cy="46386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4638675"/>
                    </a:xfrm>
                    <a:prstGeom prst="rect">
                      <a:avLst/>
                    </a:prstGeom>
                    <a:noFill/>
                    <a:ln>
                      <a:noFill/>
                    </a:ln>
                  </pic:spPr>
                </pic:pic>
              </a:graphicData>
            </a:graphic>
          </wp:inline>
        </w:drawing>
      </w:r>
    </w:p>
    <w:p w14:paraId="6540C323" w14:textId="7C078686" w:rsidR="00B16C67" w:rsidRDefault="00B16C67" w:rsidP="00B16C67">
      <w:pPr>
        <w:pStyle w:val="Caption"/>
        <w:jc w:val="center"/>
      </w:pPr>
      <w:r>
        <w:t xml:space="preserve">Figure </w:t>
      </w:r>
      <w:r w:rsidR="00E56414">
        <w:fldChar w:fldCharType="begin"/>
      </w:r>
      <w:r w:rsidR="00E56414">
        <w:instrText xml:space="preserve"> SEQ Figure \* ARABIC </w:instrText>
      </w:r>
      <w:r w:rsidR="00E56414">
        <w:fldChar w:fldCharType="separate"/>
      </w:r>
      <w:r>
        <w:rPr>
          <w:noProof/>
        </w:rPr>
        <w:t>1</w:t>
      </w:r>
      <w:r w:rsidR="00E56414">
        <w:rPr>
          <w:noProof/>
        </w:rPr>
        <w:fldChar w:fldCharType="end"/>
      </w:r>
      <w:r>
        <w:t xml:space="preserve">. </w:t>
      </w:r>
      <w:r w:rsidRPr="00A60C8E">
        <w:t>EGI Check-in High-level service architecture</w:t>
      </w:r>
    </w:p>
    <w:p w14:paraId="47786B99" w14:textId="77777777" w:rsidR="004A1438" w:rsidRDefault="004A1438" w:rsidP="004A1438">
      <w:pPr>
        <w:spacing w:after="0"/>
        <w:jc w:val="left"/>
        <w:rPr>
          <w:rFonts w:ascii="Times New Roman" w:hAnsi="Times New Roman"/>
          <w:spacing w:val="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0"/>
        <w:gridCol w:w="1170"/>
        <w:gridCol w:w="2790"/>
        <w:gridCol w:w="2020"/>
        <w:gridCol w:w="2228"/>
        <w:gridCol w:w="408"/>
      </w:tblGrid>
      <w:tr w:rsidR="004A1438" w14:paraId="229B531A" w14:textId="77777777" w:rsidTr="004A1438">
        <w:trPr>
          <w:trHeight w:val="320"/>
        </w:trPr>
        <w:tc>
          <w:tcPr>
            <w:tcW w:w="9106" w:type="dxa"/>
            <w:gridSpan w:val="6"/>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71C4B687" w14:textId="77777777" w:rsidR="004A1438" w:rsidRDefault="004A1438">
            <w:pPr>
              <w:pStyle w:val="NormalWeb"/>
              <w:spacing w:before="0" w:beforeAutospacing="0" w:after="0" w:afterAutospacing="0"/>
              <w:jc w:val="center"/>
            </w:pPr>
            <w:r>
              <w:rPr>
                <w:rFonts w:ascii="Calibri" w:hAnsi="Calibri" w:cs="Calibri"/>
                <w:b/>
                <w:bCs/>
                <w:color w:val="172B4D"/>
                <w:sz w:val="22"/>
                <w:szCs w:val="22"/>
              </w:rPr>
              <w:t>Service components</w:t>
            </w:r>
          </w:p>
        </w:tc>
      </w:tr>
      <w:tr w:rsidR="004A1438" w14:paraId="47CB2CFB" w14:textId="77777777" w:rsidTr="004A1438">
        <w:trPr>
          <w:trHeight w:val="580"/>
        </w:trPr>
        <w:tc>
          <w:tcPr>
            <w:tcW w:w="490"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3BCFE23D"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w:t>
            </w:r>
          </w:p>
        </w:tc>
        <w:tc>
          <w:tcPr>
            <w:tcW w:w="1170"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3127172D"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Type</w:t>
            </w:r>
          </w:p>
        </w:tc>
        <w:tc>
          <w:tcPr>
            <w:tcW w:w="2790"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43B0EB18"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Description</w:t>
            </w:r>
          </w:p>
        </w:tc>
        <w:tc>
          <w:tcPr>
            <w:tcW w:w="2020"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7537D813"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Related technology</w:t>
            </w:r>
          </w:p>
        </w:tc>
        <w:tc>
          <w:tcPr>
            <w:tcW w:w="2228"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7A69415E"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Organisation and contact</w:t>
            </w:r>
          </w:p>
        </w:tc>
        <w:tc>
          <w:tcPr>
            <w:tcW w:w="408"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32FDA5B7"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TRL [1]</w:t>
            </w:r>
          </w:p>
        </w:tc>
      </w:tr>
      <w:tr w:rsidR="004A1438" w14:paraId="483ACDD2" w14:textId="77777777" w:rsidTr="004A1438">
        <w:trPr>
          <w:trHeight w:val="1340"/>
        </w:trPr>
        <w:tc>
          <w:tcPr>
            <w:tcW w:w="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889684F" w14:textId="77777777" w:rsidR="004A1438" w:rsidRDefault="004A1438">
            <w:pPr>
              <w:pStyle w:val="NormalWeb"/>
              <w:spacing w:before="0" w:beforeAutospacing="0" w:after="0" w:afterAutospacing="0"/>
            </w:pPr>
            <w:r>
              <w:rPr>
                <w:rFonts w:ascii="Calibri" w:hAnsi="Calibri" w:cs="Calibri"/>
                <w:color w:val="172B4D"/>
                <w:sz w:val="22"/>
                <w:szCs w:val="22"/>
              </w:rPr>
              <w:lastRenderedPageBreak/>
              <w:t>1</w:t>
            </w:r>
          </w:p>
        </w:tc>
        <w:tc>
          <w:tcPr>
            <w:tcW w:w="11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A737159" w14:textId="77777777" w:rsidR="004A1438" w:rsidRDefault="004A1438">
            <w:pPr>
              <w:pStyle w:val="NormalWeb"/>
              <w:spacing w:before="0" w:beforeAutospacing="0" w:after="0" w:afterAutospacing="0"/>
              <w:jc w:val="center"/>
            </w:pPr>
            <w:r>
              <w:rPr>
                <w:rFonts w:ascii="Calibri" w:hAnsi="Calibri" w:cs="Calibri"/>
                <w:i/>
                <w:iCs/>
                <w:color w:val="172B4D"/>
                <w:sz w:val="22"/>
                <w:szCs w:val="22"/>
              </w:rPr>
              <w:t>Enabling</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9D02439" w14:textId="77777777" w:rsidR="004A1438" w:rsidRDefault="004A1438">
            <w:pPr>
              <w:pStyle w:val="NormalWeb"/>
              <w:spacing w:before="0" w:beforeAutospacing="0" w:after="0" w:afterAutospacing="0"/>
            </w:pPr>
            <w:r>
              <w:rPr>
                <w:rFonts w:ascii="Calibri" w:hAnsi="Calibri" w:cs="Calibri"/>
                <w:b/>
                <w:bCs/>
                <w:color w:val="172B4D"/>
                <w:sz w:val="22"/>
                <w:szCs w:val="22"/>
              </w:rPr>
              <w:t xml:space="preserve">IdP/SP proxy: </w:t>
            </w:r>
            <w:r>
              <w:rPr>
                <w:rFonts w:ascii="Calibri" w:hAnsi="Calibri" w:cs="Calibri"/>
                <w:color w:val="172B4D"/>
                <w:sz w:val="22"/>
                <w:szCs w:val="22"/>
              </w:rPr>
              <w:t>providing connection with the IdPs and authentication information to EGI service providers</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10A5DB9" w14:textId="77777777" w:rsidR="004A1438" w:rsidRDefault="004A1438">
            <w:pPr>
              <w:pStyle w:val="NormalWeb"/>
              <w:spacing w:before="0" w:beforeAutospacing="0" w:after="0" w:afterAutospacing="0"/>
            </w:pPr>
            <w:r>
              <w:rPr>
                <w:rFonts w:ascii="Calibri" w:hAnsi="Calibri" w:cs="Calibri"/>
                <w:color w:val="3572B0"/>
                <w:sz w:val="22"/>
                <w:szCs w:val="22"/>
              </w:rPr>
              <w:t>SimpleSAMLphp,MitreId Connect</w:t>
            </w:r>
          </w:p>
        </w:tc>
        <w:tc>
          <w:tcPr>
            <w:tcW w:w="22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5BA52D4" w14:textId="77777777" w:rsidR="004A1438" w:rsidRDefault="00E56414">
            <w:pPr>
              <w:pStyle w:val="NormalWeb"/>
              <w:spacing w:before="0" w:beforeAutospacing="0" w:after="0" w:afterAutospacing="0"/>
            </w:pPr>
            <w:hyperlink r:id="rId13" w:history="1">
              <w:r w:rsidR="004A1438">
                <w:rPr>
                  <w:rStyle w:val="Hyperlink"/>
                  <w:rFonts w:eastAsiaTheme="majorEastAsia" w:cs="Calibri"/>
                  <w:color w:val="1155CC"/>
                  <w:sz w:val="22"/>
                  <w:szCs w:val="22"/>
                </w:rPr>
                <w:t>UNINETT - support, MITRE Corporation and MIT Internet Trust Consortium (ITC) - support</w:t>
              </w:r>
            </w:hyperlink>
          </w:p>
        </w:tc>
        <w:tc>
          <w:tcPr>
            <w:tcW w:w="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80879F1" w14:textId="77777777" w:rsidR="004A1438" w:rsidRDefault="004A1438">
            <w:pPr>
              <w:pStyle w:val="NormalWeb"/>
              <w:spacing w:before="0" w:beforeAutospacing="0" w:after="0" w:afterAutospacing="0"/>
              <w:jc w:val="center"/>
            </w:pPr>
            <w:r>
              <w:rPr>
                <w:rFonts w:ascii="Calibri" w:hAnsi="Calibri" w:cs="Calibri"/>
                <w:color w:val="172B4D"/>
                <w:sz w:val="22"/>
                <w:szCs w:val="22"/>
              </w:rPr>
              <w:t>9</w:t>
            </w:r>
          </w:p>
        </w:tc>
      </w:tr>
      <w:tr w:rsidR="004A1438" w14:paraId="094391CE" w14:textId="77777777" w:rsidTr="004A1438">
        <w:trPr>
          <w:trHeight w:val="5100"/>
        </w:trPr>
        <w:tc>
          <w:tcPr>
            <w:tcW w:w="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2F6BEC5" w14:textId="77777777" w:rsidR="004A1438" w:rsidRDefault="004A1438">
            <w:pPr>
              <w:pStyle w:val="NormalWeb"/>
              <w:spacing w:before="0" w:beforeAutospacing="0" w:after="0" w:afterAutospacing="0"/>
            </w:pPr>
            <w:r>
              <w:rPr>
                <w:rFonts w:ascii="Calibri" w:hAnsi="Calibri" w:cs="Calibri"/>
                <w:color w:val="172B4D"/>
                <w:sz w:val="22"/>
                <w:szCs w:val="22"/>
              </w:rPr>
              <w:t>2</w:t>
            </w:r>
          </w:p>
        </w:tc>
        <w:tc>
          <w:tcPr>
            <w:tcW w:w="11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F013800" w14:textId="77777777" w:rsidR="004A1438" w:rsidRDefault="004A1438">
            <w:pPr>
              <w:pStyle w:val="NormalWeb"/>
              <w:spacing w:before="0" w:beforeAutospacing="0" w:after="0" w:afterAutospacing="0"/>
              <w:jc w:val="center"/>
            </w:pPr>
            <w:r>
              <w:rPr>
                <w:rFonts w:ascii="Calibri" w:hAnsi="Calibri" w:cs="Calibri"/>
                <w:i/>
                <w:iCs/>
                <w:color w:val="172B4D"/>
                <w:sz w:val="22"/>
                <w:szCs w:val="22"/>
              </w:rPr>
              <w:t>Enabling</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CCE26D4" w14:textId="77777777" w:rsidR="004A1438" w:rsidRDefault="004A1438">
            <w:pPr>
              <w:pStyle w:val="NormalWeb"/>
              <w:spacing w:before="0" w:beforeAutospacing="0" w:after="0" w:afterAutospacing="0"/>
            </w:pPr>
            <w:r>
              <w:rPr>
                <w:rFonts w:ascii="Calibri" w:hAnsi="Calibri" w:cs="Calibri"/>
                <w:b/>
                <w:bCs/>
                <w:color w:val="172B4D"/>
                <w:sz w:val="22"/>
                <w:szCs w:val="22"/>
              </w:rPr>
              <w:t>User enrolment and VO/Group Management:</w:t>
            </w:r>
          </w:p>
          <w:p w14:paraId="5BB449C9" w14:textId="77777777" w:rsidR="004A1438" w:rsidRDefault="004A1438">
            <w:pPr>
              <w:pStyle w:val="NormalWeb"/>
              <w:spacing w:before="0" w:beforeAutospacing="0" w:after="0" w:afterAutospacing="0"/>
            </w:pPr>
            <w:r>
              <w:rPr>
                <w:rFonts w:ascii="Calibri" w:hAnsi="Calibri" w:cs="Calibri"/>
                <w:color w:val="172B4D"/>
                <w:sz w:val="22"/>
                <w:szCs w:val="22"/>
              </w:rPr>
              <w:t>Supports the management of the full life cycle of user accounts in Check-in. This includes the initial user registration, the acceptance of the terms of use of the infrastructure, account linking, group and VO management, delegation of administration of VOs/Groups to authorised users and the configuration of custom enrolment flows for VOs/Groups via an intuitive web interface. For VOs, operating their own Group/VO Management system, the Check-in service has a comprehensive list of connectors that allows to integrate their systems as externally managed Attribute Authorities.</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E7F9BC2" w14:textId="77777777" w:rsidR="004A1438" w:rsidRDefault="004A1438">
            <w:pPr>
              <w:pStyle w:val="NormalWeb"/>
              <w:spacing w:before="0" w:beforeAutospacing="0" w:after="0" w:afterAutospacing="0"/>
              <w:jc w:val="center"/>
            </w:pPr>
            <w:r>
              <w:rPr>
                <w:rFonts w:ascii="Calibri" w:hAnsi="Calibri" w:cs="Calibri"/>
                <w:color w:val="3572B0"/>
                <w:sz w:val="22"/>
                <w:szCs w:val="22"/>
              </w:rPr>
              <w:t>COmanage(see also InCommon)</w:t>
            </w:r>
          </w:p>
        </w:tc>
        <w:tc>
          <w:tcPr>
            <w:tcW w:w="22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0871EFD" w14:textId="77777777" w:rsidR="004A1438" w:rsidRDefault="00E56414">
            <w:pPr>
              <w:pStyle w:val="NormalWeb"/>
              <w:spacing w:before="0" w:beforeAutospacing="0" w:after="0" w:afterAutospacing="0"/>
              <w:jc w:val="center"/>
            </w:pPr>
            <w:hyperlink r:id="rId14" w:history="1">
              <w:r w:rsidR="004A1438">
                <w:rPr>
                  <w:rStyle w:val="Hyperlink"/>
                  <w:rFonts w:eastAsiaTheme="majorEastAsia" w:cs="Calibri"/>
                  <w:color w:val="1155CC"/>
                  <w:sz w:val="22"/>
                  <w:szCs w:val="22"/>
                </w:rPr>
                <w:t>website-email</w:t>
              </w:r>
            </w:hyperlink>
          </w:p>
        </w:tc>
        <w:tc>
          <w:tcPr>
            <w:tcW w:w="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ABCD4FD" w14:textId="77777777" w:rsidR="004A1438" w:rsidRDefault="004A1438">
            <w:pPr>
              <w:pStyle w:val="NormalWeb"/>
              <w:spacing w:before="0" w:beforeAutospacing="0" w:after="0" w:afterAutospacing="0"/>
              <w:jc w:val="center"/>
            </w:pPr>
            <w:r>
              <w:rPr>
                <w:rFonts w:ascii="Calibri" w:hAnsi="Calibri" w:cs="Calibri"/>
                <w:color w:val="172B4D"/>
                <w:sz w:val="22"/>
                <w:szCs w:val="22"/>
              </w:rPr>
              <w:t>9</w:t>
            </w:r>
          </w:p>
        </w:tc>
      </w:tr>
      <w:tr w:rsidR="004A1438" w14:paraId="39A16089" w14:textId="77777777" w:rsidTr="004A1438">
        <w:trPr>
          <w:trHeight w:val="1340"/>
        </w:trPr>
        <w:tc>
          <w:tcPr>
            <w:tcW w:w="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03D3F8A" w14:textId="77777777" w:rsidR="004A1438" w:rsidRDefault="004A1438">
            <w:pPr>
              <w:pStyle w:val="NormalWeb"/>
              <w:spacing w:before="0" w:beforeAutospacing="0" w:after="0" w:afterAutospacing="0"/>
            </w:pPr>
            <w:r>
              <w:rPr>
                <w:rFonts w:ascii="Calibri" w:hAnsi="Calibri" w:cs="Calibri"/>
                <w:color w:val="172B4D"/>
                <w:sz w:val="22"/>
                <w:szCs w:val="22"/>
              </w:rPr>
              <w:t>3</w:t>
            </w:r>
          </w:p>
        </w:tc>
        <w:tc>
          <w:tcPr>
            <w:tcW w:w="11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8BB5159" w14:textId="77777777" w:rsidR="004A1438" w:rsidRDefault="004A1438">
            <w:pPr>
              <w:pStyle w:val="NormalWeb"/>
              <w:spacing w:before="0" w:beforeAutospacing="0" w:after="0" w:afterAutospacing="0"/>
              <w:jc w:val="center"/>
            </w:pPr>
            <w:r>
              <w:rPr>
                <w:rFonts w:ascii="Calibri" w:hAnsi="Calibri" w:cs="Calibri"/>
                <w:i/>
                <w:iCs/>
                <w:color w:val="172B4D"/>
                <w:sz w:val="22"/>
                <w:szCs w:val="22"/>
              </w:rPr>
              <w:t>Enabling</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52C905C"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r>
              <w:rPr>
                <w:rFonts w:ascii="Calibri" w:hAnsi="Calibri" w:cs="Calibri"/>
                <w:b/>
                <w:bCs/>
                <w:color w:val="172B4D"/>
                <w:sz w:val="22"/>
                <w:szCs w:val="22"/>
              </w:rPr>
              <w:t>simplesamlphp-module-userid :</w:t>
            </w:r>
            <w:r>
              <w:rPr>
                <w:rFonts w:ascii="Calibri" w:hAnsi="Calibri" w:cs="Calibri"/>
                <w:color w:val="172B4D"/>
                <w:sz w:val="22"/>
                <w:szCs w:val="22"/>
              </w:rPr>
              <w:t xml:space="preserve"> A SimpleSAMLphp module for generating long-lived, non-reassignable, non-targeted, opaque and globally unique user identifiers based on the attributes received from the identity provider</w:t>
            </w:r>
          </w:p>
          <w:p w14:paraId="29AAF729"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r>
              <w:rPr>
                <w:rFonts w:ascii="Calibri" w:hAnsi="Calibri" w:cs="Calibri"/>
                <w:b/>
                <w:bCs/>
                <w:color w:val="172B4D"/>
                <w:sz w:val="22"/>
                <w:szCs w:val="22"/>
              </w:rPr>
              <w:t>simplesamlphp-module-attributelimit :</w:t>
            </w:r>
            <w:r>
              <w:rPr>
                <w:rFonts w:ascii="Calibri" w:hAnsi="Calibri" w:cs="Calibri"/>
                <w:color w:val="172B4D"/>
                <w:sz w:val="22"/>
                <w:szCs w:val="22"/>
              </w:rPr>
              <w:t xml:space="preserve"> A </w:t>
            </w:r>
            <w:r>
              <w:rPr>
                <w:rFonts w:ascii="Calibri" w:hAnsi="Calibri" w:cs="Calibri"/>
                <w:color w:val="172B4D"/>
                <w:sz w:val="22"/>
                <w:szCs w:val="22"/>
              </w:rPr>
              <w:lastRenderedPageBreak/>
              <w:t>SimpleSAMLphp module for limiting which attributes are passed on</w:t>
            </w:r>
          </w:p>
          <w:p w14:paraId="1ED89C4A"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r>
              <w:rPr>
                <w:rFonts w:ascii="Calibri" w:hAnsi="Calibri" w:cs="Calibri"/>
                <w:b/>
                <w:bCs/>
                <w:color w:val="172B4D"/>
                <w:sz w:val="22"/>
                <w:szCs w:val="22"/>
              </w:rPr>
              <w:t xml:space="preserve">simplesamlphp-module-fullnameparser : </w:t>
            </w:r>
            <w:r>
              <w:rPr>
                <w:rFonts w:ascii="Calibri" w:hAnsi="Calibri" w:cs="Calibri"/>
                <w:color w:val="172B4D"/>
                <w:sz w:val="22"/>
                <w:szCs w:val="22"/>
              </w:rPr>
              <w:t>A SimpleSAMLphp module for generating given name and surname attributes based on the full name information received from the identity provider</w:t>
            </w:r>
          </w:p>
          <w:p w14:paraId="76F085CA"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r>
              <w:rPr>
                <w:rFonts w:ascii="Calibri" w:hAnsi="Calibri" w:cs="Calibri"/>
                <w:b/>
                <w:bCs/>
                <w:color w:val="172B4D"/>
                <w:sz w:val="22"/>
                <w:szCs w:val="22"/>
              </w:rPr>
              <w:t>simplesamlphp-module-authoauth2 :</w:t>
            </w:r>
            <w:r>
              <w:rPr>
                <w:rFonts w:ascii="Calibri" w:hAnsi="Calibri" w:cs="Calibri"/>
                <w:color w:val="172B4D"/>
                <w:sz w:val="22"/>
                <w:szCs w:val="22"/>
              </w:rPr>
              <w:t xml:space="preserve"> OAuth2/OIDC Authentication module for SimpleSAMLphp</w:t>
            </w:r>
          </w:p>
          <w:p w14:paraId="04499E75"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r>
              <w:rPr>
                <w:rFonts w:ascii="Calibri" w:hAnsi="Calibri" w:cs="Calibri"/>
                <w:b/>
                <w:bCs/>
                <w:color w:val="172B4D"/>
                <w:sz w:val="22"/>
                <w:szCs w:val="22"/>
              </w:rPr>
              <w:t>simplesamlphp-module-attrauthgocdb :</w:t>
            </w:r>
            <w:r>
              <w:rPr>
                <w:rFonts w:ascii="Calibri" w:hAnsi="Calibri" w:cs="Calibri"/>
                <w:color w:val="172B4D"/>
                <w:sz w:val="22"/>
                <w:szCs w:val="22"/>
              </w:rPr>
              <w:t xml:space="preserve"> A SimpleSAMLphp module for retrieving attributes from the Grid Configuration Database (GOCDB) and adding them to the list of attributes received from the identity provider</w:t>
            </w:r>
          </w:p>
          <w:p w14:paraId="17509C96"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r>
              <w:rPr>
                <w:rFonts w:ascii="Calibri" w:hAnsi="Calibri" w:cs="Calibri"/>
                <w:b/>
                <w:bCs/>
                <w:color w:val="172B4D"/>
                <w:sz w:val="22"/>
                <w:szCs w:val="22"/>
              </w:rPr>
              <w:t>simplesamlphp-module-authorcid :</w:t>
            </w:r>
            <w:r>
              <w:rPr>
                <w:rFonts w:ascii="Calibri" w:hAnsi="Calibri" w:cs="Calibri"/>
                <w:color w:val="172B4D"/>
                <w:sz w:val="22"/>
                <w:szCs w:val="22"/>
              </w:rPr>
              <w:t xml:space="preserve"> A SimpleSAMLphp module for authenticating users' ORCID iDs and retrieving publicly-visible information from the ORCID registry</w:t>
            </w:r>
          </w:p>
          <w:p w14:paraId="0A93F52C"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r>
              <w:rPr>
                <w:rFonts w:ascii="Calibri" w:hAnsi="Calibri" w:cs="Calibri"/>
                <w:b/>
                <w:bCs/>
                <w:color w:val="172B4D"/>
                <w:sz w:val="22"/>
                <w:szCs w:val="22"/>
              </w:rPr>
              <w:t>simplesamlphp-module-</w:t>
            </w:r>
            <w:r>
              <w:rPr>
                <w:rFonts w:ascii="Calibri" w:hAnsi="Calibri" w:cs="Calibri"/>
                <w:b/>
                <w:bCs/>
                <w:color w:val="172B4D"/>
                <w:sz w:val="22"/>
                <w:szCs w:val="22"/>
              </w:rPr>
              <w:lastRenderedPageBreak/>
              <w:t xml:space="preserve">authnauthority : </w:t>
            </w:r>
            <w:r>
              <w:rPr>
                <w:rFonts w:ascii="Calibri" w:hAnsi="Calibri" w:cs="Calibri"/>
                <w:color w:val="172B4D"/>
                <w:sz w:val="22"/>
                <w:szCs w:val="22"/>
              </w:rPr>
              <w:t>A SimpleSAMLphp module for generating an attribute with the value(s) of the &lt;AuthenticatingAuthority&gt; element contained in a SAML authentication response</w:t>
            </w:r>
          </w:p>
          <w:p w14:paraId="693141D1"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r>
              <w:rPr>
                <w:rFonts w:ascii="Calibri" w:hAnsi="Calibri" w:cs="Calibri"/>
                <w:b/>
                <w:bCs/>
                <w:color w:val="172B4D"/>
                <w:sz w:val="22"/>
                <w:szCs w:val="22"/>
              </w:rPr>
              <w:t>simplesamlphp-module-attrauthcomanage:</w:t>
            </w:r>
            <w:r>
              <w:rPr>
                <w:rFonts w:ascii="Calibri" w:hAnsi="Calibri" w:cs="Calibri"/>
                <w:color w:val="172B4D"/>
                <w:sz w:val="22"/>
                <w:szCs w:val="22"/>
              </w:rPr>
              <w:t xml:space="preserve"> A SimpleSAMLphp module for retrieving attributes from COmanage Registry and adding them to the list of attributes received from the identity provider</w:t>
            </w:r>
          </w:p>
          <w:p w14:paraId="21B6EEE8" w14:textId="77777777" w:rsidR="004A1438" w:rsidRDefault="004A1438" w:rsidP="004A1438">
            <w:pPr>
              <w:pStyle w:val="NormalWeb"/>
              <w:numPr>
                <w:ilvl w:val="0"/>
                <w:numId w:val="17"/>
              </w:numPr>
              <w:spacing w:before="0" w:beforeAutospacing="0" w:after="120" w:afterAutospacing="0"/>
              <w:textAlignment w:val="baseline"/>
              <w:rPr>
                <w:rFonts w:ascii="Calibri" w:hAnsi="Calibri" w:cs="Calibri"/>
                <w:color w:val="172B4D"/>
                <w:sz w:val="22"/>
                <w:szCs w:val="22"/>
              </w:rPr>
            </w:pPr>
            <w:r>
              <w:rPr>
                <w:rFonts w:ascii="Calibri" w:hAnsi="Calibri" w:cs="Calibri"/>
                <w:b/>
                <w:bCs/>
                <w:color w:val="172B4D"/>
                <w:sz w:val="22"/>
                <w:szCs w:val="22"/>
              </w:rPr>
              <w:t xml:space="preserve">simplesamlphp-module-assurance: </w:t>
            </w:r>
            <w:r>
              <w:rPr>
                <w:rFonts w:ascii="Calibri" w:hAnsi="Calibri" w:cs="Calibri"/>
                <w:color w:val="172B4D"/>
                <w:sz w:val="22"/>
                <w:szCs w:val="22"/>
              </w:rPr>
              <w:t>A SimpleSAMLphp module for determining and indicating the Level of Assurance (LoA) of an authentication event</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1F7F70D" w14:textId="77777777" w:rsidR="004A1438" w:rsidRDefault="00E56414">
            <w:pPr>
              <w:pStyle w:val="NormalWeb"/>
              <w:spacing w:before="0" w:beforeAutospacing="0" w:after="0" w:afterAutospacing="0"/>
            </w:pPr>
            <w:hyperlink r:id="rId15" w:history="1">
              <w:r w:rsidR="004A1438">
                <w:rPr>
                  <w:rStyle w:val="Hyperlink"/>
                  <w:rFonts w:eastAsiaTheme="majorEastAsia" w:cs="Calibri"/>
                  <w:color w:val="1155CC"/>
                  <w:sz w:val="22"/>
                  <w:szCs w:val="22"/>
                </w:rPr>
                <w:t>RCIAM</w:t>
              </w:r>
            </w:hyperlink>
          </w:p>
        </w:tc>
        <w:tc>
          <w:tcPr>
            <w:tcW w:w="22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0CD6D1D" w14:textId="77777777" w:rsidR="004A1438" w:rsidRDefault="00E56414">
            <w:pPr>
              <w:pStyle w:val="NormalWeb"/>
              <w:spacing w:before="0" w:beforeAutospacing="0" w:after="0" w:afterAutospacing="0"/>
            </w:pPr>
            <w:hyperlink r:id="rId16" w:history="1">
              <w:r w:rsidR="004A1438">
                <w:rPr>
                  <w:rStyle w:val="Hyperlink"/>
                  <w:rFonts w:eastAsiaTheme="majorEastAsia" w:cs="Calibri"/>
                  <w:color w:val="1155CC"/>
                  <w:sz w:val="22"/>
                  <w:szCs w:val="22"/>
                </w:rPr>
                <w:t>GRNET - EGI AAI CheckIn Support &lt;egi-aai-checkin@lists.grnet.gr&gt;</w:t>
              </w:r>
            </w:hyperlink>
          </w:p>
        </w:tc>
        <w:tc>
          <w:tcPr>
            <w:tcW w:w="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3DFBEA5" w14:textId="77777777" w:rsidR="004A1438" w:rsidRDefault="004A1438">
            <w:pPr>
              <w:pStyle w:val="NormalWeb"/>
              <w:spacing w:before="0" w:beforeAutospacing="0" w:after="0" w:afterAutospacing="0"/>
              <w:jc w:val="center"/>
            </w:pPr>
            <w:r>
              <w:rPr>
                <w:rFonts w:ascii="Calibri" w:hAnsi="Calibri" w:cs="Calibri"/>
                <w:color w:val="172B4D"/>
                <w:sz w:val="22"/>
                <w:szCs w:val="22"/>
              </w:rPr>
              <w:t>9</w:t>
            </w:r>
          </w:p>
        </w:tc>
      </w:tr>
      <w:tr w:rsidR="004A1438" w14:paraId="520AD837" w14:textId="77777777" w:rsidTr="004A1438">
        <w:trPr>
          <w:trHeight w:val="4620"/>
        </w:trPr>
        <w:tc>
          <w:tcPr>
            <w:tcW w:w="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F014221" w14:textId="77777777" w:rsidR="004A1438" w:rsidRDefault="004A1438">
            <w:pPr>
              <w:pStyle w:val="NormalWeb"/>
              <w:spacing w:before="0" w:beforeAutospacing="0" w:after="0" w:afterAutospacing="0"/>
            </w:pPr>
            <w:r>
              <w:rPr>
                <w:rFonts w:ascii="Calibri" w:hAnsi="Calibri" w:cs="Calibri"/>
                <w:color w:val="172B4D"/>
                <w:sz w:val="22"/>
                <w:szCs w:val="22"/>
              </w:rPr>
              <w:lastRenderedPageBreak/>
              <w:t>4</w:t>
            </w:r>
          </w:p>
        </w:tc>
        <w:tc>
          <w:tcPr>
            <w:tcW w:w="11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E52EE70" w14:textId="77777777" w:rsidR="004A1438" w:rsidRDefault="004A1438">
            <w:pPr>
              <w:pStyle w:val="NormalWeb"/>
              <w:spacing w:before="0" w:beforeAutospacing="0" w:after="0" w:afterAutospacing="0"/>
            </w:pPr>
            <w:r>
              <w:rPr>
                <w:rFonts w:ascii="Calibri" w:hAnsi="Calibri" w:cs="Calibri"/>
                <w:i/>
                <w:iCs/>
                <w:color w:val="172B4D"/>
                <w:sz w:val="22"/>
                <w:szCs w:val="22"/>
              </w:rPr>
              <w:t>Enhancing</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E9221AA" w14:textId="77777777" w:rsidR="004A1438" w:rsidRDefault="004A1438">
            <w:pPr>
              <w:pStyle w:val="NormalWeb"/>
              <w:spacing w:before="0" w:beforeAutospacing="0" w:after="0" w:afterAutospacing="0"/>
            </w:pPr>
            <w:r>
              <w:rPr>
                <w:rFonts w:ascii="Calibri" w:hAnsi="Calibri" w:cs="Calibri"/>
                <w:b/>
                <w:bCs/>
                <w:color w:val="172B4D"/>
                <w:sz w:val="22"/>
                <w:szCs w:val="22"/>
              </w:rPr>
              <w:t>Token Translation Service:</w:t>
            </w:r>
            <w:r>
              <w:rPr>
                <w:rFonts w:ascii="Calibri" w:hAnsi="Calibri" w:cs="Calibri"/>
                <w:color w:val="172B4D"/>
                <w:sz w:val="22"/>
                <w:szCs w:val="22"/>
              </w:rPr>
              <w:t xml:space="preserve"> The MasterPortal provides a Token Translation capability from (primarily) SAML to X.509 leveraging the RCauth online CA, and enabling pure web-based portals to access X.509 resources on behalf of their users. Transparent caching service between Science Gateways and the RCauth online CA, handling the complexity of obtaining certificates for the Science Gateways and end-users.</w:t>
            </w:r>
          </w:p>
          <w:p w14:paraId="47227503" w14:textId="77777777" w:rsidR="004A1438" w:rsidRDefault="004A1438">
            <w:pPr>
              <w:pStyle w:val="NormalWeb"/>
              <w:spacing w:before="0" w:beforeAutospacing="0" w:after="0" w:afterAutospacing="0"/>
            </w:pPr>
            <w:r>
              <w:rPr>
                <w:rFonts w:ascii="Calibri" w:hAnsi="Calibri" w:cs="Calibri"/>
                <w:color w:val="172B4D"/>
                <w:sz w:val="22"/>
                <w:szCs w:val="22"/>
              </w:rPr>
              <w:t>Additionally provides capability to upload SSH public keys and retrieving proxy certificates using those.</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FEFD07B" w14:textId="77777777" w:rsidR="004A1438" w:rsidRDefault="00E56414">
            <w:pPr>
              <w:pStyle w:val="NormalWeb"/>
              <w:spacing w:before="0" w:beforeAutospacing="0" w:after="0" w:afterAutospacing="0"/>
            </w:pPr>
            <w:hyperlink r:id="rId17" w:history="1">
              <w:r w:rsidR="004A1438">
                <w:rPr>
                  <w:rStyle w:val="Hyperlink"/>
                  <w:rFonts w:eastAsiaTheme="majorEastAsia" w:cs="Calibri"/>
                  <w:color w:val="1155CC"/>
                  <w:sz w:val="22"/>
                  <w:szCs w:val="22"/>
                </w:rPr>
                <w:t>Master Portal</w:t>
              </w:r>
            </w:hyperlink>
          </w:p>
        </w:tc>
        <w:tc>
          <w:tcPr>
            <w:tcW w:w="22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E1DB0BB" w14:textId="77777777" w:rsidR="004A1438" w:rsidRDefault="00E56414">
            <w:pPr>
              <w:pStyle w:val="NormalWeb"/>
              <w:spacing w:before="0" w:beforeAutospacing="0" w:after="0" w:afterAutospacing="0"/>
            </w:pPr>
            <w:hyperlink r:id="rId18" w:history="1">
              <w:r w:rsidR="004A1438">
                <w:rPr>
                  <w:rStyle w:val="Hyperlink"/>
                  <w:rFonts w:eastAsiaTheme="majorEastAsia" w:cs="Calibri"/>
                  <w:color w:val="1155CC"/>
                  <w:sz w:val="22"/>
                  <w:szCs w:val="22"/>
                </w:rPr>
                <w:t>NIKHEF - EGI AAI CheckIn Support &lt;egi-aai-checkin@lists.grnet.gr&gt;</w:t>
              </w:r>
            </w:hyperlink>
          </w:p>
        </w:tc>
        <w:tc>
          <w:tcPr>
            <w:tcW w:w="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4120306" w14:textId="77777777" w:rsidR="004A1438" w:rsidRDefault="004A1438">
            <w:pPr>
              <w:pStyle w:val="NormalWeb"/>
              <w:spacing w:before="0" w:beforeAutospacing="0" w:after="0" w:afterAutospacing="0"/>
            </w:pPr>
            <w:r>
              <w:rPr>
                <w:rFonts w:ascii="Calibri" w:hAnsi="Calibri" w:cs="Calibri"/>
                <w:color w:val="172B4D"/>
                <w:sz w:val="22"/>
                <w:szCs w:val="22"/>
              </w:rPr>
              <w:t>9</w:t>
            </w:r>
          </w:p>
        </w:tc>
      </w:tr>
    </w:tbl>
    <w:p w14:paraId="53ED9715" w14:textId="77777777" w:rsidR="00B16C67" w:rsidRPr="00B16C67" w:rsidRDefault="00B16C67" w:rsidP="00B16C67"/>
    <w:p w14:paraId="1051A4A7" w14:textId="5A7C3EDB" w:rsidR="00D95F48" w:rsidRDefault="001D2F63" w:rsidP="00D065EF">
      <w:pPr>
        <w:pStyle w:val="Heading2"/>
      </w:pPr>
      <w:bookmarkStart w:id="4" w:name="_Toc34646699"/>
      <w:r>
        <w:t>Monitoring</w:t>
      </w:r>
      <w:bookmarkEnd w:id="4"/>
    </w:p>
    <w:p w14:paraId="6B8446AD" w14:textId="6AD73457" w:rsidR="001D2F63" w:rsidRDefault="001D2F63" w:rsidP="001D2F63">
      <w:pPr>
        <w:rPr>
          <w:rFonts w:cs="Calibri"/>
          <w:color w:val="000000"/>
        </w:rPr>
      </w:pPr>
      <w:r>
        <w:rPr>
          <w:rFonts w:cs="Calibri"/>
          <w:color w:val="000000"/>
        </w:rPr>
        <w:t>Monitoring is a crucial part of EGI Check-in infrastructure, as a result we use ARGO framework for this purpose. ARGO is a lightweight monitoring service for Availability and Reliability provided by EGI foundation. Below we provide a list of the services and the corresponding metrics currently tracked by the framework.</w:t>
      </w:r>
    </w:p>
    <w:p w14:paraId="08386C8C" w14:textId="77777777" w:rsidR="001D2F63" w:rsidRPr="001D2F63" w:rsidRDefault="001D2F63" w:rsidP="001D2F63">
      <w:pPr>
        <w:rPr>
          <w:lang w:val="en-US"/>
        </w:rPr>
      </w:pPr>
    </w:p>
    <w:p w14:paraId="4A0B37AA" w14:textId="4A49D401" w:rsidR="001D2F63" w:rsidRDefault="001D2F63" w:rsidP="001D2F63">
      <w:pPr>
        <w:pStyle w:val="Caption"/>
        <w:keepNext/>
        <w:jc w:val="center"/>
      </w:pPr>
      <w:r>
        <w:t xml:space="preserve">Table </w:t>
      </w:r>
      <w:r w:rsidR="00E56414">
        <w:fldChar w:fldCharType="begin"/>
      </w:r>
      <w:r w:rsidR="00E56414">
        <w:instrText xml:space="preserve"> SEQ Table \* ARABIC </w:instrText>
      </w:r>
      <w:r w:rsidR="00E56414">
        <w:fldChar w:fldCharType="separate"/>
      </w:r>
      <w:r w:rsidR="00DA2060">
        <w:rPr>
          <w:noProof/>
        </w:rPr>
        <w:t>1</w:t>
      </w:r>
      <w:r w:rsidR="00E56414">
        <w:rPr>
          <w:noProof/>
        </w:rPr>
        <w:fldChar w:fldCharType="end"/>
      </w:r>
      <w:r>
        <w:t xml:space="preserve">. </w:t>
      </w:r>
      <w:r w:rsidRPr="00570970">
        <w:t>Monitored Services and Metrics</w:t>
      </w:r>
    </w:p>
    <w:tbl>
      <w:tblPr>
        <w:tblW w:w="0" w:type="auto"/>
        <w:jc w:val="center"/>
        <w:tblCellMar>
          <w:top w:w="15" w:type="dxa"/>
          <w:left w:w="15" w:type="dxa"/>
          <w:bottom w:w="15" w:type="dxa"/>
          <w:right w:w="15" w:type="dxa"/>
        </w:tblCellMar>
        <w:tblLook w:val="04A0" w:firstRow="1" w:lastRow="0" w:firstColumn="1" w:lastColumn="0" w:noHBand="0" w:noVBand="1"/>
      </w:tblPr>
      <w:tblGrid>
        <w:gridCol w:w="1460"/>
        <w:gridCol w:w="3611"/>
      </w:tblGrid>
      <w:tr w:rsidR="001D2F63" w:rsidRPr="001D2F63" w14:paraId="74B43A7D" w14:textId="77777777" w:rsidTr="001D2F63">
        <w:trPr>
          <w:trHeight w:val="480"/>
          <w:jc w:val="center"/>
        </w:trPr>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00" w:type="dxa"/>
              <w:bottom w:w="100" w:type="dxa"/>
              <w:right w:w="100" w:type="dxa"/>
            </w:tcMar>
            <w:hideMark/>
          </w:tcPr>
          <w:p w14:paraId="77A8EFCD" w14:textId="77777777" w:rsidR="001D2F63" w:rsidRPr="001D2F63" w:rsidRDefault="001D2F63" w:rsidP="001D2F63">
            <w:pPr>
              <w:rPr>
                <w:lang w:val="en-US"/>
              </w:rPr>
            </w:pPr>
            <w:r w:rsidRPr="001D2F63">
              <w:rPr>
                <w:b/>
                <w:bCs/>
                <w:lang w:val="en-US"/>
              </w:rPr>
              <w:t>Service Types</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00" w:type="dxa"/>
              <w:bottom w:w="100" w:type="dxa"/>
              <w:right w:w="100" w:type="dxa"/>
            </w:tcMar>
            <w:hideMark/>
          </w:tcPr>
          <w:p w14:paraId="27048D7A" w14:textId="77777777" w:rsidR="001D2F63" w:rsidRPr="001D2F63" w:rsidRDefault="001D2F63" w:rsidP="001D2F63">
            <w:pPr>
              <w:rPr>
                <w:lang w:val="en-US"/>
              </w:rPr>
            </w:pPr>
            <w:r w:rsidRPr="001D2F63">
              <w:rPr>
                <w:b/>
                <w:bCs/>
                <w:lang w:val="en-US"/>
              </w:rPr>
              <w:t>Metrics</w:t>
            </w:r>
          </w:p>
        </w:tc>
      </w:tr>
      <w:tr w:rsidR="001D2F63" w:rsidRPr="001D2F63" w14:paraId="5C7E4111" w14:textId="77777777" w:rsidTr="001D2F63">
        <w:trPr>
          <w:trHeight w:val="500"/>
          <w:jc w:val="center"/>
        </w:trPr>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0" w:type="dxa"/>
              <w:left w:w="100" w:type="dxa"/>
              <w:bottom w:w="100" w:type="dxa"/>
              <w:right w:w="100" w:type="dxa"/>
            </w:tcMar>
            <w:hideMark/>
          </w:tcPr>
          <w:p w14:paraId="4134BDF4" w14:textId="77777777" w:rsidR="001D2F63" w:rsidRPr="001D2F63" w:rsidRDefault="001D2F63" w:rsidP="001D2F63">
            <w:pPr>
              <w:rPr>
                <w:lang w:val="en-US"/>
              </w:rPr>
            </w:pPr>
          </w:p>
          <w:p w14:paraId="1F680CE3" w14:textId="77777777" w:rsidR="001D2F63" w:rsidRPr="001D2F63" w:rsidRDefault="001D2F63" w:rsidP="001D2F63">
            <w:pPr>
              <w:rPr>
                <w:lang w:val="en-US"/>
              </w:rPr>
            </w:pPr>
            <w:r w:rsidRPr="001D2F63">
              <w:rPr>
                <w:b/>
                <w:bCs/>
                <w:lang w:val="en-US"/>
              </w:rPr>
              <w:t>egi.aai.oidc</w:t>
            </w: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75C332BC" w14:textId="77777777" w:rsidR="001D2F63" w:rsidRPr="001D2F63" w:rsidRDefault="001D2F63" w:rsidP="001D2F63">
            <w:pPr>
              <w:rPr>
                <w:lang w:val="en-US"/>
              </w:rPr>
            </w:pPr>
            <w:r w:rsidRPr="001D2F63">
              <w:rPr>
                <w:lang w:val="en-US"/>
              </w:rPr>
              <w:t>eu.egi.CertValidity</w:t>
            </w:r>
          </w:p>
        </w:tc>
      </w:tr>
      <w:tr w:rsidR="001D2F63" w:rsidRPr="001D2F63" w14:paraId="62BDBBFF"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7293233B"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11BB8A85" w14:textId="77777777" w:rsidR="001D2F63" w:rsidRPr="001D2F63" w:rsidRDefault="001D2F63" w:rsidP="001D2F63">
            <w:pPr>
              <w:rPr>
                <w:lang w:val="en-US"/>
              </w:rPr>
            </w:pPr>
            <w:r w:rsidRPr="001D2F63">
              <w:rPr>
                <w:lang w:val="en-US"/>
              </w:rPr>
              <w:t>org.nagios.OIDC-AuthZ</w:t>
            </w:r>
          </w:p>
        </w:tc>
      </w:tr>
      <w:tr w:rsidR="001D2F63" w:rsidRPr="001D2F63" w14:paraId="1229117B"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23E221DF"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353A21A2" w14:textId="77777777" w:rsidR="001D2F63" w:rsidRPr="001D2F63" w:rsidRDefault="001D2F63" w:rsidP="001D2F63">
            <w:pPr>
              <w:rPr>
                <w:lang w:val="en-US"/>
              </w:rPr>
            </w:pPr>
            <w:r w:rsidRPr="001D2F63">
              <w:rPr>
                <w:lang w:val="en-US"/>
              </w:rPr>
              <w:t>org.nagios.OIDC-Provider-Config</w:t>
            </w:r>
          </w:p>
        </w:tc>
      </w:tr>
      <w:tr w:rsidR="001D2F63" w:rsidRPr="001D2F63" w14:paraId="6D0EA20E" w14:textId="77777777" w:rsidTr="001D2F63">
        <w:trPr>
          <w:trHeight w:val="500"/>
          <w:jc w:val="center"/>
        </w:trPr>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0" w:type="dxa"/>
              <w:left w:w="100" w:type="dxa"/>
              <w:bottom w:w="100" w:type="dxa"/>
              <w:right w:w="100" w:type="dxa"/>
            </w:tcMar>
            <w:hideMark/>
          </w:tcPr>
          <w:p w14:paraId="4C90560D" w14:textId="77777777" w:rsidR="001D2F63" w:rsidRPr="001D2F63" w:rsidRDefault="001D2F63" w:rsidP="001D2F63">
            <w:pPr>
              <w:rPr>
                <w:lang w:val="en-US"/>
              </w:rPr>
            </w:pPr>
          </w:p>
          <w:p w14:paraId="58421DAB" w14:textId="77777777" w:rsidR="001D2F63" w:rsidRPr="001D2F63" w:rsidRDefault="001D2F63" w:rsidP="001D2F63">
            <w:pPr>
              <w:rPr>
                <w:lang w:val="en-US"/>
              </w:rPr>
            </w:pPr>
            <w:r w:rsidRPr="001D2F63">
              <w:rPr>
                <w:b/>
                <w:bCs/>
                <w:lang w:val="en-US"/>
              </w:rPr>
              <w:lastRenderedPageBreak/>
              <w:t>egi.aai.saml</w:t>
            </w: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7B790701" w14:textId="77777777" w:rsidR="001D2F63" w:rsidRPr="001D2F63" w:rsidRDefault="001D2F63" w:rsidP="001D2F63">
            <w:pPr>
              <w:rPr>
                <w:lang w:val="en-US"/>
              </w:rPr>
            </w:pPr>
            <w:r w:rsidRPr="001D2F63">
              <w:rPr>
                <w:lang w:val="en-US"/>
              </w:rPr>
              <w:lastRenderedPageBreak/>
              <w:t>org.nagios.IdP-DiscoveryService</w:t>
            </w:r>
          </w:p>
        </w:tc>
      </w:tr>
      <w:tr w:rsidR="001D2F63" w:rsidRPr="001D2F63" w14:paraId="6E010154"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656BD41E"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74B5656D" w14:textId="77777777" w:rsidR="001D2F63" w:rsidRPr="001D2F63" w:rsidRDefault="001D2F63" w:rsidP="001D2F63">
            <w:pPr>
              <w:rPr>
                <w:lang w:val="en-US"/>
              </w:rPr>
            </w:pPr>
            <w:r w:rsidRPr="001D2F63">
              <w:rPr>
                <w:lang w:val="en-US"/>
              </w:rPr>
              <w:t>org.nagios.SAML-IdP</w:t>
            </w:r>
          </w:p>
        </w:tc>
      </w:tr>
      <w:tr w:rsidR="001D2F63" w:rsidRPr="001D2F63" w14:paraId="6C465A74"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379CE1BC"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188CCAA2" w14:textId="77777777" w:rsidR="001D2F63" w:rsidRPr="001D2F63" w:rsidRDefault="001D2F63" w:rsidP="001D2F63">
            <w:pPr>
              <w:rPr>
                <w:lang w:val="en-US"/>
              </w:rPr>
            </w:pPr>
            <w:r w:rsidRPr="001D2F63">
              <w:rPr>
                <w:lang w:val="en-US"/>
              </w:rPr>
              <w:t>org.nagios.SAML-SP</w:t>
            </w:r>
          </w:p>
        </w:tc>
      </w:tr>
      <w:tr w:rsidR="001D2F63" w:rsidRPr="001D2F63" w14:paraId="31FCDCF1" w14:textId="77777777" w:rsidTr="001D2F63">
        <w:trPr>
          <w:trHeight w:val="500"/>
          <w:jc w:val="center"/>
        </w:trPr>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0" w:type="dxa"/>
              <w:left w:w="100" w:type="dxa"/>
              <w:bottom w:w="100" w:type="dxa"/>
              <w:right w:w="100" w:type="dxa"/>
            </w:tcMar>
            <w:hideMark/>
          </w:tcPr>
          <w:p w14:paraId="6208F76B" w14:textId="77777777" w:rsidR="001D2F63" w:rsidRPr="001D2F63" w:rsidRDefault="001D2F63" w:rsidP="001D2F63">
            <w:pPr>
              <w:rPr>
                <w:lang w:val="en-US"/>
              </w:rPr>
            </w:pPr>
          </w:p>
          <w:p w14:paraId="0D08B7A4" w14:textId="77777777" w:rsidR="001D2F63" w:rsidRPr="001D2F63" w:rsidRDefault="001D2F63" w:rsidP="001D2F63">
            <w:pPr>
              <w:rPr>
                <w:lang w:val="en-US"/>
              </w:rPr>
            </w:pPr>
            <w:r w:rsidRPr="001D2F63">
              <w:rPr>
                <w:b/>
                <w:bCs/>
                <w:lang w:val="en-US"/>
              </w:rPr>
              <w:t>egi.aai.tts</w:t>
            </w: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2279B40B" w14:textId="77777777" w:rsidR="001D2F63" w:rsidRPr="001D2F63" w:rsidRDefault="001D2F63" w:rsidP="001D2F63">
            <w:pPr>
              <w:rPr>
                <w:lang w:val="en-US"/>
              </w:rPr>
            </w:pPr>
            <w:r w:rsidRPr="001D2F63">
              <w:rPr>
                <w:lang w:val="en-US"/>
              </w:rPr>
              <w:t>org.nagios.TTS-MasterPortal-Config</w:t>
            </w:r>
          </w:p>
        </w:tc>
      </w:tr>
      <w:tr w:rsidR="001D2F63" w:rsidRPr="001D2F63" w14:paraId="04120C21"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4CB4E650"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52F45FF5" w14:textId="77777777" w:rsidR="001D2F63" w:rsidRPr="001D2F63" w:rsidRDefault="001D2F63" w:rsidP="001D2F63">
            <w:pPr>
              <w:rPr>
                <w:lang w:val="en-US"/>
              </w:rPr>
            </w:pPr>
            <w:r w:rsidRPr="001D2F63">
              <w:rPr>
                <w:lang w:val="en-US"/>
              </w:rPr>
              <w:t>org.nagios.TTS-MasterPortal-Register</w:t>
            </w:r>
          </w:p>
        </w:tc>
      </w:tr>
    </w:tbl>
    <w:p w14:paraId="3CDDE351" w14:textId="0BA5645E" w:rsidR="00D95F48" w:rsidRPr="00D95F48" w:rsidRDefault="00D95F48" w:rsidP="001D2F63"/>
    <w:p w14:paraId="27666488" w14:textId="735769BF" w:rsidR="00D95F48" w:rsidRDefault="00DA2060" w:rsidP="004D249B">
      <w:pPr>
        <w:pStyle w:val="Heading1"/>
      </w:pPr>
      <w:bookmarkStart w:id="5" w:name="_Toc34646700"/>
      <w:r>
        <w:lastRenderedPageBreak/>
        <w:t xml:space="preserve">Approval of </w:t>
      </w:r>
      <w:r w:rsidRPr="00DA2060">
        <w:t>the acceptance criteria</w:t>
      </w:r>
      <w:bookmarkEnd w:id="5"/>
    </w:p>
    <w:p w14:paraId="27DBB763" w14:textId="77777777" w:rsidR="00DA2060" w:rsidRDefault="00DA2060" w:rsidP="00DA2060">
      <w:r>
        <w:t>The EOSC Synergy project</w:t>
      </w:r>
      <w:r>
        <w:rPr>
          <w:rStyle w:val="FootnoteReference"/>
        </w:rPr>
        <w:footnoteReference w:id="1"/>
      </w:r>
      <w:r>
        <w:t xml:space="preserve"> has adopted Check-in as its main AAI service. The following table lists the feedback received by EOSC Synergy on the Check-in acceptance criteria.</w:t>
      </w:r>
    </w:p>
    <w:p w14:paraId="7EA3775B" w14:textId="77777777" w:rsidR="00DA2060" w:rsidRPr="00DA2060" w:rsidRDefault="00DA2060" w:rsidP="00DA2060">
      <w:pPr>
        <w:rPr>
          <w:lang w:val="en-US"/>
        </w:rPr>
      </w:pPr>
    </w:p>
    <w:p w14:paraId="7CAF67D8" w14:textId="295C8C1F" w:rsidR="00DA2060" w:rsidRDefault="00DA2060" w:rsidP="00DA2060">
      <w:pPr>
        <w:pStyle w:val="Caption"/>
        <w:keepNext/>
        <w:jc w:val="center"/>
      </w:pPr>
      <w:r>
        <w:t xml:space="preserve">Table </w:t>
      </w:r>
      <w:r w:rsidR="00E56414">
        <w:fldChar w:fldCharType="begin"/>
      </w:r>
      <w:r w:rsidR="00E56414">
        <w:instrText xml:space="preserve"> SEQ Table \* ARABIC </w:instrText>
      </w:r>
      <w:r w:rsidR="00E56414">
        <w:fldChar w:fldCharType="separate"/>
      </w:r>
      <w:r>
        <w:rPr>
          <w:noProof/>
        </w:rPr>
        <w:t>2</w:t>
      </w:r>
      <w:r w:rsidR="00E56414">
        <w:rPr>
          <w:noProof/>
        </w:rPr>
        <w:fldChar w:fldCharType="end"/>
      </w:r>
      <w:r>
        <w:t>. Feedback from EOSC Synergy project on the Check-in acceptance criteria</w:t>
      </w:r>
    </w:p>
    <w:tbl>
      <w:tblPr>
        <w:tblW w:w="0" w:type="auto"/>
        <w:tblCellMar>
          <w:top w:w="15" w:type="dxa"/>
          <w:left w:w="15" w:type="dxa"/>
          <w:bottom w:w="15" w:type="dxa"/>
          <w:right w:w="15" w:type="dxa"/>
        </w:tblCellMar>
        <w:tblLook w:val="04A0" w:firstRow="1" w:lastRow="0" w:firstColumn="1" w:lastColumn="0" w:noHBand="0" w:noVBand="1"/>
      </w:tblPr>
      <w:tblGrid>
        <w:gridCol w:w="3216"/>
        <w:gridCol w:w="4369"/>
        <w:gridCol w:w="1761"/>
      </w:tblGrid>
      <w:tr w:rsidR="00DA2060" w:rsidRPr="00DA2060" w14:paraId="03333069" w14:textId="77777777" w:rsidTr="00DA2060">
        <w:trPr>
          <w:trHeight w:val="900"/>
        </w:trPr>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60" w:type="dxa"/>
              <w:bottom w:w="100" w:type="dxa"/>
              <w:right w:w="160" w:type="dxa"/>
            </w:tcMar>
            <w:hideMark/>
          </w:tcPr>
          <w:p w14:paraId="6026D126" w14:textId="77777777" w:rsidR="00DA2060" w:rsidRPr="00DA2060" w:rsidRDefault="00DA2060" w:rsidP="00DA2060">
            <w:pPr>
              <w:rPr>
                <w:lang w:val="en-US"/>
              </w:rPr>
            </w:pPr>
            <w:r w:rsidRPr="00DA2060">
              <w:rPr>
                <w:b/>
                <w:bCs/>
                <w:lang w:val="en-US"/>
              </w:rPr>
              <w:t>Category</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60" w:type="dxa"/>
              <w:bottom w:w="100" w:type="dxa"/>
              <w:right w:w="160" w:type="dxa"/>
            </w:tcMar>
            <w:hideMark/>
          </w:tcPr>
          <w:p w14:paraId="4C3278A5" w14:textId="77777777" w:rsidR="00DA2060" w:rsidRPr="00DA2060" w:rsidRDefault="00DA2060" w:rsidP="00DA2060">
            <w:pPr>
              <w:rPr>
                <w:lang w:val="en-US"/>
              </w:rPr>
            </w:pPr>
            <w:r w:rsidRPr="00DA2060">
              <w:rPr>
                <w:b/>
                <w:bCs/>
                <w:lang w:val="en-US"/>
              </w:rPr>
              <w:t>Acceptance criteria</w:t>
            </w:r>
          </w:p>
          <w:p w14:paraId="474B239D" w14:textId="77777777" w:rsidR="00DA2060" w:rsidRPr="00DA2060" w:rsidRDefault="00DA2060" w:rsidP="00DA2060">
            <w:pPr>
              <w:rPr>
                <w:lang w:val="en-US"/>
              </w:rPr>
            </w:pPr>
            <w:r w:rsidRPr="00DA2060">
              <w:rPr>
                <w:b/>
                <w:bCs/>
                <w:lang w:val="en-US"/>
              </w:rPr>
              <w:t> </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60" w:type="dxa"/>
              <w:bottom w:w="100" w:type="dxa"/>
              <w:right w:w="160" w:type="dxa"/>
            </w:tcMar>
            <w:hideMark/>
          </w:tcPr>
          <w:p w14:paraId="28A2176D" w14:textId="77777777" w:rsidR="00DA2060" w:rsidRPr="00DA2060" w:rsidRDefault="00DA2060" w:rsidP="00DA2060">
            <w:pPr>
              <w:rPr>
                <w:lang w:val="en-US"/>
              </w:rPr>
            </w:pPr>
            <w:r w:rsidRPr="00DA2060">
              <w:rPr>
                <w:b/>
                <w:bCs/>
                <w:lang w:val="en-US"/>
              </w:rPr>
              <w:t>Critical</w:t>
            </w:r>
          </w:p>
          <w:p w14:paraId="6D697ED2" w14:textId="77777777" w:rsidR="00DA2060" w:rsidRPr="00DA2060" w:rsidRDefault="00DA2060" w:rsidP="00DA2060">
            <w:pPr>
              <w:rPr>
                <w:lang w:val="en-US"/>
              </w:rPr>
            </w:pPr>
            <w:r w:rsidRPr="00DA2060">
              <w:rPr>
                <w:b/>
                <w:bCs/>
                <w:lang w:val="en-US"/>
              </w:rPr>
              <w:t>(Yes/No)</w:t>
            </w:r>
          </w:p>
        </w:tc>
      </w:tr>
      <w:tr w:rsidR="00DA2060" w:rsidRPr="00DA2060" w14:paraId="57BDD6AB" w14:textId="77777777" w:rsidTr="00DA2060">
        <w:trPr>
          <w:trHeight w:val="102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5DD4D1D5" w14:textId="77777777" w:rsidR="00DA2060" w:rsidRPr="00DA2060" w:rsidRDefault="00DA2060" w:rsidP="00DA2060">
            <w:pPr>
              <w:rPr>
                <w:lang w:val="en-US"/>
              </w:rPr>
            </w:pPr>
            <w:r w:rsidRPr="00DA2060">
              <w:rPr>
                <w:b/>
                <w:bCs/>
                <w:lang w:val="en-US"/>
              </w:rPr>
              <w:t>Functional and technical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4882C03B" w14:textId="77777777" w:rsidR="00DA2060" w:rsidRPr="00DA2060" w:rsidRDefault="00DA2060" w:rsidP="00DA2060">
            <w:pPr>
              <w:numPr>
                <w:ilvl w:val="0"/>
                <w:numId w:val="18"/>
              </w:numPr>
              <w:rPr>
                <w:lang w:val="en-US"/>
              </w:rPr>
            </w:pPr>
            <w:r w:rsidRPr="00DA2060">
              <w:rPr>
                <w:lang w:val="en-US"/>
              </w:rPr>
              <w:t>Is Check-in federated in eduGAIN?</w:t>
            </w:r>
          </w:p>
          <w:p w14:paraId="5B157ED5" w14:textId="77777777" w:rsidR="00DA2060" w:rsidRPr="00DA2060" w:rsidRDefault="00DA2060" w:rsidP="00DA2060">
            <w:pPr>
              <w:numPr>
                <w:ilvl w:val="0"/>
                <w:numId w:val="18"/>
              </w:numPr>
              <w:rPr>
                <w:lang w:val="en-US"/>
              </w:rPr>
            </w:pPr>
            <w:r w:rsidRPr="00DA2060">
              <w:rPr>
                <w:lang w:val="en-US"/>
              </w:rPr>
              <w:t>Is Check-in compliant with R&amp;S and Sirtifi?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62AFA4B1" w14:textId="77777777" w:rsidR="00DA2060" w:rsidRPr="00DA2060" w:rsidRDefault="00DA2060" w:rsidP="00DA2060">
            <w:pPr>
              <w:numPr>
                <w:ilvl w:val="0"/>
                <w:numId w:val="19"/>
              </w:numPr>
              <w:rPr>
                <w:lang w:val="en-US"/>
              </w:rPr>
            </w:pPr>
            <w:r w:rsidRPr="00DA2060">
              <w:rPr>
                <w:lang w:val="en-US"/>
              </w:rPr>
              <w:t>Yes</w:t>
            </w:r>
          </w:p>
          <w:p w14:paraId="074E090C" w14:textId="77777777" w:rsidR="00DA2060" w:rsidRPr="00DA2060" w:rsidRDefault="00DA2060" w:rsidP="00DA2060">
            <w:pPr>
              <w:numPr>
                <w:ilvl w:val="0"/>
                <w:numId w:val="19"/>
              </w:numPr>
              <w:rPr>
                <w:lang w:val="en-US"/>
              </w:rPr>
            </w:pPr>
            <w:r w:rsidRPr="00DA2060">
              <w:rPr>
                <w:lang w:val="en-US"/>
              </w:rPr>
              <w:t>Yes</w:t>
            </w:r>
          </w:p>
        </w:tc>
      </w:tr>
      <w:tr w:rsidR="00DA2060" w:rsidRPr="00DA2060" w14:paraId="5BBC553A" w14:textId="77777777" w:rsidTr="00DA2060">
        <w:trPr>
          <w:trHeight w:val="102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28E138A3" w14:textId="77777777" w:rsidR="00DA2060" w:rsidRPr="00DA2060" w:rsidRDefault="00DA2060" w:rsidP="00DA2060">
            <w:pPr>
              <w:rPr>
                <w:lang w:val="en-US"/>
              </w:rPr>
            </w:pPr>
            <w:r w:rsidRPr="00DA2060">
              <w:rPr>
                <w:b/>
                <w:bCs/>
                <w:lang w:val="en-US"/>
              </w:rPr>
              <w:t>Availability, continuity and performance-related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634688E0" w14:textId="77777777" w:rsidR="00DA2060" w:rsidRPr="00DA2060" w:rsidRDefault="00DA2060" w:rsidP="00DA2060">
            <w:pPr>
              <w:numPr>
                <w:ilvl w:val="0"/>
                <w:numId w:val="20"/>
              </w:numPr>
              <w:rPr>
                <w:lang w:val="en-US"/>
              </w:rPr>
            </w:pPr>
            <w:r w:rsidRPr="00DA2060">
              <w:rPr>
                <w:lang w:val="en-US"/>
              </w:rPr>
              <w:t>Is the deployment of the service reasonably supporting high availability requirements?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23FDD40A" w14:textId="77777777" w:rsidR="00DA2060" w:rsidRPr="00DA2060" w:rsidRDefault="00DA2060" w:rsidP="00DA2060">
            <w:pPr>
              <w:numPr>
                <w:ilvl w:val="0"/>
                <w:numId w:val="21"/>
              </w:numPr>
              <w:rPr>
                <w:lang w:val="en-US"/>
              </w:rPr>
            </w:pPr>
            <w:r w:rsidRPr="00DA2060">
              <w:rPr>
                <w:lang w:val="en-US"/>
              </w:rPr>
              <w:t xml:space="preserve"> Yes</w:t>
            </w:r>
          </w:p>
        </w:tc>
      </w:tr>
      <w:tr w:rsidR="00DA2060" w:rsidRPr="00DA2060" w14:paraId="393BC2E5" w14:textId="77777777" w:rsidTr="00DA2060">
        <w:trPr>
          <w:trHeight w:val="76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631E8ADA" w14:textId="77777777" w:rsidR="00DA2060" w:rsidRPr="00DA2060" w:rsidRDefault="00DA2060" w:rsidP="00DA2060">
            <w:pPr>
              <w:rPr>
                <w:lang w:val="en-US"/>
              </w:rPr>
            </w:pPr>
            <w:r w:rsidRPr="00DA2060">
              <w:rPr>
                <w:b/>
                <w:bCs/>
                <w:lang w:val="en-US"/>
              </w:rPr>
              <w:t>Security and data protection-related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25C1C5E8" w14:textId="77777777" w:rsidR="00DA2060" w:rsidRPr="00DA2060" w:rsidRDefault="00DA2060" w:rsidP="00DA2060">
            <w:pPr>
              <w:numPr>
                <w:ilvl w:val="0"/>
                <w:numId w:val="22"/>
              </w:numPr>
              <w:rPr>
                <w:lang w:val="en-US"/>
              </w:rPr>
            </w:pPr>
            <w:r w:rsidRPr="00DA2060">
              <w:rPr>
                <w:lang w:val="en-US"/>
              </w:rPr>
              <w:t>Is the data protection policy technically fulfilled?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15D220A9" w14:textId="77777777" w:rsidR="00DA2060" w:rsidRPr="00DA2060" w:rsidRDefault="00DA2060" w:rsidP="00DA2060">
            <w:pPr>
              <w:numPr>
                <w:ilvl w:val="0"/>
                <w:numId w:val="23"/>
              </w:numPr>
              <w:rPr>
                <w:lang w:val="en-US"/>
              </w:rPr>
            </w:pPr>
            <w:r w:rsidRPr="00DA2060">
              <w:rPr>
                <w:lang w:val="en-US"/>
              </w:rPr>
              <w:t>Yes </w:t>
            </w:r>
          </w:p>
        </w:tc>
      </w:tr>
      <w:tr w:rsidR="00DA2060" w:rsidRPr="00DA2060" w14:paraId="5D9C7701" w14:textId="77777777" w:rsidTr="00DA2060">
        <w:trPr>
          <w:trHeight w:val="226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44B09A51" w14:textId="77777777" w:rsidR="00DA2060" w:rsidRPr="00DA2060" w:rsidRDefault="00DA2060" w:rsidP="00DA2060">
            <w:pPr>
              <w:rPr>
                <w:lang w:val="en-US"/>
              </w:rPr>
            </w:pPr>
            <w:r w:rsidRPr="00DA2060">
              <w:rPr>
                <w:b/>
                <w:bCs/>
                <w:lang w:val="en-US"/>
              </w:rPr>
              <w:t>Usability-related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461CE812" w14:textId="77777777" w:rsidR="00DA2060" w:rsidRPr="00DA2060" w:rsidRDefault="00DA2060" w:rsidP="00DA2060">
            <w:pPr>
              <w:rPr>
                <w:lang w:val="en-US"/>
              </w:rPr>
            </w:pPr>
          </w:p>
          <w:p w14:paraId="5DFFE1CA" w14:textId="77777777" w:rsidR="00DA2060" w:rsidRPr="00DA2060" w:rsidRDefault="00DA2060" w:rsidP="00DA2060">
            <w:pPr>
              <w:numPr>
                <w:ilvl w:val="0"/>
                <w:numId w:val="24"/>
              </w:numPr>
              <w:rPr>
                <w:lang w:val="en-US"/>
              </w:rPr>
            </w:pPr>
            <w:r w:rsidRPr="00DA2060">
              <w:rPr>
                <w:lang w:val="en-US"/>
              </w:rPr>
              <w:t>Is the authentication through Check-in transparent and smooth without errors/latency?</w:t>
            </w:r>
          </w:p>
          <w:p w14:paraId="3C85E7C3" w14:textId="77777777" w:rsidR="00DA2060" w:rsidRPr="00DA2060" w:rsidRDefault="00DA2060" w:rsidP="00DA2060">
            <w:pPr>
              <w:numPr>
                <w:ilvl w:val="0"/>
                <w:numId w:val="24"/>
              </w:numPr>
              <w:rPr>
                <w:lang w:val="en-US"/>
              </w:rPr>
            </w:pPr>
            <w:r w:rsidRPr="00DA2060">
              <w:rPr>
                <w:lang w:val="en-US"/>
              </w:rPr>
              <w:t>Is Check-in displaying clear and understandable messages in case of error?</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7818F476" w14:textId="77777777" w:rsidR="00DA2060" w:rsidRPr="00DA2060" w:rsidRDefault="00DA2060" w:rsidP="00DA2060">
            <w:pPr>
              <w:rPr>
                <w:lang w:val="en-US"/>
              </w:rPr>
            </w:pPr>
          </w:p>
          <w:p w14:paraId="70673DCA" w14:textId="77777777" w:rsidR="00DA2060" w:rsidRPr="00DA2060" w:rsidRDefault="00DA2060" w:rsidP="00DA2060">
            <w:pPr>
              <w:numPr>
                <w:ilvl w:val="0"/>
                <w:numId w:val="25"/>
              </w:numPr>
              <w:rPr>
                <w:lang w:val="en-US"/>
              </w:rPr>
            </w:pPr>
            <w:r w:rsidRPr="00DA2060">
              <w:rPr>
                <w:lang w:val="en-US"/>
              </w:rPr>
              <w:t>Yes</w:t>
            </w:r>
          </w:p>
          <w:p w14:paraId="43BA5004" w14:textId="77777777" w:rsidR="00DA2060" w:rsidRPr="00DA2060" w:rsidRDefault="00DA2060" w:rsidP="00DA2060">
            <w:pPr>
              <w:numPr>
                <w:ilvl w:val="0"/>
                <w:numId w:val="25"/>
              </w:numPr>
              <w:rPr>
                <w:lang w:val="en-US"/>
              </w:rPr>
            </w:pPr>
            <w:r w:rsidRPr="00DA2060">
              <w:rPr>
                <w:lang w:val="en-US"/>
              </w:rPr>
              <w:t>Yes</w:t>
            </w:r>
          </w:p>
        </w:tc>
      </w:tr>
      <w:tr w:rsidR="00DA2060" w:rsidRPr="00DA2060" w14:paraId="66C0502B" w14:textId="77777777" w:rsidTr="00DA2060">
        <w:trPr>
          <w:trHeight w:val="172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568E3B20" w14:textId="77777777" w:rsidR="00DA2060" w:rsidRPr="00DA2060" w:rsidRDefault="00DA2060" w:rsidP="00DA2060">
            <w:pPr>
              <w:rPr>
                <w:lang w:val="en-US"/>
              </w:rPr>
            </w:pPr>
            <w:r w:rsidRPr="00DA2060">
              <w:rPr>
                <w:b/>
                <w:bCs/>
                <w:lang w:val="en-US"/>
              </w:rPr>
              <w:t>Organisational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297F2BB2" w14:textId="77777777" w:rsidR="00DA2060" w:rsidRPr="00DA2060" w:rsidRDefault="00DA2060" w:rsidP="00DA2060">
            <w:pPr>
              <w:numPr>
                <w:ilvl w:val="0"/>
                <w:numId w:val="26"/>
              </w:numPr>
              <w:rPr>
                <w:lang w:val="en-US"/>
              </w:rPr>
            </w:pPr>
            <w:r w:rsidRPr="00DA2060">
              <w:rPr>
                <w:lang w:val="en-US"/>
              </w:rPr>
              <w:t>Is GGUS SU active?</w:t>
            </w:r>
          </w:p>
          <w:p w14:paraId="0EBC02D1" w14:textId="77777777" w:rsidR="00DA2060" w:rsidRPr="00DA2060" w:rsidRDefault="00DA2060" w:rsidP="00DA2060">
            <w:pPr>
              <w:numPr>
                <w:ilvl w:val="0"/>
                <w:numId w:val="26"/>
              </w:numPr>
              <w:rPr>
                <w:lang w:val="en-US"/>
              </w:rPr>
            </w:pPr>
            <w:r w:rsidRPr="00DA2060">
              <w:rPr>
                <w:lang w:val="en-US"/>
              </w:rPr>
              <w:t>Is documentation sufficient for the SPs and IdPs to integrate with Check-in?</w:t>
            </w:r>
          </w:p>
          <w:p w14:paraId="5DC4B369" w14:textId="77777777" w:rsidR="00DA2060" w:rsidRPr="00DA2060" w:rsidRDefault="00DA2060" w:rsidP="00DA2060">
            <w:pPr>
              <w:rPr>
                <w:lang w:val="en-US"/>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5E23B8C8" w14:textId="77777777" w:rsidR="00DA2060" w:rsidRPr="00DA2060" w:rsidRDefault="00DA2060" w:rsidP="00DA2060">
            <w:pPr>
              <w:numPr>
                <w:ilvl w:val="0"/>
                <w:numId w:val="27"/>
              </w:numPr>
              <w:rPr>
                <w:lang w:val="en-US"/>
              </w:rPr>
            </w:pPr>
            <w:r w:rsidRPr="00DA2060">
              <w:rPr>
                <w:lang w:val="en-US"/>
              </w:rPr>
              <w:t>Yes</w:t>
            </w:r>
          </w:p>
          <w:p w14:paraId="1B74B13E" w14:textId="77777777" w:rsidR="00DA2060" w:rsidRPr="00DA2060" w:rsidRDefault="00DA2060" w:rsidP="00DA2060">
            <w:pPr>
              <w:numPr>
                <w:ilvl w:val="0"/>
                <w:numId w:val="27"/>
              </w:numPr>
              <w:rPr>
                <w:lang w:val="en-US"/>
              </w:rPr>
            </w:pPr>
            <w:r w:rsidRPr="00DA2060">
              <w:rPr>
                <w:lang w:val="en-US"/>
              </w:rPr>
              <w:t>Yes</w:t>
            </w:r>
          </w:p>
        </w:tc>
      </w:tr>
    </w:tbl>
    <w:p w14:paraId="7B80C8C8" w14:textId="4571FDFC" w:rsidR="00DA2060" w:rsidRPr="00DA2060" w:rsidRDefault="00DA2060" w:rsidP="00DA2060"/>
    <w:sectPr w:rsidR="00DA2060" w:rsidRPr="00DA2060" w:rsidSect="00D065EF">
      <w:headerReference w:type="default" r:id="rId19"/>
      <w:footerReference w:type="default" r:id="rId20"/>
      <w:footerReference w:type="first" r:id="rId2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90DBC" w14:textId="77777777" w:rsidR="00E56414" w:rsidRDefault="00E56414" w:rsidP="00835E24">
      <w:pPr>
        <w:spacing w:after="0" w:line="240" w:lineRule="auto"/>
      </w:pPr>
      <w:r>
        <w:separator/>
      </w:r>
    </w:p>
  </w:endnote>
  <w:endnote w:type="continuationSeparator" w:id="0">
    <w:p w14:paraId="0CEFA2FB" w14:textId="77777777" w:rsidR="00E56414" w:rsidRDefault="00E5641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E56414"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80B8D">
                <w:rPr>
                  <w:noProof/>
                </w:rPr>
                <w:t>11</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628570FD" w:rsidR="00D859A3" w:rsidRPr="00757E35" w:rsidRDefault="00180B8D" w:rsidP="00D859A3">
          <w:pPr>
            <w:pStyle w:val="Footer"/>
            <w:snapToGrid w:val="0"/>
            <w:jc w:val="center"/>
            <w:rPr>
              <w:rFonts w:asciiTheme="minorHAnsi" w:hAnsiTheme="minorHAnsi"/>
              <w:sz w:val="18"/>
              <w:szCs w:val="18"/>
            </w:rPr>
          </w:pPr>
          <w:r>
            <w:rPr>
              <w:rFonts w:asciiTheme="minorHAnsi" w:hAnsiTheme="minorHAnsi"/>
              <w:sz w:val="18"/>
              <w:szCs w:val="18"/>
            </w:rPr>
            <w:t xml:space="preserve">This work by EGI Foundation </w:t>
          </w:r>
          <w:r w:rsidR="00D859A3" w:rsidRPr="00757E35">
            <w:rPr>
              <w:rFonts w:asciiTheme="minorHAnsi" w:hAnsiTheme="minorHAnsi"/>
              <w:sz w:val="18"/>
              <w:szCs w:val="18"/>
            </w:rPr>
            <w:t xml:space="preserve">is licensed under a </w:t>
          </w:r>
        </w:p>
        <w:p w14:paraId="37BD5E65" w14:textId="77777777" w:rsidR="0010672E" w:rsidRPr="00962667" w:rsidRDefault="00E56414"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8BA34" w14:textId="77777777" w:rsidR="00E56414" w:rsidRDefault="00E56414" w:rsidP="00835E24">
      <w:pPr>
        <w:spacing w:after="0" w:line="240" w:lineRule="auto"/>
      </w:pPr>
      <w:r>
        <w:separator/>
      </w:r>
    </w:p>
  </w:footnote>
  <w:footnote w:type="continuationSeparator" w:id="0">
    <w:p w14:paraId="599F049B" w14:textId="77777777" w:rsidR="00E56414" w:rsidRDefault="00E56414" w:rsidP="00835E24">
      <w:pPr>
        <w:spacing w:after="0" w:line="240" w:lineRule="auto"/>
      </w:pPr>
      <w:r>
        <w:continuationSeparator/>
      </w:r>
    </w:p>
  </w:footnote>
  <w:footnote w:id="1">
    <w:p w14:paraId="326AC389" w14:textId="747382A0" w:rsidR="00DA2060" w:rsidRPr="00DA2060" w:rsidRDefault="00DA2060">
      <w:pPr>
        <w:pStyle w:val="FootnoteText"/>
        <w:rPr>
          <w:lang w:val="en-US"/>
        </w:rPr>
      </w:pPr>
      <w:r>
        <w:rPr>
          <w:rStyle w:val="FootnoteReference"/>
        </w:rPr>
        <w:footnoteRef/>
      </w:r>
      <w:r>
        <w:t xml:space="preserve"> </w:t>
      </w:r>
      <w:hyperlink r:id="rId1" w:history="1">
        <w:r>
          <w:rPr>
            <w:rStyle w:val="Hyperlink"/>
          </w:rPr>
          <w:t>https://www.eosc-synergy.eu/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B6F"/>
    <w:multiLevelType w:val="multilevel"/>
    <w:tmpl w:val="1D4A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D12F5"/>
    <w:multiLevelType w:val="multilevel"/>
    <w:tmpl w:val="028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16E39C6"/>
    <w:multiLevelType w:val="multilevel"/>
    <w:tmpl w:val="2E20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2FFC0772"/>
    <w:multiLevelType w:val="multilevel"/>
    <w:tmpl w:val="A87E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77A26"/>
    <w:multiLevelType w:val="multilevel"/>
    <w:tmpl w:val="8E6C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7F31A2"/>
    <w:multiLevelType w:val="multilevel"/>
    <w:tmpl w:val="B72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D1548B"/>
    <w:multiLevelType w:val="multilevel"/>
    <w:tmpl w:val="5410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C3EA5"/>
    <w:multiLevelType w:val="multilevel"/>
    <w:tmpl w:val="1AB0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550936"/>
    <w:multiLevelType w:val="multilevel"/>
    <w:tmpl w:val="3824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165AC"/>
    <w:multiLevelType w:val="multilevel"/>
    <w:tmpl w:val="8624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6051B"/>
    <w:multiLevelType w:val="multilevel"/>
    <w:tmpl w:val="3C3C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9"/>
  </w:num>
  <w:num w:numId="4">
    <w:abstractNumId w:val="2"/>
  </w:num>
  <w:num w:numId="5">
    <w:abstractNumId w:val="4"/>
  </w:num>
  <w:num w:numId="6">
    <w:abstractNumId w:val="11"/>
  </w:num>
  <w:num w:numId="7">
    <w:abstractNumId w:val="11"/>
    <w:lvlOverride w:ilvl="0">
      <w:startOverride w:val="1"/>
    </w:lvlOverride>
  </w:num>
  <w:num w:numId="8">
    <w:abstractNumId w:val="8"/>
  </w:num>
  <w:num w:numId="9">
    <w:abstractNumId w:val="5"/>
  </w:num>
  <w:num w:numId="10">
    <w:abstractNumId w:val="7"/>
  </w:num>
  <w:num w:numId="11">
    <w:abstractNumId w:val="3"/>
  </w:num>
  <w:num w:numId="12">
    <w:abstractNumId w:val="23"/>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20"/>
  </w:num>
  <w:num w:numId="19">
    <w:abstractNumId w:val="10"/>
  </w:num>
  <w:num w:numId="20">
    <w:abstractNumId w:val="15"/>
  </w:num>
  <w:num w:numId="21">
    <w:abstractNumId w:val="1"/>
  </w:num>
  <w:num w:numId="22">
    <w:abstractNumId w:val="0"/>
  </w:num>
  <w:num w:numId="23">
    <w:abstractNumId w:val="9"/>
  </w:num>
  <w:num w:numId="24">
    <w:abstractNumId w:val="22"/>
  </w:num>
  <w:num w:numId="25">
    <w:abstractNumId w:val="16"/>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80B8D"/>
    <w:rsid w:val="001C5D2E"/>
    <w:rsid w:val="001C68FD"/>
    <w:rsid w:val="001D2F63"/>
    <w:rsid w:val="00221D0C"/>
    <w:rsid w:val="00227F47"/>
    <w:rsid w:val="0024287D"/>
    <w:rsid w:val="002539A4"/>
    <w:rsid w:val="00283160"/>
    <w:rsid w:val="002A3C5A"/>
    <w:rsid w:val="002A7241"/>
    <w:rsid w:val="002E5F1F"/>
    <w:rsid w:val="00316F66"/>
    <w:rsid w:val="00337DFA"/>
    <w:rsid w:val="0035124F"/>
    <w:rsid w:val="004161FD"/>
    <w:rsid w:val="004338C6"/>
    <w:rsid w:val="00454D75"/>
    <w:rsid w:val="0049232C"/>
    <w:rsid w:val="004A1438"/>
    <w:rsid w:val="004A3ECF"/>
    <w:rsid w:val="004B04FF"/>
    <w:rsid w:val="004D249B"/>
    <w:rsid w:val="004D6DFA"/>
    <w:rsid w:val="004E24E2"/>
    <w:rsid w:val="00501E2A"/>
    <w:rsid w:val="00551BFA"/>
    <w:rsid w:val="0056751B"/>
    <w:rsid w:val="005962E0"/>
    <w:rsid w:val="005A339C"/>
    <w:rsid w:val="005D14DF"/>
    <w:rsid w:val="005D18AA"/>
    <w:rsid w:val="005E5D31"/>
    <w:rsid w:val="006669E7"/>
    <w:rsid w:val="006971E0"/>
    <w:rsid w:val="006D527C"/>
    <w:rsid w:val="006F7556"/>
    <w:rsid w:val="0072045A"/>
    <w:rsid w:val="00733386"/>
    <w:rsid w:val="00782A92"/>
    <w:rsid w:val="007C78CA"/>
    <w:rsid w:val="00813ED4"/>
    <w:rsid w:val="00835E24"/>
    <w:rsid w:val="00840515"/>
    <w:rsid w:val="00856FF6"/>
    <w:rsid w:val="00873234"/>
    <w:rsid w:val="008B1E35"/>
    <w:rsid w:val="008B2F11"/>
    <w:rsid w:val="008D1EC3"/>
    <w:rsid w:val="009138D4"/>
    <w:rsid w:val="00931656"/>
    <w:rsid w:val="00947A45"/>
    <w:rsid w:val="00976A73"/>
    <w:rsid w:val="00984212"/>
    <w:rsid w:val="009F1E23"/>
    <w:rsid w:val="00A312B2"/>
    <w:rsid w:val="00A5267D"/>
    <w:rsid w:val="00A53F7F"/>
    <w:rsid w:val="00A67816"/>
    <w:rsid w:val="00AB042E"/>
    <w:rsid w:val="00B107DD"/>
    <w:rsid w:val="00B16C67"/>
    <w:rsid w:val="00B46C00"/>
    <w:rsid w:val="00B60F00"/>
    <w:rsid w:val="00B80FB4"/>
    <w:rsid w:val="00B85B70"/>
    <w:rsid w:val="00B9637E"/>
    <w:rsid w:val="00B964AE"/>
    <w:rsid w:val="00C17FC8"/>
    <w:rsid w:val="00C40D39"/>
    <w:rsid w:val="00C43D25"/>
    <w:rsid w:val="00C63D9F"/>
    <w:rsid w:val="00C82428"/>
    <w:rsid w:val="00C96C8F"/>
    <w:rsid w:val="00CB1D9E"/>
    <w:rsid w:val="00CD57DB"/>
    <w:rsid w:val="00CF1E31"/>
    <w:rsid w:val="00D04EA5"/>
    <w:rsid w:val="00D065EF"/>
    <w:rsid w:val="00D075E1"/>
    <w:rsid w:val="00D26F29"/>
    <w:rsid w:val="00D42568"/>
    <w:rsid w:val="00D859A3"/>
    <w:rsid w:val="00D9315C"/>
    <w:rsid w:val="00D95F48"/>
    <w:rsid w:val="00DA2060"/>
    <w:rsid w:val="00E04C11"/>
    <w:rsid w:val="00E06D2A"/>
    <w:rsid w:val="00E208DA"/>
    <w:rsid w:val="00E56414"/>
    <w:rsid w:val="00E57F0F"/>
    <w:rsid w:val="00E8128D"/>
    <w:rsid w:val="00EA73F8"/>
    <w:rsid w:val="00EC504F"/>
    <w:rsid w:val="00EC75A5"/>
    <w:rsid w:val="00F06E24"/>
    <w:rsid w:val="00F337DD"/>
    <w:rsid w:val="00F42F91"/>
    <w:rsid w:val="00F7162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A0A0EFA9-8AAE-47EE-9CB0-3C104DD2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NormalWeb">
    <w:name w:val="Normal (Web)"/>
    <w:basedOn w:val="Normal"/>
    <w:uiPriority w:val="99"/>
    <w:semiHidden/>
    <w:unhideWhenUsed/>
    <w:rsid w:val="00B16C67"/>
    <w:pPr>
      <w:spacing w:before="100" w:beforeAutospacing="1" w:after="100" w:afterAutospacing="1" w:line="240" w:lineRule="auto"/>
      <w:jc w:val="left"/>
    </w:pPr>
    <w:rPr>
      <w:rFonts w:ascii="Times New Roman" w:eastAsia="Times New Roman" w:hAnsi="Times New Roman" w:cs="Times New Roman"/>
      <w:spacing w:val="0"/>
      <w:sz w:val="24"/>
      <w:szCs w:val="24"/>
      <w:lang w:val="en-US"/>
    </w:rPr>
  </w:style>
  <w:style w:type="paragraph" w:styleId="FootnoteText">
    <w:name w:val="footnote text"/>
    <w:basedOn w:val="Normal"/>
    <w:link w:val="FootnoteTextChar"/>
    <w:uiPriority w:val="99"/>
    <w:semiHidden/>
    <w:unhideWhenUsed/>
    <w:rsid w:val="00DA20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060"/>
    <w:rPr>
      <w:rFonts w:ascii="Calibri" w:hAnsi="Calibri"/>
      <w:spacing w:val="2"/>
      <w:sz w:val="20"/>
      <w:szCs w:val="20"/>
    </w:rPr>
  </w:style>
  <w:style w:type="character" w:styleId="FootnoteReference">
    <w:name w:val="footnote reference"/>
    <w:basedOn w:val="DefaultParagraphFont"/>
    <w:uiPriority w:val="99"/>
    <w:semiHidden/>
    <w:unhideWhenUsed/>
    <w:rsid w:val="00DA2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54344">
      <w:bodyDiv w:val="1"/>
      <w:marLeft w:val="0"/>
      <w:marRight w:val="0"/>
      <w:marTop w:val="0"/>
      <w:marBottom w:val="0"/>
      <w:divBdr>
        <w:top w:val="none" w:sz="0" w:space="0" w:color="auto"/>
        <w:left w:val="none" w:sz="0" w:space="0" w:color="auto"/>
        <w:bottom w:val="none" w:sz="0" w:space="0" w:color="auto"/>
        <w:right w:val="none" w:sz="0" w:space="0" w:color="auto"/>
      </w:divBdr>
    </w:div>
    <w:div w:id="537164551">
      <w:bodyDiv w:val="1"/>
      <w:marLeft w:val="0"/>
      <w:marRight w:val="0"/>
      <w:marTop w:val="0"/>
      <w:marBottom w:val="0"/>
      <w:divBdr>
        <w:top w:val="none" w:sz="0" w:space="0" w:color="auto"/>
        <w:left w:val="none" w:sz="0" w:space="0" w:color="auto"/>
        <w:bottom w:val="none" w:sz="0" w:space="0" w:color="auto"/>
        <w:right w:val="none" w:sz="0" w:space="0" w:color="auto"/>
      </w:divBdr>
    </w:div>
    <w:div w:id="53997597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6462185">
      <w:bodyDiv w:val="1"/>
      <w:marLeft w:val="0"/>
      <w:marRight w:val="0"/>
      <w:marTop w:val="0"/>
      <w:marBottom w:val="0"/>
      <w:divBdr>
        <w:top w:val="none" w:sz="0" w:space="0" w:color="auto"/>
        <w:left w:val="none" w:sz="0" w:space="0" w:color="auto"/>
        <w:bottom w:val="none" w:sz="0" w:space="0" w:color="auto"/>
        <w:right w:val="none" w:sz="0" w:space="0" w:color="auto"/>
      </w:divBdr>
    </w:div>
    <w:div w:id="828600489">
      <w:bodyDiv w:val="1"/>
      <w:marLeft w:val="0"/>
      <w:marRight w:val="0"/>
      <w:marTop w:val="0"/>
      <w:marBottom w:val="0"/>
      <w:divBdr>
        <w:top w:val="none" w:sz="0" w:space="0" w:color="auto"/>
        <w:left w:val="none" w:sz="0" w:space="0" w:color="auto"/>
        <w:bottom w:val="none" w:sz="0" w:space="0" w:color="auto"/>
        <w:right w:val="none" w:sz="0" w:space="0" w:color="auto"/>
      </w:divBdr>
    </w:div>
    <w:div w:id="1284192520">
      <w:bodyDiv w:val="1"/>
      <w:marLeft w:val="0"/>
      <w:marRight w:val="0"/>
      <w:marTop w:val="0"/>
      <w:marBottom w:val="0"/>
      <w:divBdr>
        <w:top w:val="none" w:sz="0" w:space="0" w:color="auto"/>
        <w:left w:val="none" w:sz="0" w:space="0" w:color="auto"/>
        <w:bottom w:val="none" w:sz="0" w:space="0" w:color="auto"/>
        <w:right w:val="none" w:sz="0" w:space="0" w:color="auto"/>
      </w:divBdr>
    </w:div>
    <w:div w:id="20561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mplesamlphp.org/support" TargetMode="External"/><Relationship Id="rId18" Type="http://schemas.openxmlformats.org/officeDocument/2006/relationships/hyperlink" Target="http://lists.grnet.g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github.com/rcauth-eu/aarc-master-portal" TargetMode="External"/><Relationship Id="rId2" Type="http://schemas.openxmlformats.org/officeDocument/2006/relationships/numbering" Target="numbering.xml"/><Relationship Id="rId16" Type="http://schemas.openxmlformats.org/officeDocument/2006/relationships/hyperlink" Target="http://lists.grnet.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go.egi.eu/egi/report-ar-dates-2/OPS-MONITOR-Critical/SITES/GRIDOPS-CheckIn?start_date=2019-01-01&amp;end_date=2019-11-06" TargetMode="External"/><Relationship Id="rId5" Type="http://schemas.openxmlformats.org/officeDocument/2006/relationships/webSettings" Target="webSettings.xml"/><Relationship Id="rId15" Type="http://schemas.openxmlformats.org/officeDocument/2006/relationships/hyperlink" Target="https://github.com/rciam/" TargetMode="External"/><Relationship Id="rId23" Type="http://schemas.openxmlformats.org/officeDocument/2006/relationships/theme" Target="theme/theme1.xml"/><Relationship Id="rId10" Type="http://schemas.openxmlformats.org/officeDocument/2006/relationships/hyperlink" Target="https://wiki.egi.eu/wiki/AA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iki.egi.eu/wiki/Glossary%20" TargetMode="External"/><Relationship Id="rId14" Type="http://schemas.openxmlformats.org/officeDocument/2006/relationships/hyperlink" Target="https://incommon.org/hel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eosc-synerg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6384-C676-4D51-A748-3179EF46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Diego</cp:lastModifiedBy>
  <cp:revision>15</cp:revision>
  <dcterms:created xsi:type="dcterms:W3CDTF">2015-11-19T10:53:00Z</dcterms:created>
  <dcterms:modified xsi:type="dcterms:W3CDTF">2020-03-09T11:17:00Z</dcterms:modified>
</cp:coreProperties>
</file>