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103577" w14:textId="5B76C6D8" w:rsidR="009B4F68" w:rsidRPr="00307566" w:rsidRDefault="00E37FC6">
      <w:pPr>
        <w:jc w:val="center"/>
      </w:pPr>
      <w:r w:rsidRPr="00307566">
        <w:rPr>
          <w:noProof/>
        </w:rPr>
        <w:drawing>
          <wp:anchor distT="0" distB="0" distL="114300" distR="114300" simplePos="0" relativeHeight="251659264" behindDoc="1" locked="0" layoutInCell="1" allowOverlap="1" wp14:anchorId="339EB106" wp14:editId="7B14803F">
            <wp:simplePos x="0" y="0"/>
            <wp:positionH relativeFrom="column">
              <wp:posOffset>-3810000</wp:posOffset>
            </wp:positionH>
            <wp:positionV relativeFrom="paragraph">
              <wp:posOffset>-2546985</wp:posOffset>
            </wp:positionV>
            <wp:extent cx="8706932" cy="6166766"/>
            <wp:effectExtent l="0" t="0" r="0" b="0"/>
            <wp:wrapNone/>
            <wp:docPr id="39" name="Immagine 39" descr="300ppi/Tavola%20disegno%201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00ppi/Tavola%20disegno%201_1.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706932" cy="6166766"/>
                    </a:xfrm>
                    <a:prstGeom prst="rect">
                      <a:avLst/>
                    </a:prstGeom>
                    <a:noFill/>
                    <a:ln>
                      <a:noFill/>
                    </a:ln>
                  </pic:spPr>
                </pic:pic>
              </a:graphicData>
            </a:graphic>
            <wp14:sizeRelH relativeFrom="page">
              <wp14:pctWidth>0</wp14:pctWidth>
            </wp14:sizeRelH>
            <wp14:sizeRelV relativeFrom="page">
              <wp14:pctHeight>0</wp14:pctHeight>
            </wp14:sizeRelV>
          </wp:anchor>
        </w:drawing>
      </w:r>
      <w:r w:rsidR="00164E6E" w:rsidRPr="00307566">
        <w:rPr>
          <w:noProof/>
        </w:rPr>
        <w:drawing>
          <wp:inline distT="0" distB="0" distL="0" distR="0" wp14:anchorId="4A2E9DE8" wp14:editId="46241D0F">
            <wp:extent cx="5720080" cy="2768600"/>
            <wp:effectExtent l="0" t="0" r="0" b="0"/>
            <wp:docPr id="34" name="image38.png" descr="300ppi/Tavola%20disegno%201.png"/>
            <wp:cNvGraphicFramePr/>
            <a:graphic xmlns:a="http://schemas.openxmlformats.org/drawingml/2006/main">
              <a:graphicData uri="http://schemas.openxmlformats.org/drawingml/2006/picture">
                <pic:pic xmlns:pic="http://schemas.openxmlformats.org/drawingml/2006/picture">
                  <pic:nvPicPr>
                    <pic:cNvPr id="0" name="image38.png" descr="300ppi/Tavola%20disegno%201.png"/>
                    <pic:cNvPicPr preferRelativeResize="0"/>
                  </pic:nvPicPr>
                  <pic:blipFill>
                    <a:blip r:embed="rId8"/>
                    <a:srcRect t="18182" b="13478"/>
                    <a:stretch>
                      <a:fillRect/>
                    </a:stretch>
                  </pic:blipFill>
                  <pic:spPr>
                    <a:xfrm>
                      <a:off x="0" y="0"/>
                      <a:ext cx="5720080" cy="2768600"/>
                    </a:xfrm>
                    <a:prstGeom prst="rect">
                      <a:avLst/>
                    </a:prstGeom>
                    <a:ln/>
                  </pic:spPr>
                </pic:pic>
              </a:graphicData>
            </a:graphic>
          </wp:inline>
        </w:drawing>
      </w:r>
      <w:bookmarkStart w:id="0" w:name="_gjdgxs" w:colFirst="0" w:colLast="0"/>
      <w:bookmarkEnd w:id="0"/>
    </w:p>
    <w:p w14:paraId="68E00F9D" w14:textId="77777777" w:rsidR="009B4F68" w:rsidRPr="00307566" w:rsidRDefault="00164E6E">
      <w:pPr>
        <w:pStyle w:val="Title"/>
        <w:rPr>
          <w:i w:val="0"/>
          <w:color w:val="1C3046"/>
        </w:rPr>
      </w:pPr>
      <w:r w:rsidRPr="00307566">
        <w:rPr>
          <w:i w:val="0"/>
          <w:color w:val="1C3046"/>
        </w:rPr>
        <w:t xml:space="preserve"> D4.4 Capacity plans for services in the Hub Portfolio</w:t>
      </w:r>
    </w:p>
    <w:tbl>
      <w:tblPr>
        <w:tblStyle w:val="a"/>
        <w:tblW w:w="7905" w:type="dxa"/>
        <w:jc w:val="cente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2263"/>
        <w:gridCol w:w="5642"/>
      </w:tblGrid>
      <w:tr w:rsidR="009B4F68" w:rsidRPr="00307566" w14:paraId="7970E177" w14:textId="77777777">
        <w:trPr>
          <w:trHeight w:val="526"/>
          <w:jc w:val="center"/>
        </w:trPr>
        <w:tc>
          <w:tcPr>
            <w:tcW w:w="2263" w:type="dxa"/>
          </w:tcPr>
          <w:p w14:paraId="76C3DDC3" w14:textId="77777777" w:rsidR="009B4F68" w:rsidRPr="00307566" w:rsidRDefault="00164E6E">
            <w:pPr>
              <w:spacing w:before="120"/>
              <w:rPr>
                <w:b/>
              </w:rPr>
            </w:pPr>
            <w:r w:rsidRPr="00307566">
              <w:rPr>
                <w:b/>
              </w:rPr>
              <w:t>Lead Partner:</w:t>
            </w:r>
          </w:p>
        </w:tc>
        <w:tc>
          <w:tcPr>
            <w:tcW w:w="5642" w:type="dxa"/>
          </w:tcPr>
          <w:p w14:paraId="531F78FA" w14:textId="2F8ED684" w:rsidR="009B4F68" w:rsidRPr="00307566" w:rsidRDefault="00307566">
            <w:pPr>
              <w:spacing w:before="120"/>
              <w:jc w:val="left"/>
            </w:pPr>
            <w:r w:rsidRPr="00307566">
              <w:t>EGI.eu</w:t>
            </w:r>
          </w:p>
        </w:tc>
      </w:tr>
      <w:tr w:rsidR="009B4F68" w:rsidRPr="00307566" w14:paraId="5DD87B40" w14:textId="77777777">
        <w:trPr>
          <w:trHeight w:val="508"/>
          <w:jc w:val="center"/>
        </w:trPr>
        <w:tc>
          <w:tcPr>
            <w:tcW w:w="2263" w:type="dxa"/>
          </w:tcPr>
          <w:p w14:paraId="7A86797A" w14:textId="77777777" w:rsidR="009B4F68" w:rsidRPr="00307566" w:rsidRDefault="00164E6E">
            <w:pPr>
              <w:spacing w:before="120"/>
              <w:rPr>
                <w:b/>
              </w:rPr>
            </w:pPr>
            <w:r w:rsidRPr="00307566">
              <w:rPr>
                <w:b/>
              </w:rPr>
              <w:t>Version:</w:t>
            </w:r>
          </w:p>
        </w:tc>
        <w:tc>
          <w:tcPr>
            <w:tcW w:w="5642" w:type="dxa"/>
          </w:tcPr>
          <w:p w14:paraId="13EF4937" w14:textId="15C84798" w:rsidR="009B4F68" w:rsidRPr="00307566" w:rsidRDefault="00307566">
            <w:pPr>
              <w:keepLines/>
              <w:widowControl w:val="0"/>
              <w:pBdr>
                <w:top w:val="nil"/>
                <w:left w:val="nil"/>
                <w:bottom w:val="nil"/>
                <w:right w:val="nil"/>
                <w:between w:val="nil"/>
              </w:pBdr>
              <w:spacing w:before="120" w:after="120"/>
              <w:jc w:val="left"/>
              <w:rPr>
                <w:color w:val="000000"/>
              </w:rPr>
            </w:pPr>
            <w:r w:rsidRPr="00307566">
              <w:rPr>
                <w:color w:val="000000"/>
              </w:rPr>
              <w:t>1</w:t>
            </w:r>
          </w:p>
        </w:tc>
      </w:tr>
      <w:tr w:rsidR="009B4F68" w:rsidRPr="00307566" w14:paraId="397600DD" w14:textId="77777777">
        <w:trPr>
          <w:trHeight w:val="508"/>
          <w:jc w:val="center"/>
        </w:trPr>
        <w:tc>
          <w:tcPr>
            <w:tcW w:w="2263" w:type="dxa"/>
          </w:tcPr>
          <w:p w14:paraId="54FD2FE6" w14:textId="77777777" w:rsidR="009B4F68" w:rsidRPr="00307566" w:rsidRDefault="00164E6E">
            <w:pPr>
              <w:spacing w:before="120"/>
              <w:rPr>
                <w:b/>
              </w:rPr>
            </w:pPr>
            <w:r w:rsidRPr="00307566">
              <w:rPr>
                <w:b/>
              </w:rPr>
              <w:t>Status:</w:t>
            </w:r>
          </w:p>
        </w:tc>
        <w:tc>
          <w:tcPr>
            <w:tcW w:w="5642" w:type="dxa"/>
          </w:tcPr>
          <w:p w14:paraId="102368BE" w14:textId="0BCCB43B" w:rsidR="009B4F68" w:rsidRPr="00307566" w:rsidRDefault="00AF7A2A">
            <w:pPr>
              <w:keepLines/>
              <w:widowControl w:val="0"/>
              <w:pBdr>
                <w:top w:val="nil"/>
                <w:left w:val="nil"/>
                <w:bottom w:val="nil"/>
                <w:right w:val="nil"/>
                <w:between w:val="nil"/>
              </w:pBdr>
              <w:spacing w:before="120" w:after="120"/>
              <w:jc w:val="left"/>
              <w:rPr>
                <w:color w:val="000000"/>
              </w:rPr>
            </w:pPr>
            <w:r w:rsidRPr="00AF7A2A">
              <w:rPr>
                <w:color w:val="000000"/>
              </w:rPr>
              <w:t>FINAL</w:t>
            </w:r>
          </w:p>
        </w:tc>
      </w:tr>
      <w:tr w:rsidR="009B4F68" w:rsidRPr="00307566" w14:paraId="422EB3B5" w14:textId="77777777">
        <w:trPr>
          <w:trHeight w:val="508"/>
          <w:jc w:val="center"/>
        </w:trPr>
        <w:tc>
          <w:tcPr>
            <w:tcW w:w="2263" w:type="dxa"/>
          </w:tcPr>
          <w:p w14:paraId="7F0BEED4" w14:textId="77777777" w:rsidR="009B4F68" w:rsidRPr="00307566" w:rsidRDefault="00164E6E">
            <w:pPr>
              <w:spacing w:before="120"/>
              <w:rPr>
                <w:b/>
              </w:rPr>
            </w:pPr>
            <w:r w:rsidRPr="00307566">
              <w:rPr>
                <w:b/>
              </w:rPr>
              <w:t>Dissemination Level:</w:t>
            </w:r>
          </w:p>
        </w:tc>
        <w:tc>
          <w:tcPr>
            <w:tcW w:w="5642" w:type="dxa"/>
          </w:tcPr>
          <w:p w14:paraId="07D64556" w14:textId="4A20C8EC" w:rsidR="009B4F68" w:rsidRPr="00307566" w:rsidRDefault="00307566">
            <w:pPr>
              <w:keepLines/>
              <w:widowControl w:val="0"/>
              <w:pBdr>
                <w:top w:val="nil"/>
                <w:left w:val="nil"/>
                <w:bottom w:val="nil"/>
                <w:right w:val="nil"/>
                <w:between w:val="nil"/>
              </w:pBdr>
              <w:spacing w:before="120" w:after="120"/>
              <w:jc w:val="left"/>
              <w:rPr>
                <w:color w:val="000000"/>
              </w:rPr>
            </w:pPr>
            <w:r>
              <w:rPr>
                <w:color w:val="000000"/>
              </w:rPr>
              <w:t>Public</w:t>
            </w:r>
          </w:p>
        </w:tc>
      </w:tr>
      <w:tr w:rsidR="009B4F68" w:rsidRPr="00307566" w14:paraId="007862A4" w14:textId="77777777">
        <w:trPr>
          <w:trHeight w:val="526"/>
          <w:jc w:val="center"/>
        </w:trPr>
        <w:tc>
          <w:tcPr>
            <w:tcW w:w="2263" w:type="dxa"/>
          </w:tcPr>
          <w:p w14:paraId="14B0FAD4" w14:textId="77777777" w:rsidR="009B4F68" w:rsidRPr="00307566" w:rsidRDefault="00164E6E">
            <w:pPr>
              <w:pBdr>
                <w:top w:val="nil"/>
                <w:left w:val="nil"/>
                <w:bottom w:val="nil"/>
                <w:right w:val="nil"/>
                <w:between w:val="nil"/>
              </w:pBdr>
              <w:tabs>
                <w:tab w:val="center" w:pos="4513"/>
                <w:tab w:val="right" w:pos="9026"/>
              </w:tabs>
              <w:spacing w:before="120" w:after="120"/>
              <w:rPr>
                <w:b/>
                <w:color w:val="000000"/>
              </w:rPr>
            </w:pPr>
            <w:r w:rsidRPr="00307566">
              <w:rPr>
                <w:b/>
                <w:color w:val="000000"/>
              </w:rPr>
              <w:t>Document Link:</w:t>
            </w:r>
          </w:p>
        </w:tc>
        <w:tc>
          <w:tcPr>
            <w:tcW w:w="5642" w:type="dxa"/>
          </w:tcPr>
          <w:p w14:paraId="649342D9" w14:textId="3BBEBADC" w:rsidR="009B4F68" w:rsidRPr="00307566" w:rsidRDefault="006C3A5A">
            <w:pPr>
              <w:spacing w:before="120"/>
              <w:jc w:val="left"/>
              <w:rPr>
                <w:highlight w:val="yellow"/>
              </w:rPr>
            </w:pPr>
            <w:hyperlink r:id="rId9" w:history="1">
              <w:r w:rsidR="00D34A23" w:rsidRPr="00B46034">
                <w:rPr>
                  <w:rStyle w:val="Hyperlink"/>
                </w:rPr>
                <w:t>https://documents.egi.eu/document/3628</w:t>
              </w:r>
            </w:hyperlink>
            <w:r w:rsidR="00D34A23">
              <w:t xml:space="preserve"> </w:t>
            </w:r>
          </w:p>
        </w:tc>
      </w:tr>
    </w:tbl>
    <w:p w14:paraId="256CDEF5" w14:textId="77777777" w:rsidR="009B4F68" w:rsidRPr="00307566" w:rsidRDefault="009B4F68"/>
    <w:tbl>
      <w:tblPr>
        <w:tblStyle w:val="a0"/>
        <w:tblW w:w="7933" w:type="dxa"/>
        <w:jc w:val="cente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7933"/>
      </w:tblGrid>
      <w:tr w:rsidR="009B4F68" w:rsidRPr="00307566" w14:paraId="3A370D6E" w14:textId="77777777">
        <w:trPr>
          <w:trHeight w:val="319"/>
          <w:jc w:val="center"/>
        </w:trPr>
        <w:tc>
          <w:tcPr>
            <w:tcW w:w="7933" w:type="dxa"/>
          </w:tcPr>
          <w:p w14:paraId="5CB22B61" w14:textId="77777777" w:rsidR="009B4F68" w:rsidRPr="00307566" w:rsidRDefault="00164E6E">
            <w:pPr>
              <w:spacing w:before="120"/>
              <w:jc w:val="left"/>
            </w:pPr>
            <w:r w:rsidRPr="00307566">
              <w:rPr>
                <w:b/>
              </w:rPr>
              <w:t>Deliverable Abstract</w:t>
            </w:r>
          </w:p>
        </w:tc>
      </w:tr>
      <w:tr w:rsidR="009B4F68" w:rsidRPr="00307566" w14:paraId="5B270CF2" w14:textId="77777777">
        <w:trPr>
          <w:trHeight w:val="3475"/>
          <w:jc w:val="center"/>
        </w:trPr>
        <w:tc>
          <w:tcPr>
            <w:tcW w:w="7933" w:type="dxa"/>
          </w:tcPr>
          <w:p w14:paraId="6D0B0761" w14:textId="77777777" w:rsidR="009B4F68" w:rsidRPr="00307566" w:rsidRDefault="00164E6E">
            <w:pPr>
              <w:keepLines/>
              <w:widowControl w:val="0"/>
              <w:pBdr>
                <w:top w:val="nil"/>
                <w:left w:val="nil"/>
                <w:bottom w:val="nil"/>
                <w:right w:val="nil"/>
                <w:between w:val="nil"/>
              </w:pBdr>
              <w:spacing w:before="120" w:after="120"/>
              <w:jc w:val="left"/>
              <w:rPr>
                <w:color w:val="000000"/>
                <w:highlight w:val="white"/>
              </w:rPr>
            </w:pPr>
            <w:r w:rsidRPr="00307566">
              <w:rPr>
                <w:highlight w:val="white"/>
              </w:rPr>
              <w:t>This document describes the criteria that we adopted to produce the capacity plans for the services in the Hub Portfolio, and presents the capacity plans created so far, providing some recommendations about future capacity requirements for the involved services.</w:t>
            </w:r>
          </w:p>
        </w:tc>
      </w:tr>
    </w:tbl>
    <w:p w14:paraId="042891BC" w14:textId="77777777" w:rsidR="009B4F68" w:rsidRPr="00307566" w:rsidRDefault="009B4F68">
      <w:pPr>
        <w:rPr>
          <w:b/>
          <w:color w:val="1C3046"/>
        </w:rPr>
      </w:pPr>
    </w:p>
    <w:p w14:paraId="6F82FF6B" w14:textId="77777777" w:rsidR="009B4F68" w:rsidRPr="00307566" w:rsidRDefault="00164E6E">
      <w:pPr>
        <w:rPr>
          <w:b/>
          <w:color w:val="1C3046"/>
        </w:rPr>
      </w:pPr>
      <w:r w:rsidRPr="00307566">
        <w:rPr>
          <w:b/>
          <w:color w:val="1C3046"/>
        </w:rPr>
        <w:lastRenderedPageBreak/>
        <w:t xml:space="preserve">COPYRIGHT NOTICE </w:t>
      </w:r>
    </w:p>
    <w:p w14:paraId="0F8DA542" w14:textId="77777777" w:rsidR="009B4F68" w:rsidRPr="00307566" w:rsidRDefault="00164E6E">
      <w:r w:rsidRPr="00307566">
        <w:rPr>
          <w:noProof/>
        </w:rPr>
        <w:drawing>
          <wp:inline distT="0" distB="0" distL="0" distR="0" wp14:anchorId="6B3F604F" wp14:editId="795EAB0F">
            <wp:extent cx="1227411" cy="429442"/>
            <wp:effectExtent l="0" t="0" r="0" b="0"/>
            <wp:docPr id="33" name="image22.png"/>
            <wp:cNvGraphicFramePr/>
            <a:graphic xmlns:a="http://schemas.openxmlformats.org/drawingml/2006/main">
              <a:graphicData uri="http://schemas.openxmlformats.org/drawingml/2006/picture">
                <pic:pic xmlns:pic="http://schemas.openxmlformats.org/drawingml/2006/picture">
                  <pic:nvPicPr>
                    <pic:cNvPr id="0" name="image22.png"/>
                    <pic:cNvPicPr preferRelativeResize="0"/>
                  </pic:nvPicPr>
                  <pic:blipFill>
                    <a:blip r:embed="rId10"/>
                    <a:srcRect/>
                    <a:stretch>
                      <a:fillRect/>
                    </a:stretch>
                  </pic:blipFill>
                  <pic:spPr>
                    <a:xfrm>
                      <a:off x="0" y="0"/>
                      <a:ext cx="1227411" cy="429442"/>
                    </a:xfrm>
                    <a:prstGeom prst="rect">
                      <a:avLst/>
                    </a:prstGeom>
                    <a:ln/>
                  </pic:spPr>
                </pic:pic>
              </a:graphicData>
            </a:graphic>
          </wp:inline>
        </w:drawing>
      </w:r>
    </w:p>
    <w:p w14:paraId="48099258" w14:textId="77777777" w:rsidR="009B4F68" w:rsidRPr="00307566" w:rsidRDefault="00164E6E">
      <w:r w:rsidRPr="00307566">
        <w:t>This work by Parties of the EOSC-hub Consortium is licensed under a Creative Commons Attribution 4.0 International License (</w:t>
      </w:r>
      <w:hyperlink r:id="rId11">
        <w:r w:rsidRPr="00307566">
          <w:rPr>
            <w:color w:val="0000FF"/>
            <w:u w:val="single"/>
          </w:rPr>
          <w:t>http://creativecommons.org/licenses/by/4.0/</w:t>
        </w:r>
      </w:hyperlink>
      <w:r w:rsidRPr="00307566">
        <w:t>). The EOSC-hub project is co-funded by the European Union Horizon 2020 programme under grant number 777536.</w:t>
      </w:r>
    </w:p>
    <w:p w14:paraId="32400ABE" w14:textId="77777777" w:rsidR="009B4F68" w:rsidRPr="00307566" w:rsidRDefault="00164E6E">
      <w:pPr>
        <w:rPr>
          <w:b/>
          <w:color w:val="1C3046"/>
        </w:rPr>
      </w:pPr>
      <w:r w:rsidRPr="00307566">
        <w:rPr>
          <w:b/>
          <w:color w:val="1C3046"/>
        </w:rPr>
        <w:t>DELIVERY SLIP</w:t>
      </w:r>
    </w:p>
    <w:tbl>
      <w:tblPr>
        <w:tblStyle w:val="a1"/>
        <w:tblW w:w="9031" w:type="dxa"/>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2094"/>
        <w:gridCol w:w="3705"/>
        <w:gridCol w:w="1724"/>
        <w:gridCol w:w="1508"/>
      </w:tblGrid>
      <w:tr w:rsidR="009B4F68" w:rsidRPr="00307566" w14:paraId="3E96AFF6"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4" w:type="dxa"/>
          </w:tcPr>
          <w:p w14:paraId="5DE8ED85" w14:textId="77777777" w:rsidR="009B4F68" w:rsidRPr="00307566" w:rsidRDefault="00164E6E">
            <w:pPr>
              <w:pBdr>
                <w:top w:val="nil"/>
                <w:left w:val="nil"/>
                <w:bottom w:val="nil"/>
                <w:right w:val="nil"/>
                <w:between w:val="nil"/>
              </w:pBdr>
              <w:rPr>
                <w:i/>
                <w:color w:val="000000"/>
              </w:rPr>
            </w:pPr>
            <w:r w:rsidRPr="00307566">
              <w:rPr>
                <w:b w:val="0"/>
                <w:i/>
                <w:color w:val="000000"/>
              </w:rPr>
              <w:t>Date</w:t>
            </w:r>
          </w:p>
        </w:tc>
        <w:tc>
          <w:tcPr>
            <w:tcW w:w="3705" w:type="dxa"/>
          </w:tcPr>
          <w:p w14:paraId="4BECE0A1" w14:textId="77777777" w:rsidR="009B4F68" w:rsidRPr="00307566" w:rsidRDefault="00164E6E">
            <w:pPr>
              <w:pBdr>
                <w:top w:val="nil"/>
                <w:left w:val="nil"/>
                <w:bottom w:val="nil"/>
                <w:right w:val="nil"/>
                <w:between w:val="nil"/>
              </w:pBdr>
              <w:cnfStyle w:val="100000000000" w:firstRow="1" w:lastRow="0" w:firstColumn="0" w:lastColumn="0" w:oddVBand="0" w:evenVBand="0" w:oddHBand="0" w:evenHBand="0" w:firstRowFirstColumn="0" w:firstRowLastColumn="0" w:lastRowFirstColumn="0" w:lastRowLastColumn="0"/>
              <w:rPr>
                <w:i/>
                <w:color w:val="000000"/>
              </w:rPr>
            </w:pPr>
            <w:r w:rsidRPr="00307566">
              <w:rPr>
                <w:b w:val="0"/>
                <w:i/>
                <w:color w:val="000000"/>
              </w:rPr>
              <w:t>Name</w:t>
            </w:r>
          </w:p>
        </w:tc>
        <w:tc>
          <w:tcPr>
            <w:tcW w:w="1724" w:type="dxa"/>
          </w:tcPr>
          <w:p w14:paraId="59726E1B" w14:textId="77777777" w:rsidR="009B4F68" w:rsidRPr="00307566" w:rsidRDefault="00164E6E">
            <w:pPr>
              <w:pBdr>
                <w:top w:val="nil"/>
                <w:left w:val="nil"/>
                <w:bottom w:val="nil"/>
                <w:right w:val="nil"/>
                <w:between w:val="nil"/>
              </w:pBdr>
              <w:cnfStyle w:val="100000000000" w:firstRow="1" w:lastRow="0" w:firstColumn="0" w:lastColumn="0" w:oddVBand="0" w:evenVBand="0" w:oddHBand="0" w:evenHBand="0" w:firstRowFirstColumn="0" w:firstRowLastColumn="0" w:lastRowFirstColumn="0" w:lastRowLastColumn="0"/>
              <w:rPr>
                <w:i/>
                <w:color w:val="000000"/>
              </w:rPr>
            </w:pPr>
            <w:r w:rsidRPr="00307566">
              <w:rPr>
                <w:b w:val="0"/>
                <w:i/>
                <w:color w:val="000000"/>
              </w:rPr>
              <w:t>Partner/Activity</w:t>
            </w:r>
          </w:p>
        </w:tc>
        <w:tc>
          <w:tcPr>
            <w:tcW w:w="1508" w:type="dxa"/>
          </w:tcPr>
          <w:p w14:paraId="15F6F80C" w14:textId="77777777" w:rsidR="009B4F68" w:rsidRPr="00307566" w:rsidRDefault="00164E6E">
            <w:pPr>
              <w:pBdr>
                <w:top w:val="nil"/>
                <w:left w:val="nil"/>
                <w:bottom w:val="nil"/>
                <w:right w:val="nil"/>
                <w:between w:val="nil"/>
              </w:pBdr>
              <w:cnfStyle w:val="100000000000" w:firstRow="1" w:lastRow="0" w:firstColumn="0" w:lastColumn="0" w:oddVBand="0" w:evenVBand="0" w:oddHBand="0" w:evenHBand="0" w:firstRowFirstColumn="0" w:firstRowLastColumn="0" w:lastRowFirstColumn="0" w:lastRowLastColumn="0"/>
              <w:rPr>
                <w:i/>
                <w:color w:val="000000"/>
              </w:rPr>
            </w:pPr>
            <w:r w:rsidRPr="00307566">
              <w:rPr>
                <w:b w:val="0"/>
                <w:i/>
                <w:color w:val="000000"/>
              </w:rPr>
              <w:t>Date</w:t>
            </w:r>
          </w:p>
        </w:tc>
      </w:tr>
      <w:tr w:rsidR="009B4F68" w:rsidRPr="00307566" w14:paraId="0FDD2D34"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4" w:type="dxa"/>
          </w:tcPr>
          <w:p w14:paraId="35E954C6" w14:textId="77777777" w:rsidR="009B4F68" w:rsidRPr="00307566" w:rsidRDefault="00164E6E">
            <w:pPr>
              <w:pBdr>
                <w:top w:val="nil"/>
                <w:left w:val="nil"/>
                <w:bottom w:val="nil"/>
                <w:right w:val="nil"/>
                <w:between w:val="nil"/>
              </w:pBdr>
              <w:rPr>
                <w:color w:val="000000"/>
              </w:rPr>
            </w:pPr>
            <w:r w:rsidRPr="00307566">
              <w:rPr>
                <w:b w:val="0"/>
                <w:color w:val="000000"/>
              </w:rPr>
              <w:t>From:</w:t>
            </w:r>
          </w:p>
        </w:tc>
        <w:tc>
          <w:tcPr>
            <w:tcW w:w="3705" w:type="dxa"/>
          </w:tcPr>
          <w:p w14:paraId="5365F2B1" w14:textId="77777777" w:rsidR="009B4F68" w:rsidRPr="00307566" w:rsidRDefault="00164E6E">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pPr>
            <w:r w:rsidRPr="00307566">
              <w:t>Alessandro Paolini</w:t>
            </w:r>
          </w:p>
          <w:p w14:paraId="091C4413" w14:textId="77777777" w:rsidR="009B4F68" w:rsidRPr="00307566" w:rsidRDefault="00164E6E">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pPr>
            <w:r w:rsidRPr="00307566">
              <w:t>Catalin Condurache</w:t>
            </w:r>
          </w:p>
          <w:p w14:paraId="1C6C433A" w14:textId="77777777" w:rsidR="009B4F68" w:rsidRPr="00307566" w:rsidRDefault="00164E6E">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pPr>
            <w:r w:rsidRPr="00307566">
              <w:t>Isabella Bierenbaum</w:t>
            </w:r>
          </w:p>
        </w:tc>
        <w:tc>
          <w:tcPr>
            <w:tcW w:w="1724" w:type="dxa"/>
          </w:tcPr>
          <w:p w14:paraId="6ED0BE80" w14:textId="77777777" w:rsidR="009B4F68" w:rsidRDefault="00D34A23">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color w:val="000000"/>
              </w:rPr>
            </w:pPr>
            <w:r>
              <w:rPr>
                <w:color w:val="000000"/>
              </w:rPr>
              <w:t>EGI Foundation</w:t>
            </w:r>
          </w:p>
          <w:p w14:paraId="04BBE87B" w14:textId="77777777" w:rsidR="00D34A23" w:rsidRDefault="00D34A23">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color w:val="000000"/>
              </w:rPr>
            </w:pPr>
            <w:r>
              <w:rPr>
                <w:color w:val="000000"/>
              </w:rPr>
              <w:t>EGI Foundation</w:t>
            </w:r>
          </w:p>
          <w:p w14:paraId="005BD600" w14:textId="19F3660A" w:rsidR="00D34A23" w:rsidRPr="00307566" w:rsidRDefault="00D34A23">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color w:val="000000"/>
              </w:rPr>
            </w:pPr>
            <w:r>
              <w:rPr>
                <w:color w:val="000000"/>
              </w:rPr>
              <w:t>KIT</w:t>
            </w:r>
          </w:p>
        </w:tc>
        <w:tc>
          <w:tcPr>
            <w:tcW w:w="1508" w:type="dxa"/>
          </w:tcPr>
          <w:p w14:paraId="5E2D6DE1" w14:textId="65BC2A89" w:rsidR="009B4F68" w:rsidRPr="00307566" w:rsidRDefault="00D66FAE">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color w:val="000000"/>
              </w:rPr>
            </w:pPr>
            <w:r>
              <w:rPr>
                <w:color w:val="000000"/>
              </w:rPr>
              <w:t>29/07/2020</w:t>
            </w:r>
          </w:p>
        </w:tc>
      </w:tr>
      <w:tr w:rsidR="009B4F68" w:rsidRPr="00307566" w14:paraId="5B95BC97" w14:textId="77777777">
        <w:tc>
          <w:tcPr>
            <w:cnfStyle w:val="001000000000" w:firstRow="0" w:lastRow="0" w:firstColumn="1" w:lastColumn="0" w:oddVBand="0" w:evenVBand="0" w:oddHBand="0" w:evenHBand="0" w:firstRowFirstColumn="0" w:firstRowLastColumn="0" w:lastRowFirstColumn="0" w:lastRowLastColumn="0"/>
            <w:tcW w:w="2094" w:type="dxa"/>
          </w:tcPr>
          <w:p w14:paraId="331BEB4C" w14:textId="77777777" w:rsidR="009B4F68" w:rsidRPr="00307566" w:rsidRDefault="00164E6E">
            <w:pPr>
              <w:pBdr>
                <w:top w:val="nil"/>
                <w:left w:val="nil"/>
                <w:bottom w:val="nil"/>
                <w:right w:val="nil"/>
                <w:between w:val="nil"/>
              </w:pBdr>
              <w:rPr>
                <w:color w:val="000000"/>
              </w:rPr>
            </w:pPr>
            <w:r w:rsidRPr="00307566">
              <w:rPr>
                <w:b w:val="0"/>
                <w:color w:val="000000"/>
              </w:rPr>
              <w:t>Moderated by:</w:t>
            </w:r>
          </w:p>
        </w:tc>
        <w:tc>
          <w:tcPr>
            <w:tcW w:w="3705" w:type="dxa"/>
          </w:tcPr>
          <w:p w14:paraId="511EA06B" w14:textId="3CEFE76B" w:rsidR="009B4F68" w:rsidRPr="00307566" w:rsidRDefault="00D34A23">
            <w:pPr>
              <w:pBdr>
                <w:top w:val="nil"/>
                <w:left w:val="nil"/>
                <w:bottom w:val="nil"/>
                <w:right w:val="nil"/>
                <w:between w:val="nil"/>
              </w:pBdr>
              <w:cnfStyle w:val="000000000000" w:firstRow="0" w:lastRow="0" w:firstColumn="0" w:lastColumn="0" w:oddVBand="0" w:evenVBand="0" w:oddHBand="0" w:evenHBand="0" w:firstRowFirstColumn="0" w:firstRowLastColumn="0" w:lastRowFirstColumn="0" w:lastRowLastColumn="0"/>
              <w:rPr>
                <w:color w:val="000000"/>
              </w:rPr>
            </w:pPr>
            <w:r>
              <w:rPr>
                <w:color w:val="000000"/>
              </w:rPr>
              <w:t>Małgorzata Krakowian</w:t>
            </w:r>
          </w:p>
        </w:tc>
        <w:tc>
          <w:tcPr>
            <w:tcW w:w="1724" w:type="dxa"/>
          </w:tcPr>
          <w:p w14:paraId="1EFD1299" w14:textId="12ACF782" w:rsidR="009B4F68" w:rsidRPr="00307566" w:rsidRDefault="00D66FAE">
            <w:pPr>
              <w:pBdr>
                <w:top w:val="nil"/>
                <w:left w:val="nil"/>
                <w:bottom w:val="nil"/>
                <w:right w:val="nil"/>
                <w:between w:val="nil"/>
              </w:pBdr>
              <w:cnfStyle w:val="000000000000" w:firstRow="0" w:lastRow="0" w:firstColumn="0" w:lastColumn="0" w:oddVBand="0" w:evenVBand="0" w:oddHBand="0" w:evenHBand="0" w:firstRowFirstColumn="0" w:firstRowLastColumn="0" w:lastRowFirstColumn="0" w:lastRowLastColumn="0"/>
              <w:rPr>
                <w:color w:val="000000"/>
              </w:rPr>
            </w:pPr>
            <w:r>
              <w:rPr>
                <w:color w:val="000000"/>
              </w:rPr>
              <w:t>EGI Foundation</w:t>
            </w:r>
          </w:p>
        </w:tc>
        <w:tc>
          <w:tcPr>
            <w:tcW w:w="1508" w:type="dxa"/>
          </w:tcPr>
          <w:p w14:paraId="6DBF365F" w14:textId="77777777" w:rsidR="009B4F68" w:rsidRPr="00307566" w:rsidRDefault="009B4F68">
            <w:pPr>
              <w:pBdr>
                <w:top w:val="nil"/>
                <w:left w:val="nil"/>
                <w:bottom w:val="nil"/>
                <w:right w:val="nil"/>
                <w:between w:val="nil"/>
              </w:pBdr>
              <w:cnfStyle w:val="000000000000" w:firstRow="0" w:lastRow="0" w:firstColumn="0" w:lastColumn="0" w:oddVBand="0" w:evenVBand="0" w:oddHBand="0" w:evenHBand="0" w:firstRowFirstColumn="0" w:firstRowLastColumn="0" w:lastRowFirstColumn="0" w:lastRowLastColumn="0"/>
              <w:rPr>
                <w:color w:val="000000"/>
              </w:rPr>
            </w:pPr>
          </w:p>
        </w:tc>
      </w:tr>
      <w:tr w:rsidR="009B4F68" w:rsidRPr="00307566" w14:paraId="29267B46"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4" w:type="dxa"/>
          </w:tcPr>
          <w:p w14:paraId="1A70E438" w14:textId="77777777" w:rsidR="009B4F68" w:rsidRPr="00307566" w:rsidRDefault="00164E6E">
            <w:pPr>
              <w:pBdr>
                <w:top w:val="nil"/>
                <w:left w:val="nil"/>
                <w:bottom w:val="nil"/>
                <w:right w:val="nil"/>
                <w:between w:val="nil"/>
              </w:pBdr>
              <w:rPr>
                <w:color w:val="000000"/>
              </w:rPr>
            </w:pPr>
            <w:r w:rsidRPr="00307566">
              <w:rPr>
                <w:b w:val="0"/>
                <w:color w:val="000000"/>
              </w:rPr>
              <w:t>Reviewed by:</w:t>
            </w:r>
          </w:p>
        </w:tc>
        <w:tc>
          <w:tcPr>
            <w:tcW w:w="3705" w:type="dxa"/>
          </w:tcPr>
          <w:p w14:paraId="639BA4DB" w14:textId="77777777" w:rsidR="009B4F68" w:rsidRDefault="00D66FAE">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color w:val="000000"/>
              </w:rPr>
            </w:pPr>
            <w:r w:rsidRPr="00D66FAE">
              <w:rPr>
                <w:color w:val="000000"/>
              </w:rPr>
              <w:t>Pavel Weber</w:t>
            </w:r>
          </w:p>
          <w:p w14:paraId="77EFF961" w14:textId="6005C4A1" w:rsidR="00D66FAE" w:rsidRPr="00307566" w:rsidRDefault="00D66FAE">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color w:val="000000"/>
              </w:rPr>
            </w:pPr>
            <w:r w:rsidRPr="00D66FAE">
              <w:rPr>
                <w:color w:val="000000"/>
              </w:rPr>
              <w:t>Matthew Viljoen</w:t>
            </w:r>
          </w:p>
        </w:tc>
        <w:tc>
          <w:tcPr>
            <w:tcW w:w="1724" w:type="dxa"/>
          </w:tcPr>
          <w:p w14:paraId="35537730" w14:textId="77777777" w:rsidR="009B4F68" w:rsidRDefault="00D66FAE">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color w:val="000000"/>
              </w:rPr>
            </w:pPr>
            <w:r>
              <w:rPr>
                <w:color w:val="000000"/>
              </w:rPr>
              <w:t>KIT</w:t>
            </w:r>
          </w:p>
          <w:p w14:paraId="4C3EF18D" w14:textId="399215E1" w:rsidR="00D66FAE" w:rsidRPr="00307566" w:rsidRDefault="00D66FAE">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color w:val="000000"/>
              </w:rPr>
            </w:pPr>
            <w:r>
              <w:rPr>
                <w:color w:val="000000"/>
              </w:rPr>
              <w:t>EGI Foundation</w:t>
            </w:r>
          </w:p>
        </w:tc>
        <w:tc>
          <w:tcPr>
            <w:tcW w:w="1508" w:type="dxa"/>
          </w:tcPr>
          <w:p w14:paraId="25C59D0B" w14:textId="77777777" w:rsidR="009B4F68" w:rsidRPr="00307566" w:rsidRDefault="009B4F68">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color w:val="000000"/>
              </w:rPr>
            </w:pPr>
          </w:p>
        </w:tc>
      </w:tr>
      <w:tr w:rsidR="009B4F68" w:rsidRPr="00307566" w14:paraId="69AC7D0E" w14:textId="77777777">
        <w:tc>
          <w:tcPr>
            <w:cnfStyle w:val="001000000000" w:firstRow="0" w:lastRow="0" w:firstColumn="1" w:lastColumn="0" w:oddVBand="0" w:evenVBand="0" w:oddHBand="0" w:evenHBand="0" w:firstRowFirstColumn="0" w:firstRowLastColumn="0" w:lastRowFirstColumn="0" w:lastRowLastColumn="0"/>
            <w:tcW w:w="2094" w:type="dxa"/>
          </w:tcPr>
          <w:p w14:paraId="445402D2" w14:textId="77777777" w:rsidR="009B4F68" w:rsidRPr="00307566" w:rsidRDefault="00164E6E">
            <w:pPr>
              <w:pBdr>
                <w:top w:val="nil"/>
                <w:left w:val="nil"/>
                <w:bottom w:val="nil"/>
                <w:right w:val="nil"/>
                <w:between w:val="nil"/>
              </w:pBdr>
              <w:rPr>
                <w:color w:val="000000"/>
              </w:rPr>
            </w:pPr>
            <w:r w:rsidRPr="00307566">
              <w:rPr>
                <w:b w:val="0"/>
                <w:color w:val="000000"/>
              </w:rPr>
              <w:t>Approved by:</w:t>
            </w:r>
          </w:p>
        </w:tc>
        <w:tc>
          <w:tcPr>
            <w:tcW w:w="3705" w:type="dxa"/>
          </w:tcPr>
          <w:p w14:paraId="65FD1CAF" w14:textId="62786AF8" w:rsidR="009B4F68" w:rsidRPr="00307566" w:rsidRDefault="00D66FAE">
            <w:pPr>
              <w:pBdr>
                <w:top w:val="nil"/>
                <w:left w:val="nil"/>
                <w:bottom w:val="nil"/>
                <w:right w:val="nil"/>
                <w:between w:val="nil"/>
              </w:pBdr>
              <w:cnfStyle w:val="000000000000" w:firstRow="0" w:lastRow="0" w:firstColumn="0" w:lastColumn="0" w:oddVBand="0" w:evenVBand="0" w:oddHBand="0" w:evenHBand="0" w:firstRowFirstColumn="0" w:firstRowLastColumn="0" w:lastRowFirstColumn="0" w:lastRowLastColumn="0"/>
              <w:rPr>
                <w:color w:val="000000"/>
              </w:rPr>
            </w:pPr>
            <w:r>
              <w:rPr>
                <w:color w:val="000000"/>
              </w:rPr>
              <w:t>AMB</w:t>
            </w:r>
          </w:p>
        </w:tc>
        <w:tc>
          <w:tcPr>
            <w:tcW w:w="1724" w:type="dxa"/>
          </w:tcPr>
          <w:p w14:paraId="3A426314" w14:textId="77777777" w:rsidR="009B4F68" w:rsidRPr="00307566" w:rsidRDefault="009B4F68">
            <w:pPr>
              <w:pBdr>
                <w:top w:val="nil"/>
                <w:left w:val="nil"/>
                <w:bottom w:val="nil"/>
                <w:right w:val="nil"/>
                <w:between w:val="nil"/>
              </w:pBdr>
              <w:cnfStyle w:val="000000000000" w:firstRow="0" w:lastRow="0" w:firstColumn="0" w:lastColumn="0" w:oddVBand="0" w:evenVBand="0" w:oddHBand="0" w:evenHBand="0" w:firstRowFirstColumn="0" w:firstRowLastColumn="0" w:lastRowFirstColumn="0" w:lastRowLastColumn="0"/>
              <w:rPr>
                <w:color w:val="000000"/>
              </w:rPr>
            </w:pPr>
          </w:p>
        </w:tc>
        <w:tc>
          <w:tcPr>
            <w:tcW w:w="1508" w:type="dxa"/>
          </w:tcPr>
          <w:p w14:paraId="1FDFD99F" w14:textId="77777777" w:rsidR="009B4F68" w:rsidRPr="00307566" w:rsidRDefault="009B4F68">
            <w:pPr>
              <w:pBdr>
                <w:top w:val="nil"/>
                <w:left w:val="nil"/>
                <w:bottom w:val="nil"/>
                <w:right w:val="nil"/>
                <w:between w:val="nil"/>
              </w:pBdr>
              <w:cnfStyle w:val="000000000000" w:firstRow="0" w:lastRow="0" w:firstColumn="0" w:lastColumn="0" w:oddVBand="0" w:evenVBand="0" w:oddHBand="0" w:evenHBand="0" w:firstRowFirstColumn="0" w:firstRowLastColumn="0" w:lastRowFirstColumn="0" w:lastRowLastColumn="0"/>
              <w:rPr>
                <w:color w:val="000000"/>
              </w:rPr>
            </w:pPr>
          </w:p>
        </w:tc>
      </w:tr>
    </w:tbl>
    <w:p w14:paraId="19466931" w14:textId="77777777" w:rsidR="009B4F68" w:rsidRPr="00307566" w:rsidRDefault="009B4F68"/>
    <w:p w14:paraId="3D3E2DE1" w14:textId="77777777" w:rsidR="009B4F68" w:rsidRPr="00307566" w:rsidRDefault="00164E6E">
      <w:pPr>
        <w:rPr>
          <w:b/>
          <w:color w:val="1C3046"/>
        </w:rPr>
      </w:pPr>
      <w:r w:rsidRPr="00307566">
        <w:rPr>
          <w:b/>
          <w:color w:val="1C3046"/>
        </w:rPr>
        <w:t>DOCUMENT LOG</w:t>
      </w:r>
    </w:p>
    <w:tbl>
      <w:tblPr>
        <w:tblStyle w:val="a2"/>
        <w:tblW w:w="9016" w:type="dxa"/>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812"/>
        <w:gridCol w:w="1310"/>
        <w:gridCol w:w="5438"/>
        <w:gridCol w:w="1456"/>
      </w:tblGrid>
      <w:tr w:rsidR="009B4F68" w:rsidRPr="00307566" w14:paraId="05DC6DBC"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tcPr>
          <w:p w14:paraId="1572E99B" w14:textId="77777777" w:rsidR="009B4F68" w:rsidRPr="00307566" w:rsidRDefault="00164E6E">
            <w:pPr>
              <w:pBdr>
                <w:top w:val="nil"/>
                <w:left w:val="nil"/>
                <w:bottom w:val="nil"/>
                <w:right w:val="nil"/>
                <w:between w:val="nil"/>
              </w:pBdr>
              <w:rPr>
                <w:i/>
                <w:color w:val="000000"/>
              </w:rPr>
            </w:pPr>
            <w:r w:rsidRPr="00307566">
              <w:rPr>
                <w:b w:val="0"/>
                <w:i/>
                <w:color w:val="000000"/>
              </w:rPr>
              <w:t>Issue</w:t>
            </w:r>
          </w:p>
        </w:tc>
        <w:tc>
          <w:tcPr>
            <w:tcW w:w="1310" w:type="dxa"/>
          </w:tcPr>
          <w:p w14:paraId="7478A31E" w14:textId="77777777" w:rsidR="009B4F68" w:rsidRPr="00307566" w:rsidRDefault="00164E6E">
            <w:pPr>
              <w:pBdr>
                <w:top w:val="nil"/>
                <w:left w:val="nil"/>
                <w:bottom w:val="nil"/>
                <w:right w:val="nil"/>
                <w:between w:val="nil"/>
              </w:pBdr>
              <w:cnfStyle w:val="100000000000" w:firstRow="1" w:lastRow="0" w:firstColumn="0" w:lastColumn="0" w:oddVBand="0" w:evenVBand="0" w:oddHBand="0" w:evenHBand="0" w:firstRowFirstColumn="0" w:firstRowLastColumn="0" w:lastRowFirstColumn="0" w:lastRowLastColumn="0"/>
              <w:rPr>
                <w:i/>
                <w:color w:val="000000"/>
              </w:rPr>
            </w:pPr>
            <w:r w:rsidRPr="00307566">
              <w:rPr>
                <w:b w:val="0"/>
                <w:i/>
                <w:color w:val="000000"/>
              </w:rPr>
              <w:t>Date</w:t>
            </w:r>
          </w:p>
        </w:tc>
        <w:tc>
          <w:tcPr>
            <w:tcW w:w="5438" w:type="dxa"/>
          </w:tcPr>
          <w:p w14:paraId="53169E7F" w14:textId="77777777" w:rsidR="009B4F68" w:rsidRPr="00307566" w:rsidRDefault="00164E6E">
            <w:pPr>
              <w:pBdr>
                <w:top w:val="nil"/>
                <w:left w:val="nil"/>
                <w:bottom w:val="nil"/>
                <w:right w:val="nil"/>
                <w:between w:val="nil"/>
              </w:pBdr>
              <w:cnfStyle w:val="100000000000" w:firstRow="1" w:lastRow="0" w:firstColumn="0" w:lastColumn="0" w:oddVBand="0" w:evenVBand="0" w:oddHBand="0" w:evenHBand="0" w:firstRowFirstColumn="0" w:firstRowLastColumn="0" w:lastRowFirstColumn="0" w:lastRowLastColumn="0"/>
              <w:rPr>
                <w:i/>
                <w:color w:val="000000"/>
              </w:rPr>
            </w:pPr>
            <w:r w:rsidRPr="00307566">
              <w:rPr>
                <w:b w:val="0"/>
                <w:i/>
                <w:color w:val="000000"/>
              </w:rPr>
              <w:t>Comment</w:t>
            </w:r>
          </w:p>
        </w:tc>
        <w:tc>
          <w:tcPr>
            <w:tcW w:w="1456" w:type="dxa"/>
          </w:tcPr>
          <w:p w14:paraId="25CB5DDB" w14:textId="77777777" w:rsidR="009B4F68" w:rsidRPr="00307566" w:rsidRDefault="00164E6E">
            <w:pPr>
              <w:pBdr>
                <w:top w:val="nil"/>
                <w:left w:val="nil"/>
                <w:bottom w:val="nil"/>
                <w:right w:val="nil"/>
                <w:between w:val="nil"/>
              </w:pBdr>
              <w:cnfStyle w:val="100000000000" w:firstRow="1" w:lastRow="0" w:firstColumn="0" w:lastColumn="0" w:oddVBand="0" w:evenVBand="0" w:oddHBand="0" w:evenHBand="0" w:firstRowFirstColumn="0" w:firstRowLastColumn="0" w:lastRowFirstColumn="0" w:lastRowLastColumn="0"/>
              <w:rPr>
                <w:i/>
                <w:color w:val="000000"/>
              </w:rPr>
            </w:pPr>
            <w:r w:rsidRPr="00307566">
              <w:rPr>
                <w:b w:val="0"/>
                <w:i/>
                <w:color w:val="000000"/>
              </w:rPr>
              <w:t>Author</w:t>
            </w:r>
          </w:p>
        </w:tc>
      </w:tr>
      <w:tr w:rsidR="009B4F68" w:rsidRPr="00307566" w14:paraId="07B55CC4"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tcPr>
          <w:p w14:paraId="746A6A3C" w14:textId="77777777" w:rsidR="009B4F68" w:rsidRPr="00307566" w:rsidRDefault="00164E6E">
            <w:pPr>
              <w:pBdr>
                <w:top w:val="nil"/>
                <w:left w:val="nil"/>
                <w:bottom w:val="nil"/>
                <w:right w:val="nil"/>
                <w:between w:val="nil"/>
              </w:pBdr>
              <w:rPr>
                <w:color w:val="000000"/>
              </w:rPr>
            </w:pPr>
            <w:r w:rsidRPr="00307566">
              <w:rPr>
                <w:b w:val="0"/>
                <w:color w:val="000000"/>
              </w:rPr>
              <w:t>v. 0.1</w:t>
            </w:r>
          </w:p>
        </w:tc>
        <w:tc>
          <w:tcPr>
            <w:tcW w:w="1310" w:type="dxa"/>
          </w:tcPr>
          <w:p w14:paraId="317A6EB1" w14:textId="77777777" w:rsidR="009B4F68" w:rsidRPr="00307566" w:rsidRDefault="00164E6E">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color w:val="000000"/>
              </w:rPr>
            </w:pPr>
            <w:r w:rsidRPr="00307566">
              <w:t>24/06/2020</w:t>
            </w:r>
          </w:p>
        </w:tc>
        <w:tc>
          <w:tcPr>
            <w:tcW w:w="5438" w:type="dxa"/>
          </w:tcPr>
          <w:p w14:paraId="40F54F8C" w14:textId="77777777" w:rsidR="009B4F68" w:rsidRPr="00307566" w:rsidRDefault="00164E6E">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color w:val="000000"/>
              </w:rPr>
            </w:pPr>
            <w:r w:rsidRPr="00307566">
              <w:t>version ready for the review</w:t>
            </w:r>
          </w:p>
        </w:tc>
        <w:tc>
          <w:tcPr>
            <w:tcW w:w="1456" w:type="dxa"/>
          </w:tcPr>
          <w:p w14:paraId="1DF98022" w14:textId="77777777" w:rsidR="009B4F68" w:rsidRPr="00307566" w:rsidRDefault="00164E6E">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color w:val="000000"/>
              </w:rPr>
            </w:pPr>
            <w:r w:rsidRPr="00307566">
              <w:t>A.Paolini, C. Condurache, I.Bierenbaum</w:t>
            </w:r>
          </w:p>
        </w:tc>
      </w:tr>
      <w:tr w:rsidR="009B4F68" w:rsidRPr="00307566" w14:paraId="6C41E933" w14:textId="77777777">
        <w:tc>
          <w:tcPr>
            <w:cnfStyle w:val="001000000000" w:firstRow="0" w:lastRow="0" w:firstColumn="1" w:lastColumn="0" w:oddVBand="0" w:evenVBand="0" w:oddHBand="0" w:evenHBand="0" w:firstRowFirstColumn="0" w:firstRowLastColumn="0" w:lastRowFirstColumn="0" w:lastRowLastColumn="0"/>
            <w:tcW w:w="812" w:type="dxa"/>
          </w:tcPr>
          <w:p w14:paraId="53B47875" w14:textId="71FD1997" w:rsidR="009B4F68" w:rsidRPr="00307566" w:rsidRDefault="00307566">
            <w:pPr>
              <w:pBdr>
                <w:top w:val="nil"/>
                <w:left w:val="nil"/>
                <w:bottom w:val="nil"/>
                <w:right w:val="nil"/>
                <w:between w:val="nil"/>
              </w:pBdr>
              <w:rPr>
                <w:color w:val="000000"/>
              </w:rPr>
            </w:pPr>
            <w:r w:rsidRPr="00307566">
              <w:rPr>
                <w:b w:val="0"/>
                <w:color w:val="000000"/>
              </w:rPr>
              <w:t>v. 1</w:t>
            </w:r>
          </w:p>
        </w:tc>
        <w:tc>
          <w:tcPr>
            <w:tcW w:w="1310" w:type="dxa"/>
          </w:tcPr>
          <w:p w14:paraId="4D7E159E" w14:textId="22C71E19" w:rsidR="009B4F68" w:rsidRPr="00307566" w:rsidRDefault="00D66FAE">
            <w:pPr>
              <w:pBdr>
                <w:top w:val="nil"/>
                <w:left w:val="nil"/>
                <w:bottom w:val="nil"/>
                <w:right w:val="nil"/>
                <w:between w:val="nil"/>
              </w:pBdr>
              <w:cnfStyle w:val="000000000000" w:firstRow="0" w:lastRow="0" w:firstColumn="0" w:lastColumn="0" w:oddVBand="0" w:evenVBand="0" w:oddHBand="0" w:evenHBand="0" w:firstRowFirstColumn="0" w:firstRowLastColumn="0" w:lastRowFirstColumn="0" w:lastRowLastColumn="0"/>
              <w:rPr>
                <w:color w:val="000000"/>
              </w:rPr>
            </w:pPr>
            <w:r>
              <w:rPr>
                <w:color w:val="000000"/>
              </w:rPr>
              <w:t>29/07/2020</w:t>
            </w:r>
          </w:p>
        </w:tc>
        <w:tc>
          <w:tcPr>
            <w:tcW w:w="5438" w:type="dxa"/>
          </w:tcPr>
          <w:p w14:paraId="79102490" w14:textId="67BB8882" w:rsidR="009B4F68" w:rsidRPr="00307566" w:rsidRDefault="00307566">
            <w:pPr>
              <w:pBdr>
                <w:top w:val="nil"/>
                <w:left w:val="nil"/>
                <w:bottom w:val="nil"/>
                <w:right w:val="nil"/>
                <w:between w:val="nil"/>
              </w:pBdr>
              <w:cnfStyle w:val="000000000000" w:firstRow="0" w:lastRow="0" w:firstColumn="0" w:lastColumn="0" w:oddVBand="0" w:evenVBand="0" w:oddHBand="0" w:evenHBand="0" w:firstRowFirstColumn="0" w:firstRowLastColumn="0" w:lastRowFirstColumn="0" w:lastRowLastColumn="0"/>
              <w:rPr>
                <w:color w:val="000000"/>
              </w:rPr>
            </w:pPr>
            <w:r w:rsidRPr="00307566">
              <w:rPr>
                <w:color w:val="000000"/>
              </w:rPr>
              <w:t>Final after external review</w:t>
            </w:r>
          </w:p>
        </w:tc>
        <w:tc>
          <w:tcPr>
            <w:tcW w:w="1456" w:type="dxa"/>
          </w:tcPr>
          <w:p w14:paraId="7B57A42A" w14:textId="56372DC3" w:rsidR="009B4F68" w:rsidRPr="00307566" w:rsidRDefault="00307566">
            <w:pPr>
              <w:pBdr>
                <w:top w:val="nil"/>
                <w:left w:val="nil"/>
                <w:bottom w:val="nil"/>
                <w:right w:val="nil"/>
                <w:between w:val="nil"/>
              </w:pBdr>
              <w:cnfStyle w:val="000000000000" w:firstRow="0" w:lastRow="0" w:firstColumn="0" w:lastColumn="0" w:oddVBand="0" w:evenVBand="0" w:oddHBand="0" w:evenHBand="0" w:firstRowFirstColumn="0" w:firstRowLastColumn="0" w:lastRowFirstColumn="0" w:lastRowLastColumn="0"/>
              <w:rPr>
                <w:color w:val="000000"/>
              </w:rPr>
            </w:pPr>
            <w:r w:rsidRPr="00307566">
              <w:t>A.Paolini, C. Condurache, I.Bierenbaum</w:t>
            </w:r>
          </w:p>
        </w:tc>
      </w:tr>
    </w:tbl>
    <w:p w14:paraId="423D7222" w14:textId="77777777" w:rsidR="009B4F68" w:rsidRPr="00307566" w:rsidRDefault="009B4F68"/>
    <w:p w14:paraId="4A50524D" w14:textId="77777777" w:rsidR="009B4F68" w:rsidRPr="00307566" w:rsidRDefault="00164E6E">
      <w:pPr>
        <w:rPr>
          <w:b/>
          <w:color w:val="1C3046"/>
        </w:rPr>
      </w:pPr>
      <w:r w:rsidRPr="00307566">
        <w:rPr>
          <w:b/>
          <w:color w:val="1C3046"/>
        </w:rPr>
        <w:t>TERMINOLOGY</w:t>
      </w:r>
    </w:p>
    <w:p w14:paraId="0672268C" w14:textId="77777777" w:rsidR="009B4F68" w:rsidRPr="00307566" w:rsidRDefault="006C3A5A">
      <w:pPr>
        <w:rPr>
          <w:b/>
          <w:color w:val="1C3046"/>
        </w:rPr>
      </w:pPr>
      <w:hyperlink r:id="rId12">
        <w:r w:rsidR="00164E6E" w:rsidRPr="00307566">
          <w:rPr>
            <w:color w:val="0000FF"/>
            <w:u w:val="single"/>
          </w:rPr>
          <w:t>https://wiki.eosc-hub.eu/display/EOSC/EOSC-hub+Glossary</w:t>
        </w:r>
      </w:hyperlink>
    </w:p>
    <w:tbl>
      <w:tblPr>
        <w:tblStyle w:val="a3"/>
        <w:tblW w:w="9242" w:type="dxa"/>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2466"/>
        <w:gridCol w:w="6776"/>
      </w:tblGrid>
      <w:tr w:rsidR="009B4F68" w:rsidRPr="00307566" w14:paraId="6CB83CFE"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66" w:type="dxa"/>
          </w:tcPr>
          <w:p w14:paraId="643D82C7" w14:textId="77777777" w:rsidR="009B4F68" w:rsidRPr="00307566" w:rsidRDefault="00164E6E">
            <w:pPr>
              <w:pBdr>
                <w:top w:val="nil"/>
                <w:left w:val="nil"/>
                <w:bottom w:val="nil"/>
                <w:right w:val="nil"/>
                <w:between w:val="nil"/>
              </w:pBdr>
              <w:rPr>
                <w:i/>
                <w:color w:val="000000"/>
              </w:rPr>
            </w:pPr>
            <w:r w:rsidRPr="00307566">
              <w:rPr>
                <w:b w:val="0"/>
                <w:i/>
                <w:color w:val="000000"/>
              </w:rPr>
              <w:t>Terminology/Acronym</w:t>
            </w:r>
          </w:p>
        </w:tc>
        <w:tc>
          <w:tcPr>
            <w:tcW w:w="6776" w:type="dxa"/>
          </w:tcPr>
          <w:p w14:paraId="26CEF5CB" w14:textId="77777777" w:rsidR="009B4F68" w:rsidRPr="00307566" w:rsidRDefault="00164E6E">
            <w:pPr>
              <w:pBdr>
                <w:top w:val="nil"/>
                <w:left w:val="nil"/>
                <w:bottom w:val="nil"/>
                <w:right w:val="nil"/>
                <w:between w:val="nil"/>
              </w:pBdr>
              <w:cnfStyle w:val="100000000000" w:firstRow="1" w:lastRow="0" w:firstColumn="0" w:lastColumn="0" w:oddVBand="0" w:evenVBand="0" w:oddHBand="0" w:evenHBand="0" w:firstRowFirstColumn="0" w:firstRowLastColumn="0" w:lastRowFirstColumn="0" w:lastRowLastColumn="0"/>
              <w:rPr>
                <w:i/>
                <w:color w:val="000000"/>
              </w:rPr>
            </w:pPr>
            <w:r w:rsidRPr="00307566">
              <w:rPr>
                <w:b w:val="0"/>
                <w:i/>
                <w:color w:val="000000"/>
              </w:rPr>
              <w:t>Definition</w:t>
            </w:r>
          </w:p>
        </w:tc>
      </w:tr>
      <w:tr w:rsidR="009B4F68" w:rsidRPr="00307566" w14:paraId="7C6B7263" w14:textId="77777777" w:rsidTr="009B4F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66" w:type="dxa"/>
            <w:tcBorders>
              <w:top w:val="single" w:sz="8" w:space="0" w:color="BFBFBF"/>
              <w:left w:val="single" w:sz="8" w:space="0" w:color="BFBFBF"/>
              <w:bottom w:val="single" w:sz="8" w:space="0" w:color="BFBFBF"/>
              <w:right w:val="single" w:sz="8" w:space="0" w:color="BFBFBF"/>
            </w:tcBorders>
            <w:tcMar>
              <w:top w:w="100" w:type="dxa"/>
              <w:left w:w="100" w:type="dxa"/>
              <w:bottom w:w="100" w:type="dxa"/>
              <w:right w:w="100" w:type="dxa"/>
            </w:tcMar>
          </w:tcPr>
          <w:p w14:paraId="7308CAB7" w14:textId="77777777" w:rsidR="009B4F68" w:rsidRPr="00307566" w:rsidRDefault="00164E6E" w:rsidP="00D66FAE">
            <w:pPr>
              <w:rPr>
                <w:sz w:val="20"/>
                <w:szCs w:val="20"/>
              </w:rPr>
            </w:pPr>
            <w:r w:rsidRPr="00307566">
              <w:rPr>
                <w:sz w:val="20"/>
                <w:szCs w:val="20"/>
              </w:rPr>
              <w:t>AAI</w:t>
            </w:r>
          </w:p>
        </w:tc>
        <w:tc>
          <w:tcPr>
            <w:tcW w:w="6776" w:type="dxa"/>
            <w:tcBorders>
              <w:top w:val="single" w:sz="8" w:space="0" w:color="BFBFBF"/>
              <w:left w:val="nil"/>
              <w:bottom w:val="single" w:sz="8" w:space="0" w:color="BFBFBF"/>
              <w:right w:val="single" w:sz="8" w:space="0" w:color="BFBFBF"/>
            </w:tcBorders>
            <w:tcMar>
              <w:top w:w="100" w:type="dxa"/>
              <w:left w:w="100" w:type="dxa"/>
              <w:bottom w:w="100" w:type="dxa"/>
              <w:right w:w="100" w:type="dxa"/>
            </w:tcMar>
          </w:tcPr>
          <w:p w14:paraId="3355C4CB" w14:textId="77777777" w:rsidR="009B4F68" w:rsidRPr="00307566" w:rsidRDefault="00164E6E" w:rsidP="00D66FAE">
            <w:pPr>
              <w:cnfStyle w:val="000000100000" w:firstRow="0" w:lastRow="0" w:firstColumn="0" w:lastColumn="0" w:oddVBand="0" w:evenVBand="0" w:oddHBand="1" w:evenHBand="0" w:firstRowFirstColumn="0" w:firstRowLastColumn="0" w:lastRowFirstColumn="0" w:lastRowLastColumn="0"/>
              <w:rPr>
                <w:sz w:val="20"/>
                <w:szCs w:val="20"/>
              </w:rPr>
            </w:pPr>
            <w:r w:rsidRPr="00307566">
              <w:rPr>
                <w:sz w:val="20"/>
                <w:szCs w:val="20"/>
              </w:rPr>
              <w:t>Authorization and Authentication Infrastructure</w:t>
            </w:r>
          </w:p>
        </w:tc>
      </w:tr>
      <w:tr w:rsidR="009B4F68" w:rsidRPr="00307566" w14:paraId="3D4D77CE" w14:textId="77777777" w:rsidTr="009B4F68">
        <w:tc>
          <w:tcPr>
            <w:cnfStyle w:val="001000000000" w:firstRow="0" w:lastRow="0" w:firstColumn="1" w:lastColumn="0" w:oddVBand="0" w:evenVBand="0" w:oddHBand="0" w:evenHBand="0" w:firstRowFirstColumn="0" w:firstRowLastColumn="0" w:lastRowFirstColumn="0" w:lastRowLastColumn="0"/>
            <w:tcW w:w="2466" w:type="dxa"/>
            <w:tcBorders>
              <w:top w:val="nil"/>
              <w:left w:val="single" w:sz="8" w:space="0" w:color="BFBFBF"/>
              <w:bottom w:val="single" w:sz="8" w:space="0" w:color="BFBFBF"/>
              <w:right w:val="single" w:sz="8" w:space="0" w:color="BFBFBF"/>
            </w:tcBorders>
            <w:shd w:val="clear" w:color="auto" w:fill="FFFFFF"/>
            <w:tcMar>
              <w:top w:w="100" w:type="dxa"/>
              <w:left w:w="100" w:type="dxa"/>
              <w:bottom w:w="100" w:type="dxa"/>
              <w:right w:w="100" w:type="dxa"/>
            </w:tcMar>
          </w:tcPr>
          <w:p w14:paraId="41104D94" w14:textId="77777777" w:rsidR="009B4F68" w:rsidRPr="00307566" w:rsidRDefault="00164E6E" w:rsidP="00D66FAE">
            <w:pPr>
              <w:rPr>
                <w:sz w:val="20"/>
                <w:szCs w:val="20"/>
              </w:rPr>
            </w:pPr>
            <w:r w:rsidRPr="00307566">
              <w:rPr>
                <w:sz w:val="20"/>
                <w:szCs w:val="20"/>
              </w:rPr>
              <w:t>CAPM</w:t>
            </w:r>
          </w:p>
        </w:tc>
        <w:tc>
          <w:tcPr>
            <w:tcW w:w="6776" w:type="dxa"/>
            <w:tcBorders>
              <w:top w:val="nil"/>
              <w:left w:val="nil"/>
              <w:bottom w:val="single" w:sz="8" w:space="0" w:color="BFBFBF"/>
              <w:right w:val="single" w:sz="8" w:space="0" w:color="BFBFBF"/>
            </w:tcBorders>
            <w:shd w:val="clear" w:color="auto" w:fill="FFFFFF"/>
            <w:tcMar>
              <w:top w:w="100" w:type="dxa"/>
              <w:left w:w="100" w:type="dxa"/>
              <w:bottom w:w="100" w:type="dxa"/>
              <w:right w:w="100" w:type="dxa"/>
            </w:tcMar>
          </w:tcPr>
          <w:p w14:paraId="297D0C4C" w14:textId="77777777" w:rsidR="009B4F68" w:rsidRPr="00307566" w:rsidRDefault="00164E6E" w:rsidP="00D66FAE">
            <w:pPr>
              <w:cnfStyle w:val="000000000000" w:firstRow="0" w:lastRow="0" w:firstColumn="0" w:lastColumn="0" w:oddVBand="0" w:evenVBand="0" w:oddHBand="0" w:evenHBand="0" w:firstRowFirstColumn="0" w:firstRowLastColumn="0" w:lastRowFirstColumn="0" w:lastRowLastColumn="0"/>
              <w:rPr>
                <w:sz w:val="20"/>
                <w:szCs w:val="20"/>
              </w:rPr>
            </w:pPr>
            <w:r w:rsidRPr="00307566">
              <w:rPr>
                <w:sz w:val="20"/>
                <w:szCs w:val="20"/>
              </w:rPr>
              <w:t>Capacity Management</w:t>
            </w:r>
          </w:p>
        </w:tc>
      </w:tr>
      <w:tr w:rsidR="009B4F68" w:rsidRPr="00307566" w14:paraId="3D8367CE" w14:textId="77777777" w:rsidTr="009B4F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66" w:type="dxa"/>
            <w:tcBorders>
              <w:top w:val="nil"/>
              <w:left w:val="single" w:sz="8" w:space="0" w:color="BFBFBF"/>
              <w:bottom w:val="single" w:sz="8" w:space="0" w:color="BFBFBF"/>
              <w:right w:val="single" w:sz="8" w:space="0" w:color="BFBFBF"/>
            </w:tcBorders>
            <w:tcMar>
              <w:top w:w="100" w:type="dxa"/>
              <w:left w:w="100" w:type="dxa"/>
              <w:bottom w:w="100" w:type="dxa"/>
              <w:right w:w="100" w:type="dxa"/>
            </w:tcMar>
          </w:tcPr>
          <w:p w14:paraId="5FF9FC84" w14:textId="77777777" w:rsidR="009B4F68" w:rsidRPr="00307566" w:rsidRDefault="00164E6E" w:rsidP="00D66FAE">
            <w:pPr>
              <w:rPr>
                <w:sz w:val="20"/>
                <w:szCs w:val="20"/>
              </w:rPr>
            </w:pPr>
            <w:r w:rsidRPr="00307566">
              <w:rPr>
                <w:sz w:val="20"/>
                <w:szCs w:val="20"/>
              </w:rPr>
              <w:t>CMDB</w:t>
            </w:r>
          </w:p>
        </w:tc>
        <w:tc>
          <w:tcPr>
            <w:tcW w:w="6776" w:type="dxa"/>
            <w:tcBorders>
              <w:top w:val="nil"/>
              <w:left w:val="nil"/>
              <w:bottom w:val="single" w:sz="8" w:space="0" w:color="BFBFBF"/>
              <w:right w:val="single" w:sz="8" w:space="0" w:color="BFBFBF"/>
            </w:tcBorders>
            <w:tcMar>
              <w:top w:w="100" w:type="dxa"/>
              <w:left w:w="100" w:type="dxa"/>
              <w:bottom w:w="100" w:type="dxa"/>
              <w:right w:w="100" w:type="dxa"/>
            </w:tcMar>
          </w:tcPr>
          <w:p w14:paraId="14593643" w14:textId="77777777" w:rsidR="009B4F68" w:rsidRPr="00307566" w:rsidRDefault="00164E6E" w:rsidP="00D66FAE">
            <w:pPr>
              <w:cnfStyle w:val="000000100000" w:firstRow="0" w:lastRow="0" w:firstColumn="0" w:lastColumn="0" w:oddVBand="0" w:evenVBand="0" w:oddHBand="1" w:evenHBand="0" w:firstRowFirstColumn="0" w:firstRowLastColumn="0" w:lastRowFirstColumn="0" w:lastRowLastColumn="0"/>
              <w:rPr>
                <w:sz w:val="20"/>
                <w:szCs w:val="20"/>
              </w:rPr>
            </w:pPr>
            <w:r w:rsidRPr="00307566">
              <w:rPr>
                <w:sz w:val="20"/>
                <w:szCs w:val="20"/>
              </w:rPr>
              <w:t>Configuration Management Database</w:t>
            </w:r>
          </w:p>
        </w:tc>
      </w:tr>
      <w:tr w:rsidR="009B4F68" w:rsidRPr="00307566" w14:paraId="326E6F33" w14:textId="77777777" w:rsidTr="009B4F68">
        <w:tc>
          <w:tcPr>
            <w:cnfStyle w:val="001000000000" w:firstRow="0" w:lastRow="0" w:firstColumn="1" w:lastColumn="0" w:oddVBand="0" w:evenVBand="0" w:oddHBand="0" w:evenHBand="0" w:firstRowFirstColumn="0" w:firstRowLastColumn="0" w:lastRowFirstColumn="0" w:lastRowLastColumn="0"/>
            <w:tcW w:w="2466" w:type="dxa"/>
            <w:tcBorders>
              <w:top w:val="nil"/>
              <w:left w:val="single" w:sz="8" w:space="0" w:color="BFBFBF"/>
              <w:bottom w:val="single" w:sz="8" w:space="0" w:color="BFBFBF"/>
              <w:right w:val="single" w:sz="8" w:space="0" w:color="BFBFBF"/>
            </w:tcBorders>
            <w:shd w:val="clear" w:color="auto" w:fill="FFFFFF"/>
            <w:tcMar>
              <w:top w:w="100" w:type="dxa"/>
              <w:left w:w="100" w:type="dxa"/>
              <w:bottom w:w="100" w:type="dxa"/>
              <w:right w:w="100" w:type="dxa"/>
            </w:tcMar>
          </w:tcPr>
          <w:p w14:paraId="75321DE7" w14:textId="77777777" w:rsidR="009B4F68" w:rsidRPr="00307566" w:rsidRDefault="00164E6E" w:rsidP="00D66FAE">
            <w:pPr>
              <w:rPr>
                <w:sz w:val="20"/>
                <w:szCs w:val="20"/>
              </w:rPr>
            </w:pPr>
            <w:r w:rsidRPr="00307566">
              <w:rPr>
                <w:sz w:val="20"/>
                <w:szCs w:val="20"/>
              </w:rPr>
              <w:t>DPMT</w:t>
            </w:r>
          </w:p>
        </w:tc>
        <w:tc>
          <w:tcPr>
            <w:tcW w:w="6776" w:type="dxa"/>
            <w:tcBorders>
              <w:top w:val="nil"/>
              <w:left w:val="nil"/>
              <w:bottom w:val="single" w:sz="8" w:space="0" w:color="BFBFBF"/>
              <w:right w:val="single" w:sz="8" w:space="0" w:color="BFBFBF"/>
            </w:tcBorders>
            <w:shd w:val="clear" w:color="auto" w:fill="FFFFFF"/>
            <w:tcMar>
              <w:top w:w="100" w:type="dxa"/>
              <w:left w:w="100" w:type="dxa"/>
              <w:bottom w:w="100" w:type="dxa"/>
              <w:right w:w="100" w:type="dxa"/>
            </w:tcMar>
          </w:tcPr>
          <w:p w14:paraId="1EB21F7B" w14:textId="77777777" w:rsidR="009B4F68" w:rsidRPr="00307566" w:rsidRDefault="00164E6E" w:rsidP="00D66FAE">
            <w:pPr>
              <w:cnfStyle w:val="000000000000" w:firstRow="0" w:lastRow="0" w:firstColumn="0" w:lastColumn="0" w:oddVBand="0" w:evenVBand="0" w:oddHBand="0" w:evenHBand="0" w:firstRowFirstColumn="0" w:firstRowLastColumn="0" w:lastRowFirstColumn="0" w:lastRowLastColumn="0"/>
              <w:rPr>
                <w:sz w:val="20"/>
                <w:szCs w:val="20"/>
              </w:rPr>
            </w:pPr>
            <w:r w:rsidRPr="00307566">
              <w:rPr>
                <w:sz w:val="20"/>
                <w:szCs w:val="20"/>
              </w:rPr>
              <w:t>Data Project Management Tool</w:t>
            </w:r>
          </w:p>
        </w:tc>
      </w:tr>
      <w:tr w:rsidR="009B4F68" w:rsidRPr="00307566" w14:paraId="181A3893" w14:textId="77777777" w:rsidTr="009B4F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66" w:type="dxa"/>
            <w:tcBorders>
              <w:top w:val="nil"/>
              <w:left w:val="single" w:sz="8" w:space="0" w:color="BFBFBF"/>
              <w:bottom w:val="single" w:sz="8" w:space="0" w:color="BFBFBF"/>
              <w:right w:val="single" w:sz="8" w:space="0" w:color="BFBFBF"/>
            </w:tcBorders>
            <w:shd w:val="clear" w:color="auto" w:fill="EFEFEF"/>
            <w:tcMar>
              <w:top w:w="100" w:type="dxa"/>
              <w:left w:w="100" w:type="dxa"/>
              <w:bottom w:w="100" w:type="dxa"/>
              <w:right w:w="100" w:type="dxa"/>
            </w:tcMar>
          </w:tcPr>
          <w:p w14:paraId="51ACD63C" w14:textId="77777777" w:rsidR="009B4F68" w:rsidRPr="00307566" w:rsidRDefault="00164E6E" w:rsidP="00D66FAE">
            <w:pPr>
              <w:rPr>
                <w:sz w:val="20"/>
                <w:szCs w:val="20"/>
              </w:rPr>
            </w:pPr>
            <w:r w:rsidRPr="00307566">
              <w:rPr>
                <w:sz w:val="20"/>
                <w:szCs w:val="20"/>
              </w:rPr>
              <w:t>EOSC</w:t>
            </w:r>
          </w:p>
        </w:tc>
        <w:tc>
          <w:tcPr>
            <w:tcW w:w="6776" w:type="dxa"/>
            <w:tcBorders>
              <w:top w:val="nil"/>
              <w:left w:val="nil"/>
              <w:bottom w:val="single" w:sz="8" w:space="0" w:color="BFBFBF"/>
              <w:right w:val="single" w:sz="8" w:space="0" w:color="BFBFBF"/>
            </w:tcBorders>
            <w:shd w:val="clear" w:color="auto" w:fill="EFEFEF"/>
            <w:tcMar>
              <w:top w:w="100" w:type="dxa"/>
              <w:left w:w="100" w:type="dxa"/>
              <w:bottom w:w="100" w:type="dxa"/>
              <w:right w:w="100" w:type="dxa"/>
            </w:tcMar>
          </w:tcPr>
          <w:p w14:paraId="6EA3AC69" w14:textId="77777777" w:rsidR="009B4F68" w:rsidRPr="00307566" w:rsidRDefault="00164E6E" w:rsidP="00D66FAE">
            <w:pPr>
              <w:cnfStyle w:val="000000100000" w:firstRow="0" w:lastRow="0" w:firstColumn="0" w:lastColumn="0" w:oddVBand="0" w:evenVBand="0" w:oddHBand="1" w:evenHBand="0" w:firstRowFirstColumn="0" w:firstRowLastColumn="0" w:lastRowFirstColumn="0" w:lastRowLastColumn="0"/>
              <w:rPr>
                <w:sz w:val="20"/>
                <w:szCs w:val="20"/>
              </w:rPr>
            </w:pPr>
            <w:r w:rsidRPr="00307566">
              <w:rPr>
                <w:sz w:val="20"/>
                <w:szCs w:val="20"/>
              </w:rPr>
              <w:t>European Open Science Cloud</w:t>
            </w:r>
          </w:p>
        </w:tc>
      </w:tr>
      <w:tr w:rsidR="009B4F68" w:rsidRPr="00307566" w14:paraId="4E82A1BA" w14:textId="77777777" w:rsidTr="009B4F68">
        <w:tc>
          <w:tcPr>
            <w:cnfStyle w:val="001000000000" w:firstRow="0" w:lastRow="0" w:firstColumn="1" w:lastColumn="0" w:oddVBand="0" w:evenVBand="0" w:oddHBand="0" w:evenHBand="0" w:firstRowFirstColumn="0" w:firstRowLastColumn="0" w:lastRowFirstColumn="0" w:lastRowLastColumn="0"/>
            <w:tcW w:w="2466" w:type="dxa"/>
            <w:tcBorders>
              <w:top w:val="nil"/>
              <w:left w:val="single" w:sz="8" w:space="0" w:color="BFBFBF"/>
              <w:bottom w:val="single" w:sz="8" w:space="0" w:color="BFBFBF"/>
              <w:right w:val="single" w:sz="8" w:space="0" w:color="BFBFBF"/>
            </w:tcBorders>
            <w:shd w:val="clear" w:color="auto" w:fill="FFFFFF"/>
            <w:tcMar>
              <w:top w:w="100" w:type="dxa"/>
              <w:left w:w="100" w:type="dxa"/>
              <w:bottom w:w="100" w:type="dxa"/>
              <w:right w:w="100" w:type="dxa"/>
            </w:tcMar>
          </w:tcPr>
          <w:p w14:paraId="40F91FC4" w14:textId="77777777" w:rsidR="009B4F68" w:rsidRPr="00307566" w:rsidRDefault="00164E6E" w:rsidP="00D66FAE">
            <w:pPr>
              <w:rPr>
                <w:sz w:val="20"/>
                <w:szCs w:val="20"/>
              </w:rPr>
            </w:pPr>
            <w:r w:rsidRPr="00307566">
              <w:rPr>
                <w:sz w:val="20"/>
                <w:szCs w:val="20"/>
              </w:rPr>
              <w:t>FitSM</w:t>
            </w:r>
          </w:p>
        </w:tc>
        <w:tc>
          <w:tcPr>
            <w:tcW w:w="6776" w:type="dxa"/>
            <w:tcBorders>
              <w:top w:val="nil"/>
              <w:left w:val="nil"/>
              <w:bottom w:val="single" w:sz="8" w:space="0" w:color="BFBFBF"/>
              <w:right w:val="single" w:sz="8" w:space="0" w:color="BFBFBF"/>
            </w:tcBorders>
            <w:shd w:val="clear" w:color="auto" w:fill="FFFFFF"/>
            <w:tcMar>
              <w:top w:w="100" w:type="dxa"/>
              <w:left w:w="100" w:type="dxa"/>
              <w:bottom w:w="100" w:type="dxa"/>
              <w:right w:w="100" w:type="dxa"/>
            </w:tcMar>
          </w:tcPr>
          <w:p w14:paraId="30447D2B" w14:textId="77777777" w:rsidR="009B4F68" w:rsidRPr="00307566" w:rsidRDefault="00164E6E" w:rsidP="00D66FAE">
            <w:pPr>
              <w:cnfStyle w:val="000000000000" w:firstRow="0" w:lastRow="0" w:firstColumn="0" w:lastColumn="0" w:oddVBand="0" w:evenVBand="0" w:oddHBand="0" w:evenHBand="0" w:firstRowFirstColumn="0" w:firstRowLastColumn="0" w:lastRowFirstColumn="0" w:lastRowLastColumn="0"/>
              <w:rPr>
                <w:sz w:val="20"/>
                <w:szCs w:val="20"/>
              </w:rPr>
            </w:pPr>
            <w:r w:rsidRPr="00307566">
              <w:rPr>
                <w:sz w:val="20"/>
                <w:szCs w:val="20"/>
              </w:rPr>
              <w:t>Free standards for lightweight IT Service Management</w:t>
            </w:r>
          </w:p>
        </w:tc>
      </w:tr>
      <w:tr w:rsidR="009B4F68" w:rsidRPr="00307566" w14:paraId="08729F38" w14:textId="77777777" w:rsidTr="009B4F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66" w:type="dxa"/>
            <w:tcBorders>
              <w:top w:val="nil"/>
              <w:left w:val="single" w:sz="8" w:space="0" w:color="BFBFBF"/>
              <w:bottom w:val="single" w:sz="8" w:space="0" w:color="BFBFBF"/>
              <w:right w:val="single" w:sz="8" w:space="0" w:color="BFBFBF"/>
            </w:tcBorders>
            <w:shd w:val="clear" w:color="auto" w:fill="FFFFFF"/>
            <w:tcMar>
              <w:top w:w="100" w:type="dxa"/>
              <w:left w:w="100" w:type="dxa"/>
              <w:bottom w:w="100" w:type="dxa"/>
              <w:right w:w="100" w:type="dxa"/>
            </w:tcMar>
          </w:tcPr>
          <w:p w14:paraId="048344E0" w14:textId="77777777" w:rsidR="009B4F68" w:rsidRPr="00307566" w:rsidRDefault="00164E6E" w:rsidP="00D66FAE">
            <w:pPr>
              <w:rPr>
                <w:sz w:val="20"/>
                <w:szCs w:val="20"/>
              </w:rPr>
            </w:pPr>
            <w:r w:rsidRPr="00307566">
              <w:rPr>
                <w:sz w:val="20"/>
                <w:szCs w:val="20"/>
              </w:rPr>
              <w:t>GGUS</w:t>
            </w:r>
          </w:p>
        </w:tc>
        <w:tc>
          <w:tcPr>
            <w:tcW w:w="6776" w:type="dxa"/>
            <w:tcBorders>
              <w:top w:val="nil"/>
              <w:left w:val="nil"/>
              <w:bottom w:val="single" w:sz="8" w:space="0" w:color="BFBFBF"/>
              <w:right w:val="single" w:sz="8" w:space="0" w:color="BFBFBF"/>
            </w:tcBorders>
            <w:shd w:val="clear" w:color="auto" w:fill="FFFFFF"/>
            <w:tcMar>
              <w:top w:w="100" w:type="dxa"/>
              <w:left w:w="100" w:type="dxa"/>
              <w:bottom w:w="100" w:type="dxa"/>
              <w:right w:w="100" w:type="dxa"/>
            </w:tcMar>
          </w:tcPr>
          <w:p w14:paraId="3AF5F2DB" w14:textId="77777777" w:rsidR="009B4F68" w:rsidRPr="00307566" w:rsidRDefault="00164E6E" w:rsidP="00D66FAE">
            <w:pPr>
              <w:cnfStyle w:val="000000100000" w:firstRow="0" w:lastRow="0" w:firstColumn="0" w:lastColumn="0" w:oddVBand="0" w:evenVBand="0" w:oddHBand="1" w:evenHBand="0" w:firstRowFirstColumn="0" w:firstRowLastColumn="0" w:lastRowFirstColumn="0" w:lastRowLastColumn="0"/>
              <w:rPr>
                <w:sz w:val="20"/>
                <w:szCs w:val="20"/>
              </w:rPr>
            </w:pPr>
            <w:r w:rsidRPr="00307566">
              <w:rPr>
                <w:sz w:val="20"/>
                <w:szCs w:val="20"/>
              </w:rPr>
              <w:t>Global Grid User Support</w:t>
            </w:r>
          </w:p>
        </w:tc>
      </w:tr>
      <w:tr w:rsidR="009B4F68" w:rsidRPr="00307566" w14:paraId="2040E128" w14:textId="77777777" w:rsidTr="009B4F68">
        <w:tc>
          <w:tcPr>
            <w:cnfStyle w:val="001000000000" w:firstRow="0" w:lastRow="0" w:firstColumn="1" w:lastColumn="0" w:oddVBand="0" w:evenVBand="0" w:oddHBand="0" w:evenHBand="0" w:firstRowFirstColumn="0" w:firstRowLastColumn="0" w:lastRowFirstColumn="0" w:lastRowLastColumn="0"/>
            <w:tcW w:w="2466" w:type="dxa"/>
            <w:tcBorders>
              <w:top w:val="nil"/>
              <w:left w:val="single" w:sz="8" w:space="0" w:color="BFBFBF"/>
              <w:bottom w:val="single" w:sz="8" w:space="0" w:color="BFBFBF"/>
              <w:right w:val="single" w:sz="8" w:space="0" w:color="BFBFBF"/>
            </w:tcBorders>
            <w:shd w:val="clear" w:color="auto" w:fill="EFEFEF"/>
            <w:tcMar>
              <w:top w:w="100" w:type="dxa"/>
              <w:left w:w="100" w:type="dxa"/>
              <w:bottom w:w="100" w:type="dxa"/>
              <w:right w:w="100" w:type="dxa"/>
            </w:tcMar>
          </w:tcPr>
          <w:p w14:paraId="3052CAC9" w14:textId="77777777" w:rsidR="009B4F68" w:rsidRPr="00307566" w:rsidRDefault="00164E6E" w:rsidP="00D66FAE">
            <w:pPr>
              <w:rPr>
                <w:sz w:val="20"/>
                <w:szCs w:val="20"/>
              </w:rPr>
            </w:pPr>
            <w:r w:rsidRPr="00307566">
              <w:rPr>
                <w:sz w:val="20"/>
                <w:szCs w:val="20"/>
              </w:rPr>
              <w:t>GOCDB</w:t>
            </w:r>
          </w:p>
        </w:tc>
        <w:tc>
          <w:tcPr>
            <w:tcW w:w="6776" w:type="dxa"/>
            <w:tcBorders>
              <w:top w:val="nil"/>
              <w:left w:val="nil"/>
              <w:bottom w:val="single" w:sz="8" w:space="0" w:color="BFBFBF"/>
              <w:right w:val="single" w:sz="8" w:space="0" w:color="BFBFBF"/>
            </w:tcBorders>
            <w:shd w:val="clear" w:color="auto" w:fill="EFEFEF"/>
            <w:tcMar>
              <w:top w:w="100" w:type="dxa"/>
              <w:left w:w="100" w:type="dxa"/>
              <w:bottom w:w="100" w:type="dxa"/>
              <w:right w:w="100" w:type="dxa"/>
            </w:tcMar>
          </w:tcPr>
          <w:p w14:paraId="733A57A2" w14:textId="77777777" w:rsidR="009B4F68" w:rsidRPr="00307566" w:rsidRDefault="00164E6E" w:rsidP="00D66FAE">
            <w:pPr>
              <w:cnfStyle w:val="000000000000" w:firstRow="0" w:lastRow="0" w:firstColumn="0" w:lastColumn="0" w:oddVBand="0" w:evenVBand="0" w:oddHBand="0" w:evenHBand="0" w:firstRowFirstColumn="0" w:firstRowLastColumn="0" w:lastRowFirstColumn="0" w:lastRowLastColumn="0"/>
              <w:rPr>
                <w:sz w:val="20"/>
                <w:szCs w:val="20"/>
              </w:rPr>
            </w:pPr>
            <w:r w:rsidRPr="00307566">
              <w:rPr>
                <w:sz w:val="20"/>
                <w:szCs w:val="20"/>
              </w:rPr>
              <w:t>Grid Operations Configuration Management Database</w:t>
            </w:r>
          </w:p>
        </w:tc>
      </w:tr>
      <w:tr w:rsidR="009B4F68" w:rsidRPr="00307566" w14:paraId="68493D7B" w14:textId="77777777" w:rsidTr="009B4F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66" w:type="dxa"/>
            <w:tcBorders>
              <w:top w:val="nil"/>
              <w:left w:val="single" w:sz="8" w:space="0" w:color="BFBFBF"/>
              <w:bottom w:val="single" w:sz="8" w:space="0" w:color="BFBFBF"/>
              <w:right w:val="single" w:sz="8" w:space="0" w:color="BFBFBF"/>
            </w:tcBorders>
            <w:shd w:val="clear" w:color="auto" w:fill="FFFFFF"/>
            <w:tcMar>
              <w:top w:w="100" w:type="dxa"/>
              <w:left w:w="100" w:type="dxa"/>
              <w:bottom w:w="100" w:type="dxa"/>
              <w:right w:w="100" w:type="dxa"/>
            </w:tcMar>
          </w:tcPr>
          <w:p w14:paraId="740A8662" w14:textId="77777777" w:rsidR="009B4F68" w:rsidRPr="00307566" w:rsidRDefault="00164E6E" w:rsidP="00D66FAE">
            <w:pPr>
              <w:rPr>
                <w:sz w:val="20"/>
                <w:szCs w:val="20"/>
              </w:rPr>
            </w:pPr>
            <w:r w:rsidRPr="00307566">
              <w:rPr>
                <w:sz w:val="20"/>
                <w:szCs w:val="20"/>
              </w:rPr>
              <w:t>ITMS</w:t>
            </w:r>
          </w:p>
        </w:tc>
        <w:tc>
          <w:tcPr>
            <w:tcW w:w="6776" w:type="dxa"/>
            <w:tcBorders>
              <w:top w:val="nil"/>
              <w:left w:val="nil"/>
              <w:bottom w:val="single" w:sz="8" w:space="0" w:color="BFBFBF"/>
              <w:right w:val="single" w:sz="8" w:space="0" w:color="BFBFBF"/>
            </w:tcBorders>
            <w:shd w:val="clear" w:color="auto" w:fill="FFFFFF"/>
            <w:tcMar>
              <w:top w:w="100" w:type="dxa"/>
              <w:left w:w="100" w:type="dxa"/>
              <w:bottom w:w="100" w:type="dxa"/>
              <w:right w:w="100" w:type="dxa"/>
            </w:tcMar>
          </w:tcPr>
          <w:p w14:paraId="52D2490C" w14:textId="77777777" w:rsidR="009B4F68" w:rsidRPr="00307566" w:rsidRDefault="00164E6E" w:rsidP="00D66FAE">
            <w:pPr>
              <w:cnfStyle w:val="000000100000" w:firstRow="0" w:lastRow="0" w:firstColumn="0" w:lastColumn="0" w:oddVBand="0" w:evenVBand="0" w:oddHBand="1" w:evenHBand="0" w:firstRowFirstColumn="0" w:firstRowLastColumn="0" w:lastRowFirstColumn="0" w:lastRowLastColumn="0"/>
              <w:rPr>
                <w:sz w:val="20"/>
                <w:szCs w:val="20"/>
              </w:rPr>
            </w:pPr>
            <w:r w:rsidRPr="00307566">
              <w:rPr>
                <w:sz w:val="20"/>
                <w:szCs w:val="20"/>
              </w:rPr>
              <w:t>IT Management System</w:t>
            </w:r>
          </w:p>
        </w:tc>
      </w:tr>
      <w:tr w:rsidR="009B4F68" w:rsidRPr="00307566" w14:paraId="2D205D13" w14:textId="77777777" w:rsidTr="009B4F68">
        <w:tc>
          <w:tcPr>
            <w:cnfStyle w:val="001000000000" w:firstRow="0" w:lastRow="0" w:firstColumn="1" w:lastColumn="0" w:oddVBand="0" w:evenVBand="0" w:oddHBand="0" w:evenHBand="0" w:firstRowFirstColumn="0" w:firstRowLastColumn="0" w:lastRowFirstColumn="0" w:lastRowLastColumn="0"/>
            <w:tcW w:w="2466"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5CC875A4" w14:textId="77777777" w:rsidR="009B4F68" w:rsidRPr="00307566" w:rsidRDefault="00164E6E" w:rsidP="00D66FAE">
            <w:pPr>
              <w:rPr>
                <w:sz w:val="20"/>
                <w:szCs w:val="20"/>
              </w:rPr>
            </w:pPr>
            <w:r w:rsidRPr="00307566">
              <w:rPr>
                <w:sz w:val="20"/>
                <w:szCs w:val="20"/>
              </w:rPr>
              <w:lastRenderedPageBreak/>
              <w:t>OLA</w:t>
            </w:r>
          </w:p>
        </w:tc>
        <w:tc>
          <w:tcPr>
            <w:tcW w:w="6776" w:type="dxa"/>
            <w:tcBorders>
              <w:top w:val="nil"/>
              <w:left w:val="nil"/>
              <w:bottom w:val="single" w:sz="8" w:space="0" w:color="BFBFBF"/>
              <w:right w:val="single" w:sz="8" w:space="0" w:color="BFBFBF"/>
            </w:tcBorders>
            <w:shd w:val="clear" w:color="auto" w:fill="F2F2F2"/>
            <w:tcMar>
              <w:top w:w="100" w:type="dxa"/>
              <w:left w:w="100" w:type="dxa"/>
              <w:bottom w:w="100" w:type="dxa"/>
              <w:right w:w="100" w:type="dxa"/>
            </w:tcMar>
          </w:tcPr>
          <w:p w14:paraId="11560C3E" w14:textId="77777777" w:rsidR="009B4F68" w:rsidRPr="00307566" w:rsidRDefault="00164E6E" w:rsidP="00D66FAE">
            <w:pPr>
              <w:cnfStyle w:val="000000000000" w:firstRow="0" w:lastRow="0" w:firstColumn="0" w:lastColumn="0" w:oddVBand="0" w:evenVBand="0" w:oddHBand="0" w:evenHBand="0" w:firstRowFirstColumn="0" w:firstRowLastColumn="0" w:lastRowFirstColumn="0" w:lastRowLastColumn="0"/>
              <w:rPr>
                <w:sz w:val="20"/>
                <w:szCs w:val="20"/>
              </w:rPr>
            </w:pPr>
            <w:r w:rsidRPr="00307566">
              <w:rPr>
                <w:sz w:val="20"/>
                <w:szCs w:val="20"/>
              </w:rPr>
              <w:t>Operational Level Agreement</w:t>
            </w:r>
          </w:p>
        </w:tc>
      </w:tr>
      <w:tr w:rsidR="009B4F68" w:rsidRPr="00307566" w14:paraId="3357D5EA" w14:textId="77777777" w:rsidTr="009B4F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66" w:type="dxa"/>
            <w:tcBorders>
              <w:top w:val="nil"/>
              <w:left w:val="single" w:sz="8" w:space="0" w:color="BFBFBF"/>
              <w:bottom w:val="single" w:sz="8" w:space="0" w:color="BFBFBF"/>
              <w:right w:val="single" w:sz="8" w:space="0" w:color="BFBFBF"/>
            </w:tcBorders>
            <w:shd w:val="clear" w:color="auto" w:fill="FFFFFF"/>
            <w:tcMar>
              <w:top w:w="100" w:type="dxa"/>
              <w:left w:w="100" w:type="dxa"/>
              <w:bottom w:w="100" w:type="dxa"/>
              <w:right w:w="100" w:type="dxa"/>
            </w:tcMar>
          </w:tcPr>
          <w:p w14:paraId="4D9F5E5E" w14:textId="77777777" w:rsidR="009B4F68" w:rsidRPr="00307566" w:rsidRDefault="00164E6E" w:rsidP="00D66FAE">
            <w:pPr>
              <w:rPr>
                <w:sz w:val="20"/>
                <w:szCs w:val="20"/>
              </w:rPr>
            </w:pPr>
            <w:r w:rsidRPr="00307566">
              <w:rPr>
                <w:sz w:val="20"/>
                <w:szCs w:val="20"/>
              </w:rPr>
              <w:t>SDTP</w:t>
            </w:r>
          </w:p>
        </w:tc>
        <w:tc>
          <w:tcPr>
            <w:tcW w:w="6776" w:type="dxa"/>
            <w:tcBorders>
              <w:top w:val="nil"/>
              <w:left w:val="nil"/>
              <w:bottom w:val="single" w:sz="8" w:space="0" w:color="BFBFBF"/>
              <w:right w:val="single" w:sz="8" w:space="0" w:color="BFBFBF"/>
            </w:tcBorders>
            <w:shd w:val="clear" w:color="auto" w:fill="FFFFFF"/>
            <w:tcMar>
              <w:top w:w="100" w:type="dxa"/>
              <w:left w:w="100" w:type="dxa"/>
              <w:bottom w:w="100" w:type="dxa"/>
              <w:right w:w="100" w:type="dxa"/>
            </w:tcMar>
          </w:tcPr>
          <w:p w14:paraId="75F42C63" w14:textId="77777777" w:rsidR="009B4F68" w:rsidRPr="00307566" w:rsidRDefault="00164E6E" w:rsidP="00D66FAE">
            <w:pPr>
              <w:cnfStyle w:val="000000100000" w:firstRow="0" w:lastRow="0" w:firstColumn="0" w:lastColumn="0" w:oddVBand="0" w:evenVBand="0" w:oddHBand="1" w:evenHBand="0" w:firstRowFirstColumn="0" w:firstRowLastColumn="0" w:lastRowFirstColumn="0" w:lastRowLastColumn="0"/>
              <w:rPr>
                <w:sz w:val="20"/>
                <w:szCs w:val="20"/>
              </w:rPr>
            </w:pPr>
            <w:r w:rsidRPr="00307566">
              <w:rPr>
                <w:sz w:val="20"/>
                <w:szCs w:val="20"/>
              </w:rPr>
              <w:t>Service Design and Transition Packages</w:t>
            </w:r>
          </w:p>
        </w:tc>
      </w:tr>
      <w:tr w:rsidR="009B4F68" w:rsidRPr="00307566" w14:paraId="43B50278" w14:textId="77777777" w:rsidTr="009B4F68">
        <w:tc>
          <w:tcPr>
            <w:cnfStyle w:val="001000000000" w:firstRow="0" w:lastRow="0" w:firstColumn="1" w:lastColumn="0" w:oddVBand="0" w:evenVBand="0" w:oddHBand="0" w:evenHBand="0" w:firstRowFirstColumn="0" w:firstRowLastColumn="0" w:lastRowFirstColumn="0" w:lastRowLastColumn="0"/>
            <w:tcW w:w="2466" w:type="dxa"/>
            <w:tcBorders>
              <w:top w:val="nil"/>
              <w:left w:val="single" w:sz="8" w:space="0" w:color="BFBFBF"/>
              <w:bottom w:val="single" w:sz="8" w:space="0" w:color="BFBFBF"/>
              <w:right w:val="single" w:sz="8" w:space="0" w:color="BFBFBF"/>
            </w:tcBorders>
            <w:shd w:val="clear" w:color="auto" w:fill="EFEFEF"/>
            <w:tcMar>
              <w:top w:w="100" w:type="dxa"/>
              <w:left w:w="100" w:type="dxa"/>
              <w:bottom w:w="100" w:type="dxa"/>
              <w:right w:w="100" w:type="dxa"/>
            </w:tcMar>
          </w:tcPr>
          <w:p w14:paraId="4BB646E7" w14:textId="77777777" w:rsidR="009B4F68" w:rsidRPr="00307566" w:rsidRDefault="00164E6E" w:rsidP="00D66FAE">
            <w:pPr>
              <w:rPr>
                <w:sz w:val="20"/>
                <w:szCs w:val="20"/>
              </w:rPr>
            </w:pPr>
            <w:r w:rsidRPr="00307566">
              <w:rPr>
                <w:sz w:val="20"/>
                <w:szCs w:val="20"/>
              </w:rPr>
              <w:t>SLA</w:t>
            </w:r>
          </w:p>
        </w:tc>
        <w:tc>
          <w:tcPr>
            <w:tcW w:w="6776" w:type="dxa"/>
            <w:tcBorders>
              <w:top w:val="nil"/>
              <w:left w:val="nil"/>
              <w:bottom w:val="single" w:sz="8" w:space="0" w:color="BFBFBF"/>
              <w:right w:val="single" w:sz="8" w:space="0" w:color="BFBFBF"/>
            </w:tcBorders>
            <w:shd w:val="clear" w:color="auto" w:fill="EFEFEF"/>
            <w:tcMar>
              <w:top w:w="100" w:type="dxa"/>
              <w:left w:w="100" w:type="dxa"/>
              <w:bottom w:w="100" w:type="dxa"/>
              <w:right w:w="100" w:type="dxa"/>
            </w:tcMar>
          </w:tcPr>
          <w:p w14:paraId="2ACADE0A" w14:textId="77777777" w:rsidR="009B4F68" w:rsidRPr="00307566" w:rsidRDefault="00164E6E" w:rsidP="00D66FAE">
            <w:pPr>
              <w:cnfStyle w:val="000000000000" w:firstRow="0" w:lastRow="0" w:firstColumn="0" w:lastColumn="0" w:oddVBand="0" w:evenVBand="0" w:oddHBand="0" w:evenHBand="0" w:firstRowFirstColumn="0" w:firstRowLastColumn="0" w:lastRowFirstColumn="0" w:lastRowLastColumn="0"/>
              <w:rPr>
                <w:sz w:val="20"/>
                <w:szCs w:val="20"/>
              </w:rPr>
            </w:pPr>
            <w:r w:rsidRPr="00307566">
              <w:rPr>
                <w:sz w:val="20"/>
                <w:szCs w:val="20"/>
              </w:rPr>
              <w:t>Service Level Agreement</w:t>
            </w:r>
          </w:p>
        </w:tc>
      </w:tr>
      <w:tr w:rsidR="009B4F68" w:rsidRPr="00307566" w14:paraId="50F44913" w14:textId="77777777" w:rsidTr="009B4F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66" w:type="dxa"/>
            <w:tcBorders>
              <w:top w:val="nil"/>
              <w:left w:val="single" w:sz="8" w:space="0" w:color="BFBFBF"/>
              <w:bottom w:val="single" w:sz="8" w:space="0" w:color="BFBFBF"/>
              <w:right w:val="single" w:sz="8" w:space="0" w:color="BFBFBF"/>
            </w:tcBorders>
            <w:shd w:val="clear" w:color="auto" w:fill="FFFFFF"/>
            <w:tcMar>
              <w:top w:w="100" w:type="dxa"/>
              <w:left w:w="100" w:type="dxa"/>
              <w:bottom w:w="100" w:type="dxa"/>
              <w:right w:w="100" w:type="dxa"/>
            </w:tcMar>
          </w:tcPr>
          <w:p w14:paraId="122C9175" w14:textId="77777777" w:rsidR="009B4F68" w:rsidRPr="00307566" w:rsidRDefault="00164E6E" w:rsidP="00D66FAE">
            <w:pPr>
              <w:rPr>
                <w:sz w:val="20"/>
                <w:szCs w:val="20"/>
              </w:rPr>
            </w:pPr>
            <w:r w:rsidRPr="00307566">
              <w:rPr>
                <w:sz w:val="20"/>
                <w:szCs w:val="20"/>
              </w:rPr>
              <w:t>SLI</w:t>
            </w:r>
          </w:p>
        </w:tc>
        <w:tc>
          <w:tcPr>
            <w:tcW w:w="6776" w:type="dxa"/>
            <w:tcBorders>
              <w:top w:val="nil"/>
              <w:left w:val="nil"/>
              <w:bottom w:val="single" w:sz="8" w:space="0" w:color="BFBFBF"/>
              <w:right w:val="single" w:sz="8" w:space="0" w:color="BFBFBF"/>
            </w:tcBorders>
            <w:shd w:val="clear" w:color="auto" w:fill="FFFFFF"/>
            <w:tcMar>
              <w:top w:w="100" w:type="dxa"/>
              <w:left w:w="100" w:type="dxa"/>
              <w:bottom w:w="100" w:type="dxa"/>
              <w:right w:w="100" w:type="dxa"/>
            </w:tcMar>
          </w:tcPr>
          <w:p w14:paraId="52D50381" w14:textId="77777777" w:rsidR="009B4F68" w:rsidRPr="00307566" w:rsidRDefault="00164E6E" w:rsidP="00D66FAE">
            <w:pPr>
              <w:cnfStyle w:val="000000100000" w:firstRow="0" w:lastRow="0" w:firstColumn="0" w:lastColumn="0" w:oddVBand="0" w:evenVBand="0" w:oddHBand="1" w:evenHBand="0" w:firstRowFirstColumn="0" w:firstRowLastColumn="0" w:lastRowFirstColumn="0" w:lastRowLastColumn="0"/>
              <w:rPr>
                <w:sz w:val="20"/>
                <w:szCs w:val="20"/>
              </w:rPr>
            </w:pPr>
            <w:r w:rsidRPr="00307566">
              <w:rPr>
                <w:sz w:val="20"/>
                <w:szCs w:val="20"/>
              </w:rPr>
              <w:t>Service Level Indicator</w:t>
            </w:r>
          </w:p>
        </w:tc>
      </w:tr>
      <w:tr w:rsidR="009B4F68" w:rsidRPr="00307566" w14:paraId="392D513E" w14:textId="77777777" w:rsidTr="009B4F68">
        <w:tc>
          <w:tcPr>
            <w:cnfStyle w:val="001000000000" w:firstRow="0" w:lastRow="0" w:firstColumn="1" w:lastColumn="0" w:oddVBand="0" w:evenVBand="0" w:oddHBand="0" w:evenHBand="0" w:firstRowFirstColumn="0" w:firstRowLastColumn="0" w:lastRowFirstColumn="0" w:lastRowLastColumn="0"/>
            <w:tcW w:w="2466" w:type="dxa"/>
            <w:tcBorders>
              <w:top w:val="nil"/>
              <w:left w:val="single" w:sz="8" w:space="0" w:color="BFBFBF"/>
              <w:bottom w:val="single" w:sz="8" w:space="0" w:color="BFBFBF"/>
              <w:right w:val="single" w:sz="8" w:space="0" w:color="BFBFBF"/>
            </w:tcBorders>
            <w:shd w:val="clear" w:color="auto" w:fill="EFEFEF"/>
            <w:tcMar>
              <w:top w:w="100" w:type="dxa"/>
              <w:left w:w="100" w:type="dxa"/>
              <w:bottom w:w="100" w:type="dxa"/>
              <w:right w:w="100" w:type="dxa"/>
            </w:tcMar>
          </w:tcPr>
          <w:p w14:paraId="46A4363E" w14:textId="77777777" w:rsidR="009B4F68" w:rsidRPr="00307566" w:rsidRDefault="00164E6E" w:rsidP="00D66FAE">
            <w:pPr>
              <w:rPr>
                <w:sz w:val="20"/>
                <w:szCs w:val="20"/>
              </w:rPr>
            </w:pPr>
            <w:r w:rsidRPr="00307566">
              <w:rPr>
                <w:sz w:val="20"/>
                <w:szCs w:val="20"/>
              </w:rPr>
              <w:t>SLM</w:t>
            </w:r>
          </w:p>
        </w:tc>
        <w:tc>
          <w:tcPr>
            <w:tcW w:w="6776" w:type="dxa"/>
            <w:tcBorders>
              <w:top w:val="nil"/>
              <w:left w:val="nil"/>
              <w:bottom w:val="single" w:sz="8" w:space="0" w:color="BFBFBF"/>
              <w:right w:val="single" w:sz="8" w:space="0" w:color="BFBFBF"/>
            </w:tcBorders>
            <w:shd w:val="clear" w:color="auto" w:fill="EFEFEF"/>
            <w:tcMar>
              <w:top w:w="100" w:type="dxa"/>
              <w:left w:w="100" w:type="dxa"/>
              <w:bottom w:w="100" w:type="dxa"/>
              <w:right w:w="100" w:type="dxa"/>
            </w:tcMar>
          </w:tcPr>
          <w:p w14:paraId="24C1C849" w14:textId="77777777" w:rsidR="009B4F68" w:rsidRPr="00307566" w:rsidRDefault="00164E6E" w:rsidP="00D66FAE">
            <w:pPr>
              <w:cnfStyle w:val="000000000000" w:firstRow="0" w:lastRow="0" w:firstColumn="0" w:lastColumn="0" w:oddVBand="0" w:evenVBand="0" w:oddHBand="0" w:evenHBand="0" w:firstRowFirstColumn="0" w:firstRowLastColumn="0" w:lastRowFirstColumn="0" w:lastRowLastColumn="0"/>
              <w:rPr>
                <w:sz w:val="20"/>
                <w:szCs w:val="20"/>
              </w:rPr>
            </w:pPr>
            <w:r w:rsidRPr="00307566">
              <w:rPr>
                <w:sz w:val="20"/>
                <w:szCs w:val="20"/>
              </w:rPr>
              <w:t>Service Level Management</w:t>
            </w:r>
          </w:p>
        </w:tc>
      </w:tr>
      <w:tr w:rsidR="009B4F68" w:rsidRPr="00307566" w14:paraId="5579DDC6" w14:textId="77777777" w:rsidTr="009B4F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66" w:type="dxa"/>
            <w:tcBorders>
              <w:top w:val="nil"/>
              <w:left w:val="single" w:sz="8" w:space="0" w:color="BFBFBF"/>
              <w:bottom w:val="single" w:sz="8" w:space="0" w:color="BFBFBF"/>
              <w:right w:val="single" w:sz="8" w:space="0" w:color="BFBFBF"/>
            </w:tcBorders>
            <w:shd w:val="clear" w:color="auto" w:fill="FFFFFF"/>
            <w:tcMar>
              <w:top w:w="100" w:type="dxa"/>
              <w:left w:w="100" w:type="dxa"/>
              <w:bottom w:w="100" w:type="dxa"/>
              <w:right w:w="100" w:type="dxa"/>
            </w:tcMar>
          </w:tcPr>
          <w:p w14:paraId="1A927E42" w14:textId="77777777" w:rsidR="009B4F68" w:rsidRPr="00307566" w:rsidRDefault="00164E6E" w:rsidP="00D66FAE">
            <w:pPr>
              <w:rPr>
                <w:sz w:val="20"/>
                <w:szCs w:val="20"/>
              </w:rPr>
            </w:pPr>
            <w:r w:rsidRPr="00307566">
              <w:rPr>
                <w:sz w:val="20"/>
                <w:szCs w:val="20"/>
              </w:rPr>
              <w:t>SMS</w:t>
            </w:r>
          </w:p>
        </w:tc>
        <w:tc>
          <w:tcPr>
            <w:tcW w:w="6776" w:type="dxa"/>
            <w:tcBorders>
              <w:top w:val="nil"/>
              <w:left w:val="nil"/>
              <w:bottom w:val="single" w:sz="8" w:space="0" w:color="BFBFBF"/>
              <w:right w:val="single" w:sz="8" w:space="0" w:color="BFBFBF"/>
            </w:tcBorders>
            <w:shd w:val="clear" w:color="auto" w:fill="FFFFFF"/>
            <w:tcMar>
              <w:top w:w="100" w:type="dxa"/>
              <w:left w:w="100" w:type="dxa"/>
              <w:bottom w:w="100" w:type="dxa"/>
              <w:right w:w="100" w:type="dxa"/>
            </w:tcMar>
          </w:tcPr>
          <w:p w14:paraId="01026F70" w14:textId="77777777" w:rsidR="009B4F68" w:rsidRPr="00307566" w:rsidRDefault="00164E6E" w:rsidP="00D66FAE">
            <w:pPr>
              <w:cnfStyle w:val="000000100000" w:firstRow="0" w:lastRow="0" w:firstColumn="0" w:lastColumn="0" w:oddVBand="0" w:evenVBand="0" w:oddHBand="1" w:evenHBand="0" w:firstRowFirstColumn="0" w:firstRowLastColumn="0" w:lastRowFirstColumn="0" w:lastRowLastColumn="0"/>
              <w:rPr>
                <w:sz w:val="20"/>
                <w:szCs w:val="20"/>
              </w:rPr>
            </w:pPr>
            <w:r w:rsidRPr="00307566">
              <w:rPr>
                <w:sz w:val="20"/>
                <w:szCs w:val="20"/>
              </w:rPr>
              <w:t>Service Management System</w:t>
            </w:r>
          </w:p>
        </w:tc>
      </w:tr>
      <w:tr w:rsidR="009B4F68" w:rsidRPr="00307566" w14:paraId="67DDFB2C" w14:textId="77777777" w:rsidTr="009B4F68">
        <w:tc>
          <w:tcPr>
            <w:cnfStyle w:val="001000000000" w:firstRow="0" w:lastRow="0" w:firstColumn="1" w:lastColumn="0" w:oddVBand="0" w:evenVBand="0" w:oddHBand="0" w:evenHBand="0" w:firstRowFirstColumn="0" w:firstRowLastColumn="0" w:lastRowFirstColumn="0" w:lastRowLastColumn="0"/>
            <w:tcW w:w="2466" w:type="dxa"/>
            <w:tcBorders>
              <w:top w:val="nil"/>
              <w:left w:val="single" w:sz="8" w:space="0" w:color="BFBFBF"/>
              <w:bottom w:val="single" w:sz="8" w:space="0" w:color="BFBFBF"/>
              <w:right w:val="single" w:sz="8" w:space="0" w:color="BFBFBF"/>
            </w:tcBorders>
            <w:shd w:val="clear" w:color="auto" w:fill="EFEFEF"/>
            <w:tcMar>
              <w:top w:w="100" w:type="dxa"/>
              <w:left w:w="100" w:type="dxa"/>
              <w:bottom w:w="100" w:type="dxa"/>
              <w:right w:w="100" w:type="dxa"/>
            </w:tcMar>
          </w:tcPr>
          <w:p w14:paraId="3F3DD6B6" w14:textId="77777777" w:rsidR="009B4F68" w:rsidRPr="00307566" w:rsidRDefault="00164E6E" w:rsidP="00D66FAE">
            <w:pPr>
              <w:rPr>
                <w:sz w:val="20"/>
                <w:szCs w:val="20"/>
              </w:rPr>
            </w:pPr>
            <w:r w:rsidRPr="00307566">
              <w:rPr>
                <w:sz w:val="20"/>
                <w:szCs w:val="20"/>
              </w:rPr>
              <w:t>SP</w:t>
            </w:r>
          </w:p>
        </w:tc>
        <w:tc>
          <w:tcPr>
            <w:tcW w:w="6776" w:type="dxa"/>
            <w:tcBorders>
              <w:top w:val="nil"/>
              <w:left w:val="nil"/>
              <w:bottom w:val="single" w:sz="8" w:space="0" w:color="BFBFBF"/>
              <w:right w:val="single" w:sz="8" w:space="0" w:color="BFBFBF"/>
            </w:tcBorders>
            <w:shd w:val="clear" w:color="auto" w:fill="EFEFEF"/>
            <w:tcMar>
              <w:top w:w="100" w:type="dxa"/>
              <w:left w:w="100" w:type="dxa"/>
              <w:bottom w:w="100" w:type="dxa"/>
              <w:right w:w="100" w:type="dxa"/>
            </w:tcMar>
          </w:tcPr>
          <w:p w14:paraId="4262EAFE" w14:textId="77777777" w:rsidR="009B4F68" w:rsidRPr="00307566" w:rsidRDefault="00164E6E" w:rsidP="00D66FAE">
            <w:pPr>
              <w:cnfStyle w:val="000000000000" w:firstRow="0" w:lastRow="0" w:firstColumn="0" w:lastColumn="0" w:oddVBand="0" w:evenVBand="0" w:oddHBand="0" w:evenHBand="0" w:firstRowFirstColumn="0" w:firstRowLastColumn="0" w:lastRowFirstColumn="0" w:lastRowLastColumn="0"/>
              <w:rPr>
                <w:sz w:val="20"/>
                <w:szCs w:val="20"/>
              </w:rPr>
            </w:pPr>
            <w:r w:rsidRPr="00307566">
              <w:rPr>
                <w:sz w:val="20"/>
                <w:szCs w:val="20"/>
              </w:rPr>
              <w:t>Service Provider</w:t>
            </w:r>
          </w:p>
        </w:tc>
      </w:tr>
      <w:tr w:rsidR="009B4F68" w:rsidRPr="00307566" w14:paraId="4CCB78EC" w14:textId="77777777" w:rsidTr="009B4F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66" w:type="dxa"/>
            <w:tcBorders>
              <w:top w:val="nil"/>
              <w:left w:val="single" w:sz="8" w:space="0" w:color="BFBFBF"/>
              <w:bottom w:val="single" w:sz="8" w:space="0" w:color="BFBFBF"/>
              <w:right w:val="single" w:sz="8" w:space="0" w:color="BFBFBF"/>
            </w:tcBorders>
            <w:shd w:val="clear" w:color="auto" w:fill="FFFFFF"/>
            <w:tcMar>
              <w:top w:w="100" w:type="dxa"/>
              <w:left w:w="100" w:type="dxa"/>
              <w:bottom w:w="100" w:type="dxa"/>
              <w:right w:w="100" w:type="dxa"/>
            </w:tcMar>
          </w:tcPr>
          <w:p w14:paraId="49F9AC36" w14:textId="77777777" w:rsidR="009B4F68" w:rsidRPr="00307566" w:rsidRDefault="00164E6E" w:rsidP="00D66FAE">
            <w:pPr>
              <w:rPr>
                <w:sz w:val="20"/>
                <w:szCs w:val="20"/>
              </w:rPr>
            </w:pPr>
            <w:r w:rsidRPr="00307566">
              <w:rPr>
                <w:sz w:val="20"/>
                <w:szCs w:val="20"/>
              </w:rPr>
              <w:t>SPM</w:t>
            </w:r>
          </w:p>
        </w:tc>
        <w:tc>
          <w:tcPr>
            <w:tcW w:w="6776" w:type="dxa"/>
            <w:tcBorders>
              <w:top w:val="nil"/>
              <w:left w:val="nil"/>
              <w:bottom w:val="single" w:sz="8" w:space="0" w:color="BFBFBF"/>
              <w:right w:val="single" w:sz="8" w:space="0" w:color="BFBFBF"/>
            </w:tcBorders>
            <w:shd w:val="clear" w:color="auto" w:fill="FFFFFF"/>
            <w:tcMar>
              <w:top w:w="100" w:type="dxa"/>
              <w:left w:w="100" w:type="dxa"/>
              <w:bottom w:w="100" w:type="dxa"/>
              <w:right w:w="100" w:type="dxa"/>
            </w:tcMar>
          </w:tcPr>
          <w:p w14:paraId="0A507CAC" w14:textId="77777777" w:rsidR="009B4F68" w:rsidRPr="00307566" w:rsidRDefault="00164E6E" w:rsidP="00D66FAE">
            <w:pPr>
              <w:cnfStyle w:val="000000100000" w:firstRow="0" w:lastRow="0" w:firstColumn="0" w:lastColumn="0" w:oddVBand="0" w:evenVBand="0" w:oddHBand="1" w:evenHBand="0" w:firstRowFirstColumn="0" w:firstRowLastColumn="0" w:lastRowFirstColumn="0" w:lastRowLastColumn="0"/>
              <w:rPr>
                <w:sz w:val="20"/>
                <w:szCs w:val="20"/>
              </w:rPr>
            </w:pPr>
            <w:r w:rsidRPr="00307566">
              <w:rPr>
                <w:sz w:val="20"/>
                <w:szCs w:val="20"/>
              </w:rPr>
              <w:t>Service Portfolio Management</w:t>
            </w:r>
          </w:p>
        </w:tc>
      </w:tr>
      <w:tr w:rsidR="009B4F68" w:rsidRPr="00307566" w14:paraId="0AB28621" w14:textId="77777777" w:rsidTr="009B4F68">
        <w:tc>
          <w:tcPr>
            <w:cnfStyle w:val="001000000000" w:firstRow="0" w:lastRow="0" w:firstColumn="1" w:lastColumn="0" w:oddVBand="0" w:evenVBand="0" w:oddHBand="0" w:evenHBand="0" w:firstRowFirstColumn="0" w:firstRowLastColumn="0" w:lastRowFirstColumn="0" w:lastRowLastColumn="0"/>
            <w:tcW w:w="2466" w:type="dxa"/>
            <w:tcBorders>
              <w:top w:val="nil"/>
              <w:left w:val="single" w:sz="8" w:space="0" w:color="BFBFBF"/>
              <w:bottom w:val="single" w:sz="8" w:space="0" w:color="BFBFBF"/>
              <w:right w:val="single" w:sz="8" w:space="0" w:color="BFBFBF"/>
            </w:tcBorders>
            <w:shd w:val="clear" w:color="auto" w:fill="EFEFEF"/>
            <w:tcMar>
              <w:top w:w="100" w:type="dxa"/>
              <w:left w:w="100" w:type="dxa"/>
              <w:bottom w:w="100" w:type="dxa"/>
              <w:right w:w="100" w:type="dxa"/>
            </w:tcMar>
          </w:tcPr>
          <w:p w14:paraId="34EAD68B" w14:textId="77777777" w:rsidR="009B4F68" w:rsidRPr="00307566" w:rsidRDefault="00164E6E" w:rsidP="00D66FAE">
            <w:pPr>
              <w:rPr>
                <w:sz w:val="20"/>
                <w:szCs w:val="20"/>
              </w:rPr>
            </w:pPr>
            <w:r w:rsidRPr="00307566">
              <w:rPr>
                <w:sz w:val="20"/>
                <w:szCs w:val="20"/>
              </w:rPr>
              <w:t>SVB</w:t>
            </w:r>
          </w:p>
        </w:tc>
        <w:tc>
          <w:tcPr>
            <w:tcW w:w="6776" w:type="dxa"/>
            <w:tcBorders>
              <w:top w:val="nil"/>
              <w:left w:val="nil"/>
              <w:bottom w:val="single" w:sz="8" w:space="0" w:color="BFBFBF"/>
              <w:right w:val="single" w:sz="8" w:space="0" w:color="BFBFBF"/>
            </w:tcBorders>
            <w:shd w:val="clear" w:color="auto" w:fill="EFEFEF"/>
            <w:tcMar>
              <w:top w:w="100" w:type="dxa"/>
              <w:left w:w="100" w:type="dxa"/>
              <w:bottom w:w="100" w:type="dxa"/>
              <w:right w:w="100" w:type="dxa"/>
            </w:tcMar>
          </w:tcPr>
          <w:p w14:paraId="3035600C" w14:textId="77777777" w:rsidR="009B4F68" w:rsidRPr="00307566" w:rsidRDefault="00164E6E" w:rsidP="00D66FAE">
            <w:pPr>
              <w:cnfStyle w:val="000000000000" w:firstRow="0" w:lastRow="0" w:firstColumn="0" w:lastColumn="0" w:oddVBand="0" w:evenVBand="0" w:oddHBand="0" w:evenHBand="0" w:firstRowFirstColumn="0" w:firstRowLastColumn="0" w:lastRowFirstColumn="0" w:lastRowLastColumn="0"/>
              <w:rPr>
                <w:sz w:val="20"/>
                <w:szCs w:val="20"/>
              </w:rPr>
            </w:pPr>
            <w:r w:rsidRPr="00307566">
              <w:rPr>
                <w:sz w:val="20"/>
                <w:szCs w:val="20"/>
              </w:rPr>
              <w:t>EOSC-hub Service Validation Board</w:t>
            </w:r>
          </w:p>
        </w:tc>
      </w:tr>
      <w:tr w:rsidR="009B4F68" w:rsidRPr="00307566" w14:paraId="013E6266" w14:textId="77777777" w:rsidTr="009B4F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66" w:type="dxa"/>
            <w:tcBorders>
              <w:top w:val="nil"/>
              <w:left w:val="single" w:sz="8" w:space="0" w:color="BFBFBF"/>
              <w:bottom w:val="single" w:sz="8" w:space="0" w:color="BFBFBF"/>
              <w:right w:val="single" w:sz="8" w:space="0" w:color="BFBFBF"/>
            </w:tcBorders>
            <w:shd w:val="clear" w:color="auto" w:fill="FFFFFF"/>
            <w:tcMar>
              <w:top w:w="100" w:type="dxa"/>
              <w:left w:w="100" w:type="dxa"/>
              <w:bottom w:w="100" w:type="dxa"/>
              <w:right w:w="100" w:type="dxa"/>
            </w:tcMar>
          </w:tcPr>
          <w:p w14:paraId="7DD04453" w14:textId="77777777" w:rsidR="009B4F68" w:rsidRPr="00307566" w:rsidRDefault="00164E6E" w:rsidP="00D66FAE">
            <w:pPr>
              <w:rPr>
                <w:sz w:val="20"/>
                <w:szCs w:val="20"/>
              </w:rPr>
            </w:pPr>
            <w:r w:rsidRPr="00307566">
              <w:rPr>
                <w:sz w:val="20"/>
                <w:szCs w:val="20"/>
              </w:rPr>
              <w:t>UA</w:t>
            </w:r>
          </w:p>
        </w:tc>
        <w:tc>
          <w:tcPr>
            <w:tcW w:w="6776" w:type="dxa"/>
            <w:tcBorders>
              <w:top w:val="nil"/>
              <w:left w:val="nil"/>
              <w:bottom w:val="single" w:sz="8" w:space="0" w:color="BFBFBF"/>
              <w:right w:val="single" w:sz="8" w:space="0" w:color="BFBFBF"/>
            </w:tcBorders>
            <w:shd w:val="clear" w:color="auto" w:fill="FFFFFF"/>
            <w:tcMar>
              <w:top w:w="100" w:type="dxa"/>
              <w:left w:w="100" w:type="dxa"/>
              <w:bottom w:w="100" w:type="dxa"/>
              <w:right w:w="100" w:type="dxa"/>
            </w:tcMar>
          </w:tcPr>
          <w:p w14:paraId="39DA2807" w14:textId="77777777" w:rsidR="009B4F68" w:rsidRPr="00307566" w:rsidRDefault="00164E6E" w:rsidP="00D66FAE">
            <w:pPr>
              <w:cnfStyle w:val="000000100000" w:firstRow="0" w:lastRow="0" w:firstColumn="0" w:lastColumn="0" w:oddVBand="0" w:evenVBand="0" w:oddHBand="1" w:evenHBand="0" w:firstRowFirstColumn="0" w:firstRowLastColumn="0" w:lastRowFirstColumn="0" w:lastRowLastColumn="0"/>
              <w:rPr>
                <w:sz w:val="20"/>
                <w:szCs w:val="20"/>
              </w:rPr>
            </w:pPr>
            <w:r w:rsidRPr="00307566">
              <w:rPr>
                <w:sz w:val="20"/>
                <w:szCs w:val="20"/>
              </w:rPr>
              <w:t>Underpinning Agreement</w:t>
            </w:r>
          </w:p>
        </w:tc>
      </w:tr>
      <w:tr w:rsidR="009B4F68" w:rsidRPr="00307566" w14:paraId="25B5DE8A" w14:textId="77777777" w:rsidTr="009B4F68">
        <w:tc>
          <w:tcPr>
            <w:cnfStyle w:val="001000000000" w:firstRow="0" w:lastRow="0" w:firstColumn="1" w:lastColumn="0" w:oddVBand="0" w:evenVBand="0" w:oddHBand="0" w:evenHBand="0" w:firstRowFirstColumn="0" w:firstRowLastColumn="0" w:lastRowFirstColumn="0" w:lastRowLastColumn="0"/>
            <w:tcW w:w="2466" w:type="dxa"/>
            <w:tcBorders>
              <w:top w:val="nil"/>
              <w:left w:val="single" w:sz="8" w:space="0" w:color="BFBFBF"/>
              <w:bottom w:val="single" w:sz="8" w:space="0" w:color="BFBFBF"/>
              <w:right w:val="single" w:sz="8" w:space="0" w:color="BFBFBF"/>
            </w:tcBorders>
            <w:shd w:val="clear" w:color="auto" w:fill="EFEFEF"/>
            <w:tcMar>
              <w:top w:w="100" w:type="dxa"/>
              <w:left w:w="100" w:type="dxa"/>
              <w:bottom w:w="100" w:type="dxa"/>
              <w:right w:w="100" w:type="dxa"/>
            </w:tcMar>
          </w:tcPr>
          <w:p w14:paraId="51518BF7" w14:textId="77777777" w:rsidR="009B4F68" w:rsidRPr="00307566" w:rsidRDefault="00164E6E" w:rsidP="00D66FAE">
            <w:pPr>
              <w:rPr>
                <w:sz w:val="20"/>
                <w:szCs w:val="20"/>
              </w:rPr>
            </w:pPr>
            <w:r w:rsidRPr="00307566">
              <w:rPr>
                <w:sz w:val="20"/>
                <w:szCs w:val="20"/>
              </w:rPr>
              <w:t>VO</w:t>
            </w:r>
          </w:p>
        </w:tc>
        <w:tc>
          <w:tcPr>
            <w:tcW w:w="6776" w:type="dxa"/>
            <w:tcBorders>
              <w:top w:val="nil"/>
              <w:left w:val="nil"/>
              <w:bottom w:val="single" w:sz="8" w:space="0" w:color="BFBFBF"/>
              <w:right w:val="single" w:sz="8" w:space="0" w:color="BFBFBF"/>
            </w:tcBorders>
            <w:shd w:val="clear" w:color="auto" w:fill="EFEFEF"/>
            <w:tcMar>
              <w:top w:w="100" w:type="dxa"/>
              <w:left w:w="100" w:type="dxa"/>
              <w:bottom w:w="100" w:type="dxa"/>
              <w:right w:w="100" w:type="dxa"/>
            </w:tcMar>
          </w:tcPr>
          <w:p w14:paraId="40736351" w14:textId="77777777" w:rsidR="009B4F68" w:rsidRPr="00307566" w:rsidRDefault="00164E6E" w:rsidP="00D66FAE">
            <w:pPr>
              <w:cnfStyle w:val="000000000000" w:firstRow="0" w:lastRow="0" w:firstColumn="0" w:lastColumn="0" w:oddVBand="0" w:evenVBand="0" w:oddHBand="0" w:evenHBand="0" w:firstRowFirstColumn="0" w:firstRowLastColumn="0" w:lastRowFirstColumn="0" w:lastRowLastColumn="0"/>
              <w:rPr>
                <w:sz w:val="20"/>
                <w:szCs w:val="20"/>
              </w:rPr>
            </w:pPr>
            <w:r w:rsidRPr="00307566">
              <w:rPr>
                <w:sz w:val="20"/>
                <w:szCs w:val="20"/>
              </w:rPr>
              <w:t>Virtual Organisation</w:t>
            </w:r>
          </w:p>
        </w:tc>
      </w:tr>
      <w:tr w:rsidR="009B4F68" w:rsidRPr="00307566" w14:paraId="01294621" w14:textId="77777777" w:rsidTr="009B4F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66" w:type="dxa"/>
            <w:tcBorders>
              <w:top w:val="nil"/>
              <w:left w:val="single" w:sz="8" w:space="0" w:color="BFBFBF"/>
              <w:bottom w:val="single" w:sz="8" w:space="0" w:color="BFBFBF"/>
              <w:right w:val="single" w:sz="8" w:space="0" w:color="BFBFBF"/>
            </w:tcBorders>
            <w:shd w:val="clear" w:color="auto" w:fill="FFFFFF"/>
            <w:tcMar>
              <w:top w:w="100" w:type="dxa"/>
              <w:left w:w="100" w:type="dxa"/>
              <w:bottom w:w="100" w:type="dxa"/>
              <w:right w:w="100" w:type="dxa"/>
            </w:tcMar>
          </w:tcPr>
          <w:p w14:paraId="4D270BE1" w14:textId="77777777" w:rsidR="009B4F68" w:rsidRPr="00307566" w:rsidRDefault="00164E6E" w:rsidP="00D66FAE">
            <w:pPr>
              <w:rPr>
                <w:sz w:val="20"/>
                <w:szCs w:val="20"/>
              </w:rPr>
            </w:pPr>
            <w:r w:rsidRPr="00307566">
              <w:rPr>
                <w:sz w:val="20"/>
                <w:szCs w:val="20"/>
              </w:rPr>
              <w:t>VOMS</w:t>
            </w:r>
          </w:p>
        </w:tc>
        <w:tc>
          <w:tcPr>
            <w:tcW w:w="6776" w:type="dxa"/>
            <w:tcBorders>
              <w:top w:val="nil"/>
              <w:left w:val="nil"/>
              <w:bottom w:val="single" w:sz="8" w:space="0" w:color="BFBFBF"/>
              <w:right w:val="single" w:sz="8" w:space="0" w:color="BFBFBF"/>
            </w:tcBorders>
            <w:shd w:val="clear" w:color="auto" w:fill="FFFFFF"/>
            <w:tcMar>
              <w:top w:w="100" w:type="dxa"/>
              <w:left w:w="100" w:type="dxa"/>
              <w:bottom w:w="100" w:type="dxa"/>
              <w:right w:w="100" w:type="dxa"/>
            </w:tcMar>
          </w:tcPr>
          <w:p w14:paraId="6DFF95F8" w14:textId="77777777" w:rsidR="009B4F68" w:rsidRPr="00307566" w:rsidRDefault="00164E6E" w:rsidP="00D66FAE">
            <w:pPr>
              <w:cnfStyle w:val="000000100000" w:firstRow="0" w:lastRow="0" w:firstColumn="0" w:lastColumn="0" w:oddVBand="0" w:evenVBand="0" w:oddHBand="1" w:evenHBand="0" w:firstRowFirstColumn="0" w:firstRowLastColumn="0" w:lastRowFirstColumn="0" w:lastRowLastColumn="0"/>
              <w:rPr>
                <w:sz w:val="20"/>
                <w:szCs w:val="20"/>
              </w:rPr>
            </w:pPr>
            <w:r w:rsidRPr="00307566">
              <w:rPr>
                <w:sz w:val="20"/>
                <w:szCs w:val="20"/>
              </w:rPr>
              <w:t>Virtual Organisation Management System</w:t>
            </w:r>
          </w:p>
        </w:tc>
      </w:tr>
    </w:tbl>
    <w:p w14:paraId="27741D5B" w14:textId="77777777" w:rsidR="009B4F68" w:rsidRPr="00307566" w:rsidRDefault="00164E6E">
      <w:r w:rsidRPr="00307566">
        <w:br w:type="page"/>
      </w:r>
    </w:p>
    <w:p w14:paraId="7321CA37" w14:textId="77777777" w:rsidR="005C2031" w:rsidRPr="00307566" w:rsidRDefault="00164E6E">
      <w:pPr>
        <w:pStyle w:val="TOC1"/>
        <w:tabs>
          <w:tab w:val="left" w:pos="440"/>
          <w:tab w:val="right" w:pos="9016"/>
        </w:tabs>
        <w:rPr>
          <w:b/>
          <w:color w:val="1C3046"/>
          <w:sz w:val="40"/>
          <w:szCs w:val="40"/>
        </w:rPr>
      </w:pPr>
      <w:r w:rsidRPr="00307566">
        <w:rPr>
          <w:b/>
          <w:color w:val="1C3046"/>
          <w:sz w:val="40"/>
          <w:szCs w:val="40"/>
        </w:rPr>
        <w:lastRenderedPageBreak/>
        <w:t>Contents</w:t>
      </w:r>
    </w:p>
    <w:sdt>
      <w:sdtPr>
        <w:id w:val="53283983"/>
        <w:docPartObj>
          <w:docPartGallery w:val="Table of Contents"/>
          <w:docPartUnique/>
        </w:docPartObj>
      </w:sdtPr>
      <w:sdtEndPr/>
      <w:sdtContent>
        <w:p w14:paraId="3BA0911A" w14:textId="36C06C38" w:rsidR="00D66FAE" w:rsidRDefault="00164E6E">
          <w:pPr>
            <w:pStyle w:val="TOC1"/>
            <w:tabs>
              <w:tab w:val="left" w:pos="440"/>
              <w:tab w:val="right" w:leader="dot" w:pos="9016"/>
            </w:tabs>
            <w:rPr>
              <w:rFonts w:asciiTheme="minorHAnsi" w:eastAsiaTheme="minorEastAsia" w:hAnsiTheme="minorHAnsi" w:cstheme="minorBidi"/>
              <w:noProof/>
              <w:lang w:eastAsia="en-GB"/>
            </w:rPr>
          </w:pPr>
          <w:r w:rsidRPr="00307566">
            <w:fldChar w:fldCharType="begin"/>
          </w:r>
          <w:r w:rsidRPr="00307566">
            <w:instrText xml:space="preserve"> TOC \h \u \z </w:instrText>
          </w:r>
          <w:r w:rsidRPr="00307566">
            <w:fldChar w:fldCharType="separate"/>
          </w:r>
          <w:hyperlink w:anchor="_Toc46932751" w:history="1">
            <w:r w:rsidR="00D66FAE" w:rsidRPr="00EA3F9E">
              <w:rPr>
                <w:rStyle w:val="Hyperlink"/>
                <w:noProof/>
              </w:rPr>
              <w:t>1</w:t>
            </w:r>
            <w:r w:rsidR="00D66FAE">
              <w:rPr>
                <w:rFonts w:asciiTheme="minorHAnsi" w:eastAsiaTheme="minorEastAsia" w:hAnsiTheme="minorHAnsi" w:cstheme="minorBidi"/>
                <w:noProof/>
                <w:lang w:eastAsia="en-GB"/>
              </w:rPr>
              <w:tab/>
            </w:r>
            <w:r w:rsidR="00D66FAE" w:rsidRPr="00EA3F9E">
              <w:rPr>
                <w:rStyle w:val="Hyperlink"/>
                <w:noProof/>
              </w:rPr>
              <w:t>Introduction</w:t>
            </w:r>
            <w:r w:rsidR="00D66FAE">
              <w:rPr>
                <w:noProof/>
                <w:webHidden/>
              </w:rPr>
              <w:tab/>
            </w:r>
            <w:r w:rsidR="00D66FAE">
              <w:rPr>
                <w:noProof/>
                <w:webHidden/>
              </w:rPr>
              <w:fldChar w:fldCharType="begin"/>
            </w:r>
            <w:r w:rsidR="00D66FAE">
              <w:rPr>
                <w:noProof/>
                <w:webHidden/>
              </w:rPr>
              <w:instrText xml:space="preserve"> PAGEREF _Toc46932751 \h </w:instrText>
            </w:r>
            <w:r w:rsidR="00D66FAE">
              <w:rPr>
                <w:noProof/>
                <w:webHidden/>
              </w:rPr>
            </w:r>
            <w:r w:rsidR="00D66FAE">
              <w:rPr>
                <w:noProof/>
                <w:webHidden/>
              </w:rPr>
              <w:fldChar w:fldCharType="separate"/>
            </w:r>
            <w:r w:rsidR="003921A6">
              <w:rPr>
                <w:noProof/>
                <w:webHidden/>
              </w:rPr>
              <w:t>7</w:t>
            </w:r>
            <w:r w:rsidR="00D66FAE">
              <w:rPr>
                <w:noProof/>
                <w:webHidden/>
              </w:rPr>
              <w:fldChar w:fldCharType="end"/>
            </w:r>
          </w:hyperlink>
        </w:p>
        <w:p w14:paraId="19EB6744" w14:textId="7CD959C5" w:rsidR="00D66FAE" w:rsidRDefault="006C3A5A">
          <w:pPr>
            <w:pStyle w:val="TOC1"/>
            <w:tabs>
              <w:tab w:val="left" w:pos="440"/>
              <w:tab w:val="right" w:leader="dot" w:pos="9016"/>
            </w:tabs>
            <w:rPr>
              <w:rFonts w:asciiTheme="minorHAnsi" w:eastAsiaTheme="minorEastAsia" w:hAnsiTheme="minorHAnsi" w:cstheme="minorBidi"/>
              <w:noProof/>
              <w:lang w:eastAsia="en-GB"/>
            </w:rPr>
          </w:pPr>
          <w:hyperlink w:anchor="_Toc46932752" w:history="1">
            <w:r w:rsidR="00D66FAE" w:rsidRPr="00EA3F9E">
              <w:rPr>
                <w:rStyle w:val="Hyperlink"/>
                <w:noProof/>
              </w:rPr>
              <w:t>2</w:t>
            </w:r>
            <w:r w:rsidR="00D66FAE">
              <w:rPr>
                <w:rFonts w:asciiTheme="minorHAnsi" w:eastAsiaTheme="minorEastAsia" w:hAnsiTheme="minorHAnsi" w:cstheme="minorBidi"/>
                <w:noProof/>
                <w:lang w:eastAsia="en-GB"/>
              </w:rPr>
              <w:tab/>
            </w:r>
            <w:r w:rsidR="00D66FAE" w:rsidRPr="00EA3F9E">
              <w:rPr>
                <w:rStyle w:val="Hyperlink"/>
                <w:noProof/>
              </w:rPr>
              <w:t>Capacity Management (CAPM) process</w:t>
            </w:r>
            <w:r w:rsidR="00D66FAE">
              <w:rPr>
                <w:noProof/>
                <w:webHidden/>
              </w:rPr>
              <w:tab/>
            </w:r>
            <w:r w:rsidR="00D66FAE">
              <w:rPr>
                <w:noProof/>
                <w:webHidden/>
              </w:rPr>
              <w:fldChar w:fldCharType="begin"/>
            </w:r>
            <w:r w:rsidR="00D66FAE">
              <w:rPr>
                <w:noProof/>
                <w:webHidden/>
              </w:rPr>
              <w:instrText xml:space="preserve"> PAGEREF _Toc46932752 \h </w:instrText>
            </w:r>
            <w:r w:rsidR="00D66FAE">
              <w:rPr>
                <w:noProof/>
                <w:webHidden/>
              </w:rPr>
            </w:r>
            <w:r w:rsidR="00D66FAE">
              <w:rPr>
                <w:noProof/>
                <w:webHidden/>
              </w:rPr>
              <w:fldChar w:fldCharType="separate"/>
            </w:r>
            <w:r w:rsidR="003921A6">
              <w:rPr>
                <w:noProof/>
                <w:webHidden/>
              </w:rPr>
              <w:t>8</w:t>
            </w:r>
            <w:r w:rsidR="00D66FAE">
              <w:rPr>
                <w:noProof/>
                <w:webHidden/>
              </w:rPr>
              <w:fldChar w:fldCharType="end"/>
            </w:r>
          </w:hyperlink>
        </w:p>
        <w:p w14:paraId="76E566DA" w14:textId="2C7D377C" w:rsidR="00D66FAE" w:rsidRDefault="006C3A5A">
          <w:pPr>
            <w:pStyle w:val="TOC2"/>
            <w:tabs>
              <w:tab w:val="left" w:pos="880"/>
              <w:tab w:val="right" w:leader="dot" w:pos="9016"/>
            </w:tabs>
            <w:rPr>
              <w:rFonts w:asciiTheme="minorHAnsi" w:eastAsiaTheme="minorEastAsia" w:hAnsiTheme="minorHAnsi" w:cstheme="minorBidi"/>
              <w:noProof/>
              <w:lang w:eastAsia="en-GB"/>
            </w:rPr>
          </w:pPr>
          <w:hyperlink w:anchor="_Toc46932753" w:history="1">
            <w:r w:rsidR="00D66FAE" w:rsidRPr="00EA3F9E">
              <w:rPr>
                <w:rStyle w:val="Hyperlink"/>
                <w:noProof/>
              </w:rPr>
              <w:t>2.1</w:t>
            </w:r>
            <w:r w:rsidR="00D66FAE">
              <w:rPr>
                <w:rFonts w:asciiTheme="minorHAnsi" w:eastAsiaTheme="minorEastAsia" w:hAnsiTheme="minorHAnsi" w:cstheme="minorBidi"/>
                <w:noProof/>
                <w:lang w:eastAsia="en-GB"/>
              </w:rPr>
              <w:tab/>
            </w:r>
            <w:r w:rsidR="00D66FAE" w:rsidRPr="00EA3F9E">
              <w:rPr>
                <w:rStyle w:val="Hyperlink"/>
                <w:noProof/>
              </w:rPr>
              <w:t>Scope of the process</w:t>
            </w:r>
            <w:r w:rsidR="00D66FAE">
              <w:rPr>
                <w:noProof/>
                <w:webHidden/>
              </w:rPr>
              <w:tab/>
            </w:r>
            <w:r w:rsidR="00D66FAE">
              <w:rPr>
                <w:noProof/>
                <w:webHidden/>
              </w:rPr>
              <w:fldChar w:fldCharType="begin"/>
            </w:r>
            <w:r w:rsidR="00D66FAE">
              <w:rPr>
                <w:noProof/>
                <w:webHidden/>
              </w:rPr>
              <w:instrText xml:space="preserve"> PAGEREF _Toc46932753 \h </w:instrText>
            </w:r>
            <w:r w:rsidR="00D66FAE">
              <w:rPr>
                <w:noProof/>
                <w:webHidden/>
              </w:rPr>
            </w:r>
            <w:r w:rsidR="00D66FAE">
              <w:rPr>
                <w:noProof/>
                <w:webHidden/>
              </w:rPr>
              <w:fldChar w:fldCharType="separate"/>
            </w:r>
            <w:r w:rsidR="003921A6">
              <w:rPr>
                <w:noProof/>
                <w:webHidden/>
              </w:rPr>
              <w:t>8</w:t>
            </w:r>
            <w:r w:rsidR="00D66FAE">
              <w:rPr>
                <w:noProof/>
                <w:webHidden/>
              </w:rPr>
              <w:fldChar w:fldCharType="end"/>
            </w:r>
          </w:hyperlink>
        </w:p>
        <w:p w14:paraId="59A7C084" w14:textId="09321722" w:rsidR="00D66FAE" w:rsidRDefault="006C3A5A">
          <w:pPr>
            <w:pStyle w:val="TOC1"/>
            <w:tabs>
              <w:tab w:val="left" w:pos="440"/>
              <w:tab w:val="right" w:leader="dot" w:pos="9016"/>
            </w:tabs>
            <w:rPr>
              <w:rFonts w:asciiTheme="minorHAnsi" w:eastAsiaTheme="minorEastAsia" w:hAnsiTheme="minorHAnsi" w:cstheme="minorBidi"/>
              <w:noProof/>
              <w:lang w:eastAsia="en-GB"/>
            </w:rPr>
          </w:pPr>
          <w:hyperlink w:anchor="_Toc46932754" w:history="1">
            <w:r w:rsidR="00D66FAE" w:rsidRPr="00EA3F9E">
              <w:rPr>
                <w:rStyle w:val="Hyperlink"/>
                <w:noProof/>
              </w:rPr>
              <w:t>3</w:t>
            </w:r>
            <w:r w:rsidR="00D66FAE">
              <w:rPr>
                <w:rFonts w:asciiTheme="minorHAnsi" w:eastAsiaTheme="minorEastAsia" w:hAnsiTheme="minorHAnsi" w:cstheme="minorBidi"/>
                <w:noProof/>
                <w:lang w:eastAsia="en-GB"/>
              </w:rPr>
              <w:tab/>
            </w:r>
            <w:r w:rsidR="00D66FAE" w:rsidRPr="00EA3F9E">
              <w:rPr>
                <w:rStyle w:val="Hyperlink"/>
                <w:noProof/>
              </w:rPr>
              <w:t>Capacity plan structure and criteria adopted</w:t>
            </w:r>
            <w:r w:rsidR="00D66FAE">
              <w:rPr>
                <w:noProof/>
                <w:webHidden/>
              </w:rPr>
              <w:tab/>
            </w:r>
            <w:r w:rsidR="00D66FAE">
              <w:rPr>
                <w:noProof/>
                <w:webHidden/>
              </w:rPr>
              <w:fldChar w:fldCharType="begin"/>
            </w:r>
            <w:r w:rsidR="00D66FAE">
              <w:rPr>
                <w:noProof/>
                <w:webHidden/>
              </w:rPr>
              <w:instrText xml:space="preserve"> PAGEREF _Toc46932754 \h </w:instrText>
            </w:r>
            <w:r w:rsidR="00D66FAE">
              <w:rPr>
                <w:noProof/>
                <w:webHidden/>
              </w:rPr>
            </w:r>
            <w:r w:rsidR="00D66FAE">
              <w:rPr>
                <w:noProof/>
                <w:webHidden/>
              </w:rPr>
              <w:fldChar w:fldCharType="separate"/>
            </w:r>
            <w:r w:rsidR="003921A6">
              <w:rPr>
                <w:noProof/>
                <w:webHidden/>
              </w:rPr>
              <w:t>9</w:t>
            </w:r>
            <w:r w:rsidR="00D66FAE">
              <w:rPr>
                <w:noProof/>
                <w:webHidden/>
              </w:rPr>
              <w:fldChar w:fldCharType="end"/>
            </w:r>
          </w:hyperlink>
        </w:p>
        <w:p w14:paraId="13916398" w14:textId="6F1D5B51" w:rsidR="00D66FAE" w:rsidRDefault="006C3A5A">
          <w:pPr>
            <w:pStyle w:val="TOC1"/>
            <w:tabs>
              <w:tab w:val="left" w:pos="440"/>
              <w:tab w:val="right" w:leader="dot" w:pos="9016"/>
            </w:tabs>
            <w:rPr>
              <w:rFonts w:asciiTheme="minorHAnsi" w:eastAsiaTheme="minorEastAsia" w:hAnsiTheme="minorHAnsi" w:cstheme="minorBidi"/>
              <w:noProof/>
              <w:lang w:eastAsia="en-GB"/>
            </w:rPr>
          </w:pPr>
          <w:hyperlink w:anchor="_Toc46932755" w:history="1">
            <w:r w:rsidR="00D66FAE" w:rsidRPr="00EA3F9E">
              <w:rPr>
                <w:rStyle w:val="Hyperlink"/>
                <w:noProof/>
              </w:rPr>
              <w:t>4</w:t>
            </w:r>
            <w:r w:rsidR="00D66FAE">
              <w:rPr>
                <w:rFonts w:asciiTheme="minorHAnsi" w:eastAsiaTheme="minorEastAsia" w:hAnsiTheme="minorHAnsi" w:cstheme="minorBidi"/>
                <w:noProof/>
                <w:lang w:eastAsia="en-GB"/>
              </w:rPr>
              <w:tab/>
            </w:r>
            <w:r w:rsidR="00D66FAE" w:rsidRPr="00EA3F9E">
              <w:rPr>
                <w:rStyle w:val="Hyperlink"/>
                <w:noProof/>
              </w:rPr>
              <w:t>Capacity plans of the services in the Hub Portfolio</w:t>
            </w:r>
            <w:r w:rsidR="00D66FAE">
              <w:rPr>
                <w:noProof/>
                <w:webHidden/>
              </w:rPr>
              <w:tab/>
            </w:r>
            <w:r w:rsidR="00D66FAE">
              <w:rPr>
                <w:noProof/>
                <w:webHidden/>
              </w:rPr>
              <w:fldChar w:fldCharType="begin"/>
            </w:r>
            <w:r w:rsidR="00D66FAE">
              <w:rPr>
                <w:noProof/>
                <w:webHidden/>
              </w:rPr>
              <w:instrText xml:space="preserve"> PAGEREF _Toc46932755 \h </w:instrText>
            </w:r>
            <w:r w:rsidR="00D66FAE">
              <w:rPr>
                <w:noProof/>
                <w:webHidden/>
              </w:rPr>
            </w:r>
            <w:r w:rsidR="00D66FAE">
              <w:rPr>
                <w:noProof/>
                <w:webHidden/>
              </w:rPr>
              <w:fldChar w:fldCharType="separate"/>
            </w:r>
            <w:r w:rsidR="003921A6">
              <w:rPr>
                <w:noProof/>
                <w:webHidden/>
              </w:rPr>
              <w:t>12</w:t>
            </w:r>
            <w:r w:rsidR="00D66FAE">
              <w:rPr>
                <w:noProof/>
                <w:webHidden/>
              </w:rPr>
              <w:fldChar w:fldCharType="end"/>
            </w:r>
          </w:hyperlink>
        </w:p>
        <w:p w14:paraId="4BA67750" w14:textId="7C7ACA67" w:rsidR="00D66FAE" w:rsidRDefault="006C3A5A">
          <w:pPr>
            <w:pStyle w:val="TOC2"/>
            <w:tabs>
              <w:tab w:val="left" w:pos="880"/>
              <w:tab w:val="right" w:leader="dot" w:pos="9016"/>
            </w:tabs>
            <w:rPr>
              <w:rFonts w:asciiTheme="minorHAnsi" w:eastAsiaTheme="minorEastAsia" w:hAnsiTheme="minorHAnsi" w:cstheme="minorBidi"/>
              <w:noProof/>
              <w:lang w:eastAsia="en-GB"/>
            </w:rPr>
          </w:pPr>
          <w:hyperlink w:anchor="_Toc46932756" w:history="1">
            <w:r w:rsidR="00D66FAE" w:rsidRPr="00EA3F9E">
              <w:rPr>
                <w:rStyle w:val="Hyperlink"/>
                <w:noProof/>
              </w:rPr>
              <w:t>4.1</w:t>
            </w:r>
            <w:r w:rsidR="00D66FAE">
              <w:rPr>
                <w:rFonts w:asciiTheme="minorHAnsi" w:eastAsiaTheme="minorEastAsia" w:hAnsiTheme="minorHAnsi" w:cstheme="minorBidi"/>
                <w:noProof/>
                <w:lang w:eastAsia="en-GB"/>
              </w:rPr>
              <w:tab/>
            </w:r>
            <w:r w:rsidR="00D66FAE" w:rsidRPr="00EA3F9E">
              <w:rPr>
                <w:rStyle w:val="Hyperlink"/>
                <w:noProof/>
              </w:rPr>
              <w:t>AAI - EGI Check-in</w:t>
            </w:r>
            <w:r w:rsidR="00D66FAE">
              <w:rPr>
                <w:noProof/>
                <w:webHidden/>
              </w:rPr>
              <w:tab/>
            </w:r>
            <w:r w:rsidR="00D66FAE">
              <w:rPr>
                <w:noProof/>
                <w:webHidden/>
              </w:rPr>
              <w:fldChar w:fldCharType="begin"/>
            </w:r>
            <w:r w:rsidR="00D66FAE">
              <w:rPr>
                <w:noProof/>
                <w:webHidden/>
              </w:rPr>
              <w:instrText xml:space="preserve"> PAGEREF _Toc46932756 \h </w:instrText>
            </w:r>
            <w:r w:rsidR="00D66FAE">
              <w:rPr>
                <w:noProof/>
                <w:webHidden/>
              </w:rPr>
            </w:r>
            <w:r w:rsidR="00D66FAE">
              <w:rPr>
                <w:noProof/>
                <w:webHidden/>
              </w:rPr>
              <w:fldChar w:fldCharType="separate"/>
            </w:r>
            <w:r w:rsidR="003921A6">
              <w:rPr>
                <w:noProof/>
                <w:webHidden/>
              </w:rPr>
              <w:t>12</w:t>
            </w:r>
            <w:r w:rsidR="00D66FAE">
              <w:rPr>
                <w:noProof/>
                <w:webHidden/>
              </w:rPr>
              <w:fldChar w:fldCharType="end"/>
            </w:r>
          </w:hyperlink>
        </w:p>
        <w:p w14:paraId="4C3C21A3" w14:textId="46D6AE93" w:rsidR="00D66FAE" w:rsidRDefault="006C3A5A">
          <w:pPr>
            <w:pStyle w:val="TOC3"/>
            <w:tabs>
              <w:tab w:val="left" w:pos="1320"/>
              <w:tab w:val="right" w:leader="dot" w:pos="9016"/>
            </w:tabs>
            <w:rPr>
              <w:rFonts w:asciiTheme="minorHAnsi" w:eastAsiaTheme="minorEastAsia" w:hAnsiTheme="minorHAnsi" w:cstheme="minorBidi"/>
              <w:noProof/>
              <w:lang w:eastAsia="en-GB"/>
            </w:rPr>
          </w:pPr>
          <w:hyperlink w:anchor="_Toc46932757" w:history="1">
            <w:r w:rsidR="00D66FAE" w:rsidRPr="00EA3F9E">
              <w:rPr>
                <w:rStyle w:val="Hyperlink"/>
                <w:noProof/>
              </w:rPr>
              <w:t>4.1.1</w:t>
            </w:r>
            <w:r w:rsidR="00D66FAE">
              <w:rPr>
                <w:rFonts w:asciiTheme="minorHAnsi" w:eastAsiaTheme="minorEastAsia" w:hAnsiTheme="minorHAnsi" w:cstheme="minorBidi"/>
                <w:noProof/>
                <w:lang w:eastAsia="en-GB"/>
              </w:rPr>
              <w:tab/>
            </w:r>
            <w:r w:rsidR="00D66FAE" w:rsidRPr="00EA3F9E">
              <w:rPr>
                <w:rStyle w:val="Hyperlink"/>
                <w:noProof/>
              </w:rPr>
              <w:t>Software/Service Performance SLIs</w:t>
            </w:r>
            <w:r w:rsidR="00D66FAE">
              <w:rPr>
                <w:noProof/>
                <w:webHidden/>
              </w:rPr>
              <w:tab/>
            </w:r>
            <w:r w:rsidR="00D66FAE">
              <w:rPr>
                <w:noProof/>
                <w:webHidden/>
              </w:rPr>
              <w:fldChar w:fldCharType="begin"/>
            </w:r>
            <w:r w:rsidR="00D66FAE">
              <w:rPr>
                <w:noProof/>
                <w:webHidden/>
              </w:rPr>
              <w:instrText xml:space="preserve"> PAGEREF _Toc46932757 \h </w:instrText>
            </w:r>
            <w:r w:rsidR="00D66FAE">
              <w:rPr>
                <w:noProof/>
                <w:webHidden/>
              </w:rPr>
            </w:r>
            <w:r w:rsidR="00D66FAE">
              <w:rPr>
                <w:noProof/>
                <w:webHidden/>
              </w:rPr>
              <w:fldChar w:fldCharType="separate"/>
            </w:r>
            <w:r w:rsidR="003921A6">
              <w:rPr>
                <w:noProof/>
                <w:webHidden/>
              </w:rPr>
              <w:t>12</w:t>
            </w:r>
            <w:r w:rsidR="00D66FAE">
              <w:rPr>
                <w:noProof/>
                <w:webHidden/>
              </w:rPr>
              <w:fldChar w:fldCharType="end"/>
            </w:r>
          </w:hyperlink>
        </w:p>
        <w:p w14:paraId="39E3416F" w14:textId="134C15C7" w:rsidR="00D66FAE" w:rsidRDefault="006C3A5A">
          <w:pPr>
            <w:pStyle w:val="TOC3"/>
            <w:tabs>
              <w:tab w:val="left" w:pos="1320"/>
              <w:tab w:val="right" w:leader="dot" w:pos="9016"/>
            </w:tabs>
            <w:rPr>
              <w:rFonts w:asciiTheme="minorHAnsi" w:eastAsiaTheme="minorEastAsia" w:hAnsiTheme="minorHAnsi" w:cstheme="minorBidi"/>
              <w:noProof/>
              <w:lang w:eastAsia="en-GB"/>
            </w:rPr>
          </w:pPr>
          <w:hyperlink w:anchor="_Toc46932758" w:history="1">
            <w:r w:rsidR="00D66FAE" w:rsidRPr="00EA3F9E">
              <w:rPr>
                <w:rStyle w:val="Hyperlink"/>
                <w:noProof/>
              </w:rPr>
              <w:t>4.1.2</w:t>
            </w:r>
            <w:r w:rsidR="00D66FAE">
              <w:rPr>
                <w:rFonts w:asciiTheme="minorHAnsi" w:eastAsiaTheme="minorEastAsia" w:hAnsiTheme="minorHAnsi" w:cstheme="minorBidi"/>
                <w:noProof/>
                <w:lang w:eastAsia="en-GB"/>
              </w:rPr>
              <w:tab/>
            </w:r>
            <w:r w:rsidR="00D66FAE" w:rsidRPr="00EA3F9E">
              <w:rPr>
                <w:rStyle w:val="Hyperlink"/>
                <w:noProof/>
              </w:rPr>
              <w:t>Human (Operation and Tickets handling) SLIs</w:t>
            </w:r>
            <w:r w:rsidR="00D66FAE">
              <w:rPr>
                <w:noProof/>
                <w:webHidden/>
              </w:rPr>
              <w:tab/>
            </w:r>
            <w:r w:rsidR="00D66FAE">
              <w:rPr>
                <w:noProof/>
                <w:webHidden/>
              </w:rPr>
              <w:fldChar w:fldCharType="begin"/>
            </w:r>
            <w:r w:rsidR="00D66FAE">
              <w:rPr>
                <w:noProof/>
                <w:webHidden/>
              </w:rPr>
              <w:instrText xml:space="preserve"> PAGEREF _Toc46932758 \h </w:instrText>
            </w:r>
            <w:r w:rsidR="00D66FAE">
              <w:rPr>
                <w:noProof/>
                <w:webHidden/>
              </w:rPr>
            </w:r>
            <w:r w:rsidR="00D66FAE">
              <w:rPr>
                <w:noProof/>
                <w:webHidden/>
              </w:rPr>
              <w:fldChar w:fldCharType="separate"/>
            </w:r>
            <w:r w:rsidR="003921A6">
              <w:rPr>
                <w:noProof/>
                <w:webHidden/>
              </w:rPr>
              <w:t>15</w:t>
            </w:r>
            <w:r w:rsidR="00D66FAE">
              <w:rPr>
                <w:noProof/>
                <w:webHidden/>
              </w:rPr>
              <w:fldChar w:fldCharType="end"/>
            </w:r>
          </w:hyperlink>
        </w:p>
        <w:p w14:paraId="5E520348" w14:textId="457B920B" w:rsidR="00D66FAE" w:rsidRDefault="006C3A5A">
          <w:pPr>
            <w:pStyle w:val="TOC2"/>
            <w:tabs>
              <w:tab w:val="left" w:pos="880"/>
              <w:tab w:val="right" w:leader="dot" w:pos="9016"/>
            </w:tabs>
            <w:rPr>
              <w:rFonts w:asciiTheme="minorHAnsi" w:eastAsiaTheme="minorEastAsia" w:hAnsiTheme="minorHAnsi" w:cstheme="minorBidi"/>
              <w:noProof/>
              <w:lang w:eastAsia="en-GB"/>
            </w:rPr>
          </w:pPr>
          <w:hyperlink w:anchor="_Toc46932759" w:history="1">
            <w:r w:rsidR="00D66FAE" w:rsidRPr="00EA3F9E">
              <w:rPr>
                <w:rStyle w:val="Hyperlink"/>
                <w:noProof/>
              </w:rPr>
              <w:t>4.2</w:t>
            </w:r>
            <w:r w:rsidR="00D66FAE">
              <w:rPr>
                <w:rFonts w:asciiTheme="minorHAnsi" w:eastAsiaTheme="minorEastAsia" w:hAnsiTheme="minorHAnsi" w:cstheme="minorBidi"/>
                <w:noProof/>
                <w:lang w:eastAsia="en-GB"/>
              </w:rPr>
              <w:tab/>
            </w:r>
            <w:r w:rsidR="00D66FAE" w:rsidRPr="00EA3F9E">
              <w:rPr>
                <w:rStyle w:val="Hyperlink"/>
                <w:noProof/>
              </w:rPr>
              <w:t>Configuration Management Database - EGI GOCDB</w:t>
            </w:r>
            <w:r w:rsidR="00D66FAE">
              <w:rPr>
                <w:noProof/>
                <w:webHidden/>
              </w:rPr>
              <w:tab/>
            </w:r>
            <w:r w:rsidR="00D66FAE">
              <w:rPr>
                <w:noProof/>
                <w:webHidden/>
              </w:rPr>
              <w:fldChar w:fldCharType="begin"/>
            </w:r>
            <w:r w:rsidR="00D66FAE">
              <w:rPr>
                <w:noProof/>
                <w:webHidden/>
              </w:rPr>
              <w:instrText xml:space="preserve"> PAGEREF _Toc46932759 \h </w:instrText>
            </w:r>
            <w:r w:rsidR="00D66FAE">
              <w:rPr>
                <w:noProof/>
                <w:webHidden/>
              </w:rPr>
            </w:r>
            <w:r w:rsidR="00D66FAE">
              <w:rPr>
                <w:noProof/>
                <w:webHidden/>
              </w:rPr>
              <w:fldChar w:fldCharType="separate"/>
            </w:r>
            <w:r w:rsidR="003921A6">
              <w:rPr>
                <w:noProof/>
                <w:webHidden/>
              </w:rPr>
              <w:t>16</w:t>
            </w:r>
            <w:r w:rsidR="00D66FAE">
              <w:rPr>
                <w:noProof/>
                <w:webHidden/>
              </w:rPr>
              <w:fldChar w:fldCharType="end"/>
            </w:r>
          </w:hyperlink>
        </w:p>
        <w:p w14:paraId="0B54D7B2" w14:textId="4AEFE160" w:rsidR="00D66FAE" w:rsidRDefault="006C3A5A">
          <w:pPr>
            <w:pStyle w:val="TOC3"/>
            <w:tabs>
              <w:tab w:val="left" w:pos="1320"/>
              <w:tab w:val="right" w:leader="dot" w:pos="9016"/>
            </w:tabs>
            <w:rPr>
              <w:rFonts w:asciiTheme="minorHAnsi" w:eastAsiaTheme="minorEastAsia" w:hAnsiTheme="minorHAnsi" w:cstheme="minorBidi"/>
              <w:noProof/>
              <w:lang w:eastAsia="en-GB"/>
            </w:rPr>
          </w:pPr>
          <w:hyperlink w:anchor="_Toc46932760" w:history="1">
            <w:r w:rsidR="00D66FAE" w:rsidRPr="00EA3F9E">
              <w:rPr>
                <w:rStyle w:val="Hyperlink"/>
                <w:noProof/>
              </w:rPr>
              <w:t>4.2.1</w:t>
            </w:r>
            <w:r w:rsidR="00D66FAE">
              <w:rPr>
                <w:rFonts w:asciiTheme="minorHAnsi" w:eastAsiaTheme="minorEastAsia" w:hAnsiTheme="minorHAnsi" w:cstheme="minorBidi"/>
                <w:noProof/>
                <w:lang w:eastAsia="en-GB"/>
              </w:rPr>
              <w:tab/>
            </w:r>
            <w:r w:rsidR="00D66FAE" w:rsidRPr="00EA3F9E">
              <w:rPr>
                <w:rStyle w:val="Hyperlink"/>
                <w:noProof/>
              </w:rPr>
              <w:t>Software/Service Performance SLIs</w:t>
            </w:r>
            <w:r w:rsidR="00D66FAE">
              <w:rPr>
                <w:noProof/>
                <w:webHidden/>
              </w:rPr>
              <w:tab/>
            </w:r>
            <w:r w:rsidR="00D66FAE">
              <w:rPr>
                <w:noProof/>
                <w:webHidden/>
              </w:rPr>
              <w:fldChar w:fldCharType="begin"/>
            </w:r>
            <w:r w:rsidR="00D66FAE">
              <w:rPr>
                <w:noProof/>
                <w:webHidden/>
              </w:rPr>
              <w:instrText xml:space="preserve"> PAGEREF _Toc46932760 \h </w:instrText>
            </w:r>
            <w:r w:rsidR="00D66FAE">
              <w:rPr>
                <w:noProof/>
                <w:webHidden/>
              </w:rPr>
            </w:r>
            <w:r w:rsidR="00D66FAE">
              <w:rPr>
                <w:noProof/>
                <w:webHidden/>
              </w:rPr>
              <w:fldChar w:fldCharType="separate"/>
            </w:r>
            <w:r w:rsidR="003921A6">
              <w:rPr>
                <w:noProof/>
                <w:webHidden/>
              </w:rPr>
              <w:t>16</w:t>
            </w:r>
            <w:r w:rsidR="00D66FAE">
              <w:rPr>
                <w:noProof/>
                <w:webHidden/>
              </w:rPr>
              <w:fldChar w:fldCharType="end"/>
            </w:r>
          </w:hyperlink>
        </w:p>
        <w:p w14:paraId="50E388C7" w14:textId="4BCEA5A5" w:rsidR="00D66FAE" w:rsidRDefault="006C3A5A">
          <w:pPr>
            <w:pStyle w:val="TOC3"/>
            <w:tabs>
              <w:tab w:val="left" w:pos="1320"/>
              <w:tab w:val="right" w:leader="dot" w:pos="9016"/>
            </w:tabs>
            <w:rPr>
              <w:rFonts w:asciiTheme="minorHAnsi" w:eastAsiaTheme="minorEastAsia" w:hAnsiTheme="minorHAnsi" w:cstheme="minorBidi"/>
              <w:noProof/>
              <w:lang w:eastAsia="en-GB"/>
            </w:rPr>
          </w:pPr>
          <w:hyperlink w:anchor="_Toc46932761" w:history="1">
            <w:r w:rsidR="00D66FAE" w:rsidRPr="00EA3F9E">
              <w:rPr>
                <w:rStyle w:val="Hyperlink"/>
                <w:noProof/>
              </w:rPr>
              <w:t>4.2.2</w:t>
            </w:r>
            <w:r w:rsidR="00D66FAE">
              <w:rPr>
                <w:rFonts w:asciiTheme="minorHAnsi" w:eastAsiaTheme="minorEastAsia" w:hAnsiTheme="minorHAnsi" w:cstheme="minorBidi"/>
                <w:noProof/>
                <w:lang w:eastAsia="en-GB"/>
              </w:rPr>
              <w:tab/>
            </w:r>
            <w:r w:rsidR="00D66FAE" w:rsidRPr="00EA3F9E">
              <w:rPr>
                <w:rStyle w:val="Hyperlink"/>
                <w:noProof/>
              </w:rPr>
              <w:t>Human (Operation and Tickets handling) SLIs</w:t>
            </w:r>
            <w:r w:rsidR="00D66FAE">
              <w:rPr>
                <w:noProof/>
                <w:webHidden/>
              </w:rPr>
              <w:tab/>
            </w:r>
            <w:r w:rsidR="00D66FAE">
              <w:rPr>
                <w:noProof/>
                <w:webHidden/>
              </w:rPr>
              <w:fldChar w:fldCharType="begin"/>
            </w:r>
            <w:r w:rsidR="00D66FAE">
              <w:rPr>
                <w:noProof/>
                <w:webHidden/>
              </w:rPr>
              <w:instrText xml:space="preserve"> PAGEREF _Toc46932761 \h </w:instrText>
            </w:r>
            <w:r w:rsidR="00D66FAE">
              <w:rPr>
                <w:noProof/>
                <w:webHidden/>
              </w:rPr>
            </w:r>
            <w:r w:rsidR="00D66FAE">
              <w:rPr>
                <w:noProof/>
                <w:webHidden/>
              </w:rPr>
              <w:fldChar w:fldCharType="separate"/>
            </w:r>
            <w:r w:rsidR="003921A6">
              <w:rPr>
                <w:noProof/>
                <w:webHidden/>
              </w:rPr>
              <w:t>16</w:t>
            </w:r>
            <w:r w:rsidR="00D66FAE">
              <w:rPr>
                <w:noProof/>
                <w:webHidden/>
              </w:rPr>
              <w:fldChar w:fldCharType="end"/>
            </w:r>
          </w:hyperlink>
        </w:p>
        <w:p w14:paraId="44030E36" w14:textId="3DB9270D" w:rsidR="00D66FAE" w:rsidRDefault="006C3A5A">
          <w:pPr>
            <w:pStyle w:val="TOC2"/>
            <w:tabs>
              <w:tab w:val="left" w:pos="880"/>
              <w:tab w:val="right" w:leader="dot" w:pos="9016"/>
            </w:tabs>
            <w:rPr>
              <w:rFonts w:asciiTheme="minorHAnsi" w:eastAsiaTheme="minorEastAsia" w:hAnsiTheme="minorHAnsi" w:cstheme="minorBidi"/>
              <w:noProof/>
              <w:lang w:eastAsia="en-GB"/>
            </w:rPr>
          </w:pPr>
          <w:hyperlink w:anchor="_Toc46932762" w:history="1">
            <w:r w:rsidR="00D66FAE" w:rsidRPr="00EA3F9E">
              <w:rPr>
                <w:rStyle w:val="Hyperlink"/>
                <w:noProof/>
              </w:rPr>
              <w:t>4.3</w:t>
            </w:r>
            <w:r w:rsidR="00D66FAE">
              <w:rPr>
                <w:rFonts w:asciiTheme="minorHAnsi" w:eastAsiaTheme="minorEastAsia" w:hAnsiTheme="minorHAnsi" w:cstheme="minorBidi"/>
                <w:noProof/>
                <w:lang w:eastAsia="en-GB"/>
              </w:rPr>
              <w:tab/>
            </w:r>
            <w:r w:rsidR="00D66FAE" w:rsidRPr="00EA3F9E">
              <w:rPr>
                <w:rStyle w:val="Hyperlink"/>
                <w:noProof/>
              </w:rPr>
              <w:t>Accounting Repository</w:t>
            </w:r>
            <w:r w:rsidR="00D66FAE">
              <w:rPr>
                <w:noProof/>
                <w:webHidden/>
              </w:rPr>
              <w:tab/>
            </w:r>
            <w:r w:rsidR="00D66FAE">
              <w:rPr>
                <w:noProof/>
                <w:webHidden/>
              </w:rPr>
              <w:fldChar w:fldCharType="begin"/>
            </w:r>
            <w:r w:rsidR="00D66FAE">
              <w:rPr>
                <w:noProof/>
                <w:webHidden/>
              </w:rPr>
              <w:instrText xml:space="preserve"> PAGEREF _Toc46932762 \h </w:instrText>
            </w:r>
            <w:r w:rsidR="00D66FAE">
              <w:rPr>
                <w:noProof/>
                <w:webHidden/>
              </w:rPr>
            </w:r>
            <w:r w:rsidR="00D66FAE">
              <w:rPr>
                <w:noProof/>
                <w:webHidden/>
              </w:rPr>
              <w:fldChar w:fldCharType="separate"/>
            </w:r>
            <w:r w:rsidR="003921A6">
              <w:rPr>
                <w:noProof/>
                <w:webHidden/>
              </w:rPr>
              <w:t>17</w:t>
            </w:r>
            <w:r w:rsidR="00D66FAE">
              <w:rPr>
                <w:noProof/>
                <w:webHidden/>
              </w:rPr>
              <w:fldChar w:fldCharType="end"/>
            </w:r>
          </w:hyperlink>
        </w:p>
        <w:p w14:paraId="4445183D" w14:textId="60F57801" w:rsidR="00D66FAE" w:rsidRDefault="006C3A5A">
          <w:pPr>
            <w:pStyle w:val="TOC3"/>
            <w:tabs>
              <w:tab w:val="left" w:pos="1320"/>
              <w:tab w:val="right" w:leader="dot" w:pos="9016"/>
            </w:tabs>
            <w:rPr>
              <w:rFonts w:asciiTheme="minorHAnsi" w:eastAsiaTheme="minorEastAsia" w:hAnsiTheme="minorHAnsi" w:cstheme="minorBidi"/>
              <w:noProof/>
              <w:lang w:eastAsia="en-GB"/>
            </w:rPr>
          </w:pPr>
          <w:hyperlink w:anchor="_Toc46932763" w:history="1">
            <w:r w:rsidR="00D66FAE" w:rsidRPr="00EA3F9E">
              <w:rPr>
                <w:rStyle w:val="Hyperlink"/>
                <w:noProof/>
              </w:rPr>
              <w:t>4.3.1</w:t>
            </w:r>
            <w:r w:rsidR="00D66FAE">
              <w:rPr>
                <w:rFonts w:asciiTheme="minorHAnsi" w:eastAsiaTheme="minorEastAsia" w:hAnsiTheme="minorHAnsi" w:cstheme="minorBidi"/>
                <w:noProof/>
                <w:lang w:eastAsia="en-GB"/>
              </w:rPr>
              <w:tab/>
            </w:r>
            <w:r w:rsidR="00D66FAE" w:rsidRPr="00EA3F9E">
              <w:rPr>
                <w:rStyle w:val="Hyperlink"/>
                <w:noProof/>
              </w:rPr>
              <w:t>Software/Service Performance SLIs</w:t>
            </w:r>
            <w:r w:rsidR="00D66FAE">
              <w:rPr>
                <w:noProof/>
                <w:webHidden/>
              </w:rPr>
              <w:tab/>
            </w:r>
            <w:r w:rsidR="00D66FAE">
              <w:rPr>
                <w:noProof/>
                <w:webHidden/>
              </w:rPr>
              <w:fldChar w:fldCharType="begin"/>
            </w:r>
            <w:r w:rsidR="00D66FAE">
              <w:rPr>
                <w:noProof/>
                <w:webHidden/>
              </w:rPr>
              <w:instrText xml:space="preserve"> PAGEREF _Toc46932763 \h </w:instrText>
            </w:r>
            <w:r w:rsidR="00D66FAE">
              <w:rPr>
                <w:noProof/>
                <w:webHidden/>
              </w:rPr>
            </w:r>
            <w:r w:rsidR="00D66FAE">
              <w:rPr>
                <w:noProof/>
                <w:webHidden/>
              </w:rPr>
              <w:fldChar w:fldCharType="separate"/>
            </w:r>
            <w:r w:rsidR="003921A6">
              <w:rPr>
                <w:noProof/>
                <w:webHidden/>
              </w:rPr>
              <w:t>17</w:t>
            </w:r>
            <w:r w:rsidR="00D66FAE">
              <w:rPr>
                <w:noProof/>
                <w:webHidden/>
              </w:rPr>
              <w:fldChar w:fldCharType="end"/>
            </w:r>
          </w:hyperlink>
        </w:p>
        <w:p w14:paraId="29BFC835" w14:textId="3FC1E453" w:rsidR="00D66FAE" w:rsidRDefault="006C3A5A">
          <w:pPr>
            <w:pStyle w:val="TOC3"/>
            <w:tabs>
              <w:tab w:val="left" w:pos="1320"/>
              <w:tab w:val="right" w:leader="dot" w:pos="9016"/>
            </w:tabs>
            <w:rPr>
              <w:rFonts w:asciiTheme="minorHAnsi" w:eastAsiaTheme="minorEastAsia" w:hAnsiTheme="minorHAnsi" w:cstheme="minorBidi"/>
              <w:noProof/>
              <w:lang w:eastAsia="en-GB"/>
            </w:rPr>
          </w:pPr>
          <w:hyperlink w:anchor="_Toc46932764" w:history="1">
            <w:r w:rsidR="00D66FAE" w:rsidRPr="00EA3F9E">
              <w:rPr>
                <w:rStyle w:val="Hyperlink"/>
                <w:noProof/>
              </w:rPr>
              <w:t>4.3.2</w:t>
            </w:r>
            <w:r w:rsidR="00D66FAE">
              <w:rPr>
                <w:rFonts w:asciiTheme="minorHAnsi" w:eastAsiaTheme="minorEastAsia" w:hAnsiTheme="minorHAnsi" w:cstheme="minorBidi"/>
                <w:noProof/>
                <w:lang w:eastAsia="en-GB"/>
              </w:rPr>
              <w:tab/>
            </w:r>
            <w:r w:rsidR="00D66FAE" w:rsidRPr="00EA3F9E">
              <w:rPr>
                <w:rStyle w:val="Hyperlink"/>
                <w:noProof/>
              </w:rPr>
              <w:t>Human (Operation and Tickets handling) SLIs</w:t>
            </w:r>
            <w:r w:rsidR="00D66FAE">
              <w:rPr>
                <w:noProof/>
                <w:webHidden/>
              </w:rPr>
              <w:tab/>
            </w:r>
            <w:r w:rsidR="00D66FAE">
              <w:rPr>
                <w:noProof/>
                <w:webHidden/>
              </w:rPr>
              <w:fldChar w:fldCharType="begin"/>
            </w:r>
            <w:r w:rsidR="00D66FAE">
              <w:rPr>
                <w:noProof/>
                <w:webHidden/>
              </w:rPr>
              <w:instrText xml:space="preserve"> PAGEREF _Toc46932764 \h </w:instrText>
            </w:r>
            <w:r w:rsidR="00D66FAE">
              <w:rPr>
                <w:noProof/>
                <w:webHidden/>
              </w:rPr>
            </w:r>
            <w:r w:rsidR="00D66FAE">
              <w:rPr>
                <w:noProof/>
                <w:webHidden/>
              </w:rPr>
              <w:fldChar w:fldCharType="separate"/>
            </w:r>
            <w:r w:rsidR="003921A6">
              <w:rPr>
                <w:noProof/>
                <w:webHidden/>
              </w:rPr>
              <w:t>18</w:t>
            </w:r>
            <w:r w:rsidR="00D66FAE">
              <w:rPr>
                <w:noProof/>
                <w:webHidden/>
              </w:rPr>
              <w:fldChar w:fldCharType="end"/>
            </w:r>
          </w:hyperlink>
        </w:p>
        <w:p w14:paraId="3D70703F" w14:textId="03445C69" w:rsidR="00D66FAE" w:rsidRDefault="006C3A5A">
          <w:pPr>
            <w:pStyle w:val="TOC2"/>
            <w:tabs>
              <w:tab w:val="left" w:pos="880"/>
              <w:tab w:val="right" w:leader="dot" w:pos="9016"/>
            </w:tabs>
            <w:rPr>
              <w:rFonts w:asciiTheme="minorHAnsi" w:eastAsiaTheme="minorEastAsia" w:hAnsiTheme="minorHAnsi" w:cstheme="minorBidi"/>
              <w:noProof/>
              <w:lang w:eastAsia="en-GB"/>
            </w:rPr>
          </w:pPr>
          <w:hyperlink w:anchor="_Toc46932765" w:history="1">
            <w:r w:rsidR="00D66FAE" w:rsidRPr="00EA3F9E">
              <w:rPr>
                <w:rStyle w:val="Hyperlink"/>
                <w:noProof/>
              </w:rPr>
              <w:t>4.4</w:t>
            </w:r>
            <w:r w:rsidR="00D66FAE">
              <w:rPr>
                <w:rFonts w:asciiTheme="minorHAnsi" w:eastAsiaTheme="minorEastAsia" w:hAnsiTheme="minorHAnsi" w:cstheme="minorBidi"/>
                <w:noProof/>
                <w:lang w:eastAsia="en-GB"/>
              </w:rPr>
              <w:tab/>
            </w:r>
            <w:r w:rsidR="00D66FAE" w:rsidRPr="00EA3F9E">
              <w:rPr>
                <w:rStyle w:val="Hyperlink"/>
                <w:noProof/>
              </w:rPr>
              <w:t>Accounting Portal</w:t>
            </w:r>
            <w:r w:rsidR="00D66FAE">
              <w:rPr>
                <w:noProof/>
                <w:webHidden/>
              </w:rPr>
              <w:tab/>
            </w:r>
            <w:r w:rsidR="00D66FAE">
              <w:rPr>
                <w:noProof/>
                <w:webHidden/>
              </w:rPr>
              <w:fldChar w:fldCharType="begin"/>
            </w:r>
            <w:r w:rsidR="00D66FAE">
              <w:rPr>
                <w:noProof/>
                <w:webHidden/>
              </w:rPr>
              <w:instrText xml:space="preserve"> PAGEREF _Toc46932765 \h </w:instrText>
            </w:r>
            <w:r w:rsidR="00D66FAE">
              <w:rPr>
                <w:noProof/>
                <w:webHidden/>
              </w:rPr>
            </w:r>
            <w:r w:rsidR="00D66FAE">
              <w:rPr>
                <w:noProof/>
                <w:webHidden/>
              </w:rPr>
              <w:fldChar w:fldCharType="separate"/>
            </w:r>
            <w:r w:rsidR="003921A6">
              <w:rPr>
                <w:noProof/>
                <w:webHidden/>
              </w:rPr>
              <w:t>19</w:t>
            </w:r>
            <w:r w:rsidR="00D66FAE">
              <w:rPr>
                <w:noProof/>
                <w:webHidden/>
              </w:rPr>
              <w:fldChar w:fldCharType="end"/>
            </w:r>
          </w:hyperlink>
        </w:p>
        <w:p w14:paraId="1D8EF64F" w14:textId="569CF630" w:rsidR="00D66FAE" w:rsidRDefault="006C3A5A">
          <w:pPr>
            <w:pStyle w:val="TOC3"/>
            <w:tabs>
              <w:tab w:val="left" w:pos="1320"/>
              <w:tab w:val="right" w:leader="dot" w:pos="9016"/>
            </w:tabs>
            <w:rPr>
              <w:rFonts w:asciiTheme="minorHAnsi" w:eastAsiaTheme="minorEastAsia" w:hAnsiTheme="minorHAnsi" w:cstheme="minorBidi"/>
              <w:noProof/>
              <w:lang w:eastAsia="en-GB"/>
            </w:rPr>
          </w:pPr>
          <w:hyperlink w:anchor="_Toc46932766" w:history="1">
            <w:r w:rsidR="00D66FAE" w:rsidRPr="00EA3F9E">
              <w:rPr>
                <w:rStyle w:val="Hyperlink"/>
                <w:noProof/>
              </w:rPr>
              <w:t>4.4.1</w:t>
            </w:r>
            <w:r w:rsidR="00D66FAE">
              <w:rPr>
                <w:rFonts w:asciiTheme="minorHAnsi" w:eastAsiaTheme="minorEastAsia" w:hAnsiTheme="minorHAnsi" w:cstheme="minorBidi"/>
                <w:noProof/>
                <w:lang w:eastAsia="en-GB"/>
              </w:rPr>
              <w:tab/>
            </w:r>
            <w:r w:rsidR="00D66FAE" w:rsidRPr="00EA3F9E">
              <w:rPr>
                <w:rStyle w:val="Hyperlink"/>
                <w:noProof/>
              </w:rPr>
              <w:t>Software/Service Performance SLIs</w:t>
            </w:r>
            <w:r w:rsidR="00D66FAE">
              <w:rPr>
                <w:noProof/>
                <w:webHidden/>
              </w:rPr>
              <w:tab/>
            </w:r>
            <w:r w:rsidR="00D66FAE">
              <w:rPr>
                <w:noProof/>
                <w:webHidden/>
              </w:rPr>
              <w:fldChar w:fldCharType="begin"/>
            </w:r>
            <w:r w:rsidR="00D66FAE">
              <w:rPr>
                <w:noProof/>
                <w:webHidden/>
              </w:rPr>
              <w:instrText xml:space="preserve"> PAGEREF _Toc46932766 \h </w:instrText>
            </w:r>
            <w:r w:rsidR="00D66FAE">
              <w:rPr>
                <w:noProof/>
                <w:webHidden/>
              </w:rPr>
            </w:r>
            <w:r w:rsidR="00D66FAE">
              <w:rPr>
                <w:noProof/>
                <w:webHidden/>
              </w:rPr>
              <w:fldChar w:fldCharType="separate"/>
            </w:r>
            <w:r w:rsidR="003921A6">
              <w:rPr>
                <w:noProof/>
                <w:webHidden/>
              </w:rPr>
              <w:t>19</w:t>
            </w:r>
            <w:r w:rsidR="00D66FAE">
              <w:rPr>
                <w:noProof/>
                <w:webHidden/>
              </w:rPr>
              <w:fldChar w:fldCharType="end"/>
            </w:r>
          </w:hyperlink>
        </w:p>
        <w:p w14:paraId="108BEAE0" w14:textId="5B747114" w:rsidR="00D66FAE" w:rsidRDefault="006C3A5A">
          <w:pPr>
            <w:pStyle w:val="TOC3"/>
            <w:tabs>
              <w:tab w:val="left" w:pos="1320"/>
              <w:tab w:val="right" w:leader="dot" w:pos="9016"/>
            </w:tabs>
            <w:rPr>
              <w:rFonts w:asciiTheme="minorHAnsi" w:eastAsiaTheme="minorEastAsia" w:hAnsiTheme="minorHAnsi" w:cstheme="minorBidi"/>
              <w:noProof/>
              <w:lang w:eastAsia="en-GB"/>
            </w:rPr>
          </w:pPr>
          <w:hyperlink w:anchor="_Toc46932767" w:history="1">
            <w:r w:rsidR="00D66FAE" w:rsidRPr="00EA3F9E">
              <w:rPr>
                <w:rStyle w:val="Hyperlink"/>
                <w:noProof/>
              </w:rPr>
              <w:t>4.4.2</w:t>
            </w:r>
            <w:r w:rsidR="00D66FAE">
              <w:rPr>
                <w:rFonts w:asciiTheme="minorHAnsi" w:eastAsiaTheme="minorEastAsia" w:hAnsiTheme="minorHAnsi" w:cstheme="minorBidi"/>
                <w:noProof/>
                <w:lang w:eastAsia="en-GB"/>
              </w:rPr>
              <w:tab/>
            </w:r>
            <w:r w:rsidR="00D66FAE" w:rsidRPr="00EA3F9E">
              <w:rPr>
                <w:rStyle w:val="Hyperlink"/>
                <w:noProof/>
              </w:rPr>
              <w:t>Human (Operation and Tickets handling) SLIs</w:t>
            </w:r>
            <w:r w:rsidR="00D66FAE">
              <w:rPr>
                <w:noProof/>
                <w:webHidden/>
              </w:rPr>
              <w:tab/>
            </w:r>
            <w:r w:rsidR="00D66FAE">
              <w:rPr>
                <w:noProof/>
                <w:webHidden/>
              </w:rPr>
              <w:fldChar w:fldCharType="begin"/>
            </w:r>
            <w:r w:rsidR="00D66FAE">
              <w:rPr>
                <w:noProof/>
                <w:webHidden/>
              </w:rPr>
              <w:instrText xml:space="preserve"> PAGEREF _Toc46932767 \h </w:instrText>
            </w:r>
            <w:r w:rsidR="00D66FAE">
              <w:rPr>
                <w:noProof/>
                <w:webHidden/>
              </w:rPr>
            </w:r>
            <w:r w:rsidR="00D66FAE">
              <w:rPr>
                <w:noProof/>
                <w:webHidden/>
              </w:rPr>
              <w:fldChar w:fldCharType="separate"/>
            </w:r>
            <w:r w:rsidR="003921A6">
              <w:rPr>
                <w:noProof/>
                <w:webHidden/>
              </w:rPr>
              <w:t>19</w:t>
            </w:r>
            <w:r w:rsidR="00D66FAE">
              <w:rPr>
                <w:noProof/>
                <w:webHidden/>
              </w:rPr>
              <w:fldChar w:fldCharType="end"/>
            </w:r>
          </w:hyperlink>
        </w:p>
        <w:p w14:paraId="62BE535D" w14:textId="626902DF" w:rsidR="00D66FAE" w:rsidRDefault="006C3A5A">
          <w:pPr>
            <w:pStyle w:val="TOC2"/>
            <w:tabs>
              <w:tab w:val="left" w:pos="880"/>
              <w:tab w:val="right" w:leader="dot" w:pos="9016"/>
            </w:tabs>
            <w:rPr>
              <w:rFonts w:asciiTheme="minorHAnsi" w:eastAsiaTheme="minorEastAsia" w:hAnsiTheme="minorHAnsi" w:cstheme="minorBidi"/>
              <w:noProof/>
              <w:lang w:eastAsia="en-GB"/>
            </w:rPr>
          </w:pPr>
          <w:hyperlink w:anchor="_Toc46932768" w:history="1">
            <w:r w:rsidR="00D66FAE" w:rsidRPr="00EA3F9E">
              <w:rPr>
                <w:rStyle w:val="Hyperlink"/>
                <w:noProof/>
              </w:rPr>
              <w:t>4.5</w:t>
            </w:r>
            <w:r w:rsidR="00D66FAE">
              <w:rPr>
                <w:rFonts w:asciiTheme="minorHAnsi" w:eastAsiaTheme="minorEastAsia" w:hAnsiTheme="minorHAnsi" w:cstheme="minorBidi"/>
                <w:noProof/>
                <w:lang w:eastAsia="en-GB"/>
              </w:rPr>
              <w:tab/>
            </w:r>
            <w:r w:rsidR="00D66FAE" w:rsidRPr="00EA3F9E">
              <w:rPr>
                <w:rStyle w:val="Hyperlink"/>
                <w:noProof/>
              </w:rPr>
              <w:t>Collaboration Software</w:t>
            </w:r>
            <w:r w:rsidR="00D66FAE">
              <w:rPr>
                <w:noProof/>
                <w:webHidden/>
              </w:rPr>
              <w:tab/>
            </w:r>
            <w:r w:rsidR="00D66FAE">
              <w:rPr>
                <w:noProof/>
                <w:webHidden/>
              </w:rPr>
              <w:fldChar w:fldCharType="begin"/>
            </w:r>
            <w:r w:rsidR="00D66FAE">
              <w:rPr>
                <w:noProof/>
                <w:webHidden/>
              </w:rPr>
              <w:instrText xml:space="preserve"> PAGEREF _Toc46932768 \h </w:instrText>
            </w:r>
            <w:r w:rsidR="00D66FAE">
              <w:rPr>
                <w:noProof/>
                <w:webHidden/>
              </w:rPr>
            </w:r>
            <w:r w:rsidR="00D66FAE">
              <w:rPr>
                <w:noProof/>
                <w:webHidden/>
              </w:rPr>
              <w:fldChar w:fldCharType="separate"/>
            </w:r>
            <w:r w:rsidR="003921A6">
              <w:rPr>
                <w:noProof/>
                <w:webHidden/>
              </w:rPr>
              <w:t>20</w:t>
            </w:r>
            <w:r w:rsidR="00D66FAE">
              <w:rPr>
                <w:noProof/>
                <w:webHidden/>
              </w:rPr>
              <w:fldChar w:fldCharType="end"/>
            </w:r>
          </w:hyperlink>
        </w:p>
        <w:p w14:paraId="3A90F545" w14:textId="237C31CC" w:rsidR="00D66FAE" w:rsidRDefault="006C3A5A">
          <w:pPr>
            <w:pStyle w:val="TOC3"/>
            <w:tabs>
              <w:tab w:val="left" w:pos="1320"/>
              <w:tab w:val="right" w:leader="dot" w:pos="9016"/>
            </w:tabs>
            <w:rPr>
              <w:rFonts w:asciiTheme="minorHAnsi" w:eastAsiaTheme="minorEastAsia" w:hAnsiTheme="minorHAnsi" w:cstheme="minorBidi"/>
              <w:noProof/>
              <w:lang w:eastAsia="en-GB"/>
            </w:rPr>
          </w:pPr>
          <w:hyperlink w:anchor="_Toc46932769" w:history="1">
            <w:r w:rsidR="00D66FAE" w:rsidRPr="00EA3F9E">
              <w:rPr>
                <w:rStyle w:val="Hyperlink"/>
                <w:noProof/>
              </w:rPr>
              <w:t>4.5.1</w:t>
            </w:r>
            <w:r w:rsidR="00D66FAE">
              <w:rPr>
                <w:rFonts w:asciiTheme="minorHAnsi" w:eastAsiaTheme="minorEastAsia" w:hAnsiTheme="minorHAnsi" w:cstheme="minorBidi"/>
                <w:noProof/>
                <w:lang w:eastAsia="en-GB"/>
              </w:rPr>
              <w:tab/>
            </w:r>
            <w:r w:rsidR="00D66FAE" w:rsidRPr="00EA3F9E">
              <w:rPr>
                <w:rStyle w:val="Hyperlink"/>
                <w:noProof/>
              </w:rPr>
              <w:t>Software/Service Performance SLIs</w:t>
            </w:r>
            <w:r w:rsidR="00D66FAE">
              <w:rPr>
                <w:noProof/>
                <w:webHidden/>
              </w:rPr>
              <w:tab/>
            </w:r>
            <w:r w:rsidR="00D66FAE">
              <w:rPr>
                <w:noProof/>
                <w:webHidden/>
              </w:rPr>
              <w:fldChar w:fldCharType="begin"/>
            </w:r>
            <w:r w:rsidR="00D66FAE">
              <w:rPr>
                <w:noProof/>
                <w:webHidden/>
              </w:rPr>
              <w:instrText xml:space="preserve"> PAGEREF _Toc46932769 \h </w:instrText>
            </w:r>
            <w:r w:rsidR="00D66FAE">
              <w:rPr>
                <w:noProof/>
                <w:webHidden/>
              </w:rPr>
            </w:r>
            <w:r w:rsidR="00D66FAE">
              <w:rPr>
                <w:noProof/>
                <w:webHidden/>
              </w:rPr>
              <w:fldChar w:fldCharType="separate"/>
            </w:r>
            <w:r w:rsidR="003921A6">
              <w:rPr>
                <w:noProof/>
                <w:webHidden/>
              </w:rPr>
              <w:t>20</w:t>
            </w:r>
            <w:r w:rsidR="00D66FAE">
              <w:rPr>
                <w:noProof/>
                <w:webHidden/>
              </w:rPr>
              <w:fldChar w:fldCharType="end"/>
            </w:r>
          </w:hyperlink>
        </w:p>
        <w:p w14:paraId="661E33C7" w14:textId="0674A05E" w:rsidR="00D66FAE" w:rsidRDefault="006C3A5A">
          <w:pPr>
            <w:pStyle w:val="TOC3"/>
            <w:tabs>
              <w:tab w:val="left" w:pos="1320"/>
              <w:tab w:val="right" w:leader="dot" w:pos="9016"/>
            </w:tabs>
            <w:rPr>
              <w:rFonts w:asciiTheme="minorHAnsi" w:eastAsiaTheme="minorEastAsia" w:hAnsiTheme="minorHAnsi" w:cstheme="minorBidi"/>
              <w:noProof/>
              <w:lang w:eastAsia="en-GB"/>
            </w:rPr>
          </w:pPr>
          <w:hyperlink w:anchor="_Toc46932770" w:history="1">
            <w:r w:rsidR="00D66FAE" w:rsidRPr="00EA3F9E">
              <w:rPr>
                <w:rStyle w:val="Hyperlink"/>
                <w:noProof/>
              </w:rPr>
              <w:t>4.5.2</w:t>
            </w:r>
            <w:r w:rsidR="00D66FAE">
              <w:rPr>
                <w:rFonts w:asciiTheme="minorHAnsi" w:eastAsiaTheme="minorEastAsia" w:hAnsiTheme="minorHAnsi" w:cstheme="minorBidi"/>
                <w:noProof/>
                <w:lang w:eastAsia="en-GB"/>
              </w:rPr>
              <w:tab/>
            </w:r>
            <w:r w:rsidR="00D66FAE" w:rsidRPr="00EA3F9E">
              <w:rPr>
                <w:rStyle w:val="Hyperlink"/>
                <w:noProof/>
              </w:rPr>
              <w:t>Human (Operation and Tickets handling) SLIs</w:t>
            </w:r>
            <w:r w:rsidR="00D66FAE">
              <w:rPr>
                <w:noProof/>
                <w:webHidden/>
              </w:rPr>
              <w:tab/>
            </w:r>
            <w:r w:rsidR="00D66FAE">
              <w:rPr>
                <w:noProof/>
                <w:webHidden/>
              </w:rPr>
              <w:fldChar w:fldCharType="begin"/>
            </w:r>
            <w:r w:rsidR="00D66FAE">
              <w:rPr>
                <w:noProof/>
                <w:webHidden/>
              </w:rPr>
              <w:instrText xml:space="preserve"> PAGEREF _Toc46932770 \h </w:instrText>
            </w:r>
            <w:r w:rsidR="00D66FAE">
              <w:rPr>
                <w:noProof/>
                <w:webHidden/>
              </w:rPr>
            </w:r>
            <w:r w:rsidR="00D66FAE">
              <w:rPr>
                <w:noProof/>
                <w:webHidden/>
              </w:rPr>
              <w:fldChar w:fldCharType="separate"/>
            </w:r>
            <w:r w:rsidR="003921A6">
              <w:rPr>
                <w:noProof/>
                <w:webHidden/>
              </w:rPr>
              <w:t>21</w:t>
            </w:r>
            <w:r w:rsidR="00D66FAE">
              <w:rPr>
                <w:noProof/>
                <w:webHidden/>
              </w:rPr>
              <w:fldChar w:fldCharType="end"/>
            </w:r>
          </w:hyperlink>
        </w:p>
        <w:p w14:paraId="2FB53FB9" w14:textId="7B27DC9E" w:rsidR="00D66FAE" w:rsidRDefault="006C3A5A">
          <w:pPr>
            <w:pStyle w:val="TOC2"/>
            <w:tabs>
              <w:tab w:val="left" w:pos="880"/>
              <w:tab w:val="right" w:leader="dot" w:pos="9016"/>
            </w:tabs>
            <w:rPr>
              <w:rFonts w:asciiTheme="minorHAnsi" w:eastAsiaTheme="minorEastAsia" w:hAnsiTheme="minorHAnsi" w:cstheme="minorBidi"/>
              <w:noProof/>
              <w:lang w:eastAsia="en-GB"/>
            </w:rPr>
          </w:pPr>
          <w:hyperlink w:anchor="_Toc46932771" w:history="1">
            <w:r w:rsidR="00D66FAE" w:rsidRPr="00EA3F9E">
              <w:rPr>
                <w:rStyle w:val="Hyperlink"/>
                <w:noProof/>
              </w:rPr>
              <w:t>4.6</w:t>
            </w:r>
            <w:r w:rsidR="00D66FAE">
              <w:rPr>
                <w:rFonts w:asciiTheme="minorHAnsi" w:eastAsiaTheme="minorEastAsia" w:hAnsiTheme="minorHAnsi" w:cstheme="minorBidi"/>
                <w:noProof/>
                <w:lang w:eastAsia="en-GB"/>
              </w:rPr>
              <w:tab/>
            </w:r>
            <w:r w:rsidR="00D66FAE" w:rsidRPr="00EA3F9E">
              <w:rPr>
                <w:rStyle w:val="Hyperlink"/>
                <w:noProof/>
              </w:rPr>
              <w:t>EOSC-hub Helpdesk</w:t>
            </w:r>
            <w:r w:rsidR="00D66FAE">
              <w:rPr>
                <w:noProof/>
                <w:webHidden/>
              </w:rPr>
              <w:tab/>
            </w:r>
            <w:r w:rsidR="00D66FAE">
              <w:rPr>
                <w:noProof/>
                <w:webHidden/>
              </w:rPr>
              <w:fldChar w:fldCharType="begin"/>
            </w:r>
            <w:r w:rsidR="00D66FAE">
              <w:rPr>
                <w:noProof/>
                <w:webHidden/>
              </w:rPr>
              <w:instrText xml:space="preserve"> PAGEREF _Toc46932771 \h </w:instrText>
            </w:r>
            <w:r w:rsidR="00D66FAE">
              <w:rPr>
                <w:noProof/>
                <w:webHidden/>
              </w:rPr>
            </w:r>
            <w:r w:rsidR="00D66FAE">
              <w:rPr>
                <w:noProof/>
                <w:webHidden/>
              </w:rPr>
              <w:fldChar w:fldCharType="separate"/>
            </w:r>
            <w:r w:rsidR="003921A6">
              <w:rPr>
                <w:noProof/>
                <w:webHidden/>
              </w:rPr>
              <w:t>22</w:t>
            </w:r>
            <w:r w:rsidR="00D66FAE">
              <w:rPr>
                <w:noProof/>
                <w:webHidden/>
              </w:rPr>
              <w:fldChar w:fldCharType="end"/>
            </w:r>
          </w:hyperlink>
        </w:p>
        <w:p w14:paraId="575A5B4C" w14:textId="2E2FAB6F" w:rsidR="00D66FAE" w:rsidRDefault="006C3A5A">
          <w:pPr>
            <w:pStyle w:val="TOC3"/>
            <w:tabs>
              <w:tab w:val="left" w:pos="1320"/>
              <w:tab w:val="right" w:leader="dot" w:pos="9016"/>
            </w:tabs>
            <w:rPr>
              <w:rFonts w:asciiTheme="minorHAnsi" w:eastAsiaTheme="minorEastAsia" w:hAnsiTheme="minorHAnsi" w:cstheme="minorBidi"/>
              <w:noProof/>
              <w:lang w:eastAsia="en-GB"/>
            </w:rPr>
          </w:pPr>
          <w:hyperlink w:anchor="_Toc46932772" w:history="1">
            <w:r w:rsidR="00D66FAE" w:rsidRPr="00EA3F9E">
              <w:rPr>
                <w:rStyle w:val="Hyperlink"/>
                <w:noProof/>
              </w:rPr>
              <w:t>4.6.1</w:t>
            </w:r>
            <w:r w:rsidR="00D66FAE">
              <w:rPr>
                <w:rFonts w:asciiTheme="minorHAnsi" w:eastAsiaTheme="minorEastAsia" w:hAnsiTheme="minorHAnsi" w:cstheme="minorBidi"/>
                <w:noProof/>
                <w:lang w:eastAsia="en-GB"/>
              </w:rPr>
              <w:tab/>
            </w:r>
            <w:r w:rsidR="00D66FAE" w:rsidRPr="00EA3F9E">
              <w:rPr>
                <w:rStyle w:val="Hyperlink"/>
                <w:noProof/>
              </w:rPr>
              <w:t>Software/Service Performance SLIs</w:t>
            </w:r>
            <w:r w:rsidR="00D66FAE">
              <w:rPr>
                <w:noProof/>
                <w:webHidden/>
              </w:rPr>
              <w:tab/>
            </w:r>
            <w:r w:rsidR="00D66FAE">
              <w:rPr>
                <w:noProof/>
                <w:webHidden/>
              </w:rPr>
              <w:fldChar w:fldCharType="begin"/>
            </w:r>
            <w:r w:rsidR="00D66FAE">
              <w:rPr>
                <w:noProof/>
                <w:webHidden/>
              </w:rPr>
              <w:instrText xml:space="preserve"> PAGEREF _Toc46932772 \h </w:instrText>
            </w:r>
            <w:r w:rsidR="00D66FAE">
              <w:rPr>
                <w:noProof/>
                <w:webHidden/>
              </w:rPr>
            </w:r>
            <w:r w:rsidR="00D66FAE">
              <w:rPr>
                <w:noProof/>
                <w:webHidden/>
              </w:rPr>
              <w:fldChar w:fldCharType="separate"/>
            </w:r>
            <w:r w:rsidR="003921A6">
              <w:rPr>
                <w:noProof/>
                <w:webHidden/>
              </w:rPr>
              <w:t>23</w:t>
            </w:r>
            <w:r w:rsidR="00D66FAE">
              <w:rPr>
                <w:noProof/>
                <w:webHidden/>
              </w:rPr>
              <w:fldChar w:fldCharType="end"/>
            </w:r>
          </w:hyperlink>
        </w:p>
        <w:p w14:paraId="406D4A33" w14:textId="5BF4ED6C" w:rsidR="00D66FAE" w:rsidRDefault="006C3A5A">
          <w:pPr>
            <w:pStyle w:val="TOC3"/>
            <w:tabs>
              <w:tab w:val="left" w:pos="1320"/>
              <w:tab w:val="right" w:leader="dot" w:pos="9016"/>
            </w:tabs>
            <w:rPr>
              <w:rFonts w:asciiTheme="minorHAnsi" w:eastAsiaTheme="minorEastAsia" w:hAnsiTheme="minorHAnsi" w:cstheme="minorBidi"/>
              <w:noProof/>
              <w:lang w:eastAsia="en-GB"/>
            </w:rPr>
          </w:pPr>
          <w:hyperlink w:anchor="_Toc46932773" w:history="1">
            <w:r w:rsidR="00D66FAE" w:rsidRPr="00EA3F9E">
              <w:rPr>
                <w:rStyle w:val="Hyperlink"/>
                <w:noProof/>
              </w:rPr>
              <w:t>4.6.2</w:t>
            </w:r>
            <w:r w:rsidR="00D66FAE">
              <w:rPr>
                <w:rFonts w:asciiTheme="minorHAnsi" w:eastAsiaTheme="minorEastAsia" w:hAnsiTheme="minorHAnsi" w:cstheme="minorBidi"/>
                <w:noProof/>
                <w:lang w:eastAsia="en-GB"/>
              </w:rPr>
              <w:tab/>
            </w:r>
            <w:r w:rsidR="00D66FAE" w:rsidRPr="00EA3F9E">
              <w:rPr>
                <w:rStyle w:val="Hyperlink"/>
                <w:noProof/>
              </w:rPr>
              <w:t>Human (Operation and Tickets handling) SLIs</w:t>
            </w:r>
            <w:r w:rsidR="00D66FAE">
              <w:rPr>
                <w:noProof/>
                <w:webHidden/>
              </w:rPr>
              <w:tab/>
            </w:r>
            <w:r w:rsidR="00D66FAE">
              <w:rPr>
                <w:noProof/>
                <w:webHidden/>
              </w:rPr>
              <w:fldChar w:fldCharType="begin"/>
            </w:r>
            <w:r w:rsidR="00D66FAE">
              <w:rPr>
                <w:noProof/>
                <w:webHidden/>
              </w:rPr>
              <w:instrText xml:space="preserve"> PAGEREF _Toc46932773 \h </w:instrText>
            </w:r>
            <w:r w:rsidR="00D66FAE">
              <w:rPr>
                <w:noProof/>
                <w:webHidden/>
              </w:rPr>
            </w:r>
            <w:r w:rsidR="00D66FAE">
              <w:rPr>
                <w:noProof/>
                <w:webHidden/>
              </w:rPr>
              <w:fldChar w:fldCharType="separate"/>
            </w:r>
            <w:r w:rsidR="003921A6">
              <w:rPr>
                <w:noProof/>
                <w:webHidden/>
              </w:rPr>
              <w:t>23</w:t>
            </w:r>
            <w:r w:rsidR="00D66FAE">
              <w:rPr>
                <w:noProof/>
                <w:webHidden/>
              </w:rPr>
              <w:fldChar w:fldCharType="end"/>
            </w:r>
          </w:hyperlink>
        </w:p>
        <w:p w14:paraId="3BC46D54" w14:textId="21E4CEC7" w:rsidR="00D66FAE" w:rsidRDefault="006C3A5A">
          <w:pPr>
            <w:pStyle w:val="TOC2"/>
            <w:tabs>
              <w:tab w:val="left" w:pos="880"/>
              <w:tab w:val="right" w:leader="dot" w:pos="9016"/>
            </w:tabs>
            <w:rPr>
              <w:rFonts w:asciiTheme="minorHAnsi" w:eastAsiaTheme="minorEastAsia" w:hAnsiTheme="minorHAnsi" w:cstheme="minorBidi"/>
              <w:noProof/>
              <w:lang w:eastAsia="en-GB"/>
            </w:rPr>
          </w:pPr>
          <w:hyperlink w:anchor="_Toc46932774" w:history="1">
            <w:r w:rsidR="00D66FAE" w:rsidRPr="00EA3F9E">
              <w:rPr>
                <w:rStyle w:val="Hyperlink"/>
                <w:noProof/>
              </w:rPr>
              <w:t>4.7</w:t>
            </w:r>
            <w:r w:rsidR="00D66FAE">
              <w:rPr>
                <w:rFonts w:asciiTheme="minorHAnsi" w:eastAsiaTheme="minorEastAsia" w:hAnsiTheme="minorHAnsi" w:cstheme="minorBidi"/>
                <w:noProof/>
                <w:lang w:eastAsia="en-GB"/>
              </w:rPr>
              <w:tab/>
            </w:r>
            <w:r w:rsidR="00D66FAE" w:rsidRPr="00EA3F9E">
              <w:rPr>
                <w:rStyle w:val="Hyperlink"/>
                <w:noProof/>
              </w:rPr>
              <w:t>EOSC Marketplace</w:t>
            </w:r>
            <w:r w:rsidR="00D66FAE">
              <w:rPr>
                <w:noProof/>
                <w:webHidden/>
              </w:rPr>
              <w:tab/>
            </w:r>
            <w:r w:rsidR="00D66FAE">
              <w:rPr>
                <w:noProof/>
                <w:webHidden/>
              </w:rPr>
              <w:fldChar w:fldCharType="begin"/>
            </w:r>
            <w:r w:rsidR="00D66FAE">
              <w:rPr>
                <w:noProof/>
                <w:webHidden/>
              </w:rPr>
              <w:instrText xml:space="preserve"> PAGEREF _Toc46932774 \h </w:instrText>
            </w:r>
            <w:r w:rsidR="00D66FAE">
              <w:rPr>
                <w:noProof/>
                <w:webHidden/>
              </w:rPr>
            </w:r>
            <w:r w:rsidR="00D66FAE">
              <w:rPr>
                <w:noProof/>
                <w:webHidden/>
              </w:rPr>
              <w:fldChar w:fldCharType="separate"/>
            </w:r>
            <w:r w:rsidR="003921A6">
              <w:rPr>
                <w:noProof/>
                <w:webHidden/>
              </w:rPr>
              <w:t>24</w:t>
            </w:r>
            <w:r w:rsidR="00D66FAE">
              <w:rPr>
                <w:noProof/>
                <w:webHidden/>
              </w:rPr>
              <w:fldChar w:fldCharType="end"/>
            </w:r>
          </w:hyperlink>
        </w:p>
        <w:p w14:paraId="79A31172" w14:textId="05D11253" w:rsidR="00D66FAE" w:rsidRDefault="006C3A5A">
          <w:pPr>
            <w:pStyle w:val="TOC3"/>
            <w:tabs>
              <w:tab w:val="left" w:pos="1320"/>
              <w:tab w:val="right" w:leader="dot" w:pos="9016"/>
            </w:tabs>
            <w:rPr>
              <w:rFonts w:asciiTheme="minorHAnsi" w:eastAsiaTheme="minorEastAsia" w:hAnsiTheme="minorHAnsi" w:cstheme="minorBidi"/>
              <w:noProof/>
              <w:lang w:eastAsia="en-GB"/>
            </w:rPr>
          </w:pPr>
          <w:hyperlink w:anchor="_Toc46932775" w:history="1">
            <w:r w:rsidR="00D66FAE" w:rsidRPr="00EA3F9E">
              <w:rPr>
                <w:rStyle w:val="Hyperlink"/>
                <w:noProof/>
              </w:rPr>
              <w:t>4.7.1</w:t>
            </w:r>
            <w:r w:rsidR="00D66FAE">
              <w:rPr>
                <w:rFonts w:asciiTheme="minorHAnsi" w:eastAsiaTheme="minorEastAsia" w:hAnsiTheme="minorHAnsi" w:cstheme="minorBidi"/>
                <w:noProof/>
                <w:lang w:eastAsia="en-GB"/>
              </w:rPr>
              <w:tab/>
            </w:r>
            <w:r w:rsidR="00D66FAE" w:rsidRPr="00EA3F9E">
              <w:rPr>
                <w:rStyle w:val="Hyperlink"/>
                <w:noProof/>
              </w:rPr>
              <w:t>Software/Service Performance SLIs</w:t>
            </w:r>
            <w:r w:rsidR="00D66FAE">
              <w:rPr>
                <w:noProof/>
                <w:webHidden/>
              </w:rPr>
              <w:tab/>
            </w:r>
            <w:r w:rsidR="00D66FAE">
              <w:rPr>
                <w:noProof/>
                <w:webHidden/>
              </w:rPr>
              <w:fldChar w:fldCharType="begin"/>
            </w:r>
            <w:r w:rsidR="00D66FAE">
              <w:rPr>
                <w:noProof/>
                <w:webHidden/>
              </w:rPr>
              <w:instrText xml:space="preserve"> PAGEREF _Toc46932775 \h </w:instrText>
            </w:r>
            <w:r w:rsidR="00D66FAE">
              <w:rPr>
                <w:noProof/>
                <w:webHidden/>
              </w:rPr>
            </w:r>
            <w:r w:rsidR="00D66FAE">
              <w:rPr>
                <w:noProof/>
                <w:webHidden/>
              </w:rPr>
              <w:fldChar w:fldCharType="separate"/>
            </w:r>
            <w:r w:rsidR="003921A6">
              <w:rPr>
                <w:noProof/>
                <w:webHidden/>
              </w:rPr>
              <w:t>24</w:t>
            </w:r>
            <w:r w:rsidR="00D66FAE">
              <w:rPr>
                <w:noProof/>
                <w:webHidden/>
              </w:rPr>
              <w:fldChar w:fldCharType="end"/>
            </w:r>
          </w:hyperlink>
        </w:p>
        <w:p w14:paraId="7FE12BC2" w14:textId="0A792DAD" w:rsidR="00D66FAE" w:rsidRDefault="006C3A5A">
          <w:pPr>
            <w:pStyle w:val="TOC3"/>
            <w:tabs>
              <w:tab w:val="left" w:pos="1320"/>
              <w:tab w:val="right" w:leader="dot" w:pos="9016"/>
            </w:tabs>
            <w:rPr>
              <w:rFonts w:asciiTheme="minorHAnsi" w:eastAsiaTheme="minorEastAsia" w:hAnsiTheme="minorHAnsi" w:cstheme="minorBidi"/>
              <w:noProof/>
              <w:lang w:eastAsia="en-GB"/>
            </w:rPr>
          </w:pPr>
          <w:hyperlink w:anchor="_Toc46932776" w:history="1">
            <w:r w:rsidR="00D66FAE" w:rsidRPr="00EA3F9E">
              <w:rPr>
                <w:rStyle w:val="Hyperlink"/>
                <w:noProof/>
              </w:rPr>
              <w:t>4.7.2</w:t>
            </w:r>
            <w:r w:rsidR="00D66FAE">
              <w:rPr>
                <w:rFonts w:asciiTheme="minorHAnsi" w:eastAsiaTheme="minorEastAsia" w:hAnsiTheme="minorHAnsi" w:cstheme="minorBidi"/>
                <w:noProof/>
                <w:lang w:eastAsia="en-GB"/>
              </w:rPr>
              <w:tab/>
            </w:r>
            <w:r w:rsidR="00D66FAE" w:rsidRPr="00EA3F9E">
              <w:rPr>
                <w:rStyle w:val="Hyperlink"/>
                <w:noProof/>
              </w:rPr>
              <w:t>Human (Operation and Tickets handling) SLIs</w:t>
            </w:r>
            <w:r w:rsidR="00D66FAE">
              <w:rPr>
                <w:noProof/>
                <w:webHidden/>
              </w:rPr>
              <w:tab/>
            </w:r>
            <w:r w:rsidR="00D66FAE">
              <w:rPr>
                <w:noProof/>
                <w:webHidden/>
              </w:rPr>
              <w:fldChar w:fldCharType="begin"/>
            </w:r>
            <w:r w:rsidR="00D66FAE">
              <w:rPr>
                <w:noProof/>
                <w:webHidden/>
              </w:rPr>
              <w:instrText xml:space="preserve"> PAGEREF _Toc46932776 \h </w:instrText>
            </w:r>
            <w:r w:rsidR="00D66FAE">
              <w:rPr>
                <w:noProof/>
                <w:webHidden/>
              </w:rPr>
            </w:r>
            <w:r w:rsidR="00D66FAE">
              <w:rPr>
                <w:noProof/>
                <w:webHidden/>
              </w:rPr>
              <w:fldChar w:fldCharType="separate"/>
            </w:r>
            <w:r w:rsidR="003921A6">
              <w:rPr>
                <w:noProof/>
                <w:webHidden/>
              </w:rPr>
              <w:t>25</w:t>
            </w:r>
            <w:r w:rsidR="00D66FAE">
              <w:rPr>
                <w:noProof/>
                <w:webHidden/>
              </w:rPr>
              <w:fldChar w:fldCharType="end"/>
            </w:r>
          </w:hyperlink>
        </w:p>
        <w:p w14:paraId="7C58C0A9" w14:textId="7918D5F9" w:rsidR="00D66FAE" w:rsidRDefault="006C3A5A">
          <w:pPr>
            <w:pStyle w:val="TOC2"/>
            <w:tabs>
              <w:tab w:val="left" w:pos="880"/>
              <w:tab w:val="right" w:leader="dot" w:pos="9016"/>
            </w:tabs>
            <w:rPr>
              <w:rFonts w:asciiTheme="minorHAnsi" w:eastAsiaTheme="minorEastAsia" w:hAnsiTheme="minorHAnsi" w:cstheme="minorBidi"/>
              <w:noProof/>
              <w:lang w:eastAsia="en-GB"/>
            </w:rPr>
          </w:pPr>
          <w:hyperlink w:anchor="_Toc46932777" w:history="1">
            <w:r w:rsidR="00D66FAE" w:rsidRPr="00EA3F9E">
              <w:rPr>
                <w:rStyle w:val="Hyperlink"/>
                <w:noProof/>
              </w:rPr>
              <w:t>4.8</w:t>
            </w:r>
            <w:r w:rsidR="00D66FAE">
              <w:rPr>
                <w:rFonts w:asciiTheme="minorHAnsi" w:eastAsiaTheme="minorEastAsia" w:hAnsiTheme="minorHAnsi" w:cstheme="minorBidi"/>
                <w:noProof/>
                <w:lang w:eastAsia="en-GB"/>
              </w:rPr>
              <w:tab/>
            </w:r>
            <w:r w:rsidR="00D66FAE" w:rsidRPr="00EA3F9E">
              <w:rPr>
                <w:rStyle w:val="Hyperlink"/>
                <w:noProof/>
              </w:rPr>
              <w:t>EOSC-hub Monitoring</w:t>
            </w:r>
            <w:r w:rsidR="00D66FAE">
              <w:rPr>
                <w:noProof/>
                <w:webHidden/>
              </w:rPr>
              <w:tab/>
            </w:r>
            <w:r w:rsidR="00D66FAE">
              <w:rPr>
                <w:noProof/>
                <w:webHidden/>
              </w:rPr>
              <w:fldChar w:fldCharType="begin"/>
            </w:r>
            <w:r w:rsidR="00D66FAE">
              <w:rPr>
                <w:noProof/>
                <w:webHidden/>
              </w:rPr>
              <w:instrText xml:space="preserve"> PAGEREF _Toc46932777 \h </w:instrText>
            </w:r>
            <w:r w:rsidR="00D66FAE">
              <w:rPr>
                <w:noProof/>
                <w:webHidden/>
              </w:rPr>
            </w:r>
            <w:r w:rsidR="00D66FAE">
              <w:rPr>
                <w:noProof/>
                <w:webHidden/>
              </w:rPr>
              <w:fldChar w:fldCharType="separate"/>
            </w:r>
            <w:r w:rsidR="003921A6">
              <w:rPr>
                <w:noProof/>
                <w:webHidden/>
              </w:rPr>
              <w:t>26</w:t>
            </w:r>
            <w:r w:rsidR="00D66FAE">
              <w:rPr>
                <w:noProof/>
                <w:webHidden/>
              </w:rPr>
              <w:fldChar w:fldCharType="end"/>
            </w:r>
          </w:hyperlink>
        </w:p>
        <w:p w14:paraId="73E41817" w14:textId="475885CC" w:rsidR="00D66FAE" w:rsidRDefault="006C3A5A">
          <w:pPr>
            <w:pStyle w:val="TOC3"/>
            <w:tabs>
              <w:tab w:val="left" w:pos="1320"/>
              <w:tab w:val="right" w:leader="dot" w:pos="9016"/>
            </w:tabs>
            <w:rPr>
              <w:rFonts w:asciiTheme="minorHAnsi" w:eastAsiaTheme="minorEastAsia" w:hAnsiTheme="minorHAnsi" w:cstheme="minorBidi"/>
              <w:noProof/>
              <w:lang w:eastAsia="en-GB"/>
            </w:rPr>
          </w:pPr>
          <w:hyperlink w:anchor="_Toc46932778" w:history="1">
            <w:r w:rsidR="00D66FAE" w:rsidRPr="00EA3F9E">
              <w:rPr>
                <w:rStyle w:val="Hyperlink"/>
                <w:noProof/>
              </w:rPr>
              <w:t>4.8.1</w:t>
            </w:r>
            <w:r w:rsidR="00D66FAE">
              <w:rPr>
                <w:rFonts w:asciiTheme="minorHAnsi" w:eastAsiaTheme="minorEastAsia" w:hAnsiTheme="minorHAnsi" w:cstheme="minorBidi"/>
                <w:noProof/>
                <w:lang w:eastAsia="en-GB"/>
              </w:rPr>
              <w:tab/>
            </w:r>
            <w:r w:rsidR="00D66FAE" w:rsidRPr="00EA3F9E">
              <w:rPr>
                <w:rStyle w:val="Hyperlink"/>
                <w:noProof/>
              </w:rPr>
              <w:t>Software/Service Performance SLIs</w:t>
            </w:r>
            <w:r w:rsidR="00D66FAE">
              <w:rPr>
                <w:noProof/>
                <w:webHidden/>
              </w:rPr>
              <w:tab/>
            </w:r>
            <w:r w:rsidR="00D66FAE">
              <w:rPr>
                <w:noProof/>
                <w:webHidden/>
              </w:rPr>
              <w:fldChar w:fldCharType="begin"/>
            </w:r>
            <w:r w:rsidR="00D66FAE">
              <w:rPr>
                <w:noProof/>
                <w:webHidden/>
              </w:rPr>
              <w:instrText xml:space="preserve"> PAGEREF _Toc46932778 \h </w:instrText>
            </w:r>
            <w:r w:rsidR="00D66FAE">
              <w:rPr>
                <w:noProof/>
                <w:webHidden/>
              </w:rPr>
            </w:r>
            <w:r w:rsidR="00D66FAE">
              <w:rPr>
                <w:noProof/>
                <w:webHidden/>
              </w:rPr>
              <w:fldChar w:fldCharType="separate"/>
            </w:r>
            <w:r w:rsidR="003921A6">
              <w:rPr>
                <w:noProof/>
                <w:webHidden/>
              </w:rPr>
              <w:t>26</w:t>
            </w:r>
            <w:r w:rsidR="00D66FAE">
              <w:rPr>
                <w:noProof/>
                <w:webHidden/>
              </w:rPr>
              <w:fldChar w:fldCharType="end"/>
            </w:r>
          </w:hyperlink>
        </w:p>
        <w:p w14:paraId="107D1E93" w14:textId="086786FA" w:rsidR="00D66FAE" w:rsidRDefault="006C3A5A">
          <w:pPr>
            <w:pStyle w:val="TOC3"/>
            <w:tabs>
              <w:tab w:val="left" w:pos="1320"/>
              <w:tab w:val="right" w:leader="dot" w:pos="9016"/>
            </w:tabs>
            <w:rPr>
              <w:rFonts w:asciiTheme="minorHAnsi" w:eastAsiaTheme="minorEastAsia" w:hAnsiTheme="minorHAnsi" w:cstheme="minorBidi"/>
              <w:noProof/>
              <w:lang w:eastAsia="en-GB"/>
            </w:rPr>
          </w:pPr>
          <w:hyperlink w:anchor="_Toc46932779" w:history="1">
            <w:r w:rsidR="00D66FAE" w:rsidRPr="00EA3F9E">
              <w:rPr>
                <w:rStyle w:val="Hyperlink"/>
                <w:noProof/>
              </w:rPr>
              <w:t>4.8.2</w:t>
            </w:r>
            <w:r w:rsidR="00D66FAE">
              <w:rPr>
                <w:rFonts w:asciiTheme="minorHAnsi" w:eastAsiaTheme="minorEastAsia" w:hAnsiTheme="minorHAnsi" w:cstheme="minorBidi"/>
                <w:noProof/>
                <w:lang w:eastAsia="en-GB"/>
              </w:rPr>
              <w:tab/>
            </w:r>
            <w:r w:rsidR="00D66FAE" w:rsidRPr="00EA3F9E">
              <w:rPr>
                <w:rStyle w:val="Hyperlink"/>
                <w:noProof/>
              </w:rPr>
              <w:t>Human (Operation and Tickets handling) SLIs</w:t>
            </w:r>
            <w:r w:rsidR="00D66FAE">
              <w:rPr>
                <w:noProof/>
                <w:webHidden/>
              </w:rPr>
              <w:tab/>
            </w:r>
            <w:r w:rsidR="00D66FAE">
              <w:rPr>
                <w:noProof/>
                <w:webHidden/>
              </w:rPr>
              <w:fldChar w:fldCharType="begin"/>
            </w:r>
            <w:r w:rsidR="00D66FAE">
              <w:rPr>
                <w:noProof/>
                <w:webHidden/>
              </w:rPr>
              <w:instrText xml:space="preserve"> PAGEREF _Toc46932779 \h </w:instrText>
            </w:r>
            <w:r w:rsidR="00D66FAE">
              <w:rPr>
                <w:noProof/>
                <w:webHidden/>
              </w:rPr>
            </w:r>
            <w:r w:rsidR="00D66FAE">
              <w:rPr>
                <w:noProof/>
                <w:webHidden/>
              </w:rPr>
              <w:fldChar w:fldCharType="separate"/>
            </w:r>
            <w:r w:rsidR="003921A6">
              <w:rPr>
                <w:noProof/>
                <w:webHidden/>
              </w:rPr>
              <w:t>27</w:t>
            </w:r>
            <w:r w:rsidR="00D66FAE">
              <w:rPr>
                <w:noProof/>
                <w:webHidden/>
              </w:rPr>
              <w:fldChar w:fldCharType="end"/>
            </w:r>
          </w:hyperlink>
        </w:p>
        <w:p w14:paraId="2B0A9664" w14:textId="6D70A80D" w:rsidR="00D66FAE" w:rsidRDefault="006C3A5A">
          <w:pPr>
            <w:pStyle w:val="TOC2"/>
            <w:tabs>
              <w:tab w:val="left" w:pos="880"/>
              <w:tab w:val="right" w:leader="dot" w:pos="9016"/>
            </w:tabs>
            <w:rPr>
              <w:rFonts w:asciiTheme="minorHAnsi" w:eastAsiaTheme="minorEastAsia" w:hAnsiTheme="minorHAnsi" w:cstheme="minorBidi"/>
              <w:noProof/>
              <w:lang w:eastAsia="en-GB"/>
            </w:rPr>
          </w:pPr>
          <w:hyperlink w:anchor="_Toc46932780" w:history="1">
            <w:r w:rsidR="00D66FAE" w:rsidRPr="00EA3F9E">
              <w:rPr>
                <w:rStyle w:val="Hyperlink"/>
                <w:noProof/>
              </w:rPr>
              <w:t>4.9</w:t>
            </w:r>
            <w:r w:rsidR="00D66FAE">
              <w:rPr>
                <w:rFonts w:asciiTheme="minorHAnsi" w:eastAsiaTheme="minorEastAsia" w:hAnsiTheme="minorHAnsi" w:cstheme="minorBidi"/>
                <w:noProof/>
                <w:lang w:eastAsia="en-GB"/>
              </w:rPr>
              <w:tab/>
            </w:r>
            <w:r w:rsidR="00D66FAE" w:rsidRPr="00EA3F9E">
              <w:rPr>
                <w:rStyle w:val="Hyperlink"/>
                <w:noProof/>
              </w:rPr>
              <w:t>EOSC Portal</w:t>
            </w:r>
            <w:r w:rsidR="00D66FAE">
              <w:rPr>
                <w:noProof/>
                <w:webHidden/>
              </w:rPr>
              <w:tab/>
            </w:r>
            <w:r w:rsidR="00D66FAE">
              <w:rPr>
                <w:noProof/>
                <w:webHidden/>
              </w:rPr>
              <w:fldChar w:fldCharType="begin"/>
            </w:r>
            <w:r w:rsidR="00D66FAE">
              <w:rPr>
                <w:noProof/>
                <w:webHidden/>
              </w:rPr>
              <w:instrText xml:space="preserve"> PAGEREF _Toc46932780 \h </w:instrText>
            </w:r>
            <w:r w:rsidR="00D66FAE">
              <w:rPr>
                <w:noProof/>
                <w:webHidden/>
              </w:rPr>
            </w:r>
            <w:r w:rsidR="00D66FAE">
              <w:rPr>
                <w:noProof/>
                <w:webHidden/>
              </w:rPr>
              <w:fldChar w:fldCharType="separate"/>
            </w:r>
            <w:r w:rsidR="003921A6">
              <w:rPr>
                <w:noProof/>
                <w:webHidden/>
              </w:rPr>
              <w:t>28</w:t>
            </w:r>
            <w:r w:rsidR="00D66FAE">
              <w:rPr>
                <w:noProof/>
                <w:webHidden/>
              </w:rPr>
              <w:fldChar w:fldCharType="end"/>
            </w:r>
          </w:hyperlink>
        </w:p>
        <w:p w14:paraId="50383B84" w14:textId="1490FB44" w:rsidR="00D66FAE" w:rsidRDefault="006C3A5A">
          <w:pPr>
            <w:pStyle w:val="TOC3"/>
            <w:tabs>
              <w:tab w:val="left" w:pos="1320"/>
              <w:tab w:val="right" w:leader="dot" w:pos="9016"/>
            </w:tabs>
            <w:rPr>
              <w:rFonts w:asciiTheme="minorHAnsi" w:eastAsiaTheme="minorEastAsia" w:hAnsiTheme="minorHAnsi" w:cstheme="minorBidi"/>
              <w:noProof/>
              <w:lang w:eastAsia="en-GB"/>
            </w:rPr>
          </w:pPr>
          <w:hyperlink w:anchor="_Toc46932781" w:history="1">
            <w:r w:rsidR="00D66FAE" w:rsidRPr="00EA3F9E">
              <w:rPr>
                <w:rStyle w:val="Hyperlink"/>
                <w:noProof/>
              </w:rPr>
              <w:t>4.9.1</w:t>
            </w:r>
            <w:r w:rsidR="00D66FAE">
              <w:rPr>
                <w:rFonts w:asciiTheme="minorHAnsi" w:eastAsiaTheme="minorEastAsia" w:hAnsiTheme="minorHAnsi" w:cstheme="minorBidi"/>
                <w:noProof/>
                <w:lang w:eastAsia="en-GB"/>
              </w:rPr>
              <w:tab/>
            </w:r>
            <w:r w:rsidR="00D66FAE" w:rsidRPr="00EA3F9E">
              <w:rPr>
                <w:rStyle w:val="Hyperlink"/>
                <w:noProof/>
              </w:rPr>
              <w:t>Software/Service Performance SLIs</w:t>
            </w:r>
            <w:r w:rsidR="00D66FAE">
              <w:rPr>
                <w:noProof/>
                <w:webHidden/>
              </w:rPr>
              <w:tab/>
            </w:r>
            <w:r w:rsidR="00D66FAE">
              <w:rPr>
                <w:noProof/>
                <w:webHidden/>
              </w:rPr>
              <w:fldChar w:fldCharType="begin"/>
            </w:r>
            <w:r w:rsidR="00D66FAE">
              <w:rPr>
                <w:noProof/>
                <w:webHidden/>
              </w:rPr>
              <w:instrText xml:space="preserve"> PAGEREF _Toc46932781 \h </w:instrText>
            </w:r>
            <w:r w:rsidR="00D66FAE">
              <w:rPr>
                <w:noProof/>
                <w:webHidden/>
              </w:rPr>
            </w:r>
            <w:r w:rsidR="00D66FAE">
              <w:rPr>
                <w:noProof/>
                <w:webHidden/>
              </w:rPr>
              <w:fldChar w:fldCharType="separate"/>
            </w:r>
            <w:r w:rsidR="003921A6">
              <w:rPr>
                <w:noProof/>
                <w:webHidden/>
              </w:rPr>
              <w:t>28</w:t>
            </w:r>
            <w:r w:rsidR="00D66FAE">
              <w:rPr>
                <w:noProof/>
                <w:webHidden/>
              </w:rPr>
              <w:fldChar w:fldCharType="end"/>
            </w:r>
          </w:hyperlink>
        </w:p>
        <w:p w14:paraId="185011D8" w14:textId="4C5DBD83" w:rsidR="00D66FAE" w:rsidRDefault="006C3A5A">
          <w:pPr>
            <w:pStyle w:val="TOC3"/>
            <w:tabs>
              <w:tab w:val="left" w:pos="1320"/>
              <w:tab w:val="right" w:leader="dot" w:pos="9016"/>
            </w:tabs>
            <w:rPr>
              <w:rFonts w:asciiTheme="minorHAnsi" w:eastAsiaTheme="minorEastAsia" w:hAnsiTheme="minorHAnsi" w:cstheme="minorBidi"/>
              <w:noProof/>
              <w:lang w:eastAsia="en-GB"/>
            </w:rPr>
          </w:pPr>
          <w:hyperlink w:anchor="_Toc46932782" w:history="1">
            <w:r w:rsidR="00D66FAE" w:rsidRPr="00EA3F9E">
              <w:rPr>
                <w:rStyle w:val="Hyperlink"/>
                <w:noProof/>
              </w:rPr>
              <w:t>4.9.2</w:t>
            </w:r>
            <w:r w:rsidR="00D66FAE">
              <w:rPr>
                <w:rFonts w:asciiTheme="minorHAnsi" w:eastAsiaTheme="minorEastAsia" w:hAnsiTheme="minorHAnsi" w:cstheme="minorBidi"/>
                <w:noProof/>
                <w:lang w:eastAsia="en-GB"/>
              </w:rPr>
              <w:tab/>
            </w:r>
            <w:r w:rsidR="00D66FAE" w:rsidRPr="00EA3F9E">
              <w:rPr>
                <w:rStyle w:val="Hyperlink"/>
                <w:noProof/>
              </w:rPr>
              <w:t>Human (Operation and Tickets handling) SLIs</w:t>
            </w:r>
            <w:r w:rsidR="00D66FAE">
              <w:rPr>
                <w:noProof/>
                <w:webHidden/>
              </w:rPr>
              <w:tab/>
            </w:r>
            <w:r w:rsidR="00D66FAE">
              <w:rPr>
                <w:noProof/>
                <w:webHidden/>
              </w:rPr>
              <w:fldChar w:fldCharType="begin"/>
            </w:r>
            <w:r w:rsidR="00D66FAE">
              <w:rPr>
                <w:noProof/>
                <w:webHidden/>
              </w:rPr>
              <w:instrText xml:space="preserve"> PAGEREF _Toc46932782 \h </w:instrText>
            </w:r>
            <w:r w:rsidR="00D66FAE">
              <w:rPr>
                <w:noProof/>
                <w:webHidden/>
              </w:rPr>
            </w:r>
            <w:r w:rsidR="00D66FAE">
              <w:rPr>
                <w:noProof/>
                <w:webHidden/>
              </w:rPr>
              <w:fldChar w:fldCharType="separate"/>
            </w:r>
            <w:r w:rsidR="003921A6">
              <w:rPr>
                <w:noProof/>
                <w:webHidden/>
              </w:rPr>
              <w:t>30</w:t>
            </w:r>
            <w:r w:rsidR="00D66FAE">
              <w:rPr>
                <w:noProof/>
                <w:webHidden/>
              </w:rPr>
              <w:fldChar w:fldCharType="end"/>
            </w:r>
          </w:hyperlink>
        </w:p>
        <w:p w14:paraId="52C94B9B" w14:textId="75DB3B4B" w:rsidR="00D66FAE" w:rsidRDefault="006C3A5A">
          <w:pPr>
            <w:pStyle w:val="TOC2"/>
            <w:tabs>
              <w:tab w:val="left" w:pos="880"/>
              <w:tab w:val="right" w:leader="dot" w:pos="9016"/>
            </w:tabs>
            <w:rPr>
              <w:rFonts w:asciiTheme="minorHAnsi" w:eastAsiaTheme="minorEastAsia" w:hAnsiTheme="minorHAnsi" w:cstheme="minorBidi"/>
              <w:noProof/>
              <w:lang w:eastAsia="en-GB"/>
            </w:rPr>
          </w:pPr>
          <w:hyperlink w:anchor="_Toc46932783" w:history="1">
            <w:r w:rsidR="00D66FAE" w:rsidRPr="00EA3F9E">
              <w:rPr>
                <w:rStyle w:val="Hyperlink"/>
                <w:noProof/>
              </w:rPr>
              <w:t>4.10</w:t>
            </w:r>
            <w:r w:rsidR="00D66FAE">
              <w:rPr>
                <w:rFonts w:asciiTheme="minorHAnsi" w:eastAsiaTheme="minorEastAsia" w:hAnsiTheme="minorHAnsi" w:cstheme="minorBidi"/>
                <w:noProof/>
                <w:lang w:eastAsia="en-GB"/>
              </w:rPr>
              <w:tab/>
            </w:r>
            <w:r w:rsidR="00D66FAE" w:rsidRPr="00EA3F9E">
              <w:rPr>
                <w:rStyle w:val="Hyperlink"/>
                <w:noProof/>
              </w:rPr>
              <w:t>Operations Portal</w:t>
            </w:r>
            <w:r w:rsidR="00D66FAE">
              <w:rPr>
                <w:noProof/>
                <w:webHidden/>
              </w:rPr>
              <w:tab/>
            </w:r>
            <w:r w:rsidR="00D66FAE">
              <w:rPr>
                <w:noProof/>
                <w:webHidden/>
              </w:rPr>
              <w:fldChar w:fldCharType="begin"/>
            </w:r>
            <w:r w:rsidR="00D66FAE">
              <w:rPr>
                <w:noProof/>
                <w:webHidden/>
              </w:rPr>
              <w:instrText xml:space="preserve"> PAGEREF _Toc46932783 \h </w:instrText>
            </w:r>
            <w:r w:rsidR="00D66FAE">
              <w:rPr>
                <w:noProof/>
                <w:webHidden/>
              </w:rPr>
            </w:r>
            <w:r w:rsidR="00D66FAE">
              <w:rPr>
                <w:noProof/>
                <w:webHidden/>
              </w:rPr>
              <w:fldChar w:fldCharType="separate"/>
            </w:r>
            <w:r w:rsidR="003921A6">
              <w:rPr>
                <w:noProof/>
                <w:webHidden/>
              </w:rPr>
              <w:t>31</w:t>
            </w:r>
            <w:r w:rsidR="00D66FAE">
              <w:rPr>
                <w:noProof/>
                <w:webHidden/>
              </w:rPr>
              <w:fldChar w:fldCharType="end"/>
            </w:r>
          </w:hyperlink>
        </w:p>
        <w:p w14:paraId="0F6665BC" w14:textId="73153BD5" w:rsidR="00D66FAE" w:rsidRDefault="006C3A5A">
          <w:pPr>
            <w:pStyle w:val="TOC3"/>
            <w:tabs>
              <w:tab w:val="left" w:pos="1320"/>
              <w:tab w:val="right" w:leader="dot" w:pos="9016"/>
            </w:tabs>
            <w:rPr>
              <w:rFonts w:asciiTheme="minorHAnsi" w:eastAsiaTheme="minorEastAsia" w:hAnsiTheme="minorHAnsi" w:cstheme="minorBidi"/>
              <w:noProof/>
              <w:lang w:eastAsia="en-GB"/>
            </w:rPr>
          </w:pPr>
          <w:hyperlink w:anchor="_Toc46932784" w:history="1">
            <w:r w:rsidR="00D66FAE" w:rsidRPr="00EA3F9E">
              <w:rPr>
                <w:rStyle w:val="Hyperlink"/>
                <w:noProof/>
              </w:rPr>
              <w:t>4.10.1</w:t>
            </w:r>
            <w:r w:rsidR="00D66FAE">
              <w:rPr>
                <w:rFonts w:asciiTheme="minorHAnsi" w:eastAsiaTheme="minorEastAsia" w:hAnsiTheme="minorHAnsi" w:cstheme="minorBidi"/>
                <w:noProof/>
                <w:lang w:eastAsia="en-GB"/>
              </w:rPr>
              <w:tab/>
            </w:r>
            <w:r w:rsidR="00D66FAE" w:rsidRPr="00EA3F9E">
              <w:rPr>
                <w:rStyle w:val="Hyperlink"/>
                <w:noProof/>
              </w:rPr>
              <w:t>Software/Service Performance SLIs</w:t>
            </w:r>
            <w:r w:rsidR="00D66FAE">
              <w:rPr>
                <w:noProof/>
                <w:webHidden/>
              </w:rPr>
              <w:tab/>
            </w:r>
            <w:r w:rsidR="00D66FAE">
              <w:rPr>
                <w:noProof/>
                <w:webHidden/>
              </w:rPr>
              <w:fldChar w:fldCharType="begin"/>
            </w:r>
            <w:r w:rsidR="00D66FAE">
              <w:rPr>
                <w:noProof/>
                <w:webHidden/>
              </w:rPr>
              <w:instrText xml:space="preserve"> PAGEREF _Toc46932784 \h </w:instrText>
            </w:r>
            <w:r w:rsidR="00D66FAE">
              <w:rPr>
                <w:noProof/>
                <w:webHidden/>
              </w:rPr>
            </w:r>
            <w:r w:rsidR="00D66FAE">
              <w:rPr>
                <w:noProof/>
                <w:webHidden/>
              </w:rPr>
              <w:fldChar w:fldCharType="separate"/>
            </w:r>
            <w:r w:rsidR="003921A6">
              <w:rPr>
                <w:noProof/>
                <w:webHidden/>
              </w:rPr>
              <w:t>31</w:t>
            </w:r>
            <w:r w:rsidR="00D66FAE">
              <w:rPr>
                <w:noProof/>
                <w:webHidden/>
              </w:rPr>
              <w:fldChar w:fldCharType="end"/>
            </w:r>
          </w:hyperlink>
        </w:p>
        <w:p w14:paraId="66598A67" w14:textId="2FB0F8FC" w:rsidR="00D66FAE" w:rsidRDefault="006C3A5A">
          <w:pPr>
            <w:pStyle w:val="TOC3"/>
            <w:tabs>
              <w:tab w:val="left" w:pos="1320"/>
              <w:tab w:val="right" w:leader="dot" w:pos="9016"/>
            </w:tabs>
            <w:rPr>
              <w:rFonts w:asciiTheme="minorHAnsi" w:eastAsiaTheme="minorEastAsia" w:hAnsiTheme="minorHAnsi" w:cstheme="minorBidi"/>
              <w:noProof/>
              <w:lang w:eastAsia="en-GB"/>
            </w:rPr>
          </w:pPr>
          <w:hyperlink w:anchor="_Toc46932785" w:history="1">
            <w:r w:rsidR="00D66FAE" w:rsidRPr="00EA3F9E">
              <w:rPr>
                <w:rStyle w:val="Hyperlink"/>
                <w:noProof/>
              </w:rPr>
              <w:t>4.10.2</w:t>
            </w:r>
            <w:r w:rsidR="00D66FAE">
              <w:rPr>
                <w:rFonts w:asciiTheme="minorHAnsi" w:eastAsiaTheme="minorEastAsia" w:hAnsiTheme="minorHAnsi" w:cstheme="minorBidi"/>
                <w:noProof/>
                <w:lang w:eastAsia="en-GB"/>
              </w:rPr>
              <w:tab/>
            </w:r>
            <w:r w:rsidR="00D66FAE" w:rsidRPr="00EA3F9E">
              <w:rPr>
                <w:rStyle w:val="Hyperlink"/>
                <w:noProof/>
              </w:rPr>
              <w:t>Human (Operation and Tickets handling) SLIs</w:t>
            </w:r>
            <w:r w:rsidR="00D66FAE">
              <w:rPr>
                <w:noProof/>
                <w:webHidden/>
              </w:rPr>
              <w:tab/>
            </w:r>
            <w:r w:rsidR="00D66FAE">
              <w:rPr>
                <w:noProof/>
                <w:webHidden/>
              </w:rPr>
              <w:fldChar w:fldCharType="begin"/>
            </w:r>
            <w:r w:rsidR="00D66FAE">
              <w:rPr>
                <w:noProof/>
                <w:webHidden/>
              </w:rPr>
              <w:instrText xml:space="preserve"> PAGEREF _Toc46932785 \h </w:instrText>
            </w:r>
            <w:r w:rsidR="00D66FAE">
              <w:rPr>
                <w:noProof/>
                <w:webHidden/>
              </w:rPr>
            </w:r>
            <w:r w:rsidR="00D66FAE">
              <w:rPr>
                <w:noProof/>
                <w:webHidden/>
              </w:rPr>
              <w:fldChar w:fldCharType="separate"/>
            </w:r>
            <w:r w:rsidR="003921A6">
              <w:rPr>
                <w:noProof/>
                <w:webHidden/>
              </w:rPr>
              <w:t>33</w:t>
            </w:r>
            <w:r w:rsidR="00D66FAE">
              <w:rPr>
                <w:noProof/>
                <w:webHidden/>
              </w:rPr>
              <w:fldChar w:fldCharType="end"/>
            </w:r>
          </w:hyperlink>
        </w:p>
        <w:p w14:paraId="141F7899" w14:textId="1EF19E7F" w:rsidR="00D66FAE" w:rsidRDefault="006C3A5A">
          <w:pPr>
            <w:pStyle w:val="TOC1"/>
            <w:tabs>
              <w:tab w:val="left" w:pos="440"/>
              <w:tab w:val="right" w:leader="dot" w:pos="9016"/>
            </w:tabs>
            <w:rPr>
              <w:rFonts w:asciiTheme="minorHAnsi" w:eastAsiaTheme="minorEastAsia" w:hAnsiTheme="minorHAnsi" w:cstheme="minorBidi"/>
              <w:noProof/>
              <w:lang w:eastAsia="en-GB"/>
            </w:rPr>
          </w:pPr>
          <w:hyperlink w:anchor="_Toc46932786" w:history="1">
            <w:r w:rsidR="00D66FAE" w:rsidRPr="00EA3F9E">
              <w:rPr>
                <w:rStyle w:val="Hyperlink"/>
                <w:noProof/>
              </w:rPr>
              <w:t>5</w:t>
            </w:r>
            <w:r w:rsidR="00D66FAE">
              <w:rPr>
                <w:rFonts w:asciiTheme="minorHAnsi" w:eastAsiaTheme="minorEastAsia" w:hAnsiTheme="minorHAnsi" w:cstheme="minorBidi"/>
                <w:noProof/>
                <w:lang w:eastAsia="en-GB"/>
              </w:rPr>
              <w:tab/>
            </w:r>
            <w:r w:rsidR="00D66FAE" w:rsidRPr="00EA3F9E">
              <w:rPr>
                <w:rStyle w:val="Hyperlink"/>
                <w:noProof/>
              </w:rPr>
              <w:t>Conclusion</w:t>
            </w:r>
            <w:r w:rsidR="00D66FAE">
              <w:rPr>
                <w:noProof/>
                <w:webHidden/>
              </w:rPr>
              <w:tab/>
            </w:r>
            <w:r w:rsidR="00D66FAE">
              <w:rPr>
                <w:noProof/>
                <w:webHidden/>
              </w:rPr>
              <w:fldChar w:fldCharType="begin"/>
            </w:r>
            <w:r w:rsidR="00D66FAE">
              <w:rPr>
                <w:noProof/>
                <w:webHidden/>
              </w:rPr>
              <w:instrText xml:space="preserve"> PAGEREF _Toc46932786 \h </w:instrText>
            </w:r>
            <w:r w:rsidR="00D66FAE">
              <w:rPr>
                <w:noProof/>
                <w:webHidden/>
              </w:rPr>
            </w:r>
            <w:r w:rsidR="00D66FAE">
              <w:rPr>
                <w:noProof/>
                <w:webHidden/>
              </w:rPr>
              <w:fldChar w:fldCharType="separate"/>
            </w:r>
            <w:r w:rsidR="003921A6">
              <w:rPr>
                <w:noProof/>
                <w:webHidden/>
              </w:rPr>
              <w:t>34</w:t>
            </w:r>
            <w:r w:rsidR="00D66FAE">
              <w:rPr>
                <w:noProof/>
                <w:webHidden/>
              </w:rPr>
              <w:fldChar w:fldCharType="end"/>
            </w:r>
          </w:hyperlink>
        </w:p>
        <w:p w14:paraId="35BB3054" w14:textId="16623DA2" w:rsidR="009B4F68" w:rsidRPr="00307566" w:rsidRDefault="00164E6E">
          <w:pPr>
            <w:tabs>
              <w:tab w:val="right" w:pos="9025"/>
            </w:tabs>
            <w:spacing w:before="200" w:after="80" w:line="240" w:lineRule="auto"/>
            <w:rPr>
              <w:b/>
              <w:color w:val="000000"/>
            </w:rPr>
          </w:pPr>
          <w:r w:rsidRPr="00307566">
            <w:fldChar w:fldCharType="end"/>
          </w:r>
        </w:p>
      </w:sdtContent>
    </w:sdt>
    <w:p w14:paraId="6939E0A7" w14:textId="77777777" w:rsidR="009B4F68" w:rsidRPr="00307566" w:rsidRDefault="009B4F68"/>
    <w:p w14:paraId="6C6C5436" w14:textId="77777777" w:rsidR="009B4F68" w:rsidRPr="00307566" w:rsidRDefault="009B4F68"/>
    <w:p w14:paraId="12E78AE4" w14:textId="77777777" w:rsidR="009B4F68" w:rsidRPr="00307566" w:rsidRDefault="009B4F68"/>
    <w:p w14:paraId="57C7F643" w14:textId="77777777" w:rsidR="009B4F68" w:rsidRPr="00307566" w:rsidRDefault="00164E6E">
      <w:r w:rsidRPr="00307566">
        <w:br w:type="page"/>
      </w:r>
    </w:p>
    <w:p w14:paraId="2D3F5357" w14:textId="77777777" w:rsidR="009B4F68" w:rsidRPr="00307566" w:rsidRDefault="00164E6E">
      <w:pPr>
        <w:pBdr>
          <w:top w:val="nil"/>
          <w:left w:val="nil"/>
          <w:bottom w:val="nil"/>
          <w:right w:val="nil"/>
          <w:between w:val="nil"/>
        </w:pBdr>
        <w:rPr>
          <w:b/>
          <w:color w:val="000000"/>
          <w:sz w:val="40"/>
          <w:szCs w:val="40"/>
        </w:rPr>
      </w:pPr>
      <w:bookmarkStart w:id="1" w:name="_30j0zll" w:colFirst="0" w:colLast="0"/>
      <w:bookmarkEnd w:id="1"/>
      <w:r w:rsidRPr="00307566">
        <w:rPr>
          <w:b/>
          <w:color w:val="000000"/>
          <w:sz w:val="40"/>
          <w:szCs w:val="40"/>
        </w:rPr>
        <w:lastRenderedPageBreak/>
        <w:t xml:space="preserve">Executive summary  </w:t>
      </w:r>
    </w:p>
    <w:p w14:paraId="716CF2C4" w14:textId="77777777" w:rsidR="009B4F68" w:rsidRPr="00307566" w:rsidRDefault="00164E6E">
      <w:r w:rsidRPr="00307566">
        <w:t>Capacity planning is an important aspect that extends across the service lifecycle: a key success factor in managing capacity is ensuring it is considered during the design stage, with periodic reiterations during delivery of  the service, in order to guarantee that the capacity of the services meets the agreed capacity- and performance-related requirements in a cost-effective and timely manner. Capacity management is concerned with meeting both the current and future capacity and performance needs of the business.</w:t>
      </w:r>
    </w:p>
    <w:p w14:paraId="7BAA31F3" w14:textId="77777777" w:rsidR="009B4F68" w:rsidRPr="00307566" w:rsidRDefault="00164E6E">
      <w:r w:rsidRPr="00307566">
        <w:t>The EOSC-hub IT Management System</w:t>
      </w:r>
      <w:r w:rsidRPr="00307566">
        <w:rPr>
          <w:vertAlign w:val="superscript"/>
        </w:rPr>
        <w:footnoteReference w:id="1"/>
      </w:r>
      <w:r w:rsidRPr="00307566">
        <w:t xml:space="preserve"> is based on the FitSM standard</w:t>
      </w:r>
      <w:r w:rsidRPr="00307566">
        <w:rPr>
          <w:vertAlign w:val="superscript"/>
        </w:rPr>
        <w:footnoteReference w:id="2"/>
      </w:r>
      <w:r w:rsidRPr="00307566">
        <w:t xml:space="preserve"> so in carrying out this activity we applied the FitSM Capacity Management requirements, as also explained in a previous deliverable</w:t>
      </w:r>
      <w:r w:rsidRPr="00307566">
        <w:rPr>
          <w:vertAlign w:val="superscript"/>
        </w:rPr>
        <w:footnoteReference w:id="3"/>
      </w:r>
      <w:r w:rsidRPr="00307566">
        <w:t>. We have worked on the capacity plans of the services included in the Hub Portfolio, and we present in this document the criteria adopted to produce a capacity plan and the plans that have been completed so far. Our approach for the creation of a capacity plan for a given service is in general to define the most appropriate set of quantitative parameters to measure the capacity consumption, load, and performance of the resources in order to understand if the available supply of the service processing power matches the demands made on it by the business. With the analysis of these capacity monitoring data we also produce forecasts for future capacity requirements to meet future demand of a given service.</w:t>
      </w:r>
    </w:p>
    <w:p w14:paraId="4B4B3515" w14:textId="77777777" w:rsidR="009B4F68" w:rsidRPr="00307566" w:rsidRDefault="00164E6E">
      <w:r w:rsidRPr="00307566">
        <w:t>Our conclusion is that the current capacity of the several services is sufficient to match the current service demand and to continue to provide the services of the quality defined in the specific OLAs; we don’t foresee a great increase in the future service demand, but even if it will grow, the Hub Portfolio services can cope with it maintaining the same quality level than before.</w:t>
      </w:r>
    </w:p>
    <w:p w14:paraId="1F403F92" w14:textId="77777777" w:rsidR="009B4F68" w:rsidRPr="00307566" w:rsidRDefault="009B4F68"/>
    <w:p w14:paraId="7ED38ED0" w14:textId="77777777" w:rsidR="009B4F68" w:rsidRPr="00307566" w:rsidRDefault="00164E6E">
      <w:pPr>
        <w:pStyle w:val="Heading1"/>
        <w:numPr>
          <w:ilvl w:val="0"/>
          <w:numId w:val="4"/>
        </w:numPr>
      </w:pPr>
      <w:r w:rsidRPr="00307566">
        <w:br w:type="page"/>
      </w:r>
      <w:bookmarkStart w:id="2" w:name="_Toc46932751"/>
      <w:r w:rsidRPr="00307566">
        <w:lastRenderedPageBreak/>
        <w:t>Introduction</w:t>
      </w:r>
      <w:bookmarkEnd w:id="2"/>
      <w:r w:rsidRPr="00307566">
        <w:t xml:space="preserve"> </w:t>
      </w:r>
    </w:p>
    <w:p w14:paraId="151ACC68" w14:textId="77777777" w:rsidR="009B4F68" w:rsidRPr="00307566" w:rsidRDefault="00164E6E">
      <w:r w:rsidRPr="00307566">
        <w:t>In this deliverable we present our approach to work on a capacity plan and the capacity plans of the Hub Portfolio services that we have produced according to the FitSM requirements on which the EOSC-hub Federated Management System is based.</w:t>
      </w:r>
    </w:p>
    <w:p w14:paraId="40207B96" w14:textId="77777777" w:rsidR="009B4F68" w:rsidRPr="00307566" w:rsidRDefault="00164E6E">
      <w:r w:rsidRPr="00307566">
        <w:t>After a brief description of the Capacity Management process in section 2, we describe in section 3 the criteria that we agreed for creating a capacity plan, explaining its structure and the decisions that we made about the relevant information to include into it. Section 4 is dedicated to the capacity plans created so far, and for each service we provide an assessment of the current capacity and our recommendations for the next 6/12 months. In the last section we provide a summary of our conclusions about the capacity requirements of our services.</w:t>
      </w:r>
    </w:p>
    <w:p w14:paraId="3932001C" w14:textId="77777777" w:rsidR="009B4F68" w:rsidRPr="00307566" w:rsidRDefault="009B4F68"/>
    <w:p w14:paraId="4E3B0B1C" w14:textId="77777777" w:rsidR="009B4F68" w:rsidRPr="00307566" w:rsidRDefault="00164E6E">
      <w:pPr>
        <w:pStyle w:val="Heading1"/>
        <w:numPr>
          <w:ilvl w:val="0"/>
          <w:numId w:val="4"/>
        </w:numPr>
      </w:pPr>
      <w:r w:rsidRPr="00307566">
        <w:br w:type="page"/>
      </w:r>
      <w:bookmarkStart w:id="3" w:name="_Toc46932752"/>
      <w:r w:rsidRPr="00307566">
        <w:lastRenderedPageBreak/>
        <w:t>Capacity Management (CAPM) process</w:t>
      </w:r>
      <w:bookmarkEnd w:id="3"/>
    </w:p>
    <w:p w14:paraId="4A262250" w14:textId="77777777" w:rsidR="009B4F68" w:rsidRPr="00307566" w:rsidRDefault="00164E6E">
      <w:r w:rsidRPr="00307566">
        <w:t>The goal of this process is to ensure that sufficient capacities are provided to meet agreed service levels and performance requirements for services that are part of the catalogue. Capacity Management (CAPM) is usually triggered before the release of a service into the production environment (during the creation of the SDTP), with a periodic reiteration during the entire lifetime of the services in the catalogue: the process considers all resources required to deliver the IT service, and plans for short-, medium-, and long-term business, capacity, and performance requirements.</w:t>
      </w:r>
    </w:p>
    <w:p w14:paraId="33FF3B8B" w14:textId="77777777" w:rsidR="009B4F68" w:rsidRPr="00307566" w:rsidRDefault="00164E6E">
      <w:r w:rsidRPr="00307566">
        <w:t>The result of this analysis is the creation of a plan that documents the current level of resource utilisation and service performance and, after consideration of the service strategy and plans to forecast the future requirements for new IT resources, that supports the IT services that underpin the business activities. The plan clearly specifies any assumptions made as well as any recommendations quantified in terms of resources required, cost, benefits, impact, etc.</w:t>
      </w:r>
    </w:p>
    <w:p w14:paraId="619C0D39" w14:textId="77777777" w:rsidR="009B4F68" w:rsidRPr="00307566" w:rsidRDefault="00164E6E">
      <w:pPr>
        <w:pStyle w:val="Heading2"/>
        <w:numPr>
          <w:ilvl w:val="1"/>
          <w:numId w:val="4"/>
        </w:numPr>
      </w:pPr>
      <w:bookmarkStart w:id="4" w:name="_Toc46932753"/>
      <w:r w:rsidRPr="00307566">
        <w:t>Scope of the process</w:t>
      </w:r>
      <w:bookmarkEnd w:id="4"/>
    </w:p>
    <w:p w14:paraId="3AB439B8" w14:textId="77777777" w:rsidR="009B4F68" w:rsidRPr="00307566" w:rsidRDefault="00164E6E">
      <w:r w:rsidRPr="00307566">
        <w:t>The scope of our CAPM process is the Hub Portfolio, a collection of services supporting the delivery of the Hub as a whole. The definition of this group of services changed over the years and Table 1 contains the list of services under scope after setting-up the process and valid when we started to implement it. Very recently, the SVB started some discussions to modify the definition of the Hub Portfolio, proposing the inclusion of some new services like the Data Transfer, the Messaging and the Training services, and the removal of some others like DPMT and the Operations Portal</w:t>
      </w:r>
      <w:r w:rsidRPr="00307566">
        <w:rPr>
          <w:vertAlign w:val="superscript"/>
        </w:rPr>
        <w:footnoteReference w:id="4"/>
      </w:r>
      <w:r w:rsidRPr="00307566">
        <w:t>. When the new set of the Hub Portfolio services is approved, we will start to work on the capacity plans of the new services according to the requirements of our process.</w:t>
      </w:r>
    </w:p>
    <w:p w14:paraId="2F1724E8" w14:textId="1EC7CB3B" w:rsidR="009B4F68" w:rsidRPr="00307566" w:rsidRDefault="00164E6E">
      <w:pPr>
        <w:keepNext/>
        <w:spacing w:after="240"/>
        <w:jc w:val="center"/>
        <w:rPr>
          <w:b/>
          <w:color w:val="1C3046"/>
        </w:rPr>
      </w:pPr>
      <w:r w:rsidRPr="00307566">
        <w:rPr>
          <w:b/>
          <w:i/>
          <w:color w:val="17365D"/>
        </w:rPr>
        <w:t>Table 1 – List of services under scope so far</w:t>
      </w:r>
      <w:r w:rsidR="00C46A72" w:rsidRPr="00307566">
        <w:rPr>
          <w:b/>
          <w:i/>
          <w:color w:val="17365D"/>
        </w:rPr>
        <w:t>.</w:t>
      </w:r>
    </w:p>
    <w:tbl>
      <w:tblPr>
        <w:tblStyle w:val="a4"/>
        <w:tblW w:w="9015" w:type="dxa"/>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1680"/>
        <w:gridCol w:w="2100"/>
        <w:gridCol w:w="2355"/>
        <w:gridCol w:w="2880"/>
      </w:tblGrid>
      <w:tr w:rsidR="009B4F68" w:rsidRPr="00307566" w14:paraId="6FA4C4DD"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80" w:type="dxa"/>
          </w:tcPr>
          <w:p w14:paraId="25EFA2B0" w14:textId="77777777" w:rsidR="009B4F68" w:rsidRPr="00307566" w:rsidRDefault="00164E6E">
            <w:pPr>
              <w:jc w:val="left"/>
              <w:rPr>
                <w:i/>
              </w:rPr>
            </w:pPr>
            <w:r w:rsidRPr="00307566">
              <w:rPr>
                <w:i/>
              </w:rPr>
              <w:t>Service name</w:t>
            </w:r>
          </w:p>
        </w:tc>
        <w:tc>
          <w:tcPr>
            <w:tcW w:w="2100" w:type="dxa"/>
          </w:tcPr>
          <w:p w14:paraId="7540FB92" w14:textId="77777777" w:rsidR="009B4F68" w:rsidRPr="00307566" w:rsidRDefault="00164E6E">
            <w:pPr>
              <w:jc w:val="left"/>
              <w:cnfStyle w:val="100000000000" w:firstRow="1" w:lastRow="0" w:firstColumn="0" w:lastColumn="0" w:oddVBand="0" w:evenVBand="0" w:oddHBand="0" w:evenHBand="0" w:firstRowFirstColumn="0" w:firstRowLastColumn="0" w:lastRowFirstColumn="0" w:lastRowLastColumn="0"/>
              <w:rPr>
                <w:i/>
              </w:rPr>
            </w:pPr>
            <w:r w:rsidRPr="00307566">
              <w:rPr>
                <w:i/>
              </w:rPr>
              <w:t>Service component</w:t>
            </w:r>
          </w:p>
        </w:tc>
        <w:tc>
          <w:tcPr>
            <w:tcW w:w="2355" w:type="dxa"/>
          </w:tcPr>
          <w:p w14:paraId="590014BC" w14:textId="77777777" w:rsidR="009B4F68" w:rsidRPr="00307566" w:rsidRDefault="00164E6E">
            <w:pPr>
              <w:jc w:val="left"/>
              <w:cnfStyle w:val="100000000000" w:firstRow="1" w:lastRow="0" w:firstColumn="0" w:lastColumn="0" w:oddVBand="0" w:evenVBand="0" w:oddHBand="0" w:evenHBand="0" w:firstRowFirstColumn="0" w:firstRowLastColumn="0" w:lastRowFirstColumn="0" w:lastRowLastColumn="0"/>
              <w:rPr>
                <w:i/>
              </w:rPr>
            </w:pPr>
            <w:r w:rsidRPr="00307566">
              <w:rPr>
                <w:i/>
              </w:rPr>
              <w:t>Capacity Plan status</w:t>
            </w:r>
          </w:p>
        </w:tc>
        <w:tc>
          <w:tcPr>
            <w:tcW w:w="2880" w:type="dxa"/>
          </w:tcPr>
          <w:p w14:paraId="73286482" w14:textId="77777777" w:rsidR="009B4F68" w:rsidRPr="00307566" w:rsidRDefault="00164E6E">
            <w:pPr>
              <w:jc w:val="left"/>
              <w:cnfStyle w:val="100000000000" w:firstRow="1" w:lastRow="0" w:firstColumn="0" w:lastColumn="0" w:oddVBand="0" w:evenVBand="0" w:oddHBand="0" w:evenHBand="0" w:firstRowFirstColumn="0" w:firstRowLastColumn="0" w:lastRowFirstColumn="0" w:lastRowLastColumn="0"/>
              <w:rPr>
                <w:i/>
              </w:rPr>
            </w:pPr>
            <w:r w:rsidRPr="00307566">
              <w:rPr>
                <w:i/>
              </w:rPr>
              <w:t>Included in the new “Hub Portfolio”</w:t>
            </w:r>
          </w:p>
        </w:tc>
      </w:tr>
      <w:tr w:rsidR="009B4F68" w:rsidRPr="00307566" w14:paraId="349D1143" w14:textId="77777777" w:rsidTr="009B4F68">
        <w:trPr>
          <w:cnfStyle w:val="000000100000" w:firstRow="0" w:lastRow="0" w:firstColumn="0" w:lastColumn="0" w:oddVBand="0" w:evenVBand="0" w:oddHBand="1" w:evenHBand="0" w:firstRowFirstColumn="0" w:firstRowLastColumn="0" w:lastRowFirstColumn="0" w:lastRowLastColumn="0"/>
          <w:trHeight w:val="220"/>
        </w:trPr>
        <w:tc>
          <w:tcPr>
            <w:cnfStyle w:val="001000000000" w:firstRow="0" w:lastRow="0" w:firstColumn="1" w:lastColumn="0" w:oddVBand="0" w:evenVBand="0" w:oddHBand="0" w:evenHBand="0" w:firstRowFirstColumn="0" w:firstRowLastColumn="0" w:lastRowFirstColumn="0" w:lastRowLastColumn="0"/>
            <w:tcW w:w="1680" w:type="dxa"/>
            <w:vMerge w:val="restart"/>
            <w:shd w:val="clear" w:color="auto" w:fill="auto"/>
          </w:tcPr>
          <w:p w14:paraId="1F213305" w14:textId="77777777" w:rsidR="009B4F68" w:rsidRPr="00307566" w:rsidRDefault="009B4F68">
            <w:pPr>
              <w:jc w:val="left"/>
            </w:pPr>
          </w:p>
          <w:p w14:paraId="57AF0D79" w14:textId="77777777" w:rsidR="009B4F68" w:rsidRPr="00307566" w:rsidRDefault="00164E6E">
            <w:pPr>
              <w:jc w:val="left"/>
            </w:pPr>
            <w:r w:rsidRPr="00307566">
              <w:rPr>
                <w:b w:val="0"/>
              </w:rPr>
              <w:t>EOSC hub AAI</w:t>
            </w:r>
          </w:p>
        </w:tc>
        <w:tc>
          <w:tcPr>
            <w:tcW w:w="2100" w:type="dxa"/>
          </w:tcPr>
          <w:p w14:paraId="71A4BFCF" w14:textId="77777777" w:rsidR="009B4F68" w:rsidRPr="00307566" w:rsidRDefault="00164E6E">
            <w:pPr>
              <w:jc w:val="left"/>
              <w:cnfStyle w:val="000000100000" w:firstRow="0" w:lastRow="0" w:firstColumn="0" w:lastColumn="0" w:oddVBand="0" w:evenVBand="0" w:oddHBand="1" w:evenHBand="0" w:firstRowFirstColumn="0" w:firstRowLastColumn="0" w:lastRowFirstColumn="0" w:lastRowLastColumn="0"/>
            </w:pPr>
            <w:r w:rsidRPr="00307566">
              <w:t>B2ACCESS</w:t>
            </w:r>
          </w:p>
        </w:tc>
        <w:tc>
          <w:tcPr>
            <w:tcW w:w="2355" w:type="dxa"/>
          </w:tcPr>
          <w:p w14:paraId="585F54C5" w14:textId="77777777" w:rsidR="009B4F68" w:rsidRPr="00307566" w:rsidRDefault="00164E6E">
            <w:pPr>
              <w:jc w:val="left"/>
              <w:cnfStyle w:val="000000100000" w:firstRow="0" w:lastRow="0" w:firstColumn="0" w:lastColumn="0" w:oddVBand="0" w:evenVBand="0" w:oddHBand="1" w:evenHBand="0" w:firstRowFirstColumn="0" w:firstRowLastColumn="0" w:lastRowFirstColumn="0" w:lastRowLastColumn="0"/>
            </w:pPr>
            <w:r w:rsidRPr="00307566">
              <w:t>not yet started</w:t>
            </w:r>
          </w:p>
        </w:tc>
        <w:tc>
          <w:tcPr>
            <w:tcW w:w="2880" w:type="dxa"/>
          </w:tcPr>
          <w:p w14:paraId="5C43EB0C" w14:textId="77777777" w:rsidR="009B4F68" w:rsidRPr="00307566" w:rsidRDefault="00164E6E">
            <w:pPr>
              <w:jc w:val="left"/>
              <w:cnfStyle w:val="000000100000" w:firstRow="0" w:lastRow="0" w:firstColumn="0" w:lastColumn="0" w:oddVBand="0" w:evenVBand="0" w:oddHBand="1" w:evenHBand="0" w:firstRowFirstColumn="0" w:firstRowLastColumn="0" w:lastRowFirstColumn="0" w:lastRowLastColumn="0"/>
            </w:pPr>
            <w:r w:rsidRPr="00307566">
              <w:t>No</w:t>
            </w:r>
          </w:p>
        </w:tc>
      </w:tr>
      <w:tr w:rsidR="009B4F68" w:rsidRPr="00307566" w14:paraId="66854D28" w14:textId="77777777" w:rsidTr="009B4F68">
        <w:trPr>
          <w:trHeight w:val="220"/>
        </w:trPr>
        <w:tc>
          <w:tcPr>
            <w:cnfStyle w:val="001000000000" w:firstRow="0" w:lastRow="0" w:firstColumn="1" w:lastColumn="0" w:oddVBand="0" w:evenVBand="0" w:oddHBand="0" w:evenHBand="0" w:firstRowFirstColumn="0" w:firstRowLastColumn="0" w:lastRowFirstColumn="0" w:lastRowLastColumn="0"/>
            <w:tcW w:w="1680" w:type="dxa"/>
            <w:vMerge/>
          </w:tcPr>
          <w:p w14:paraId="08AC1262" w14:textId="77777777" w:rsidR="009B4F68" w:rsidRPr="00307566" w:rsidRDefault="009B4F68">
            <w:pPr>
              <w:jc w:val="left"/>
            </w:pPr>
          </w:p>
        </w:tc>
        <w:tc>
          <w:tcPr>
            <w:tcW w:w="2100" w:type="dxa"/>
          </w:tcPr>
          <w:p w14:paraId="4C49E150" w14:textId="77777777" w:rsidR="009B4F68" w:rsidRPr="00307566" w:rsidRDefault="00164E6E">
            <w:pPr>
              <w:jc w:val="left"/>
              <w:cnfStyle w:val="000000000000" w:firstRow="0" w:lastRow="0" w:firstColumn="0" w:lastColumn="0" w:oddVBand="0" w:evenVBand="0" w:oddHBand="0" w:evenHBand="0" w:firstRowFirstColumn="0" w:firstRowLastColumn="0" w:lastRowFirstColumn="0" w:lastRowLastColumn="0"/>
            </w:pPr>
            <w:r w:rsidRPr="00307566">
              <w:t>EGI</w:t>
            </w:r>
            <w:r w:rsidRPr="00307566">
              <w:rPr>
                <w:vertAlign w:val="superscript"/>
              </w:rPr>
              <w:footnoteReference w:id="5"/>
            </w:r>
            <w:r w:rsidRPr="00307566">
              <w:t xml:space="preserve"> Check-in</w:t>
            </w:r>
          </w:p>
        </w:tc>
        <w:tc>
          <w:tcPr>
            <w:tcW w:w="2355" w:type="dxa"/>
          </w:tcPr>
          <w:p w14:paraId="49559E3E" w14:textId="77777777" w:rsidR="009B4F68" w:rsidRPr="00307566" w:rsidRDefault="00164E6E">
            <w:pPr>
              <w:jc w:val="left"/>
              <w:cnfStyle w:val="000000000000" w:firstRow="0" w:lastRow="0" w:firstColumn="0" w:lastColumn="0" w:oddVBand="0" w:evenVBand="0" w:oddHBand="0" w:evenHBand="0" w:firstRowFirstColumn="0" w:firstRowLastColumn="0" w:lastRowFirstColumn="0" w:lastRowLastColumn="0"/>
            </w:pPr>
            <w:r w:rsidRPr="00307566">
              <w:t>completed</w:t>
            </w:r>
          </w:p>
        </w:tc>
        <w:tc>
          <w:tcPr>
            <w:tcW w:w="2880" w:type="dxa"/>
          </w:tcPr>
          <w:p w14:paraId="74A484BD" w14:textId="77777777" w:rsidR="009B4F68" w:rsidRPr="00307566" w:rsidRDefault="00164E6E">
            <w:pPr>
              <w:jc w:val="left"/>
              <w:cnfStyle w:val="000000000000" w:firstRow="0" w:lastRow="0" w:firstColumn="0" w:lastColumn="0" w:oddVBand="0" w:evenVBand="0" w:oddHBand="0" w:evenHBand="0" w:firstRowFirstColumn="0" w:firstRowLastColumn="0" w:lastRowFirstColumn="0" w:lastRowLastColumn="0"/>
            </w:pPr>
            <w:r w:rsidRPr="00307566">
              <w:t>Yes</w:t>
            </w:r>
          </w:p>
        </w:tc>
      </w:tr>
      <w:tr w:rsidR="009B4F68" w:rsidRPr="00307566" w14:paraId="362DA71D" w14:textId="77777777" w:rsidTr="009B4F68">
        <w:trPr>
          <w:cnfStyle w:val="000000100000" w:firstRow="0" w:lastRow="0" w:firstColumn="0" w:lastColumn="0" w:oddVBand="0" w:evenVBand="0" w:oddHBand="1" w:evenHBand="0" w:firstRowFirstColumn="0" w:firstRowLastColumn="0" w:lastRowFirstColumn="0" w:lastRowLastColumn="0"/>
          <w:trHeight w:val="220"/>
        </w:trPr>
        <w:tc>
          <w:tcPr>
            <w:cnfStyle w:val="001000000000" w:firstRow="0" w:lastRow="0" w:firstColumn="1" w:lastColumn="0" w:oddVBand="0" w:evenVBand="0" w:oddHBand="0" w:evenHBand="0" w:firstRowFirstColumn="0" w:firstRowLastColumn="0" w:lastRowFirstColumn="0" w:lastRowLastColumn="0"/>
            <w:tcW w:w="1680" w:type="dxa"/>
            <w:vMerge w:val="restart"/>
          </w:tcPr>
          <w:p w14:paraId="22EDD32C" w14:textId="77777777" w:rsidR="009B4F68" w:rsidRPr="00307566" w:rsidRDefault="00164E6E">
            <w:pPr>
              <w:jc w:val="left"/>
            </w:pPr>
            <w:r w:rsidRPr="00307566">
              <w:rPr>
                <w:b w:val="0"/>
              </w:rPr>
              <w:t>EOSC hub Accounting</w:t>
            </w:r>
          </w:p>
        </w:tc>
        <w:tc>
          <w:tcPr>
            <w:tcW w:w="2100" w:type="dxa"/>
          </w:tcPr>
          <w:p w14:paraId="18CAF815" w14:textId="77777777" w:rsidR="009B4F68" w:rsidRPr="00307566" w:rsidRDefault="00164E6E">
            <w:pPr>
              <w:jc w:val="left"/>
              <w:cnfStyle w:val="000000100000" w:firstRow="0" w:lastRow="0" w:firstColumn="0" w:lastColumn="0" w:oddVBand="0" w:evenVBand="0" w:oddHBand="1" w:evenHBand="0" w:firstRowFirstColumn="0" w:firstRowLastColumn="0" w:lastRowFirstColumn="0" w:lastRowLastColumn="0"/>
            </w:pPr>
            <w:r w:rsidRPr="00307566">
              <w:t>EGI Accounting Portal</w:t>
            </w:r>
          </w:p>
        </w:tc>
        <w:tc>
          <w:tcPr>
            <w:tcW w:w="2355" w:type="dxa"/>
          </w:tcPr>
          <w:p w14:paraId="3D9C00D7" w14:textId="77777777" w:rsidR="009B4F68" w:rsidRPr="00307566" w:rsidRDefault="00164E6E">
            <w:pPr>
              <w:jc w:val="left"/>
              <w:cnfStyle w:val="000000100000" w:firstRow="0" w:lastRow="0" w:firstColumn="0" w:lastColumn="0" w:oddVBand="0" w:evenVBand="0" w:oddHBand="1" w:evenHBand="0" w:firstRowFirstColumn="0" w:firstRowLastColumn="0" w:lastRowFirstColumn="0" w:lastRowLastColumn="0"/>
            </w:pPr>
            <w:r w:rsidRPr="00307566">
              <w:t>completed</w:t>
            </w:r>
          </w:p>
        </w:tc>
        <w:tc>
          <w:tcPr>
            <w:tcW w:w="2880" w:type="dxa"/>
          </w:tcPr>
          <w:p w14:paraId="24D90F53" w14:textId="77777777" w:rsidR="009B4F68" w:rsidRPr="00307566" w:rsidRDefault="00164E6E">
            <w:pPr>
              <w:jc w:val="left"/>
              <w:cnfStyle w:val="000000100000" w:firstRow="0" w:lastRow="0" w:firstColumn="0" w:lastColumn="0" w:oddVBand="0" w:evenVBand="0" w:oddHBand="1" w:evenHBand="0" w:firstRowFirstColumn="0" w:firstRowLastColumn="0" w:lastRowFirstColumn="0" w:lastRowLastColumn="0"/>
            </w:pPr>
            <w:r w:rsidRPr="00307566">
              <w:t>Yes</w:t>
            </w:r>
          </w:p>
        </w:tc>
      </w:tr>
      <w:tr w:rsidR="009B4F68" w:rsidRPr="00307566" w14:paraId="7A7E2378" w14:textId="77777777" w:rsidTr="009B4F68">
        <w:trPr>
          <w:trHeight w:val="220"/>
        </w:trPr>
        <w:tc>
          <w:tcPr>
            <w:cnfStyle w:val="001000000000" w:firstRow="0" w:lastRow="0" w:firstColumn="1" w:lastColumn="0" w:oddVBand="0" w:evenVBand="0" w:oddHBand="0" w:evenHBand="0" w:firstRowFirstColumn="0" w:firstRowLastColumn="0" w:lastRowFirstColumn="0" w:lastRowLastColumn="0"/>
            <w:tcW w:w="1680" w:type="dxa"/>
            <w:vMerge/>
          </w:tcPr>
          <w:p w14:paraId="1070D3B6" w14:textId="77777777" w:rsidR="009B4F68" w:rsidRPr="00307566" w:rsidRDefault="009B4F68">
            <w:pPr>
              <w:jc w:val="left"/>
            </w:pPr>
          </w:p>
        </w:tc>
        <w:tc>
          <w:tcPr>
            <w:tcW w:w="2100" w:type="dxa"/>
          </w:tcPr>
          <w:p w14:paraId="5376AE3B" w14:textId="77777777" w:rsidR="009B4F68" w:rsidRPr="00307566" w:rsidRDefault="00164E6E">
            <w:pPr>
              <w:jc w:val="left"/>
              <w:cnfStyle w:val="000000000000" w:firstRow="0" w:lastRow="0" w:firstColumn="0" w:lastColumn="0" w:oddVBand="0" w:evenVBand="0" w:oddHBand="0" w:evenHBand="0" w:firstRowFirstColumn="0" w:firstRowLastColumn="0" w:lastRowFirstColumn="0" w:lastRowLastColumn="0"/>
            </w:pPr>
            <w:r w:rsidRPr="00307566">
              <w:t>EGI Accounting Repository</w:t>
            </w:r>
          </w:p>
        </w:tc>
        <w:tc>
          <w:tcPr>
            <w:tcW w:w="2355" w:type="dxa"/>
          </w:tcPr>
          <w:p w14:paraId="0B06E15B" w14:textId="77777777" w:rsidR="009B4F68" w:rsidRPr="00307566" w:rsidRDefault="00164E6E">
            <w:pPr>
              <w:jc w:val="left"/>
              <w:cnfStyle w:val="000000000000" w:firstRow="0" w:lastRow="0" w:firstColumn="0" w:lastColumn="0" w:oddVBand="0" w:evenVBand="0" w:oddHBand="0" w:evenHBand="0" w:firstRowFirstColumn="0" w:firstRowLastColumn="0" w:lastRowFirstColumn="0" w:lastRowLastColumn="0"/>
            </w:pPr>
            <w:r w:rsidRPr="00307566">
              <w:t>not yet completed</w:t>
            </w:r>
          </w:p>
        </w:tc>
        <w:tc>
          <w:tcPr>
            <w:tcW w:w="2880" w:type="dxa"/>
          </w:tcPr>
          <w:p w14:paraId="22002452" w14:textId="77777777" w:rsidR="009B4F68" w:rsidRPr="00307566" w:rsidRDefault="00164E6E">
            <w:pPr>
              <w:jc w:val="left"/>
              <w:cnfStyle w:val="000000000000" w:firstRow="0" w:lastRow="0" w:firstColumn="0" w:lastColumn="0" w:oddVBand="0" w:evenVBand="0" w:oddHBand="0" w:evenHBand="0" w:firstRowFirstColumn="0" w:firstRowLastColumn="0" w:lastRowFirstColumn="0" w:lastRowLastColumn="0"/>
            </w:pPr>
            <w:r w:rsidRPr="00307566">
              <w:t>Yes</w:t>
            </w:r>
          </w:p>
        </w:tc>
      </w:tr>
      <w:tr w:rsidR="009B4F68" w:rsidRPr="00307566" w14:paraId="1555B36E" w14:textId="77777777" w:rsidTr="009B4F68">
        <w:trPr>
          <w:cnfStyle w:val="000000100000" w:firstRow="0" w:lastRow="0" w:firstColumn="0" w:lastColumn="0" w:oddVBand="0" w:evenVBand="0" w:oddHBand="1" w:evenHBand="0" w:firstRowFirstColumn="0" w:firstRowLastColumn="0" w:lastRowFirstColumn="0" w:lastRowLastColumn="0"/>
          <w:trHeight w:val="220"/>
        </w:trPr>
        <w:tc>
          <w:tcPr>
            <w:cnfStyle w:val="001000000000" w:firstRow="0" w:lastRow="0" w:firstColumn="1" w:lastColumn="0" w:oddVBand="0" w:evenVBand="0" w:oddHBand="0" w:evenHBand="0" w:firstRowFirstColumn="0" w:firstRowLastColumn="0" w:lastRowFirstColumn="0" w:lastRowLastColumn="0"/>
            <w:tcW w:w="1680" w:type="dxa"/>
            <w:vMerge w:val="restart"/>
            <w:shd w:val="clear" w:color="auto" w:fill="auto"/>
          </w:tcPr>
          <w:p w14:paraId="5423AFF3" w14:textId="77777777" w:rsidR="009B4F68" w:rsidRPr="00307566" w:rsidRDefault="00164E6E">
            <w:pPr>
              <w:jc w:val="left"/>
            </w:pPr>
            <w:r w:rsidRPr="00307566">
              <w:rPr>
                <w:b w:val="0"/>
              </w:rPr>
              <w:t>EOSC hub CMDB</w:t>
            </w:r>
          </w:p>
        </w:tc>
        <w:tc>
          <w:tcPr>
            <w:tcW w:w="2100" w:type="dxa"/>
          </w:tcPr>
          <w:p w14:paraId="7821D2C4" w14:textId="77777777" w:rsidR="009B4F68" w:rsidRPr="00307566" w:rsidRDefault="00164E6E">
            <w:pPr>
              <w:jc w:val="left"/>
              <w:cnfStyle w:val="000000100000" w:firstRow="0" w:lastRow="0" w:firstColumn="0" w:lastColumn="0" w:oddVBand="0" w:evenVBand="0" w:oddHBand="1" w:evenHBand="0" w:firstRowFirstColumn="0" w:firstRowLastColumn="0" w:lastRowFirstColumn="0" w:lastRowLastColumn="0"/>
            </w:pPr>
            <w:r w:rsidRPr="00307566">
              <w:t>EGI GOCDB</w:t>
            </w:r>
          </w:p>
        </w:tc>
        <w:tc>
          <w:tcPr>
            <w:tcW w:w="2355" w:type="dxa"/>
          </w:tcPr>
          <w:p w14:paraId="449FB312" w14:textId="77777777" w:rsidR="009B4F68" w:rsidRPr="00307566" w:rsidRDefault="00164E6E">
            <w:pPr>
              <w:jc w:val="left"/>
              <w:cnfStyle w:val="000000100000" w:firstRow="0" w:lastRow="0" w:firstColumn="0" w:lastColumn="0" w:oddVBand="0" w:evenVBand="0" w:oddHBand="1" w:evenHBand="0" w:firstRowFirstColumn="0" w:firstRowLastColumn="0" w:lastRowFirstColumn="0" w:lastRowLastColumn="0"/>
            </w:pPr>
            <w:r w:rsidRPr="00307566">
              <w:t>completed</w:t>
            </w:r>
          </w:p>
        </w:tc>
        <w:tc>
          <w:tcPr>
            <w:tcW w:w="2880" w:type="dxa"/>
          </w:tcPr>
          <w:p w14:paraId="3DA59BC5" w14:textId="77777777" w:rsidR="009B4F68" w:rsidRPr="00307566" w:rsidRDefault="00164E6E">
            <w:pPr>
              <w:jc w:val="left"/>
              <w:cnfStyle w:val="000000100000" w:firstRow="0" w:lastRow="0" w:firstColumn="0" w:lastColumn="0" w:oddVBand="0" w:evenVBand="0" w:oddHBand="1" w:evenHBand="0" w:firstRowFirstColumn="0" w:firstRowLastColumn="0" w:lastRowFirstColumn="0" w:lastRowLastColumn="0"/>
            </w:pPr>
            <w:r w:rsidRPr="00307566">
              <w:t>Yes</w:t>
            </w:r>
          </w:p>
        </w:tc>
      </w:tr>
      <w:tr w:rsidR="009B4F68" w:rsidRPr="00307566" w14:paraId="6F364E04" w14:textId="77777777" w:rsidTr="009B4F68">
        <w:trPr>
          <w:trHeight w:val="220"/>
        </w:trPr>
        <w:tc>
          <w:tcPr>
            <w:cnfStyle w:val="001000000000" w:firstRow="0" w:lastRow="0" w:firstColumn="1" w:lastColumn="0" w:oddVBand="0" w:evenVBand="0" w:oddHBand="0" w:evenHBand="0" w:firstRowFirstColumn="0" w:firstRowLastColumn="0" w:lastRowFirstColumn="0" w:lastRowLastColumn="0"/>
            <w:tcW w:w="1680" w:type="dxa"/>
            <w:vMerge/>
          </w:tcPr>
          <w:p w14:paraId="13D134CB" w14:textId="77777777" w:rsidR="009B4F68" w:rsidRPr="00307566" w:rsidRDefault="009B4F68">
            <w:pPr>
              <w:jc w:val="left"/>
            </w:pPr>
          </w:p>
        </w:tc>
        <w:tc>
          <w:tcPr>
            <w:tcW w:w="2100" w:type="dxa"/>
          </w:tcPr>
          <w:p w14:paraId="5BE2FB34" w14:textId="77777777" w:rsidR="009B4F68" w:rsidRPr="00307566" w:rsidRDefault="00164E6E">
            <w:pPr>
              <w:jc w:val="left"/>
              <w:cnfStyle w:val="000000000000" w:firstRow="0" w:lastRow="0" w:firstColumn="0" w:lastColumn="0" w:oddVBand="0" w:evenVBand="0" w:oddHBand="0" w:evenHBand="0" w:firstRowFirstColumn="0" w:firstRowLastColumn="0" w:lastRowFirstColumn="0" w:lastRowLastColumn="0"/>
            </w:pPr>
            <w:r w:rsidRPr="00307566">
              <w:t>DPMT</w:t>
            </w:r>
          </w:p>
        </w:tc>
        <w:tc>
          <w:tcPr>
            <w:tcW w:w="2355" w:type="dxa"/>
          </w:tcPr>
          <w:p w14:paraId="2DCBE138" w14:textId="77777777" w:rsidR="009B4F68" w:rsidRPr="00307566" w:rsidRDefault="00164E6E">
            <w:pPr>
              <w:jc w:val="left"/>
              <w:cnfStyle w:val="000000000000" w:firstRow="0" w:lastRow="0" w:firstColumn="0" w:lastColumn="0" w:oddVBand="0" w:evenVBand="0" w:oddHBand="0" w:evenHBand="0" w:firstRowFirstColumn="0" w:firstRowLastColumn="0" w:lastRowFirstColumn="0" w:lastRowLastColumn="0"/>
            </w:pPr>
            <w:r w:rsidRPr="00307566">
              <w:t>not yet started</w:t>
            </w:r>
          </w:p>
        </w:tc>
        <w:tc>
          <w:tcPr>
            <w:tcW w:w="2880" w:type="dxa"/>
          </w:tcPr>
          <w:p w14:paraId="018BE755" w14:textId="77777777" w:rsidR="009B4F68" w:rsidRPr="00307566" w:rsidRDefault="00164E6E">
            <w:pPr>
              <w:jc w:val="left"/>
              <w:cnfStyle w:val="000000000000" w:firstRow="0" w:lastRow="0" w:firstColumn="0" w:lastColumn="0" w:oddVBand="0" w:evenVBand="0" w:oddHBand="0" w:evenHBand="0" w:firstRowFirstColumn="0" w:firstRowLastColumn="0" w:lastRowFirstColumn="0" w:lastRowLastColumn="0"/>
            </w:pPr>
            <w:r w:rsidRPr="00307566">
              <w:t>No</w:t>
            </w:r>
          </w:p>
        </w:tc>
      </w:tr>
      <w:tr w:rsidR="009B4F68" w:rsidRPr="00307566" w14:paraId="156D1622"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80" w:type="dxa"/>
          </w:tcPr>
          <w:p w14:paraId="115BDAC1" w14:textId="77777777" w:rsidR="009B4F68" w:rsidRPr="00307566" w:rsidRDefault="00164E6E">
            <w:pPr>
              <w:jc w:val="left"/>
            </w:pPr>
            <w:r w:rsidRPr="00307566">
              <w:rPr>
                <w:b w:val="0"/>
              </w:rPr>
              <w:t>EOSC hub collaboration software</w:t>
            </w:r>
          </w:p>
        </w:tc>
        <w:tc>
          <w:tcPr>
            <w:tcW w:w="2100" w:type="dxa"/>
          </w:tcPr>
          <w:p w14:paraId="0BE3E154" w14:textId="77777777" w:rsidR="009B4F68" w:rsidRPr="00307566" w:rsidRDefault="00164E6E">
            <w:pPr>
              <w:jc w:val="left"/>
              <w:cnfStyle w:val="000000100000" w:firstRow="0" w:lastRow="0" w:firstColumn="0" w:lastColumn="0" w:oddVBand="0" w:evenVBand="0" w:oddHBand="1" w:evenHBand="0" w:firstRowFirstColumn="0" w:firstRowLastColumn="0" w:lastRowFirstColumn="0" w:lastRowLastColumn="0"/>
            </w:pPr>
            <w:r w:rsidRPr="00307566">
              <w:t>Confluence and Jira</w:t>
            </w:r>
          </w:p>
        </w:tc>
        <w:tc>
          <w:tcPr>
            <w:tcW w:w="2355" w:type="dxa"/>
          </w:tcPr>
          <w:p w14:paraId="4048045F" w14:textId="77777777" w:rsidR="009B4F68" w:rsidRPr="00307566" w:rsidRDefault="00164E6E">
            <w:pPr>
              <w:jc w:val="left"/>
              <w:cnfStyle w:val="000000100000" w:firstRow="0" w:lastRow="0" w:firstColumn="0" w:lastColumn="0" w:oddVBand="0" w:evenVBand="0" w:oddHBand="1" w:evenHBand="0" w:firstRowFirstColumn="0" w:firstRowLastColumn="0" w:lastRowFirstColumn="0" w:lastRowLastColumn="0"/>
            </w:pPr>
            <w:r w:rsidRPr="00307566">
              <w:t>not yet completed</w:t>
            </w:r>
          </w:p>
        </w:tc>
        <w:tc>
          <w:tcPr>
            <w:tcW w:w="2880" w:type="dxa"/>
          </w:tcPr>
          <w:p w14:paraId="25DC7479" w14:textId="77777777" w:rsidR="009B4F68" w:rsidRPr="00307566" w:rsidRDefault="00164E6E">
            <w:pPr>
              <w:jc w:val="left"/>
              <w:cnfStyle w:val="000000100000" w:firstRow="0" w:lastRow="0" w:firstColumn="0" w:lastColumn="0" w:oddVBand="0" w:evenVBand="0" w:oddHBand="1" w:evenHBand="0" w:firstRowFirstColumn="0" w:firstRowLastColumn="0" w:lastRowFirstColumn="0" w:lastRowLastColumn="0"/>
            </w:pPr>
            <w:r w:rsidRPr="00307566">
              <w:t>Yes</w:t>
            </w:r>
          </w:p>
        </w:tc>
      </w:tr>
      <w:tr w:rsidR="009B4F68" w:rsidRPr="00307566" w14:paraId="43DC7DEF" w14:textId="77777777">
        <w:tc>
          <w:tcPr>
            <w:cnfStyle w:val="001000000000" w:firstRow="0" w:lastRow="0" w:firstColumn="1" w:lastColumn="0" w:oddVBand="0" w:evenVBand="0" w:oddHBand="0" w:evenHBand="0" w:firstRowFirstColumn="0" w:firstRowLastColumn="0" w:lastRowFirstColumn="0" w:lastRowLastColumn="0"/>
            <w:tcW w:w="1680" w:type="dxa"/>
          </w:tcPr>
          <w:p w14:paraId="14F6D778" w14:textId="77777777" w:rsidR="009B4F68" w:rsidRPr="00307566" w:rsidRDefault="00164E6E">
            <w:pPr>
              <w:jc w:val="left"/>
            </w:pPr>
            <w:r w:rsidRPr="00307566">
              <w:rPr>
                <w:b w:val="0"/>
              </w:rPr>
              <w:t>EOSC hub helpdesk</w:t>
            </w:r>
          </w:p>
        </w:tc>
        <w:tc>
          <w:tcPr>
            <w:tcW w:w="2100" w:type="dxa"/>
          </w:tcPr>
          <w:p w14:paraId="5CB4C426" w14:textId="77777777" w:rsidR="009B4F68" w:rsidRPr="00307566" w:rsidRDefault="00164E6E">
            <w:pPr>
              <w:jc w:val="left"/>
              <w:cnfStyle w:val="000000000000" w:firstRow="0" w:lastRow="0" w:firstColumn="0" w:lastColumn="0" w:oddVBand="0" w:evenVBand="0" w:oddHBand="0" w:evenHBand="0" w:firstRowFirstColumn="0" w:firstRowLastColumn="0" w:lastRowFirstColumn="0" w:lastRowLastColumn="0"/>
            </w:pPr>
            <w:r w:rsidRPr="00307566">
              <w:t>EOSC hub xGUS</w:t>
            </w:r>
          </w:p>
        </w:tc>
        <w:tc>
          <w:tcPr>
            <w:tcW w:w="2355" w:type="dxa"/>
          </w:tcPr>
          <w:p w14:paraId="1DD5D06E" w14:textId="77777777" w:rsidR="009B4F68" w:rsidRPr="00307566" w:rsidRDefault="00164E6E">
            <w:pPr>
              <w:jc w:val="left"/>
              <w:cnfStyle w:val="000000000000" w:firstRow="0" w:lastRow="0" w:firstColumn="0" w:lastColumn="0" w:oddVBand="0" w:evenVBand="0" w:oddHBand="0" w:evenHBand="0" w:firstRowFirstColumn="0" w:firstRowLastColumn="0" w:lastRowFirstColumn="0" w:lastRowLastColumn="0"/>
            </w:pPr>
            <w:r w:rsidRPr="00307566">
              <w:t>completed</w:t>
            </w:r>
          </w:p>
        </w:tc>
        <w:tc>
          <w:tcPr>
            <w:tcW w:w="2880" w:type="dxa"/>
          </w:tcPr>
          <w:p w14:paraId="2EA9D1A5" w14:textId="77777777" w:rsidR="009B4F68" w:rsidRPr="00307566" w:rsidRDefault="00164E6E">
            <w:pPr>
              <w:jc w:val="left"/>
              <w:cnfStyle w:val="000000000000" w:firstRow="0" w:lastRow="0" w:firstColumn="0" w:lastColumn="0" w:oddVBand="0" w:evenVBand="0" w:oddHBand="0" w:evenHBand="0" w:firstRowFirstColumn="0" w:firstRowLastColumn="0" w:lastRowFirstColumn="0" w:lastRowLastColumn="0"/>
            </w:pPr>
            <w:r w:rsidRPr="00307566">
              <w:t>Yes</w:t>
            </w:r>
          </w:p>
        </w:tc>
      </w:tr>
      <w:tr w:rsidR="009B4F68" w:rsidRPr="00307566" w14:paraId="1E1A89C2"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80" w:type="dxa"/>
          </w:tcPr>
          <w:p w14:paraId="7CD80F3D" w14:textId="77777777" w:rsidR="009B4F68" w:rsidRPr="00307566" w:rsidRDefault="00164E6E">
            <w:pPr>
              <w:jc w:val="left"/>
            </w:pPr>
            <w:r w:rsidRPr="00307566">
              <w:rPr>
                <w:b w:val="0"/>
              </w:rPr>
              <w:lastRenderedPageBreak/>
              <w:t>EOSC hub marketplace</w:t>
            </w:r>
          </w:p>
        </w:tc>
        <w:tc>
          <w:tcPr>
            <w:tcW w:w="2100" w:type="dxa"/>
          </w:tcPr>
          <w:p w14:paraId="07CD9A10" w14:textId="77777777" w:rsidR="009B4F68" w:rsidRPr="00307566" w:rsidRDefault="009B4F68">
            <w:pPr>
              <w:jc w:val="left"/>
              <w:cnfStyle w:val="000000100000" w:firstRow="0" w:lastRow="0" w:firstColumn="0" w:lastColumn="0" w:oddVBand="0" w:evenVBand="0" w:oddHBand="1" w:evenHBand="0" w:firstRowFirstColumn="0" w:firstRowLastColumn="0" w:lastRowFirstColumn="0" w:lastRowLastColumn="0"/>
            </w:pPr>
          </w:p>
        </w:tc>
        <w:tc>
          <w:tcPr>
            <w:tcW w:w="2355" w:type="dxa"/>
          </w:tcPr>
          <w:p w14:paraId="759C17E0" w14:textId="77777777" w:rsidR="009B4F68" w:rsidRPr="00307566" w:rsidRDefault="00164E6E">
            <w:pPr>
              <w:jc w:val="left"/>
              <w:cnfStyle w:val="000000100000" w:firstRow="0" w:lastRow="0" w:firstColumn="0" w:lastColumn="0" w:oddVBand="0" w:evenVBand="0" w:oddHBand="1" w:evenHBand="0" w:firstRowFirstColumn="0" w:firstRowLastColumn="0" w:lastRowFirstColumn="0" w:lastRowLastColumn="0"/>
            </w:pPr>
            <w:r w:rsidRPr="00307566">
              <w:t>completed</w:t>
            </w:r>
          </w:p>
        </w:tc>
        <w:tc>
          <w:tcPr>
            <w:tcW w:w="2880" w:type="dxa"/>
          </w:tcPr>
          <w:p w14:paraId="004CD1D5" w14:textId="77777777" w:rsidR="009B4F68" w:rsidRPr="00307566" w:rsidRDefault="00164E6E">
            <w:pPr>
              <w:jc w:val="left"/>
              <w:cnfStyle w:val="000000100000" w:firstRow="0" w:lastRow="0" w:firstColumn="0" w:lastColumn="0" w:oddVBand="0" w:evenVBand="0" w:oddHBand="1" w:evenHBand="0" w:firstRowFirstColumn="0" w:firstRowLastColumn="0" w:lastRowFirstColumn="0" w:lastRowLastColumn="0"/>
            </w:pPr>
            <w:r w:rsidRPr="00307566">
              <w:t>Yes</w:t>
            </w:r>
          </w:p>
        </w:tc>
      </w:tr>
      <w:tr w:rsidR="009B4F68" w:rsidRPr="00307566" w14:paraId="60D18231" w14:textId="77777777">
        <w:tc>
          <w:tcPr>
            <w:cnfStyle w:val="001000000000" w:firstRow="0" w:lastRow="0" w:firstColumn="1" w:lastColumn="0" w:oddVBand="0" w:evenVBand="0" w:oddHBand="0" w:evenHBand="0" w:firstRowFirstColumn="0" w:firstRowLastColumn="0" w:lastRowFirstColumn="0" w:lastRowLastColumn="0"/>
            <w:tcW w:w="1680" w:type="dxa"/>
          </w:tcPr>
          <w:p w14:paraId="7B23A5DA" w14:textId="77777777" w:rsidR="009B4F68" w:rsidRPr="00307566" w:rsidRDefault="00164E6E">
            <w:pPr>
              <w:jc w:val="left"/>
            </w:pPr>
            <w:r w:rsidRPr="00307566">
              <w:rPr>
                <w:b w:val="0"/>
              </w:rPr>
              <w:t>EOSC hub monitoring</w:t>
            </w:r>
          </w:p>
        </w:tc>
        <w:tc>
          <w:tcPr>
            <w:tcW w:w="2100" w:type="dxa"/>
          </w:tcPr>
          <w:p w14:paraId="219E8446" w14:textId="77777777" w:rsidR="009B4F68" w:rsidRPr="00307566" w:rsidRDefault="00164E6E">
            <w:pPr>
              <w:jc w:val="left"/>
              <w:cnfStyle w:val="000000000000" w:firstRow="0" w:lastRow="0" w:firstColumn="0" w:lastColumn="0" w:oddVBand="0" w:evenVBand="0" w:oddHBand="0" w:evenHBand="0" w:firstRowFirstColumn="0" w:firstRowLastColumn="0" w:lastRowFirstColumn="0" w:lastRowLastColumn="0"/>
            </w:pPr>
            <w:r w:rsidRPr="00307566">
              <w:t>EGI ARGO Monitoring service</w:t>
            </w:r>
          </w:p>
        </w:tc>
        <w:tc>
          <w:tcPr>
            <w:tcW w:w="2355" w:type="dxa"/>
          </w:tcPr>
          <w:p w14:paraId="59453071" w14:textId="77777777" w:rsidR="009B4F68" w:rsidRPr="00307566" w:rsidRDefault="00164E6E">
            <w:pPr>
              <w:jc w:val="left"/>
              <w:cnfStyle w:val="000000000000" w:firstRow="0" w:lastRow="0" w:firstColumn="0" w:lastColumn="0" w:oddVBand="0" w:evenVBand="0" w:oddHBand="0" w:evenHBand="0" w:firstRowFirstColumn="0" w:firstRowLastColumn="0" w:lastRowFirstColumn="0" w:lastRowLastColumn="0"/>
            </w:pPr>
            <w:r w:rsidRPr="00307566">
              <w:t>not yet completed</w:t>
            </w:r>
          </w:p>
        </w:tc>
        <w:tc>
          <w:tcPr>
            <w:tcW w:w="2880" w:type="dxa"/>
          </w:tcPr>
          <w:p w14:paraId="4E605609" w14:textId="77777777" w:rsidR="009B4F68" w:rsidRPr="00307566" w:rsidRDefault="00164E6E">
            <w:pPr>
              <w:jc w:val="left"/>
              <w:cnfStyle w:val="000000000000" w:firstRow="0" w:lastRow="0" w:firstColumn="0" w:lastColumn="0" w:oddVBand="0" w:evenVBand="0" w:oddHBand="0" w:evenHBand="0" w:firstRowFirstColumn="0" w:firstRowLastColumn="0" w:lastRowFirstColumn="0" w:lastRowLastColumn="0"/>
            </w:pPr>
            <w:r w:rsidRPr="00307566">
              <w:t>Yes</w:t>
            </w:r>
          </w:p>
        </w:tc>
      </w:tr>
      <w:tr w:rsidR="009B4F68" w:rsidRPr="00307566" w14:paraId="466DD298"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80" w:type="dxa"/>
          </w:tcPr>
          <w:p w14:paraId="607C735B" w14:textId="77777777" w:rsidR="009B4F68" w:rsidRPr="00307566" w:rsidRDefault="00164E6E">
            <w:pPr>
              <w:jc w:val="left"/>
            </w:pPr>
            <w:r w:rsidRPr="00307566">
              <w:rPr>
                <w:b w:val="0"/>
              </w:rPr>
              <w:t>EOSC Portal</w:t>
            </w:r>
          </w:p>
        </w:tc>
        <w:tc>
          <w:tcPr>
            <w:tcW w:w="2100" w:type="dxa"/>
          </w:tcPr>
          <w:p w14:paraId="216256EE" w14:textId="77777777" w:rsidR="009B4F68" w:rsidRPr="00307566" w:rsidRDefault="009B4F68">
            <w:pPr>
              <w:jc w:val="left"/>
              <w:cnfStyle w:val="000000100000" w:firstRow="0" w:lastRow="0" w:firstColumn="0" w:lastColumn="0" w:oddVBand="0" w:evenVBand="0" w:oddHBand="1" w:evenHBand="0" w:firstRowFirstColumn="0" w:firstRowLastColumn="0" w:lastRowFirstColumn="0" w:lastRowLastColumn="0"/>
            </w:pPr>
          </w:p>
        </w:tc>
        <w:tc>
          <w:tcPr>
            <w:tcW w:w="2355" w:type="dxa"/>
          </w:tcPr>
          <w:p w14:paraId="54ADBF60" w14:textId="77777777" w:rsidR="009B4F68" w:rsidRPr="00307566" w:rsidRDefault="00164E6E">
            <w:pPr>
              <w:jc w:val="left"/>
              <w:cnfStyle w:val="000000100000" w:firstRow="0" w:lastRow="0" w:firstColumn="0" w:lastColumn="0" w:oddVBand="0" w:evenVBand="0" w:oddHBand="1" w:evenHBand="0" w:firstRowFirstColumn="0" w:firstRowLastColumn="0" w:lastRowFirstColumn="0" w:lastRowLastColumn="0"/>
            </w:pPr>
            <w:r w:rsidRPr="00307566">
              <w:t>completed</w:t>
            </w:r>
          </w:p>
        </w:tc>
        <w:tc>
          <w:tcPr>
            <w:tcW w:w="2880" w:type="dxa"/>
          </w:tcPr>
          <w:p w14:paraId="2893BAB1" w14:textId="77777777" w:rsidR="009B4F68" w:rsidRPr="00307566" w:rsidRDefault="00164E6E">
            <w:pPr>
              <w:jc w:val="left"/>
              <w:cnfStyle w:val="000000100000" w:firstRow="0" w:lastRow="0" w:firstColumn="0" w:lastColumn="0" w:oddVBand="0" w:evenVBand="0" w:oddHBand="1" w:evenHBand="0" w:firstRowFirstColumn="0" w:firstRowLastColumn="0" w:lastRowFirstColumn="0" w:lastRowLastColumn="0"/>
            </w:pPr>
            <w:r w:rsidRPr="00307566">
              <w:t>Yes</w:t>
            </w:r>
          </w:p>
        </w:tc>
      </w:tr>
      <w:tr w:rsidR="009B4F68" w:rsidRPr="00307566" w14:paraId="774388DE" w14:textId="77777777">
        <w:tc>
          <w:tcPr>
            <w:cnfStyle w:val="001000000000" w:firstRow="0" w:lastRow="0" w:firstColumn="1" w:lastColumn="0" w:oddVBand="0" w:evenVBand="0" w:oddHBand="0" w:evenHBand="0" w:firstRowFirstColumn="0" w:firstRowLastColumn="0" w:lastRowFirstColumn="0" w:lastRowLastColumn="0"/>
            <w:tcW w:w="1680" w:type="dxa"/>
          </w:tcPr>
          <w:p w14:paraId="7E34F731" w14:textId="77777777" w:rsidR="009B4F68" w:rsidRPr="00307566" w:rsidRDefault="00164E6E">
            <w:pPr>
              <w:jc w:val="left"/>
            </w:pPr>
            <w:r w:rsidRPr="00307566">
              <w:rPr>
                <w:b w:val="0"/>
              </w:rPr>
              <w:t>EOSC hub operations portal</w:t>
            </w:r>
          </w:p>
        </w:tc>
        <w:tc>
          <w:tcPr>
            <w:tcW w:w="2100" w:type="dxa"/>
          </w:tcPr>
          <w:p w14:paraId="50FC1B2B" w14:textId="77777777" w:rsidR="009B4F68" w:rsidRPr="00307566" w:rsidRDefault="00164E6E">
            <w:pPr>
              <w:jc w:val="left"/>
              <w:cnfStyle w:val="000000000000" w:firstRow="0" w:lastRow="0" w:firstColumn="0" w:lastColumn="0" w:oddVBand="0" w:evenVBand="0" w:oddHBand="0" w:evenHBand="0" w:firstRowFirstColumn="0" w:firstRowLastColumn="0" w:lastRowFirstColumn="0" w:lastRowLastColumn="0"/>
            </w:pPr>
            <w:r w:rsidRPr="00307566">
              <w:t>EGI Operations Portal</w:t>
            </w:r>
          </w:p>
        </w:tc>
        <w:tc>
          <w:tcPr>
            <w:tcW w:w="2355" w:type="dxa"/>
          </w:tcPr>
          <w:p w14:paraId="72AB30F0" w14:textId="77777777" w:rsidR="009B4F68" w:rsidRPr="00307566" w:rsidRDefault="00164E6E">
            <w:pPr>
              <w:jc w:val="left"/>
              <w:cnfStyle w:val="000000000000" w:firstRow="0" w:lastRow="0" w:firstColumn="0" w:lastColumn="0" w:oddVBand="0" w:evenVBand="0" w:oddHBand="0" w:evenHBand="0" w:firstRowFirstColumn="0" w:firstRowLastColumn="0" w:lastRowFirstColumn="0" w:lastRowLastColumn="0"/>
            </w:pPr>
            <w:r w:rsidRPr="00307566">
              <w:t>completed</w:t>
            </w:r>
          </w:p>
        </w:tc>
        <w:tc>
          <w:tcPr>
            <w:tcW w:w="2880" w:type="dxa"/>
          </w:tcPr>
          <w:p w14:paraId="2C814BBE" w14:textId="77777777" w:rsidR="009B4F68" w:rsidRPr="00307566" w:rsidRDefault="00164E6E">
            <w:pPr>
              <w:jc w:val="left"/>
              <w:cnfStyle w:val="000000000000" w:firstRow="0" w:lastRow="0" w:firstColumn="0" w:lastColumn="0" w:oddVBand="0" w:evenVBand="0" w:oddHBand="0" w:evenHBand="0" w:firstRowFirstColumn="0" w:firstRowLastColumn="0" w:lastRowFirstColumn="0" w:lastRowLastColumn="0"/>
            </w:pPr>
            <w:r w:rsidRPr="00307566">
              <w:t>No</w:t>
            </w:r>
          </w:p>
        </w:tc>
      </w:tr>
    </w:tbl>
    <w:p w14:paraId="74E6AC79" w14:textId="77777777" w:rsidR="009B4F68" w:rsidRPr="00307566" w:rsidRDefault="009B4F68"/>
    <w:p w14:paraId="507399AA" w14:textId="77777777" w:rsidR="009B4F68" w:rsidRPr="00307566" w:rsidRDefault="00164E6E">
      <w:pPr>
        <w:pStyle w:val="Heading1"/>
        <w:numPr>
          <w:ilvl w:val="0"/>
          <w:numId w:val="4"/>
        </w:numPr>
      </w:pPr>
      <w:bookmarkStart w:id="5" w:name="_Toc46932754"/>
      <w:r w:rsidRPr="00307566">
        <w:t>Capacity plan structure and criteria adopted</w:t>
      </w:r>
      <w:bookmarkEnd w:id="5"/>
    </w:p>
    <w:p w14:paraId="7DDAE466" w14:textId="77777777" w:rsidR="009B4F68" w:rsidRPr="00307566" w:rsidRDefault="00164E6E">
      <w:r w:rsidRPr="00307566">
        <w:t>A capacity plan is used to manage the resources (human, technical, and financial) required to deliver IT services: it contains details of current and historic usage of IT services and components, and any issues that need to be addressed (including related improvement activities). The plan also contains scenarios for different predictions of business demand and cost options to deliver the agreed service level targets.</w:t>
      </w:r>
    </w:p>
    <w:p w14:paraId="51790E7F" w14:textId="77777777" w:rsidR="009B4F68" w:rsidRPr="00307566" w:rsidRDefault="00164E6E">
      <w:r w:rsidRPr="00307566">
        <w:t>The capacity plan structure we designed is divided into several sections (Table 2), each one corresponding to some of the steps bringing to the creation of a capacity plan.</w:t>
      </w:r>
    </w:p>
    <w:p w14:paraId="2C2DF847" w14:textId="77777777" w:rsidR="009B4F68" w:rsidRPr="00307566" w:rsidRDefault="009B4F68"/>
    <w:p w14:paraId="7A9A82F9" w14:textId="4E57F110" w:rsidR="009B4F68" w:rsidRPr="00307566" w:rsidRDefault="00164E6E">
      <w:pPr>
        <w:keepNext/>
        <w:spacing w:after="240"/>
        <w:jc w:val="center"/>
      </w:pPr>
      <w:r w:rsidRPr="00307566">
        <w:rPr>
          <w:b/>
          <w:i/>
          <w:color w:val="17365D"/>
        </w:rPr>
        <w:t>Table 2 – Schema of a capacity plan structure with the expected content</w:t>
      </w:r>
      <w:r w:rsidR="00C46A72" w:rsidRPr="00307566">
        <w:rPr>
          <w:b/>
          <w:i/>
          <w:color w:val="17365D"/>
        </w:rPr>
        <w:t>.</w:t>
      </w:r>
    </w:p>
    <w:tbl>
      <w:tblPr>
        <w:tblStyle w:val="a5"/>
        <w:tblW w:w="902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513"/>
        <w:gridCol w:w="4513"/>
      </w:tblGrid>
      <w:tr w:rsidR="009B4F68" w:rsidRPr="00307566" w14:paraId="37679526" w14:textId="77777777">
        <w:tc>
          <w:tcPr>
            <w:tcW w:w="4513" w:type="dxa"/>
            <w:shd w:val="clear" w:color="auto" w:fill="auto"/>
            <w:tcMar>
              <w:top w:w="100" w:type="dxa"/>
              <w:left w:w="100" w:type="dxa"/>
              <w:bottom w:w="100" w:type="dxa"/>
              <w:right w:w="100" w:type="dxa"/>
            </w:tcMar>
          </w:tcPr>
          <w:p w14:paraId="149F79BB" w14:textId="77777777" w:rsidR="009B4F68" w:rsidRPr="00307566" w:rsidRDefault="00164E6E">
            <w:pPr>
              <w:widowControl w:val="0"/>
              <w:pBdr>
                <w:top w:val="nil"/>
                <w:left w:val="nil"/>
                <w:bottom w:val="nil"/>
                <w:right w:val="nil"/>
                <w:between w:val="nil"/>
              </w:pBdr>
              <w:spacing w:after="0" w:line="240" w:lineRule="auto"/>
              <w:jc w:val="center"/>
              <w:rPr>
                <w:b/>
                <w:i/>
              </w:rPr>
            </w:pPr>
            <w:r w:rsidRPr="00307566">
              <w:rPr>
                <w:b/>
                <w:i/>
              </w:rPr>
              <w:t>Section</w:t>
            </w:r>
          </w:p>
        </w:tc>
        <w:tc>
          <w:tcPr>
            <w:tcW w:w="4513" w:type="dxa"/>
            <w:shd w:val="clear" w:color="auto" w:fill="auto"/>
            <w:tcMar>
              <w:top w:w="100" w:type="dxa"/>
              <w:left w:w="100" w:type="dxa"/>
              <w:bottom w:w="100" w:type="dxa"/>
              <w:right w:w="100" w:type="dxa"/>
            </w:tcMar>
          </w:tcPr>
          <w:p w14:paraId="450DA45E" w14:textId="77777777" w:rsidR="009B4F68" w:rsidRPr="00307566" w:rsidRDefault="00164E6E">
            <w:pPr>
              <w:widowControl w:val="0"/>
              <w:pBdr>
                <w:top w:val="nil"/>
                <w:left w:val="nil"/>
                <w:bottom w:val="nil"/>
                <w:right w:val="nil"/>
                <w:between w:val="nil"/>
              </w:pBdr>
              <w:spacing w:after="0" w:line="240" w:lineRule="auto"/>
              <w:jc w:val="center"/>
              <w:rPr>
                <w:b/>
                <w:i/>
              </w:rPr>
            </w:pPr>
            <w:r w:rsidRPr="00307566">
              <w:rPr>
                <w:b/>
                <w:i/>
              </w:rPr>
              <w:t>Content</w:t>
            </w:r>
          </w:p>
        </w:tc>
      </w:tr>
      <w:tr w:rsidR="009B4F68" w:rsidRPr="00307566" w14:paraId="631B35F9" w14:textId="77777777">
        <w:tc>
          <w:tcPr>
            <w:tcW w:w="4513" w:type="dxa"/>
            <w:shd w:val="clear" w:color="auto" w:fill="EFEFEF"/>
            <w:tcMar>
              <w:top w:w="100" w:type="dxa"/>
              <w:left w:w="100" w:type="dxa"/>
              <w:bottom w:w="100" w:type="dxa"/>
              <w:right w:w="100" w:type="dxa"/>
            </w:tcMar>
          </w:tcPr>
          <w:p w14:paraId="1BD194F8" w14:textId="77777777" w:rsidR="009B4F68" w:rsidRPr="00307566" w:rsidRDefault="00164E6E">
            <w:pPr>
              <w:widowControl w:val="0"/>
              <w:pBdr>
                <w:top w:val="nil"/>
                <w:left w:val="nil"/>
                <w:bottom w:val="nil"/>
                <w:right w:val="nil"/>
                <w:between w:val="nil"/>
              </w:pBdr>
              <w:spacing w:after="0" w:line="240" w:lineRule="auto"/>
              <w:jc w:val="left"/>
            </w:pPr>
            <w:r w:rsidRPr="00307566">
              <w:t>Service Description</w:t>
            </w:r>
          </w:p>
        </w:tc>
        <w:tc>
          <w:tcPr>
            <w:tcW w:w="4513" w:type="dxa"/>
            <w:shd w:val="clear" w:color="auto" w:fill="EFEFEF"/>
            <w:tcMar>
              <w:top w:w="100" w:type="dxa"/>
              <w:left w:w="100" w:type="dxa"/>
              <w:bottom w:w="100" w:type="dxa"/>
              <w:right w:w="100" w:type="dxa"/>
            </w:tcMar>
          </w:tcPr>
          <w:p w14:paraId="524CB07B" w14:textId="77777777" w:rsidR="009B4F68" w:rsidRPr="00307566" w:rsidRDefault="00164E6E">
            <w:pPr>
              <w:widowControl w:val="0"/>
              <w:pBdr>
                <w:top w:val="nil"/>
                <w:left w:val="nil"/>
                <w:bottom w:val="nil"/>
                <w:right w:val="nil"/>
                <w:between w:val="nil"/>
              </w:pBdr>
              <w:spacing w:after="0" w:line="240" w:lineRule="auto"/>
              <w:jc w:val="left"/>
            </w:pPr>
            <w:r w:rsidRPr="00307566">
              <w:t>Reference to SDTP, OLA/UA, list of known issues related to service capacity</w:t>
            </w:r>
          </w:p>
        </w:tc>
      </w:tr>
      <w:tr w:rsidR="009B4F68" w:rsidRPr="00307566" w14:paraId="782D5F52" w14:textId="77777777">
        <w:tc>
          <w:tcPr>
            <w:tcW w:w="4513" w:type="dxa"/>
            <w:shd w:val="clear" w:color="auto" w:fill="auto"/>
            <w:tcMar>
              <w:top w:w="100" w:type="dxa"/>
              <w:left w:w="100" w:type="dxa"/>
              <w:bottom w:w="100" w:type="dxa"/>
              <w:right w:w="100" w:type="dxa"/>
            </w:tcMar>
          </w:tcPr>
          <w:p w14:paraId="25F282C0" w14:textId="77777777" w:rsidR="009B4F68" w:rsidRPr="00307566" w:rsidRDefault="00164E6E">
            <w:pPr>
              <w:widowControl w:val="0"/>
              <w:pBdr>
                <w:top w:val="nil"/>
                <w:left w:val="nil"/>
                <w:bottom w:val="nil"/>
                <w:right w:val="nil"/>
                <w:between w:val="nil"/>
              </w:pBdr>
              <w:spacing w:after="0" w:line="240" w:lineRule="auto"/>
              <w:jc w:val="left"/>
            </w:pPr>
            <w:r w:rsidRPr="00307566">
              <w:t>Service Level Indicators</w:t>
            </w:r>
          </w:p>
        </w:tc>
        <w:tc>
          <w:tcPr>
            <w:tcW w:w="4513" w:type="dxa"/>
            <w:shd w:val="clear" w:color="auto" w:fill="auto"/>
            <w:tcMar>
              <w:top w:w="100" w:type="dxa"/>
              <w:left w:w="100" w:type="dxa"/>
              <w:bottom w:w="100" w:type="dxa"/>
              <w:right w:w="100" w:type="dxa"/>
            </w:tcMar>
          </w:tcPr>
          <w:p w14:paraId="638ECBCD" w14:textId="77777777" w:rsidR="009B4F68" w:rsidRPr="00307566" w:rsidRDefault="00164E6E">
            <w:pPr>
              <w:widowControl w:val="0"/>
              <w:pBdr>
                <w:top w:val="nil"/>
                <w:left w:val="nil"/>
                <w:bottom w:val="nil"/>
                <w:right w:val="nil"/>
                <w:between w:val="nil"/>
              </w:pBdr>
              <w:spacing w:after="0" w:line="240" w:lineRule="auto"/>
              <w:jc w:val="left"/>
            </w:pPr>
            <w:r w:rsidRPr="00307566">
              <w:t>List of defined SLIs along with a description</w:t>
            </w:r>
          </w:p>
        </w:tc>
      </w:tr>
      <w:tr w:rsidR="009B4F68" w:rsidRPr="00307566" w14:paraId="4447C807" w14:textId="77777777">
        <w:tc>
          <w:tcPr>
            <w:tcW w:w="4513" w:type="dxa"/>
            <w:shd w:val="clear" w:color="auto" w:fill="EFEFEF"/>
            <w:tcMar>
              <w:top w:w="100" w:type="dxa"/>
              <w:left w:w="100" w:type="dxa"/>
              <w:bottom w:w="100" w:type="dxa"/>
              <w:right w:w="100" w:type="dxa"/>
            </w:tcMar>
          </w:tcPr>
          <w:p w14:paraId="7FAEC38C" w14:textId="77777777" w:rsidR="009B4F68" w:rsidRPr="00307566" w:rsidRDefault="00164E6E">
            <w:pPr>
              <w:widowControl w:val="0"/>
              <w:pBdr>
                <w:top w:val="nil"/>
                <w:left w:val="nil"/>
                <w:bottom w:val="nil"/>
                <w:right w:val="nil"/>
                <w:between w:val="nil"/>
              </w:pBdr>
              <w:spacing w:after="0" w:line="240" w:lineRule="auto"/>
              <w:jc w:val="left"/>
            </w:pPr>
            <w:r w:rsidRPr="00307566">
              <w:t>Capacity strategy</w:t>
            </w:r>
          </w:p>
        </w:tc>
        <w:tc>
          <w:tcPr>
            <w:tcW w:w="4513" w:type="dxa"/>
            <w:shd w:val="clear" w:color="auto" w:fill="EFEFEF"/>
            <w:tcMar>
              <w:top w:w="100" w:type="dxa"/>
              <w:left w:w="100" w:type="dxa"/>
              <w:bottom w:w="100" w:type="dxa"/>
              <w:right w:w="100" w:type="dxa"/>
            </w:tcMar>
          </w:tcPr>
          <w:p w14:paraId="6E90CE50" w14:textId="77777777" w:rsidR="009B4F68" w:rsidRPr="00307566" w:rsidRDefault="00164E6E">
            <w:pPr>
              <w:widowControl w:val="0"/>
              <w:pBdr>
                <w:top w:val="nil"/>
                <w:left w:val="nil"/>
                <w:bottom w:val="nil"/>
                <w:right w:val="nil"/>
                <w:between w:val="nil"/>
              </w:pBdr>
              <w:spacing w:after="0" w:line="240" w:lineRule="auto"/>
              <w:jc w:val="left"/>
            </w:pPr>
            <w:r w:rsidRPr="00307566">
              <w:t>Strategies to adjust the service capacity to respond to changes in utilisation</w:t>
            </w:r>
          </w:p>
        </w:tc>
      </w:tr>
      <w:tr w:rsidR="009B4F68" w:rsidRPr="00307566" w14:paraId="193CE768" w14:textId="77777777">
        <w:tc>
          <w:tcPr>
            <w:tcW w:w="4513" w:type="dxa"/>
            <w:shd w:val="clear" w:color="auto" w:fill="auto"/>
            <w:tcMar>
              <w:top w:w="100" w:type="dxa"/>
              <w:left w:w="100" w:type="dxa"/>
              <w:bottom w:w="100" w:type="dxa"/>
              <w:right w:w="100" w:type="dxa"/>
            </w:tcMar>
          </w:tcPr>
          <w:p w14:paraId="10D17CDA" w14:textId="77777777" w:rsidR="009B4F68" w:rsidRPr="00307566" w:rsidRDefault="00164E6E">
            <w:pPr>
              <w:widowControl w:val="0"/>
              <w:pBdr>
                <w:top w:val="nil"/>
                <w:left w:val="nil"/>
                <w:bottom w:val="nil"/>
                <w:right w:val="nil"/>
                <w:between w:val="nil"/>
              </w:pBdr>
              <w:spacing w:after="0" w:line="240" w:lineRule="auto"/>
              <w:jc w:val="left"/>
            </w:pPr>
            <w:r w:rsidRPr="00307566">
              <w:t>Capacity monitoring</w:t>
            </w:r>
          </w:p>
        </w:tc>
        <w:tc>
          <w:tcPr>
            <w:tcW w:w="4513" w:type="dxa"/>
            <w:shd w:val="clear" w:color="auto" w:fill="auto"/>
            <w:tcMar>
              <w:top w:w="100" w:type="dxa"/>
              <w:left w:w="100" w:type="dxa"/>
              <w:bottom w:w="100" w:type="dxa"/>
              <w:right w:w="100" w:type="dxa"/>
            </w:tcMar>
          </w:tcPr>
          <w:p w14:paraId="4FAF7589" w14:textId="77777777" w:rsidR="009B4F68" w:rsidRPr="00307566" w:rsidRDefault="00164E6E">
            <w:pPr>
              <w:widowControl w:val="0"/>
              <w:pBdr>
                <w:top w:val="nil"/>
                <w:left w:val="nil"/>
                <w:bottom w:val="nil"/>
                <w:right w:val="nil"/>
                <w:between w:val="nil"/>
              </w:pBdr>
              <w:spacing w:after="0" w:line="240" w:lineRule="auto"/>
              <w:jc w:val="left"/>
            </w:pPr>
            <w:r w:rsidRPr="00307566">
              <w:t>Data about service utilisation and performance covering up to the moment when the plan is created/reviewed</w:t>
            </w:r>
          </w:p>
        </w:tc>
      </w:tr>
      <w:tr w:rsidR="009B4F68" w:rsidRPr="00307566" w14:paraId="4F0F95A0" w14:textId="77777777">
        <w:tc>
          <w:tcPr>
            <w:tcW w:w="4513" w:type="dxa"/>
            <w:shd w:val="clear" w:color="auto" w:fill="EFEFEF"/>
            <w:tcMar>
              <w:top w:w="100" w:type="dxa"/>
              <w:left w:w="100" w:type="dxa"/>
              <w:bottom w:w="100" w:type="dxa"/>
              <w:right w:w="100" w:type="dxa"/>
            </w:tcMar>
          </w:tcPr>
          <w:p w14:paraId="50864411" w14:textId="77777777" w:rsidR="009B4F68" w:rsidRPr="00307566" w:rsidRDefault="00164E6E">
            <w:pPr>
              <w:widowControl w:val="0"/>
              <w:pBdr>
                <w:top w:val="nil"/>
                <w:left w:val="nil"/>
                <w:bottom w:val="nil"/>
                <w:right w:val="nil"/>
                <w:between w:val="nil"/>
              </w:pBdr>
              <w:spacing w:after="0" w:line="240" w:lineRule="auto"/>
              <w:jc w:val="left"/>
            </w:pPr>
            <w:r w:rsidRPr="00307566">
              <w:t>Forecast</w:t>
            </w:r>
          </w:p>
        </w:tc>
        <w:tc>
          <w:tcPr>
            <w:tcW w:w="4513" w:type="dxa"/>
            <w:shd w:val="clear" w:color="auto" w:fill="EFEFEF"/>
            <w:tcMar>
              <w:top w:w="100" w:type="dxa"/>
              <w:left w:w="100" w:type="dxa"/>
              <w:bottom w:w="100" w:type="dxa"/>
              <w:right w:w="100" w:type="dxa"/>
            </w:tcMar>
          </w:tcPr>
          <w:p w14:paraId="49EE1E5C" w14:textId="77777777" w:rsidR="009B4F68" w:rsidRPr="00307566" w:rsidRDefault="00164E6E">
            <w:pPr>
              <w:widowControl w:val="0"/>
              <w:spacing w:after="0" w:line="240" w:lineRule="auto"/>
              <w:jc w:val="left"/>
            </w:pPr>
            <w:r w:rsidRPr="00307566">
              <w:t>Recommendations on capacity requirements for the next reporting period</w:t>
            </w:r>
          </w:p>
        </w:tc>
      </w:tr>
    </w:tbl>
    <w:p w14:paraId="23EBEBAD" w14:textId="77777777" w:rsidR="009B4F68" w:rsidRPr="00307566" w:rsidRDefault="009B4F68"/>
    <w:p w14:paraId="2CBD0971" w14:textId="77777777" w:rsidR="009B4F68" w:rsidRPr="00307566" w:rsidRDefault="00164E6E">
      <w:r w:rsidRPr="00307566">
        <w:t xml:space="preserve">First of all, the creation of a capacity plan is usually triggered by the addition of a new service in the portfolio (the Hub, in our case) or because there is a new or modified SLA for a service. The service business case design is reviewed, with a particular focus on the service demand, on the expected cost and expected revenue, and lastly on the Service Requirements and Service Acceptance Criteria. All this information is reported in the SDTP which can be updated if necessary. So, the first section of our </w:t>
      </w:r>
      <w:r w:rsidRPr="00307566">
        <w:lastRenderedPageBreak/>
        <w:t>capacity plans, named Service Description, contains a reference to the SDTP, to any existing Operational Level Agreement, and also a list of known issues related to service capacity, e.g. reported incidents/problems, SLA violations attributed to capacity, customer complaints, etc.</w:t>
      </w:r>
    </w:p>
    <w:p w14:paraId="6B1FF35D" w14:textId="77777777" w:rsidR="009B4F68" w:rsidRPr="00307566" w:rsidRDefault="00164E6E">
      <w:r w:rsidRPr="00307566">
        <w:t>Once completed, it is time to define quantitative parameters, the so-called Service Level Indicators (SLIs) relevant for understanding the capacity of the service. For all of our services, we tried to define a series of parameters easy to measure which can provide a direct indication on the load of the service under its normal operation, corresponding to the several capacity aspects of the given service.</w:t>
      </w:r>
    </w:p>
    <w:p w14:paraId="43C82348" w14:textId="77777777" w:rsidR="009B4F68" w:rsidRPr="00307566" w:rsidRDefault="00164E6E">
      <w:r w:rsidRPr="00307566">
        <w:t>A group of SLIs usually included in a capacity plan is the one reflecting the hardware aspect, related to technical resources (either virtual or bare-metal) where the service is hosted: CPU, disk, memory, and network. Measuring these will give a direct information about the load of the hosting machines.</w:t>
      </w:r>
    </w:p>
    <w:p w14:paraId="6FFE5B98" w14:textId="77777777" w:rsidR="009B4F68" w:rsidRPr="00307566" w:rsidRDefault="00164E6E">
      <w:r w:rsidRPr="00307566">
        <w:t>Another SLIs category usually part of a capacity plan is related to the human and financial resources. Concerning our services, where the providers receive yearly contributions (PM, persons month effort) for specific activities to be accomplished in a given international project, we decided to consider as SLIs the “monthly effort” and the “number of staff members” that deliver the service; moreover, the providers are also required to provide support to the users (as stated in the services OLAs), in terms of addressing any incidents and service requests that are filed through the EOSC or the federated member Helpdesk services, so that we added to the list indicators such as the “number of tickets” and the “ticket average response time” (without making distinction between “incidents” and “service requests” and regardless the tickets priority). In this way we can have an idea of the human load of the service, for instance if a particularly high number of tickets produces an increase in the average response time, then it could be the case of increasing the number of staff members.</w:t>
      </w:r>
    </w:p>
    <w:p w14:paraId="0C0CB947" w14:textId="77777777" w:rsidR="009B4F68" w:rsidRPr="00307566" w:rsidRDefault="00164E6E">
      <w:r w:rsidRPr="00307566">
        <w:t>Besides that, we needed some indicators providing a direct information of the usage of the service itself intended as a software, what is consumed by the users, so we defined a series of parameters to measure the “software capacity performance” of the given service; as shown in the next section, this kind of SLIs are service specific.</w:t>
      </w:r>
    </w:p>
    <w:p w14:paraId="5F2C915D" w14:textId="77777777" w:rsidR="009B4F68" w:rsidRPr="00307566" w:rsidRDefault="00164E6E">
      <w:r w:rsidRPr="00307566">
        <w:t>The next part of the plan is the “Capacity Strategy” section which describes the strategies to adopt to modify the capacity of a service as a consequence of a change in demand. For each SLI it is reported:</w:t>
      </w:r>
    </w:p>
    <w:p w14:paraId="4BD17BF2" w14:textId="77777777" w:rsidR="009B4F68" w:rsidRPr="00307566" w:rsidRDefault="00164E6E">
      <w:pPr>
        <w:numPr>
          <w:ilvl w:val="0"/>
          <w:numId w:val="11"/>
        </w:numPr>
        <w:spacing w:after="0"/>
      </w:pPr>
      <w:r w:rsidRPr="00307566">
        <w:t>how it is monitored</w:t>
      </w:r>
    </w:p>
    <w:p w14:paraId="3E8CC09D" w14:textId="77777777" w:rsidR="009B4F68" w:rsidRPr="00307566" w:rsidRDefault="00164E6E">
      <w:pPr>
        <w:numPr>
          <w:ilvl w:val="0"/>
          <w:numId w:val="11"/>
        </w:numPr>
        <w:spacing w:after="0"/>
      </w:pPr>
      <w:r w:rsidRPr="00307566">
        <w:t>any identified capacity issue</w:t>
      </w:r>
    </w:p>
    <w:p w14:paraId="38C62EBD" w14:textId="77777777" w:rsidR="009B4F68" w:rsidRPr="00307566" w:rsidRDefault="00164E6E">
      <w:pPr>
        <w:numPr>
          <w:ilvl w:val="0"/>
          <w:numId w:val="11"/>
        </w:numPr>
        <w:spacing w:after="0"/>
      </w:pPr>
      <w:r w:rsidRPr="00307566">
        <w:t>users’ experience in case of saturation (i.e. service completely interrupted, degraded, etc.)</w:t>
      </w:r>
    </w:p>
    <w:p w14:paraId="25FBCB20" w14:textId="77777777" w:rsidR="009B4F68" w:rsidRPr="00307566" w:rsidRDefault="00164E6E">
      <w:pPr>
        <w:numPr>
          <w:ilvl w:val="0"/>
          <w:numId w:val="11"/>
        </w:numPr>
        <w:spacing w:after="0"/>
      </w:pPr>
      <w:r w:rsidRPr="00307566">
        <w:t>the designed capacity, if applicable</w:t>
      </w:r>
    </w:p>
    <w:p w14:paraId="47AC4285" w14:textId="77777777" w:rsidR="009B4F68" w:rsidRPr="00307566" w:rsidRDefault="00164E6E">
      <w:pPr>
        <w:numPr>
          <w:ilvl w:val="0"/>
          <w:numId w:val="11"/>
        </w:numPr>
      </w:pPr>
      <w:r w:rsidRPr="00307566">
        <w:t>capacity adjustment model (the best model to adopt to adjust the capacity).</w:t>
      </w:r>
    </w:p>
    <w:p w14:paraId="3680D57D" w14:textId="77777777" w:rsidR="009B4F68" w:rsidRPr="00307566" w:rsidRDefault="00164E6E">
      <w:r w:rsidRPr="00307566">
        <w:t>Specifically, we defined four strategies to modify the capacity to respond to an increase of demand:</w:t>
      </w:r>
    </w:p>
    <w:p w14:paraId="078AE8D7" w14:textId="77777777" w:rsidR="009B4F68" w:rsidRPr="00307566" w:rsidRDefault="00164E6E">
      <w:pPr>
        <w:numPr>
          <w:ilvl w:val="0"/>
          <w:numId w:val="10"/>
        </w:numPr>
        <w:spacing w:after="0"/>
      </w:pPr>
      <w:r w:rsidRPr="00307566">
        <w:t xml:space="preserve">Lead: adding capacity in anticipation of an increase in demand. The total capacity for the given service will be estimated and will be chosen to be always higher than the anticipated demand. </w:t>
      </w:r>
    </w:p>
    <w:p w14:paraId="77133E11" w14:textId="77777777" w:rsidR="009B4F68" w:rsidRPr="00307566" w:rsidRDefault="00164E6E">
      <w:pPr>
        <w:numPr>
          <w:ilvl w:val="0"/>
          <w:numId w:val="10"/>
        </w:numPr>
        <w:spacing w:after="0"/>
      </w:pPr>
      <w:r w:rsidRPr="00307566">
        <w:t>Lag:  waiting until the current capacity is stretched to its limits before adding more capacity.</w:t>
      </w:r>
    </w:p>
    <w:p w14:paraId="38411AB2" w14:textId="77777777" w:rsidR="009B4F68" w:rsidRPr="00307566" w:rsidRDefault="00164E6E">
      <w:pPr>
        <w:numPr>
          <w:ilvl w:val="0"/>
          <w:numId w:val="10"/>
        </w:numPr>
        <w:spacing w:after="0"/>
      </w:pPr>
      <w:r w:rsidRPr="00307566">
        <w:t xml:space="preserve">Incremental: adding capacity in small increments when you approach full capacity. </w:t>
      </w:r>
    </w:p>
    <w:p w14:paraId="34A9F6B5" w14:textId="77777777" w:rsidR="009B4F68" w:rsidRPr="00307566" w:rsidRDefault="00164E6E">
      <w:pPr>
        <w:numPr>
          <w:ilvl w:val="0"/>
          <w:numId w:val="10"/>
        </w:numPr>
      </w:pPr>
      <w:r w:rsidRPr="00307566">
        <w:t>Dynamic (Predictive): adding capacity, large or small, before it's required based on forecasts.</w:t>
      </w:r>
    </w:p>
    <w:p w14:paraId="776A41A3" w14:textId="77777777" w:rsidR="009B4F68" w:rsidRPr="00307566" w:rsidRDefault="009B4F68"/>
    <w:p w14:paraId="4264F9C9" w14:textId="77777777" w:rsidR="009B4F68" w:rsidRPr="00307566" w:rsidRDefault="00164E6E">
      <w:pPr>
        <w:spacing w:after="0"/>
      </w:pPr>
      <w:r w:rsidRPr="00307566">
        <w:lastRenderedPageBreak/>
        <w:t>Given the context in which all these services (part of the Hub Portfolio) are currently being funded (through the EOSC-hub project), we considered a “Lead” capacity strategy type for the “Effort” SLI in the “Human” component of the Service Model, as this is something allocated at the start of the project to cover operations of the service for the entire duration and it is less likely to be adjusted later.</w:t>
      </w:r>
    </w:p>
    <w:p w14:paraId="36CF5954" w14:textId="77777777" w:rsidR="009B4F68" w:rsidRPr="00307566" w:rsidRDefault="00164E6E">
      <w:pPr>
        <w:spacing w:after="0"/>
      </w:pPr>
      <w:r w:rsidRPr="00307566">
        <w:t>On the other hand, the “Number of staff” indicator was considered across all services as a “Lag” capacity strategy type, since additional individuals can be assigned temporary tasks to provide support to a service experiencing degraded performance at a specific moment.</w:t>
      </w:r>
    </w:p>
    <w:p w14:paraId="4BA2C607" w14:textId="77777777" w:rsidR="009B4F68" w:rsidRPr="00307566" w:rsidRDefault="00164E6E">
      <w:pPr>
        <w:spacing w:after="0"/>
      </w:pPr>
      <w:r w:rsidRPr="00307566">
        <w:t>The same considerations have been taken into account for a “Lag” strategy on “Software/Service performance” capacity area: from an operational perspective, effort to fix the service is allocated when the existing capacity is stretched i.e. service performance becomes poor and the service needs some adjustments at software level.</w:t>
      </w:r>
    </w:p>
    <w:p w14:paraId="3E93E491" w14:textId="77777777" w:rsidR="009B4F68" w:rsidRPr="00307566" w:rsidRDefault="00164E6E">
      <w:pPr>
        <w:spacing w:after="0"/>
      </w:pPr>
      <w:r w:rsidRPr="00307566">
        <w:t>In the “Capacity Monitoring” section of the capacity plan we report the data collected for the several SLIs: looking at the data, we can analyse the utilisation trends of the several parameters to see how far we are from the capacity limit (if known). The trends analysis will then be used as input for the last part of the capacity plan, the one regarding the forecast service utilisation: based on historical data (and in case of new or changed service requirements) we make assumptions on the future demand of the service and on the needs of adjusting the capacity.</w:t>
      </w:r>
    </w:p>
    <w:p w14:paraId="4AB46957" w14:textId="77777777" w:rsidR="009B4F68" w:rsidRPr="00307566" w:rsidRDefault="00164E6E">
      <w:r w:rsidRPr="00307566">
        <w:t>Regarding the “Capacity Monitoring” section, we took an approach valid for all our capacity plans: in general, the data related to the hardware SLIs are collectible through fabric monitoring, which is internal information directly available to the providers; we agreed that it is not necessary to provide these data to us, with the condition that we ensure that the providers are proactively monitoring them. So we asked the providers to notify us any time they detect an unusual hardware consumption and supply the related data of the affected SLI(s) in that particular period of time, in order to record this in the capacity plan, and document any decision taken to cope with the situation. In a similar way, any incident due to capacity issues will also be tracked. In some cases, moreover, there is not much sense in reporting data about the hardware capacity aspects, since the High Availability deployment of the given service can automatically detect any capacity overload and adjust the available resources accordingly.</w:t>
      </w:r>
    </w:p>
    <w:p w14:paraId="063A0035" w14:textId="77777777" w:rsidR="009B4F68" w:rsidRPr="00307566" w:rsidRDefault="00164E6E">
      <w:r w:rsidRPr="00307566">
        <w:t>Because of the specifics of each service under the Hub Portfolio, the corresponding Capacity plans have various complexities (i.e. more than one Service Provider in some cases, separate hardware configurations for multiple deployed sub-services), therefore the timeline of creation varied significantly. Hence while most of the plans have been created, approved and not yet due for their first review, there are plans that have already been revised and updated (as part of the CAPM process), but also a small number still in draft mode and not covered by this document.</w:t>
      </w:r>
    </w:p>
    <w:p w14:paraId="7A269D4F" w14:textId="77777777" w:rsidR="009B4F68" w:rsidRPr="00307566" w:rsidRDefault="00164E6E">
      <w:pPr>
        <w:spacing w:after="0"/>
      </w:pPr>
      <w:r w:rsidRPr="00307566">
        <w:t>As the regular review period is 12-month for each approved plan, not all capacity plans will be reviewed by the end of the EOSC-hub project. It is however foreseen that the CAPM process will be part of the Federated Management System within any continuation of the project, so capacity plans will continue to be reviewed and properly maintained.</w:t>
      </w:r>
    </w:p>
    <w:p w14:paraId="366DD869" w14:textId="75E210C6" w:rsidR="009B4F68" w:rsidRPr="00307566" w:rsidRDefault="00164E6E">
      <w:pPr>
        <w:spacing w:after="0"/>
      </w:pPr>
      <w:r w:rsidRPr="00307566">
        <w:t xml:space="preserve">We conclude this section saying that the general structure of the capacity plans evolved over the project years, </w:t>
      </w:r>
      <w:r w:rsidR="00307566" w:rsidRPr="00307566">
        <w:t>especially</w:t>
      </w:r>
      <w:r w:rsidRPr="00307566">
        <w:t xml:space="preserve"> because of the useful outcomes of the internal audits and process reviews occurred so far, and we will continue to update it to match new requirements or any time there is an opportunity for improvement. </w:t>
      </w:r>
    </w:p>
    <w:p w14:paraId="2F13FF99" w14:textId="77777777" w:rsidR="009B4F68" w:rsidRPr="00307566" w:rsidRDefault="00164E6E">
      <w:pPr>
        <w:pStyle w:val="Heading1"/>
        <w:numPr>
          <w:ilvl w:val="0"/>
          <w:numId w:val="4"/>
        </w:numPr>
      </w:pPr>
      <w:bookmarkStart w:id="6" w:name="_Toc46932755"/>
      <w:r w:rsidRPr="00307566">
        <w:lastRenderedPageBreak/>
        <w:t>Capacity plans of the services in the Hub Portfolio</w:t>
      </w:r>
      <w:bookmarkEnd w:id="6"/>
    </w:p>
    <w:p w14:paraId="2D41670D" w14:textId="77777777" w:rsidR="009B4F68" w:rsidRPr="00307566" w:rsidRDefault="00164E6E">
      <w:r w:rsidRPr="00307566">
        <w:t>In this section we will present a simplified version of the capacity plans of the services included in the Hub Portfolio (see Table 1). Based on explanations provided in the previous section and without going into too much detail, we will focus on the Software and Human SLIs identified for each service, reporting the capacity strategy chosen for each SLI, and providing also some usage data. We also report the plans that at the moment of writing this document have not yet been completed: even if we still miss the capacity data for some of the parameters, it was important to us reporting at least the SLIs we defined for the given service.</w:t>
      </w:r>
    </w:p>
    <w:p w14:paraId="411B28BA" w14:textId="06156D1E" w:rsidR="009B4F68" w:rsidRPr="00307566" w:rsidRDefault="00164E6E">
      <w:pPr>
        <w:rPr>
          <w:rFonts w:ascii="Arial" w:eastAsia="Arial" w:hAnsi="Arial" w:cs="Arial"/>
          <w:color w:val="222222"/>
        </w:rPr>
      </w:pPr>
      <w:r w:rsidRPr="00307566">
        <w:t>Each created capacity plan details information on Human SLIs as “Effort” (yearly PM allocated by the project - currently EOSC-hub) and “Number of staff” (staff members operating the service). However we are not reporting the respective figures in these cases due to project confidentiality aspects. Still, we would like to make the reader aware of the fact that the number of staff put in the Capacity Plans  is not a full number of FTEs</w:t>
      </w:r>
      <w:r w:rsidR="005C2031" w:rsidRPr="00307566">
        <w:t xml:space="preserve"> (Full-Time Equivalent)</w:t>
      </w:r>
      <w:r w:rsidRPr="00307566">
        <w:t>, but a number of individuals operating the service (so it could be 0.4 FTE for a person and 0.8 FTE for another one). Also a service needs to be controlled by more than one person (be it 1.0 FTE or 0.2 FTE) otherwise degraded performance could happen if the operator is unavailable and no replacement is provided. Lastly, the personnel mentioned in the capacity plans are deployed not only for processing tickets and service requests, but also for service/software performance i.e. maintaining or developing the service.</w:t>
      </w:r>
    </w:p>
    <w:p w14:paraId="49F63A97" w14:textId="77777777" w:rsidR="009B4F68" w:rsidRPr="00307566" w:rsidRDefault="00164E6E">
      <w:r w:rsidRPr="00307566">
        <w:t>Other general remarks:</w:t>
      </w:r>
    </w:p>
    <w:p w14:paraId="06329697" w14:textId="77777777" w:rsidR="009B4F68" w:rsidRPr="00307566" w:rsidRDefault="00164E6E">
      <w:pPr>
        <w:numPr>
          <w:ilvl w:val="0"/>
          <w:numId w:val="3"/>
        </w:numPr>
        <w:spacing w:after="0"/>
      </w:pPr>
      <w:r w:rsidRPr="00307566">
        <w:t>the capacity monitoring data where possible start from the beginning of the project or since when they were available to the provider</w:t>
      </w:r>
    </w:p>
    <w:p w14:paraId="5DC7C943" w14:textId="77777777" w:rsidR="009B4F68" w:rsidRPr="00307566" w:rsidRDefault="00164E6E">
      <w:pPr>
        <w:numPr>
          <w:ilvl w:val="0"/>
          <w:numId w:val="3"/>
        </w:numPr>
        <w:spacing w:after="0"/>
      </w:pPr>
      <w:r w:rsidRPr="00307566">
        <w:t>we haven’t identified any capacity issue concerning the several SLIs</w:t>
      </w:r>
    </w:p>
    <w:p w14:paraId="54810833" w14:textId="77777777" w:rsidR="009B4F68" w:rsidRPr="00307566" w:rsidRDefault="00164E6E">
      <w:pPr>
        <w:numPr>
          <w:ilvl w:val="0"/>
          <w:numId w:val="3"/>
        </w:numPr>
        <w:spacing w:after="0"/>
      </w:pPr>
      <w:r w:rsidRPr="00307566">
        <w:t>when the service capacity is saturated, the users’ experience will be degraded, but the service will be still available</w:t>
      </w:r>
    </w:p>
    <w:p w14:paraId="752465D7" w14:textId="77777777" w:rsidR="009B4F68" w:rsidRPr="00307566" w:rsidRDefault="00164E6E">
      <w:pPr>
        <w:numPr>
          <w:ilvl w:val="0"/>
          <w:numId w:val="3"/>
        </w:numPr>
        <w:spacing w:after="0"/>
      </w:pPr>
      <w:r w:rsidRPr="00307566">
        <w:t>for each service the capacity strategy model is a mix of “Lead” and “Lag”, in some cases also “Incremental” (limited to the hardware SLIs)</w:t>
      </w:r>
    </w:p>
    <w:p w14:paraId="1063D6BB" w14:textId="77777777" w:rsidR="009B4F68" w:rsidRPr="00307566" w:rsidRDefault="00164E6E">
      <w:pPr>
        <w:numPr>
          <w:ilvl w:val="0"/>
          <w:numId w:val="3"/>
        </w:numPr>
      </w:pPr>
      <w:r w:rsidRPr="00307566">
        <w:t>by analysing the usage trends and by estimating the future service demand in the next 6/12 months, we do not foresee that an increase of capacity is required to our services: their consumption seems still quite far from the capacity limit.</w:t>
      </w:r>
    </w:p>
    <w:p w14:paraId="61316D84" w14:textId="77777777" w:rsidR="009B4F68" w:rsidRPr="00307566" w:rsidRDefault="00164E6E">
      <w:pPr>
        <w:pStyle w:val="Heading2"/>
        <w:numPr>
          <w:ilvl w:val="1"/>
          <w:numId w:val="4"/>
        </w:numPr>
      </w:pPr>
      <w:bookmarkStart w:id="7" w:name="_Toc46932756"/>
      <w:r w:rsidRPr="00307566">
        <w:t>AAI - EGI Check-in</w:t>
      </w:r>
      <w:bookmarkEnd w:id="7"/>
    </w:p>
    <w:p w14:paraId="404359E3" w14:textId="77777777" w:rsidR="009B4F68" w:rsidRPr="00307566" w:rsidRDefault="00164E6E">
      <w:r w:rsidRPr="00307566">
        <w:rPr>
          <w:color w:val="172B4D"/>
          <w:highlight w:val="white"/>
        </w:rPr>
        <w:t>EGI Check-in</w:t>
      </w:r>
      <w:r w:rsidRPr="00307566">
        <w:rPr>
          <w:highlight w:val="white"/>
          <w:vertAlign w:val="superscript"/>
        </w:rPr>
        <w:footnoteReference w:id="6"/>
      </w:r>
      <w:r w:rsidRPr="00307566">
        <w:rPr>
          <w:color w:val="172B4D"/>
          <w:highlight w:val="white"/>
        </w:rPr>
        <w:t xml:space="preserve"> is a proxy service that operates as a hub to connect federated Identity Providers (IdPs) with EOSC-hub Service Providers. Check-in allows users to select their preferred IdP so that they can access and use EOSC-hub services in a uniform and easy way.</w:t>
      </w:r>
    </w:p>
    <w:p w14:paraId="72DC39BF" w14:textId="77777777" w:rsidR="009B4F68" w:rsidRPr="00307566" w:rsidRDefault="00164E6E">
      <w:pPr>
        <w:pStyle w:val="Heading3"/>
        <w:numPr>
          <w:ilvl w:val="2"/>
          <w:numId w:val="4"/>
        </w:numPr>
      </w:pPr>
      <w:bookmarkStart w:id="8" w:name="_Toc46932757"/>
      <w:r w:rsidRPr="00307566">
        <w:t>Software/Service Performance SLIs</w:t>
      </w:r>
      <w:bookmarkEnd w:id="8"/>
    </w:p>
    <w:p w14:paraId="05A03DE4" w14:textId="77777777" w:rsidR="009B4F68" w:rsidRPr="00307566" w:rsidRDefault="00164E6E">
      <w:pPr>
        <w:numPr>
          <w:ilvl w:val="0"/>
          <w:numId w:val="18"/>
        </w:numPr>
        <w:spacing w:after="0"/>
      </w:pPr>
      <w:r w:rsidRPr="00307566">
        <w:rPr>
          <w:b/>
        </w:rPr>
        <w:t>Number of user registrations</w:t>
      </w:r>
    </w:p>
    <w:p w14:paraId="6F72FDB6" w14:textId="77777777" w:rsidR="009B4F68" w:rsidRPr="00307566" w:rsidRDefault="00164E6E">
      <w:pPr>
        <w:numPr>
          <w:ilvl w:val="1"/>
          <w:numId w:val="18"/>
        </w:numPr>
        <w:spacing w:after="0"/>
      </w:pPr>
      <w:r w:rsidRPr="00307566">
        <w:t>Number of new registered users (on a monthly basis)</w:t>
      </w:r>
    </w:p>
    <w:p w14:paraId="297C1D90" w14:textId="77777777" w:rsidR="009B4F68" w:rsidRPr="00307566" w:rsidRDefault="00164E6E">
      <w:pPr>
        <w:numPr>
          <w:ilvl w:val="1"/>
          <w:numId w:val="18"/>
        </w:numPr>
        <w:spacing w:after="0"/>
      </w:pPr>
      <w:r w:rsidRPr="00307566">
        <w:t>Capacity strategy: lag</w:t>
      </w:r>
    </w:p>
    <w:p w14:paraId="1986ED43" w14:textId="77777777" w:rsidR="009B4F68" w:rsidRPr="00307566" w:rsidRDefault="00164E6E">
      <w:pPr>
        <w:numPr>
          <w:ilvl w:val="0"/>
          <w:numId w:val="18"/>
        </w:numPr>
        <w:spacing w:after="0"/>
      </w:pPr>
      <w:r w:rsidRPr="00307566">
        <w:rPr>
          <w:b/>
        </w:rPr>
        <w:lastRenderedPageBreak/>
        <w:t>Number of connected SPs</w:t>
      </w:r>
    </w:p>
    <w:p w14:paraId="6848F5E9" w14:textId="77777777" w:rsidR="009B4F68" w:rsidRPr="00307566" w:rsidRDefault="00164E6E">
      <w:pPr>
        <w:numPr>
          <w:ilvl w:val="1"/>
          <w:numId w:val="18"/>
        </w:numPr>
        <w:spacing w:after="0"/>
      </w:pPr>
      <w:r w:rsidRPr="00307566">
        <w:t>Number of Service Providers connected to Check-in (on a monthly basis)</w:t>
      </w:r>
    </w:p>
    <w:p w14:paraId="520ECBED" w14:textId="77777777" w:rsidR="009B4F68" w:rsidRPr="00307566" w:rsidRDefault="00164E6E">
      <w:pPr>
        <w:numPr>
          <w:ilvl w:val="1"/>
          <w:numId w:val="18"/>
        </w:numPr>
        <w:spacing w:after="0"/>
      </w:pPr>
      <w:r w:rsidRPr="00307566">
        <w:t>Capacity strategy: lag</w:t>
      </w:r>
    </w:p>
    <w:p w14:paraId="1CB22C99" w14:textId="77777777" w:rsidR="009B4F68" w:rsidRPr="00307566" w:rsidRDefault="00164E6E">
      <w:pPr>
        <w:numPr>
          <w:ilvl w:val="0"/>
          <w:numId w:val="18"/>
        </w:numPr>
        <w:spacing w:after="0"/>
      </w:pPr>
      <w:r w:rsidRPr="00307566">
        <w:rPr>
          <w:b/>
        </w:rPr>
        <w:t>Number of (not-eduGAIN) connected IdPs</w:t>
      </w:r>
    </w:p>
    <w:p w14:paraId="7A65B9D4" w14:textId="77777777" w:rsidR="009B4F68" w:rsidRPr="00307566" w:rsidRDefault="00164E6E">
      <w:pPr>
        <w:numPr>
          <w:ilvl w:val="1"/>
          <w:numId w:val="18"/>
        </w:numPr>
        <w:spacing w:after="0"/>
      </w:pPr>
      <w:r w:rsidRPr="00307566">
        <w:t>Number of Identity Providers (not in eduGAIN) connected to Check-in (on a monthly basis)</w:t>
      </w:r>
    </w:p>
    <w:p w14:paraId="2B96E876" w14:textId="77777777" w:rsidR="009B4F68" w:rsidRPr="00307566" w:rsidRDefault="00164E6E">
      <w:pPr>
        <w:numPr>
          <w:ilvl w:val="1"/>
          <w:numId w:val="18"/>
        </w:numPr>
        <w:spacing w:after="0"/>
      </w:pPr>
      <w:r w:rsidRPr="00307566">
        <w:t>Capacity strategy: lag</w:t>
      </w:r>
    </w:p>
    <w:p w14:paraId="5760C6D1" w14:textId="77777777" w:rsidR="009B4F68" w:rsidRPr="00307566" w:rsidRDefault="00164E6E">
      <w:pPr>
        <w:numPr>
          <w:ilvl w:val="0"/>
          <w:numId w:val="18"/>
        </w:numPr>
        <w:spacing w:after="0"/>
      </w:pPr>
      <w:r w:rsidRPr="00307566">
        <w:rPr>
          <w:b/>
        </w:rPr>
        <w:t>Number of Communities (internal VOs)</w:t>
      </w:r>
    </w:p>
    <w:p w14:paraId="36B8127F" w14:textId="77777777" w:rsidR="009B4F68" w:rsidRPr="00307566" w:rsidRDefault="00164E6E">
      <w:pPr>
        <w:numPr>
          <w:ilvl w:val="1"/>
          <w:numId w:val="18"/>
        </w:numPr>
        <w:spacing w:after="0"/>
      </w:pPr>
      <w:r w:rsidRPr="00307566">
        <w:t>Number of Communities (internal VOs), i.e. managed in Check-in COmanage (on a monthly basis)</w:t>
      </w:r>
      <w:r w:rsidRPr="00307566">
        <w:tab/>
      </w:r>
    </w:p>
    <w:p w14:paraId="4EAA726B" w14:textId="77777777" w:rsidR="009B4F68" w:rsidRPr="00307566" w:rsidRDefault="00164E6E">
      <w:pPr>
        <w:numPr>
          <w:ilvl w:val="1"/>
          <w:numId w:val="18"/>
        </w:numPr>
        <w:spacing w:after="0"/>
      </w:pPr>
      <w:r w:rsidRPr="00307566">
        <w:t>Capacity strategy: lag</w:t>
      </w:r>
    </w:p>
    <w:p w14:paraId="7BF45C5E" w14:textId="77777777" w:rsidR="009B4F68" w:rsidRPr="00307566" w:rsidRDefault="00164E6E">
      <w:pPr>
        <w:numPr>
          <w:ilvl w:val="0"/>
          <w:numId w:val="18"/>
        </w:numPr>
        <w:spacing w:after="0"/>
      </w:pPr>
      <w:r w:rsidRPr="00307566">
        <w:rPr>
          <w:b/>
        </w:rPr>
        <w:t>Number of logins</w:t>
      </w:r>
    </w:p>
    <w:p w14:paraId="688878C2" w14:textId="77777777" w:rsidR="009B4F68" w:rsidRPr="00307566" w:rsidRDefault="00164E6E">
      <w:pPr>
        <w:numPr>
          <w:ilvl w:val="1"/>
          <w:numId w:val="18"/>
        </w:numPr>
        <w:spacing w:after="0"/>
      </w:pPr>
      <w:r w:rsidRPr="00307566">
        <w:t>Number of IdP/SP logins (on a monthly basis)</w:t>
      </w:r>
      <w:r w:rsidRPr="00307566">
        <w:tab/>
      </w:r>
    </w:p>
    <w:p w14:paraId="76FA674B" w14:textId="63AF1AE2" w:rsidR="009B4F68" w:rsidRPr="00307566" w:rsidRDefault="00164E6E" w:rsidP="00CE39E0">
      <w:pPr>
        <w:numPr>
          <w:ilvl w:val="1"/>
          <w:numId w:val="18"/>
        </w:numPr>
      </w:pPr>
      <w:r w:rsidRPr="00307566">
        <w:t>Capacity strategy: lag</w:t>
      </w:r>
    </w:p>
    <w:p w14:paraId="7F599124" w14:textId="77777777" w:rsidR="009B4F68" w:rsidRPr="00307566" w:rsidRDefault="009B4F68"/>
    <w:p w14:paraId="2A221DAC" w14:textId="77777777" w:rsidR="009B4F68" w:rsidRPr="00307566" w:rsidRDefault="00164E6E">
      <w:r w:rsidRPr="00307566">
        <w:rPr>
          <w:noProof/>
        </w:rPr>
        <w:drawing>
          <wp:inline distT="114300" distB="114300" distL="114300" distR="114300" wp14:anchorId="3FD56219" wp14:editId="78213876">
            <wp:extent cx="5731200" cy="2146300"/>
            <wp:effectExtent l="0" t="0" r="0" b="0"/>
            <wp:docPr id="30" name="image29.png"/>
            <wp:cNvGraphicFramePr/>
            <a:graphic xmlns:a="http://schemas.openxmlformats.org/drawingml/2006/main">
              <a:graphicData uri="http://schemas.openxmlformats.org/drawingml/2006/picture">
                <pic:pic xmlns:pic="http://schemas.openxmlformats.org/drawingml/2006/picture">
                  <pic:nvPicPr>
                    <pic:cNvPr id="0" name="image29.png"/>
                    <pic:cNvPicPr preferRelativeResize="0"/>
                  </pic:nvPicPr>
                  <pic:blipFill>
                    <a:blip r:embed="rId13"/>
                    <a:srcRect/>
                    <a:stretch>
                      <a:fillRect/>
                    </a:stretch>
                  </pic:blipFill>
                  <pic:spPr>
                    <a:xfrm>
                      <a:off x="0" y="0"/>
                      <a:ext cx="5731200" cy="2146300"/>
                    </a:xfrm>
                    <a:prstGeom prst="rect">
                      <a:avLst/>
                    </a:prstGeom>
                    <a:ln/>
                  </pic:spPr>
                </pic:pic>
              </a:graphicData>
            </a:graphic>
          </wp:inline>
        </w:drawing>
      </w:r>
    </w:p>
    <w:p w14:paraId="79D9123E" w14:textId="2AC12291" w:rsidR="009B4F68" w:rsidRPr="00307566" w:rsidRDefault="00164E6E">
      <w:pPr>
        <w:keepNext/>
        <w:spacing w:after="240"/>
        <w:jc w:val="center"/>
      </w:pPr>
      <w:r w:rsidRPr="00307566">
        <w:rPr>
          <w:b/>
          <w:i/>
          <w:color w:val="17365D"/>
        </w:rPr>
        <w:t>Fig. 1 - Number of new registered users on a monthly basis</w:t>
      </w:r>
      <w:r w:rsidR="00C46A72" w:rsidRPr="00307566">
        <w:rPr>
          <w:b/>
          <w:i/>
          <w:color w:val="17365D"/>
        </w:rPr>
        <w:t>.</w:t>
      </w:r>
    </w:p>
    <w:p w14:paraId="179DCEA9" w14:textId="77777777" w:rsidR="009B4F68" w:rsidRPr="00307566" w:rsidRDefault="009B4F68"/>
    <w:p w14:paraId="1C0DDFDF" w14:textId="0839C181" w:rsidR="009B4F68" w:rsidRPr="00307566" w:rsidRDefault="00164E6E">
      <w:pPr>
        <w:jc w:val="center"/>
        <w:rPr>
          <w:color w:val="17365D"/>
        </w:rPr>
      </w:pPr>
      <w:r w:rsidRPr="00307566">
        <w:rPr>
          <w:noProof/>
        </w:rPr>
        <w:drawing>
          <wp:inline distT="114300" distB="114300" distL="114300" distR="114300" wp14:anchorId="2D800FD6" wp14:editId="24EC6015">
            <wp:extent cx="5731200" cy="2146300"/>
            <wp:effectExtent l="0" t="0" r="0" b="0"/>
            <wp:docPr id="17"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14"/>
                    <a:srcRect/>
                    <a:stretch>
                      <a:fillRect/>
                    </a:stretch>
                  </pic:blipFill>
                  <pic:spPr>
                    <a:xfrm>
                      <a:off x="0" y="0"/>
                      <a:ext cx="5731200" cy="2146300"/>
                    </a:xfrm>
                    <a:prstGeom prst="rect">
                      <a:avLst/>
                    </a:prstGeom>
                    <a:ln/>
                  </pic:spPr>
                </pic:pic>
              </a:graphicData>
            </a:graphic>
          </wp:inline>
        </w:drawing>
      </w:r>
      <w:r w:rsidRPr="00307566">
        <w:rPr>
          <w:b/>
          <w:i/>
          <w:color w:val="17365D"/>
        </w:rPr>
        <w:t>Fig. 2 - Number of new SPs integrated on a monthly basis</w:t>
      </w:r>
      <w:r w:rsidR="00C46A72" w:rsidRPr="00307566">
        <w:rPr>
          <w:b/>
          <w:i/>
          <w:color w:val="17365D"/>
        </w:rPr>
        <w:t>.</w:t>
      </w:r>
    </w:p>
    <w:p w14:paraId="5B522382" w14:textId="0A4B5CF4" w:rsidR="009B4F68" w:rsidRPr="00307566" w:rsidRDefault="00164E6E">
      <w:pPr>
        <w:jc w:val="center"/>
      </w:pPr>
      <w:r w:rsidRPr="00307566">
        <w:rPr>
          <w:noProof/>
        </w:rPr>
        <w:lastRenderedPageBreak/>
        <w:drawing>
          <wp:inline distT="114300" distB="114300" distL="114300" distR="114300" wp14:anchorId="1B2EC938" wp14:editId="6CEA16AC">
            <wp:extent cx="5731200" cy="2146300"/>
            <wp:effectExtent l="0" t="0" r="0" b="0"/>
            <wp:docPr id="10"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15"/>
                    <a:srcRect/>
                    <a:stretch>
                      <a:fillRect/>
                    </a:stretch>
                  </pic:blipFill>
                  <pic:spPr>
                    <a:xfrm>
                      <a:off x="0" y="0"/>
                      <a:ext cx="5731200" cy="2146300"/>
                    </a:xfrm>
                    <a:prstGeom prst="rect">
                      <a:avLst/>
                    </a:prstGeom>
                    <a:ln/>
                  </pic:spPr>
                </pic:pic>
              </a:graphicData>
            </a:graphic>
          </wp:inline>
        </w:drawing>
      </w:r>
      <w:r w:rsidRPr="00307566">
        <w:rPr>
          <w:b/>
          <w:i/>
          <w:color w:val="17365D"/>
        </w:rPr>
        <w:t>Fig. 3 - Number of new IdPs (not in eduGAIN) integrated on a monthly basis</w:t>
      </w:r>
      <w:r w:rsidR="00C46A72" w:rsidRPr="00307566">
        <w:rPr>
          <w:b/>
          <w:i/>
          <w:color w:val="17365D"/>
        </w:rPr>
        <w:t>.</w:t>
      </w:r>
    </w:p>
    <w:p w14:paraId="79292696" w14:textId="77777777" w:rsidR="009B4F68" w:rsidRPr="00307566" w:rsidRDefault="00164E6E">
      <w:r w:rsidRPr="00307566">
        <w:rPr>
          <w:noProof/>
        </w:rPr>
        <w:drawing>
          <wp:inline distT="114300" distB="114300" distL="114300" distR="114300" wp14:anchorId="6B74C090" wp14:editId="790C4CB8">
            <wp:extent cx="5731200" cy="2146300"/>
            <wp:effectExtent l="0" t="0" r="0" b="0"/>
            <wp:docPr id="19"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16"/>
                    <a:srcRect/>
                    <a:stretch>
                      <a:fillRect/>
                    </a:stretch>
                  </pic:blipFill>
                  <pic:spPr>
                    <a:xfrm>
                      <a:off x="0" y="0"/>
                      <a:ext cx="5731200" cy="2146300"/>
                    </a:xfrm>
                    <a:prstGeom prst="rect">
                      <a:avLst/>
                    </a:prstGeom>
                    <a:ln/>
                  </pic:spPr>
                </pic:pic>
              </a:graphicData>
            </a:graphic>
          </wp:inline>
        </w:drawing>
      </w:r>
    </w:p>
    <w:p w14:paraId="3ABA4C11" w14:textId="147C9420" w:rsidR="009B4F68" w:rsidRPr="00307566" w:rsidRDefault="00164E6E">
      <w:pPr>
        <w:keepNext/>
        <w:spacing w:after="240"/>
        <w:jc w:val="center"/>
      </w:pPr>
      <w:r w:rsidRPr="00307566">
        <w:rPr>
          <w:b/>
          <w:i/>
          <w:color w:val="17365D"/>
        </w:rPr>
        <w:t>Fig. 4 - Number of new communities registered in and managed through Check-in</w:t>
      </w:r>
      <w:r w:rsidR="00C46A72" w:rsidRPr="00307566">
        <w:rPr>
          <w:b/>
          <w:i/>
          <w:color w:val="17365D"/>
        </w:rPr>
        <w:t>.</w:t>
      </w:r>
    </w:p>
    <w:p w14:paraId="18050085" w14:textId="77777777" w:rsidR="009B4F68" w:rsidRPr="00307566" w:rsidRDefault="00164E6E">
      <w:r w:rsidRPr="00307566">
        <w:rPr>
          <w:noProof/>
        </w:rPr>
        <w:drawing>
          <wp:inline distT="114300" distB="114300" distL="114300" distR="114300" wp14:anchorId="67E82B26" wp14:editId="50CC37D5">
            <wp:extent cx="5731200" cy="214630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7"/>
                    <a:srcRect/>
                    <a:stretch>
                      <a:fillRect/>
                    </a:stretch>
                  </pic:blipFill>
                  <pic:spPr>
                    <a:xfrm>
                      <a:off x="0" y="0"/>
                      <a:ext cx="5731200" cy="2146300"/>
                    </a:xfrm>
                    <a:prstGeom prst="rect">
                      <a:avLst/>
                    </a:prstGeom>
                    <a:ln/>
                  </pic:spPr>
                </pic:pic>
              </a:graphicData>
            </a:graphic>
          </wp:inline>
        </w:drawing>
      </w:r>
    </w:p>
    <w:p w14:paraId="12F1A7B7" w14:textId="1966B6B9" w:rsidR="009B4F68" w:rsidRPr="00307566" w:rsidRDefault="00164E6E">
      <w:pPr>
        <w:keepNext/>
        <w:spacing w:after="240"/>
        <w:jc w:val="center"/>
      </w:pPr>
      <w:r w:rsidRPr="00307566">
        <w:rPr>
          <w:b/>
          <w:i/>
          <w:color w:val="17365D"/>
        </w:rPr>
        <w:t>Fig. 5 - Number of IdP/SP logins</w:t>
      </w:r>
      <w:r w:rsidR="00C46A72" w:rsidRPr="00307566">
        <w:rPr>
          <w:b/>
          <w:i/>
          <w:color w:val="17365D"/>
        </w:rPr>
        <w:t>.</w:t>
      </w:r>
    </w:p>
    <w:p w14:paraId="5BBBD033" w14:textId="77777777" w:rsidR="009B4F68" w:rsidRPr="00307566" w:rsidRDefault="00164E6E">
      <w:r w:rsidRPr="00307566">
        <w:t xml:space="preserve">Fig. 1 indicates that every month there is a relevant number of users accessing the Check-in service for the first time, even though this doesn’t seem to produce noticeable effects on the number of logins (Fig. 5), either when Check-in is used as Attribute Authority by some federated IdPs or when the users login through Check-in to access the integrated services (the value in May 2020 may be due to the </w:t>
      </w:r>
      <w:r w:rsidRPr="00307566">
        <w:lastRenderedPageBreak/>
        <w:t>EOSC-hub Week 2020, when the EOSC-hub services in general received a lot of advertisement and there were also demos and training events). Considering also the other diagrams, we believe that the service demand will not change in the next 6/12 months and the current capacity is sufficient to deal with it.</w:t>
      </w:r>
    </w:p>
    <w:p w14:paraId="4F2F219F" w14:textId="77777777" w:rsidR="009B4F68" w:rsidRPr="00307566" w:rsidRDefault="00164E6E">
      <w:pPr>
        <w:pStyle w:val="Heading3"/>
        <w:numPr>
          <w:ilvl w:val="2"/>
          <w:numId w:val="4"/>
        </w:numPr>
      </w:pPr>
      <w:bookmarkStart w:id="9" w:name="_Toc46932758"/>
      <w:r w:rsidRPr="00307566">
        <w:t>Human (Operation and Tickets handling) SLIs</w:t>
      </w:r>
      <w:bookmarkEnd w:id="9"/>
    </w:p>
    <w:p w14:paraId="5E29BC95" w14:textId="77777777" w:rsidR="009B4F68" w:rsidRPr="00307566" w:rsidRDefault="00164E6E">
      <w:pPr>
        <w:numPr>
          <w:ilvl w:val="0"/>
          <w:numId w:val="16"/>
        </w:numPr>
        <w:spacing w:after="0"/>
      </w:pPr>
      <w:r w:rsidRPr="00307566">
        <w:rPr>
          <w:b/>
        </w:rPr>
        <w:t>Number of GGUS tickets</w:t>
      </w:r>
    </w:p>
    <w:p w14:paraId="02348895" w14:textId="77777777" w:rsidR="009B4F68" w:rsidRPr="00307566" w:rsidRDefault="00164E6E">
      <w:pPr>
        <w:numPr>
          <w:ilvl w:val="1"/>
          <w:numId w:val="16"/>
        </w:numPr>
        <w:spacing w:after="0"/>
      </w:pPr>
      <w:r w:rsidRPr="00307566">
        <w:t>Number of tickets handled by the provider (regardless category and priority). The statistic is collected by the EGI Helpdesk system (GGUS)</w:t>
      </w:r>
    </w:p>
    <w:p w14:paraId="3468778C" w14:textId="77777777" w:rsidR="009B4F68" w:rsidRPr="00307566" w:rsidRDefault="00164E6E">
      <w:pPr>
        <w:numPr>
          <w:ilvl w:val="1"/>
          <w:numId w:val="16"/>
        </w:numPr>
        <w:spacing w:after="0"/>
      </w:pPr>
      <w:r w:rsidRPr="00307566">
        <w:t>Capacity strategy: lag</w:t>
      </w:r>
    </w:p>
    <w:p w14:paraId="26BF1147" w14:textId="77777777" w:rsidR="009B4F68" w:rsidRPr="00307566" w:rsidRDefault="00164E6E">
      <w:pPr>
        <w:numPr>
          <w:ilvl w:val="0"/>
          <w:numId w:val="16"/>
        </w:numPr>
        <w:spacing w:after="0"/>
      </w:pPr>
      <w:r w:rsidRPr="00307566">
        <w:rPr>
          <w:b/>
        </w:rPr>
        <w:t>Tickets average response time</w:t>
      </w:r>
    </w:p>
    <w:p w14:paraId="0B068BFD" w14:textId="77777777" w:rsidR="009B4F68" w:rsidRPr="00307566" w:rsidRDefault="00164E6E">
      <w:pPr>
        <w:numPr>
          <w:ilvl w:val="1"/>
          <w:numId w:val="16"/>
        </w:numPr>
        <w:spacing w:after="0"/>
      </w:pPr>
      <w:r w:rsidRPr="00307566">
        <w:t>Average response time (in working days) to the tickets (regardless category and priority). The aim is to check if a relatively high number of tickets can produce an increase of the (average) response time. The statistic is collected by the EGI Helpdesk system (GGUS).</w:t>
      </w:r>
    </w:p>
    <w:p w14:paraId="15352F6C" w14:textId="77777777" w:rsidR="009B4F68" w:rsidRPr="00307566" w:rsidRDefault="00164E6E">
      <w:pPr>
        <w:numPr>
          <w:ilvl w:val="1"/>
          <w:numId w:val="16"/>
        </w:numPr>
      </w:pPr>
      <w:r w:rsidRPr="00307566">
        <w:t>Capacity strategy: lag</w:t>
      </w:r>
    </w:p>
    <w:p w14:paraId="3936FDD5" w14:textId="4FA74703" w:rsidR="009B4F68" w:rsidRPr="00307566" w:rsidRDefault="00164E6E">
      <w:r w:rsidRPr="00307566">
        <w:t>The monthly amount of tickets (Fig. 6) might seem relatively high, but the support team handled them without particular difficulties, and the service in general didn’t suffer capacity issues.</w:t>
      </w:r>
    </w:p>
    <w:p w14:paraId="6892003F" w14:textId="5BEFCBB5" w:rsidR="009B4F68" w:rsidRPr="00307566" w:rsidRDefault="00164E6E" w:rsidP="00CE39E0">
      <w:pPr>
        <w:jc w:val="center"/>
      </w:pPr>
      <w:r w:rsidRPr="00307566">
        <w:rPr>
          <w:noProof/>
        </w:rPr>
        <w:drawing>
          <wp:inline distT="114300" distB="114300" distL="114300" distR="114300" wp14:anchorId="4586B6DA" wp14:editId="5C21A62E">
            <wp:extent cx="5731200" cy="2146300"/>
            <wp:effectExtent l="0" t="0" r="0" b="0"/>
            <wp:docPr id="35" name="image28.png"/>
            <wp:cNvGraphicFramePr/>
            <a:graphic xmlns:a="http://schemas.openxmlformats.org/drawingml/2006/main">
              <a:graphicData uri="http://schemas.openxmlformats.org/drawingml/2006/picture">
                <pic:pic xmlns:pic="http://schemas.openxmlformats.org/drawingml/2006/picture">
                  <pic:nvPicPr>
                    <pic:cNvPr id="0" name="image28.png"/>
                    <pic:cNvPicPr preferRelativeResize="0"/>
                  </pic:nvPicPr>
                  <pic:blipFill>
                    <a:blip r:embed="rId18"/>
                    <a:srcRect/>
                    <a:stretch>
                      <a:fillRect/>
                    </a:stretch>
                  </pic:blipFill>
                  <pic:spPr>
                    <a:xfrm>
                      <a:off x="0" y="0"/>
                      <a:ext cx="5731200" cy="2146300"/>
                    </a:xfrm>
                    <a:prstGeom prst="rect">
                      <a:avLst/>
                    </a:prstGeom>
                    <a:ln/>
                  </pic:spPr>
                </pic:pic>
              </a:graphicData>
            </a:graphic>
          </wp:inline>
        </w:drawing>
      </w:r>
      <w:r w:rsidRPr="00307566">
        <w:rPr>
          <w:b/>
          <w:i/>
          <w:color w:val="17365D"/>
        </w:rPr>
        <w:t>Fig. 6 - Number of tickets handled by the service support unit</w:t>
      </w:r>
      <w:r w:rsidR="00C46A72" w:rsidRPr="00307566">
        <w:rPr>
          <w:b/>
          <w:i/>
          <w:color w:val="17365D"/>
        </w:rPr>
        <w:t>.</w:t>
      </w:r>
    </w:p>
    <w:p w14:paraId="442052E5" w14:textId="1BDF2DE1" w:rsidR="009B4F68" w:rsidRPr="00307566" w:rsidRDefault="00164E6E">
      <w:pPr>
        <w:jc w:val="center"/>
        <w:rPr>
          <w:b/>
          <w:i/>
          <w:color w:val="17365D"/>
        </w:rPr>
      </w:pPr>
      <w:r w:rsidRPr="00307566">
        <w:rPr>
          <w:noProof/>
        </w:rPr>
        <w:drawing>
          <wp:inline distT="114300" distB="114300" distL="114300" distR="114300" wp14:anchorId="11F11C83" wp14:editId="69DF9359">
            <wp:extent cx="5731200" cy="2146300"/>
            <wp:effectExtent l="0" t="0" r="0" b="0"/>
            <wp:docPr id="4"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9"/>
                    <a:srcRect/>
                    <a:stretch>
                      <a:fillRect/>
                    </a:stretch>
                  </pic:blipFill>
                  <pic:spPr>
                    <a:xfrm>
                      <a:off x="0" y="0"/>
                      <a:ext cx="5731200" cy="2146300"/>
                    </a:xfrm>
                    <a:prstGeom prst="rect">
                      <a:avLst/>
                    </a:prstGeom>
                    <a:ln/>
                  </pic:spPr>
                </pic:pic>
              </a:graphicData>
            </a:graphic>
          </wp:inline>
        </w:drawing>
      </w:r>
      <w:r w:rsidRPr="00307566">
        <w:rPr>
          <w:b/>
          <w:i/>
          <w:color w:val="17365D"/>
        </w:rPr>
        <w:t>Fig. 7 - Average response time (working days) to the tickets submitted to the service support unit</w:t>
      </w:r>
      <w:r w:rsidR="00C46A72" w:rsidRPr="00307566">
        <w:rPr>
          <w:b/>
          <w:i/>
          <w:color w:val="17365D"/>
        </w:rPr>
        <w:t>.</w:t>
      </w:r>
    </w:p>
    <w:p w14:paraId="2718E526" w14:textId="77777777" w:rsidR="009B4F68" w:rsidRPr="00307566" w:rsidRDefault="009B4F68">
      <w:pPr>
        <w:keepNext/>
        <w:spacing w:after="240"/>
        <w:jc w:val="left"/>
        <w:rPr>
          <w:color w:val="17365D"/>
        </w:rPr>
      </w:pPr>
    </w:p>
    <w:p w14:paraId="011BA100" w14:textId="77777777" w:rsidR="009B4F68" w:rsidRPr="00307566" w:rsidRDefault="00164E6E">
      <w:pPr>
        <w:pStyle w:val="Heading2"/>
        <w:numPr>
          <w:ilvl w:val="1"/>
          <w:numId w:val="4"/>
        </w:numPr>
      </w:pPr>
      <w:bookmarkStart w:id="10" w:name="_Toc46932759"/>
      <w:r w:rsidRPr="00307566">
        <w:t>Configuration Management Database - EGI GOCDB</w:t>
      </w:r>
      <w:bookmarkEnd w:id="10"/>
    </w:p>
    <w:p w14:paraId="1BFC2756" w14:textId="77777777" w:rsidR="009B4F68" w:rsidRPr="00307566" w:rsidRDefault="00164E6E">
      <w:pPr>
        <w:spacing w:after="0"/>
        <w:rPr>
          <w:color w:val="172B4D"/>
          <w:highlight w:val="white"/>
        </w:rPr>
      </w:pPr>
      <w:r w:rsidRPr="00307566">
        <w:rPr>
          <w:color w:val="172B4D"/>
          <w:highlight w:val="white"/>
        </w:rPr>
        <w:t>GOCDB</w:t>
      </w:r>
      <w:r w:rsidRPr="00307566">
        <w:rPr>
          <w:color w:val="172B4D"/>
          <w:highlight w:val="white"/>
          <w:vertAlign w:val="superscript"/>
        </w:rPr>
        <w:footnoteReference w:id="7"/>
      </w:r>
      <w:r w:rsidRPr="00307566">
        <w:rPr>
          <w:color w:val="172B4D"/>
          <w:highlight w:val="white"/>
        </w:rPr>
        <w:t>, a component of the EOSC-hub CMDB, is a central registry to record information about the topology of e-Infrastructures. This includes entities such as Operations Centres, Resource Centres, service endpoints and their downtimes, contact information and roles of users responsible for operations at different levels. The service enforces a number of business rules and defines different grouping mechanisms and object-tagging for the purposes of fine-grained resource filtering.</w:t>
      </w:r>
    </w:p>
    <w:p w14:paraId="337DD9C6" w14:textId="77777777" w:rsidR="009B4F68" w:rsidRPr="00307566" w:rsidRDefault="00164E6E">
      <w:pPr>
        <w:pStyle w:val="Heading3"/>
        <w:numPr>
          <w:ilvl w:val="2"/>
          <w:numId w:val="4"/>
        </w:numPr>
      </w:pPr>
      <w:bookmarkStart w:id="11" w:name="_Toc46932760"/>
      <w:r w:rsidRPr="00307566">
        <w:t>Software/Service Performance SLIs</w:t>
      </w:r>
      <w:bookmarkEnd w:id="11"/>
    </w:p>
    <w:p w14:paraId="7E184380" w14:textId="77777777" w:rsidR="009B4F68" w:rsidRPr="00307566" w:rsidRDefault="00164E6E">
      <w:pPr>
        <w:numPr>
          <w:ilvl w:val="0"/>
          <w:numId w:val="2"/>
        </w:numPr>
        <w:spacing w:after="0"/>
        <w:rPr>
          <w:b/>
        </w:rPr>
      </w:pPr>
      <w:r w:rsidRPr="00307566">
        <w:rPr>
          <w:b/>
          <w:highlight w:val="white"/>
        </w:rPr>
        <w:t>Average concurrent webserver sessions</w:t>
      </w:r>
    </w:p>
    <w:p w14:paraId="03E28166" w14:textId="77777777" w:rsidR="009B4F68" w:rsidRPr="00307566" w:rsidRDefault="00164E6E">
      <w:pPr>
        <w:numPr>
          <w:ilvl w:val="1"/>
          <w:numId w:val="2"/>
        </w:numPr>
        <w:spacing w:after="0"/>
        <w:rPr>
          <w:b/>
        </w:rPr>
      </w:pPr>
      <w:r w:rsidRPr="00307566">
        <w:rPr>
          <w:color w:val="172B4D"/>
          <w:highlight w:val="white"/>
        </w:rPr>
        <w:t>The average number of concurrent TCP sessions to production webserver per calendar month - max capacity: 255</w:t>
      </w:r>
    </w:p>
    <w:p w14:paraId="238AD38A" w14:textId="77777777" w:rsidR="009B4F68" w:rsidRPr="00307566" w:rsidRDefault="00164E6E">
      <w:pPr>
        <w:numPr>
          <w:ilvl w:val="1"/>
          <w:numId w:val="2"/>
        </w:numPr>
        <w:spacing w:after="0"/>
        <w:rPr>
          <w:color w:val="172B4D"/>
          <w:highlight w:val="white"/>
        </w:rPr>
      </w:pPr>
      <w:r w:rsidRPr="00307566">
        <w:t>Capacity strategy: lag</w:t>
      </w:r>
    </w:p>
    <w:p w14:paraId="1FE2126D" w14:textId="77777777" w:rsidR="009B4F68" w:rsidRPr="00307566" w:rsidRDefault="009B4F68">
      <w:pPr>
        <w:spacing w:after="0"/>
      </w:pPr>
    </w:p>
    <w:p w14:paraId="3EE9A967" w14:textId="57FCE4B7" w:rsidR="009B4F68" w:rsidRPr="00307566" w:rsidRDefault="00164E6E">
      <w:pPr>
        <w:keepNext/>
        <w:spacing w:after="240"/>
        <w:jc w:val="center"/>
      </w:pPr>
      <w:r w:rsidRPr="00307566">
        <w:rPr>
          <w:b/>
          <w:i/>
          <w:color w:val="17365D"/>
        </w:rPr>
        <w:t>Table 3 – Average number of concurrent webserver sessions per month</w:t>
      </w:r>
      <w:r w:rsidR="00C46A72" w:rsidRPr="00307566">
        <w:rPr>
          <w:b/>
          <w:i/>
          <w:color w:val="17365D"/>
        </w:rPr>
        <w:t>.</w:t>
      </w:r>
    </w:p>
    <w:tbl>
      <w:tblPr>
        <w:tblStyle w:val="a6"/>
        <w:tblW w:w="579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470"/>
        <w:gridCol w:w="4320"/>
      </w:tblGrid>
      <w:tr w:rsidR="009B4F68" w:rsidRPr="00307566" w14:paraId="7F224F64" w14:textId="77777777">
        <w:trPr>
          <w:trHeight w:val="465"/>
        </w:trPr>
        <w:tc>
          <w:tcPr>
            <w:tcW w:w="1470" w:type="dxa"/>
            <w:tcBorders>
              <w:top w:val="single" w:sz="6" w:space="0" w:color="C1C7D0"/>
              <w:left w:val="single" w:sz="6" w:space="0" w:color="C1C7D0"/>
              <w:bottom w:val="single" w:sz="6" w:space="0" w:color="C1C7D0"/>
              <w:right w:val="single" w:sz="6" w:space="0" w:color="C1C7D0"/>
            </w:tcBorders>
            <w:shd w:val="clear" w:color="auto" w:fill="EFEFEF"/>
            <w:tcMar>
              <w:top w:w="100" w:type="dxa"/>
              <w:left w:w="160" w:type="dxa"/>
              <w:bottom w:w="100" w:type="dxa"/>
              <w:right w:w="160" w:type="dxa"/>
            </w:tcMar>
          </w:tcPr>
          <w:p w14:paraId="2514AB09" w14:textId="77777777" w:rsidR="009B4F68" w:rsidRPr="00307566" w:rsidRDefault="00164E6E">
            <w:pPr>
              <w:spacing w:after="0"/>
              <w:rPr>
                <w:color w:val="172B4D"/>
                <w:sz w:val="21"/>
                <w:szCs w:val="21"/>
              </w:rPr>
            </w:pPr>
            <w:r w:rsidRPr="00307566">
              <w:rPr>
                <w:b/>
                <w:color w:val="172B4D"/>
                <w:sz w:val="21"/>
                <w:szCs w:val="21"/>
              </w:rPr>
              <w:t>Month</w:t>
            </w:r>
          </w:p>
        </w:tc>
        <w:tc>
          <w:tcPr>
            <w:tcW w:w="4320" w:type="dxa"/>
            <w:tcBorders>
              <w:top w:val="single" w:sz="6" w:space="0" w:color="C1C7D0"/>
              <w:left w:val="single" w:sz="6" w:space="0" w:color="C1C7D0"/>
              <w:bottom w:val="single" w:sz="6" w:space="0" w:color="C1C7D0"/>
              <w:right w:val="single" w:sz="6" w:space="0" w:color="C1C7D0"/>
            </w:tcBorders>
            <w:shd w:val="clear" w:color="auto" w:fill="EFEFEF"/>
            <w:tcMar>
              <w:top w:w="100" w:type="dxa"/>
              <w:left w:w="160" w:type="dxa"/>
              <w:bottom w:w="100" w:type="dxa"/>
              <w:right w:w="160" w:type="dxa"/>
            </w:tcMar>
          </w:tcPr>
          <w:p w14:paraId="24F25136" w14:textId="77777777" w:rsidR="009B4F68" w:rsidRPr="00307566" w:rsidRDefault="00164E6E">
            <w:pPr>
              <w:spacing w:after="0"/>
              <w:rPr>
                <w:color w:val="172B4D"/>
                <w:sz w:val="21"/>
                <w:szCs w:val="21"/>
              </w:rPr>
            </w:pPr>
            <w:r w:rsidRPr="00307566">
              <w:rPr>
                <w:b/>
                <w:color w:val="172B4D"/>
                <w:sz w:val="21"/>
                <w:szCs w:val="21"/>
              </w:rPr>
              <w:t>Average concurrent webserver sessions</w:t>
            </w:r>
          </w:p>
        </w:tc>
      </w:tr>
      <w:tr w:rsidR="009B4F68" w:rsidRPr="00307566" w14:paraId="6B2B62FF" w14:textId="77777777">
        <w:trPr>
          <w:trHeight w:val="465"/>
        </w:trPr>
        <w:tc>
          <w:tcPr>
            <w:tcW w:w="1470" w:type="dxa"/>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624CBA2B" w14:textId="77777777" w:rsidR="009B4F68" w:rsidRPr="00307566" w:rsidRDefault="00164E6E">
            <w:pPr>
              <w:spacing w:after="0"/>
              <w:rPr>
                <w:color w:val="172B4D"/>
                <w:sz w:val="21"/>
                <w:szCs w:val="21"/>
              </w:rPr>
            </w:pPr>
            <w:r w:rsidRPr="00307566">
              <w:rPr>
                <w:color w:val="172B4D"/>
                <w:sz w:val="21"/>
                <w:szCs w:val="21"/>
              </w:rPr>
              <w:t>March 2020</w:t>
            </w:r>
          </w:p>
        </w:tc>
        <w:tc>
          <w:tcPr>
            <w:tcW w:w="4320" w:type="dxa"/>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348EF3CA" w14:textId="77777777" w:rsidR="009B4F68" w:rsidRPr="00307566" w:rsidRDefault="00164E6E">
            <w:pPr>
              <w:spacing w:after="0"/>
              <w:jc w:val="center"/>
              <w:rPr>
                <w:color w:val="172B4D"/>
                <w:sz w:val="21"/>
                <w:szCs w:val="21"/>
              </w:rPr>
            </w:pPr>
            <w:r w:rsidRPr="00307566">
              <w:rPr>
                <w:color w:val="172B4D"/>
                <w:sz w:val="21"/>
                <w:szCs w:val="21"/>
              </w:rPr>
              <w:t>1.14</w:t>
            </w:r>
          </w:p>
        </w:tc>
      </w:tr>
      <w:tr w:rsidR="009B4F68" w:rsidRPr="00307566" w14:paraId="350F29F1" w14:textId="77777777">
        <w:trPr>
          <w:trHeight w:val="465"/>
        </w:trPr>
        <w:tc>
          <w:tcPr>
            <w:tcW w:w="1470" w:type="dxa"/>
            <w:tcBorders>
              <w:top w:val="single" w:sz="6" w:space="0" w:color="C1C7D0"/>
              <w:left w:val="single" w:sz="6" w:space="0" w:color="C1C7D0"/>
              <w:bottom w:val="single" w:sz="6" w:space="0" w:color="C1C7D0"/>
              <w:right w:val="single" w:sz="6" w:space="0" w:color="C1C7D0"/>
            </w:tcBorders>
            <w:shd w:val="clear" w:color="auto" w:fill="EFEFEF"/>
            <w:tcMar>
              <w:top w:w="100" w:type="dxa"/>
              <w:left w:w="160" w:type="dxa"/>
              <w:bottom w:w="100" w:type="dxa"/>
              <w:right w:w="160" w:type="dxa"/>
            </w:tcMar>
          </w:tcPr>
          <w:p w14:paraId="7A81CFF0" w14:textId="77777777" w:rsidR="009B4F68" w:rsidRPr="00307566" w:rsidRDefault="00164E6E">
            <w:pPr>
              <w:spacing w:after="0"/>
              <w:rPr>
                <w:color w:val="172B4D"/>
                <w:sz w:val="21"/>
                <w:szCs w:val="21"/>
              </w:rPr>
            </w:pPr>
            <w:r w:rsidRPr="00307566">
              <w:rPr>
                <w:color w:val="172B4D"/>
                <w:sz w:val="21"/>
                <w:szCs w:val="21"/>
              </w:rPr>
              <w:t>April 2020</w:t>
            </w:r>
          </w:p>
        </w:tc>
        <w:tc>
          <w:tcPr>
            <w:tcW w:w="4320" w:type="dxa"/>
            <w:tcBorders>
              <w:top w:val="single" w:sz="6" w:space="0" w:color="C1C7D0"/>
              <w:left w:val="single" w:sz="6" w:space="0" w:color="C1C7D0"/>
              <w:bottom w:val="single" w:sz="6" w:space="0" w:color="C1C7D0"/>
              <w:right w:val="single" w:sz="6" w:space="0" w:color="C1C7D0"/>
            </w:tcBorders>
            <w:shd w:val="clear" w:color="auto" w:fill="EFEFEF"/>
            <w:tcMar>
              <w:top w:w="100" w:type="dxa"/>
              <w:left w:w="160" w:type="dxa"/>
              <w:bottom w:w="100" w:type="dxa"/>
              <w:right w:w="160" w:type="dxa"/>
            </w:tcMar>
          </w:tcPr>
          <w:p w14:paraId="61131B67" w14:textId="77777777" w:rsidR="009B4F68" w:rsidRPr="00307566" w:rsidRDefault="00164E6E">
            <w:pPr>
              <w:spacing w:after="0"/>
              <w:jc w:val="center"/>
              <w:rPr>
                <w:color w:val="172B4D"/>
                <w:sz w:val="21"/>
                <w:szCs w:val="21"/>
              </w:rPr>
            </w:pPr>
            <w:r w:rsidRPr="00307566">
              <w:rPr>
                <w:color w:val="172B4D"/>
                <w:sz w:val="21"/>
                <w:szCs w:val="21"/>
              </w:rPr>
              <w:t>0.60</w:t>
            </w:r>
          </w:p>
        </w:tc>
      </w:tr>
      <w:tr w:rsidR="009B4F68" w:rsidRPr="00307566" w14:paraId="4B2C34BE" w14:textId="77777777">
        <w:trPr>
          <w:trHeight w:val="465"/>
        </w:trPr>
        <w:tc>
          <w:tcPr>
            <w:tcW w:w="1470" w:type="dxa"/>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21C8CF21" w14:textId="77777777" w:rsidR="009B4F68" w:rsidRPr="00307566" w:rsidRDefault="00164E6E">
            <w:pPr>
              <w:spacing w:after="0"/>
              <w:rPr>
                <w:color w:val="172B4D"/>
                <w:sz w:val="21"/>
                <w:szCs w:val="21"/>
              </w:rPr>
            </w:pPr>
            <w:r w:rsidRPr="00307566">
              <w:rPr>
                <w:color w:val="172B4D"/>
                <w:sz w:val="21"/>
                <w:szCs w:val="21"/>
              </w:rPr>
              <w:t>May 2020</w:t>
            </w:r>
          </w:p>
        </w:tc>
        <w:tc>
          <w:tcPr>
            <w:tcW w:w="4320" w:type="dxa"/>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2FBEF0E4" w14:textId="77777777" w:rsidR="009B4F68" w:rsidRPr="00307566" w:rsidRDefault="00164E6E">
            <w:pPr>
              <w:spacing w:after="0"/>
              <w:jc w:val="center"/>
              <w:rPr>
                <w:color w:val="172B4D"/>
                <w:sz w:val="21"/>
                <w:szCs w:val="21"/>
              </w:rPr>
            </w:pPr>
            <w:r w:rsidRPr="00307566">
              <w:rPr>
                <w:color w:val="172B4D"/>
                <w:sz w:val="21"/>
                <w:szCs w:val="21"/>
              </w:rPr>
              <w:t>1.01</w:t>
            </w:r>
          </w:p>
        </w:tc>
      </w:tr>
    </w:tbl>
    <w:p w14:paraId="79F035A9" w14:textId="77777777" w:rsidR="009B4F68" w:rsidRPr="00307566" w:rsidRDefault="009B4F68"/>
    <w:p w14:paraId="0F479008" w14:textId="77777777" w:rsidR="009B4F68" w:rsidRPr="00307566" w:rsidRDefault="00164E6E">
      <w:pPr>
        <w:pStyle w:val="Heading3"/>
        <w:numPr>
          <w:ilvl w:val="2"/>
          <w:numId w:val="4"/>
        </w:numPr>
      </w:pPr>
      <w:bookmarkStart w:id="12" w:name="_Toc46932761"/>
      <w:r w:rsidRPr="00307566">
        <w:t>Human (Operation and Tickets handling) SLIs</w:t>
      </w:r>
      <w:bookmarkEnd w:id="12"/>
    </w:p>
    <w:p w14:paraId="476D2B4B" w14:textId="77777777" w:rsidR="009B4F68" w:rsidRPr="00307566" w:rsidRDefault="00164E6E">
      <w:pPr>
        <w:numPr>
          <w:ilvl w:val="0"/>
          <w:numId w:val="15"/>
        </w:numPr>
        <w:spacing w:after="0"/>
        <w:rPr>
          <w:b/>
        </w:rPr>
      </w:pPr>
      <w:r w:rsidRPr="00307566">
        <w:rPr>
          <w:b/>
          <w:highlight w:val="white"/>
        </w:rPr>
        <w:t>Incident and service requests</w:t>
      </w:r>
    </w:p>
    <w:p w14:paraId="4222B26A" w14:textId="77777777" w:rsidR="009B4F68" w:rsidRPr="00307566" w:rsidRDefault="00164E6E">
      <w:pPr>
        <w:numPr>
          <w:ilvl w:val="1"/>
          <w:numId w:val="15"/>
        </w:numPr>
        <w:spacing w:after="0"/>
        <w:rPr>
          <w:b/>
        </w:rPr>
      </w:pPr>
      <w:r w:rsidRPr="00307566">
        <w:rPr>
          <w:color w:val="172B4D"/>
          <w:highlight w:val="white"/>
        </w:rPr>
        <w:t>Number of GGUS tickets handled by the provider (regardless category and priority) per calendar month</w:t>
      </w:r>
    </w:p>
    <w:p w14:paraId="48236200" w14:textId="77777777" w:rsidR="009B4F68" w:rsidRPr="00307566" w:rsidRDefault="00164E6E">
      <w:pPr>
        <w:numPr>
          <w:ilvl w:val="1"/>
          <w:numId w:val="15"/>
        </w:numPr>
        <w:spacing w:after="0"/>
        <w:rPr>
          <w:color w:val="172B4D"/>
          <w:highlight w:val="white"/>
        </w:rPr>
      </w:pPr>
      <w:r w:rsidRPr="00307566">
        <w:t>Capacity strategy: lag</w:t>
      </w:r>
    </w:p>
    <w:p w14:paraId="10737D82" w14:textId="77777777" w:rsidR="009B4F68" w:rsidRPr="00307566" w:rsidRDefault="00164E6E">
      <w:pPr>
        <w:numPr>
          <w:ilvl w:val="0"/>
          <w:numId w:val="15"/>
        </w:numPr>
        <w:spacing w:after="0"/>
        <w:rPr>
          <w:rFonts w:ascii="Roboto" w:eastAsia="Roboto" w:hAnsi="Roboto" w:cs="Roboto"/>
          <w:b/>
          <w:highlight w:val="white"/>
        </w:rPr>
      </w:pPr>
      <w:r w:rsidRPr="00307566">
        <w:rPr>
          <w:b/>
          <w:highlight w:val="white"/>
        </w:rPr>
        <w:t>Tickets average response time</w:t>
      </w:r>
    </w:p>
    <w:p w14:paraId="39A2A018" w14:textId="77777777" w:rsidR="009B4F68" w:rsidRPr="00307566" w:rsidRDefault="00164E6E">
      <w:pPr>
        <w:numPr>
          <w:ilvl w:val="1"/>
          <w:numId w:val="15"/>
        </w:numPr>
        <w:spacing w:after="0"/>
        <w:rPr>
          <w:rFonts w:ascii="Roboto" w:eastAsia="Roboto" w:hAnsi="Roboto" w:cs="Roboto"/>
          <w:b/>
          <w:color w:val="172B4D"/>
          <w:highlight w:val="white"/>
        </w:rPr>
      </w:pPr>
      <w:r w:rsidRPr="00307566">
        <w:rPr>
          <w:color w:val="172B4D"/>
          <w:highlight w:val="white"/>
        </w:rPr>
        <w:t>Average response time (in working days) to GGUS tickets (regardless category and priority) per calendar month</w:t>
      </w:r>
    </w:p>
    <w:p w14:paraId="2EE49794" w14:textId="77777777" w:rsidR="009B4F68" w:rsidRPr="00307566" w:rsidRDefault="00164E6E">
      <w:pPr>
        <w:numPr>
          <w:ilvl w:val="1"/>
          <w:numId w:val="15"/>
        </w:numPr>
        <w:spacing w:after="0"/>
        <w:rPr>
          <w:color w:val="172B4D"/>
          <w:highlight w:val="white"/>
        </w:rPr>
      </w:pPr>
      <w:r w:rsidRPr="00307566">
        <w:t>Capacity strategy: lag</w:t>
      </w:r>
    </w:p>
    <w:p w14:paraId="1297E0F6" w14:textId="77777777" w:rsidR="009B4F68" w:rsidRPr="00307566" w:rsidRDefault="009B4F68">
      <w:pPr>
        <w:spacing w:after="0"/>
      </w:pPr>
    </w:p>
    <w:p w14:paraId="679DE8D3" w14:textId="77777777" w:rsidR="009B4F68" w:rsidRPr="00307566" w:rsidRDefault="009B4F68">
      <w:pPr>
        <w:spacing w:after="0"/>
      </w:pPr>
    </w:p>
    <w:p w14:paraId="2FF9CDFB" w14:textId="77777777" w:rsidR="009B4F68" w:rsidRPr="00307566" w:rsidRDefault="00164E6E">
      <w:pPr>
        <w:spacing w:after="0"/>
      </w:pPr>
      <w:r w:rsidRPr="00307566">
        <w:rPr>
          <w:noProof/>
        </w:rPr>
        <w:lastRenderedPageBreak/>
        <w:drawing>
          <wp:inline distT="114300" distB="114300" distL="114300" distR="114300" wp14:anchorId="41249B4B" wp14:editId="34665D8B">
            <wp:extent cx="5734050" cy="2146300"/>
            <wp:effectExtent l="0" t="0" r="0" b="0"/>
            <wp:docPr id="9"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20"/>
                    <a:srcRect/>
                    <a:stretch>
                      <a:fillRect/>
                    </a:stretch>
                  </pic:blipFill>
                  <pic:spPr>
                    <a:xfrm>
                      <a:off x="0" y="0"/>
                      <a:ext cx="5734050" cy="2146300"/>
                    </a:xfrm>
                    <a:prstGeom prst="rect">
                      <a:avLst/>
                    </a:prstGeom>
                    <a:ln/>
                  </pic:spPr>
                </pic:pic>
              </a:graphicData>
            </a:graphic>
          </wp:inline>
        </w:drawing>
      </w:r>
    </w:p>
    <w:p w14:paraId="1D5FDC2B" w14:textId="0C9C01C7" w:rsidR="009B4F68" w:rsidRPr="00307566" w:rsidRDefault="00164E6E">
      <w:pPr>
        <w:keepNext/>
        <w:spacing w:after="240"/>
        <w:jc w:val="center"/>
        <w:rPr>
          <w:b/>
          <w:i/>
          <w:color w:val="17365D"/>
        </w:rPr>
      </w:pPr>
      <w:r w:rsidRPr="00307566">
        <w:rPr>
          <w:b/>
          <w:i/>
          <w:color w:val="17365D"/>
        </w:rPr>
        <w:t>Fig. 8 - Number of tickets handled by the service support unit</w:t>
      </w:r>
      <w:r w:rsidR="00C46A72" w:rsidRPr="00307566">
        <w:rPr>
          <w:b/>
          <w:i/>
          <w:color w:val="17365D"/>
        </w:rPr>
        <w:t>.</w:t>
      </w:r>
    </w:p>
    <w:p w14:paraId="018E2A21" w14:textId="77777777" w:rsidR="009B4F68" w:rsidRPr="00307566" w:rsidRDefault="009B4F68"/>
    <w:p w14:paraId="45F2D28F" w14:textId="77777777" w:rsidR="009B4F68" w:rsidRPr="00307566" w:rsidRDefault="00164E6E">
      <w:r w:rsidRPr="00307566">
        <w:rPr>
          <w:noProof/>
        </w:rPr>
        <w:drawing>
          <wp:inline distT="114300" distB="114300" distL="114300" distR="114300" wp14:anchorId="561F7A68" wp14:editId="10A7CA9D">
            <wp:extent cx="5731200" cy="2197100"/>
            <wp:effectExtent l="0" t="0" r="0" b="0"/>
            <wp:docPr id="7"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21"/>
                    <a:srcRect/>
                    <a:stretch>
                      <a:fillRect/>
                    </a:stretch>
                  </pic:blipFill>
                  <pic:spPr>
                    <a:xfrm>
                      <a:off x="0" y="0"/>
                      <a:ext cx="5731200" cy="2197100"/>
                    </a:xfrm>
                    <a:prstGeom prst="rect">
                      <a:avLst/>
                    </a:prstGeom>
                    <a:ln/>
                  </pic:spPr>
                </pic:pic>
              </a:graphicData>
            </a:graphic>
          </wp:inline>
        </w:drawing>
      </w:r>
    </w:p>
    <w:p w14:paraId="0F8495FD" w14:textId="64A798C1" w:rsidR="009B4F68" w:rsidRPr="00307566" w:rsidRDefault="00164E6E">
      <w:pPr>
        <w:keepNext/>
        <w:spacing w:after="240"/>
        <w:jc w:val="center"/>
        <w:rPr>
          <w:b/>
          <w:i/>
          <w:color w:val="17365D"/>
        </w:rPr>
      </w:pPr>
      <w:r w:rsidRPr="00307566">
        <w:rPr>
          <w:b/>
          <w:i/>
          <w:color w:val="17365D"/>
        </w:rPr>
        <w:t>Fig. 9 - Average response time (working days) to the tickets submitted to the service support unit</w:t>
      </w:r>
      <w:r w:rsidR="00C46A72" w:rsidRPr="00307566">
        <w:rPr>
          <w:b/>
          <w:i/>
          <w:color w:val="17365D"/>
        </w:rPr>
        <w:t>.</w:t>
      </w:r>
    </w:p>
    <w:p w14:paraId="6C7AC846" w14:textId="77777777" w:rsidR="009B4F68" w:rsidRPr="00307566" w:rsidRDefault="00164E6E">
      <w:r w:rsidRPr="00307566">
        <w:t>The number of tickets submitted each month, also the low average response time have not created any capacity issue for the GOCDB service.</w:t>
      </w:r>
    </w:p>
    <w:p w14:paraId="3D621C91" w14:textId="77777777" w:rsidR="009B4F68" w:rsidRPr="00307566" w:rsidRDefault="00164E6E">
      <w:pPr>
        <w:pStyle w:val="Heading2"/>
        <w:numPr>
          <w:ilvl w:val="1"/>
          <w:numId w:val="4"/>
        </w:numPr>
      </w:pPr>
      <w:bookmarkStart w:id="13" w:name="_Toc46932762"/>
      <w:r w:rsidRPr="00307566">
        <w:t>Accounting Repository</w:t>
      </w:r>
      <w:bookmarkEnd w:id="13"/>
    </w:p>
    <w:p w14:paraId="77EEB952" w14:textId="77777777" w:rsidR="009B4F68" w:rsidRPr="00307566" w:rsidRDefault="00164E6E">
      <w:pPr>
        <w:spacing w:after="0"/>
        <w:rPr>
          <w:color w:val="172B4D"/>
          <w:highlight w:val="white"/>
        </w:rPr>
      </w:pPr>
      <w:r w:rsidRPr="00307566">
        <w:rPr>
          <w:color w:val="172B4D"/>
          <w:highlight w:val="white"/>
        </w:rPr>
        <w:t>The Accounting Repository stores compute (serial and parallel jobs), storage, and cloud resource accounting data collected from Resource Centres of the EGI Federation. It consists of both hardware and human support for dealing with new requests for integration and fixing problems.</w:t>
      </w:r>
    </w:p>
    <w:p w14:paraId="1C48660B" w14:textId="77777777" w:rsidR="009B4F68" w:rsidRPr="00307566" w:rsidRDefault="00164E6E">
      <w:pPr>
        <w:pStyle w:val="Heading3"/>
        <w:numPr>
          <w:ilvl w:val="2"/>
          <w:numId w:val="4"/>
        </w:numPr>
      </w:pPr>
      <w:bookmarkStart w:id="14" w:name="_Toc46932763"/>
      <w:r w:rsidRPr="00307566">
        <w:t>Software/Service Performance SLIs</w:t>
      </w:r>
      <w:bookmarkEnd w:id="14"/>
    </w:p>
    <w:p w14:paraId="207F732A" w14:textId="77777777" w:rsidR="009B4F68" w:rsidRPr="00307566" w:rsidRDefault="00164E6E">
      <w:pPr>
        <w:numPr>
          <w:ilvl w:val="0"/>
          <w:numId w:val="2"/>
        </w:numPr>
        <w:spacing w:after="0"/>
        <w:rPr>
          <w:b/>
        </w:rPr>
      </w:pPr>
      <w:r w:rsidRPr="00307566">
        <w:rPr>
          <w:b/>
          <w:highlight w:val="white"/>
        </w:rPr>
        <w:t>Average concurrent connections to MySQL backend</w:t>
      </w:r>
    </w:p>
    <w:p w14:paraId="5471CA74" w14:textId="77777777" w:rsidR="009B4F68" w:rsidRPr="00307566" w:rsidRDefault="00164E6E">
      <w:pPr>
        <w:numPr>
          <w:ilvl w:val="1"/>
          <w:numId w:val="2"/>
        </w:numPr>
        <w:spacing w:after="0"/>
        <w:rPr>
          <w:b/>
        </w:rPr>
      </w:pPr>
      <w:r w:rsidRPr="00307566">
        <w:rPr>
          <w:highlight w:val="white"/>
        </w:rPr>
        <w:t>The average number of concurrent sessions to MySQL backend per calendar month - max capacity: 151</w:t>
      </w:r>
    </w:p>
    <w:p w14:paraId="2C70A6D3" w14:textId="77777777" w:rsidR="009B4F68" w:rsidRPr="00307566" w:rsidRDefault="00164E6E">
      <w:pPr>
        <w:numPr>
          <w:ilvl w:val="1"/>
          <w:numId w:val="2"/>
        </w:numPr>
        <w:spacing w:after="0"/>
        <w:rPr>
          <w:highlight w:val="white"/>
        </w:rPr>
      </w:pPr>
      <w:r w:rsidRPr="00307566">
        <w:t>Capacity strategy: lag</w:t>
      </w:r>
    </w:p>
    <w:p w14:paraId="78BCA898" w14:textId="77777777" w:rsidR="009B4F68" w:rsidRPr="00307566" w:rsidRDefault="00164E6E">
      <w:pPr>
        <w:pStyle w:val="Heading3"/>
        <w:numPr>
          <w:ilvl w:val="2"/>
          <w:numId w:val="4"/>
        </w:numPr>
      </w:pPr>
      <w:bookmarkStart w:id="15" w:name="_Toc46932764"/>
      <w:r w:rsidRPr="00307566">
        <w:lastRenderedPageBreak/>
        <w:t>Human (Operation and Tickets handling) SLIs</w:t>
      </w:r>
      <w:bookmarkEnd w:id="15"/>
    </w:p>
    <w:p w14:paraId="789CB50B" w14:textId="77777777" w:rsidR="009B4F68" w:rsidRPr="00307566" w:rsidRDefault="00164E6E">
      <w:pPr>
        <w:numPr>
          <w:ilvl w:val="0"/>
          <w:numId w:val="15"/>
        </w:numPr>
        <w:spacing w:after="0"/>
        <w:rPr>
          <w:b/>
        </w:rPr>
      </w:pPr>
      <w:r w:rsidRPr="00307566">
        <w:rPr>
          <w:b/>
          <w:highlight w:val="white"/>
        </w:rPr>
        <w:t>Number of tickets</w:t>
      </w:r>
    </w:p>
    <w:p w14:paraId="2EDA6181" w14:textId="77777777" w:rsidR="009B4F68" w:rsidRPr="00307566" w:rsidRDefault="00164E6E">
      <w:pPr>
        <w:numPr>
          <w:ilvl w:val="1"/>
          <w:numId w:val="15"/>
        </w:numPr>
        <w:spacing w:after="0"/>
        <w:rPr>
          <w:b/>
        </w:rPr>
      </w:pPr>
      <w:r w:rsidRPr="00307566">
        <w:rPr>
          <w:highlight w:val="white"/>
        </w:rPr>
        <w:t>Number of GGUS tickets handled by the provider (regardless category and priority) per calendar month</w:t>
      </w:r>
    </w:p>
    <w:p w14:paraId="0ADB6B1B" w14:textId="77777777" w:rsidR="009B4F68" w:rsidRPr="00307566" w:rsidRDefault="00164E6E">
      <w:pPr>
        <w:numPr>
          <w:ilvl w:val="1"/>
          <w:numId w:val="15"/>
        </w:numPr>
        <w:spacing w:after="0"/>
        <w:rPr>
          <w:highlight w:val="white"/>
        </w:rPr>
      </w:pPr>
      <w:r w:rsidRPr="00307566">
        <w:t>Capacity strategy: lag</w:t>
      </w:r>
    </w:p>
    <w:p w14:paraId="1EA8AB19" w14:textId="77777777" w:rsidR="009B4F68" w:rsidRPr="00307566" w:rsidRDefault="00164E6E">
      <w:pPr>
        <w:numPr>
          <w:ilvl w:val="0"/>
          <w:numId w:val="15"/>
        </w:numPr>
        <w:spacing w:after="0"/>
        <w:rPr>
          <w:rFonts w:ascii="Roboto" w:eastAsia="Roboto" w:hAnsi="Roboto" w:cs="Roboto"/>
          <w:b/>
          <w:highlight w:val="white"/>
        </w:rPr>
      </w:pPr>
      <w:r w:rsidRPr="00307566">
        <w:rPr>
          <w:b/>
          <w:highlight w:val="white"/>
        </w:rPr>
        <w:t>Tickets average response time</w:t>
      </w:r>
    </w:p>
    <w:p w14:paraId="47B8B214" w14:textId="77777777" w:rsidR="009B4F68" w:rsidRPr="00307566" w:rsidRDefault="00164E6E">
      <w:pPr>
        <w:numPr>
          <w:ilvl w:val="1"/>
          <w:numId w:val="15"/>
        </w:numPr>
        <w:spacing w:after="0"/>
        <w:rPr>
          <w:rFonts w:ascii="Roboto" w:eastAsia="Roboto" w:hAnsi="Roboto" w:cs="Roboto"/>
          <w:b/>
          <w:highlight w:val="white"/>
        </w:rPr>
      </w:pPr>
      <w:r w:rsidRPr="00307566">
        <w:rPr>
          <w:highlight w:val="white"/>
        </w:rPr>
        <w:t>Average response time (working days) to GGUS tickets (regardless category and priority) per calendar month</w:t>
      </w:r>
    </w:p>
    <w:p w14:paraId="1394747F" w14:textId="77777777" w:rsidR="009B4F68" w:rsidRPr="00307566" w:rsidRDefault="00164E6E">
      <w:pPr>
        <w:numPr>
          <w:ilvl w:val="1"/>
          <w:numId w:val="15"/>
        </w:numPr>
        <w:spacing w:after="0"/>
        <w:rPr>
          <w:highlight w:val="white"/>
        </w:rPr>
      </w:pPr>
      <w:r w:rsidRPr="00307566">
        <w:t>Capacity strategy: lag</w:t>
      </w:r>
    </w:p>
    <w:p w14:paraId="4145EDB3" w14:textId="77777777" w:rsidR="009B4F68" w:rsidRPr="00307566" w:rsidRDefault="009B4F68">
      <w:pPr>
        <w:spacing w:after="0"/>
      </w:pPr>
    </w:p>
    <w:p w14:paraId="32BCC365" w14:textId="77777777" w:rsidR="009B4F68" w:rsidRPr="00307566" w:rsidRDefault="00164E6E">
      <w:pPr>
        <w:spacing w:after="0"/>
      </w:pPr>
      <w:r w:rsidRPr="00307566">
        <w:rPr>
          <w:noProof/>
        </w:rPr>
        <w:drawing>
          <wp:inline distT="114300" distB="114300" distL="114300" distR="114300" wp14:anchorId="1014B2EB" wp14:editId="05209899">
            <wp:extent cx="5731200" cy="2146300"/>
            <wp:effectExtent l="0" t="0" r="0" b="0"/>
            <wp:docPr id="24" name="image23.png"/>
            <wp:cNvGraphicFramePr/>
            <a:graphic xmlns:a="http://schemas.openxmlformats.org/drawingml/2006/main">
              <a:graphicData uri="http://schemas.openxmlformats.org/drawingml/2006/picture">
                <pic:pic xmlns:pic="http://schemas.openxmlformats.org/drawingml/2006/picture">
                  <pic:nvPicPr>
                    <pic:cNvPr id="0" name="image23.png"/>
                    <pic:cNvPicPr preferRelativeResize="0"/>
                  </pic:nvPicPr>
                  <pic:blipFill>
                    <a:blip r:embed="rId22"/>
                    <a:srcRect/>
                    <a:stretch>
                      <a:fillRect/>
                    </a:stretch>
                  </pic:blipFill>
                  <pic:spPr>
                    <a:xfrm>
                      <a:off x="0" y="0"/>
                      <a:ext cx="5731200" cy="2146300"/>
                    </a:xfrm>
                    <a:prstGeom prst="rect">
                      <a:avLst/>
                    </a:prstGeom>
                    <a:ln/>
                  </pic:spPr>
                </pic:pic>
              </a:graphicData>
            </a:graphic>
          </wp:inline>
        </w:drawing>
      </w:r>
    </w:p>
    <w:p w14:paraId="0EA0CB97" w14:textId="560EBEB3" w:rsidR="009B4F68" w:rsidRPr="00307566" w:rsidRDefault="00164E6E">
      <w:pPr>
        <w:keepNext/>
        <w:spacing w:after="240"/>
        <w:jc w:val="center"/>
      </w:pPr>
      <w:r w:rsidRPr="00307566">
        <w:rPr>
          <w:b/>
          <w:i/>
          <w:color w:val="17365D"/>
        </w:rPr>
        <w:t>Fig. 10 - Number of tickets handled by the service support unit</w:t>
      </w:r>
      <w:r w:rsidR="00C3624E" w:rsidRPr="00307566">
        <w:rPr>
          <w:b/>
          <w:i/>
          <w:color w:val="17365D"/>
        </w:rPr>
        <w:t>.</w:t>
      </w:r>
    </w:p>
    <w:p w14:paraId="49AF27C9" w14:textId="2872C57B" w:rsidR="009B4F68" w:rsidRPr="00307566" w:rsidRDefault="00164E6E">
      <w:pPr>
        <w:spacing w:after="0"/>
        <w:jc w:val="center"/>
      </w:pPr>
      <w:r w:rsidRPr="00307566">
        <w:rPr>
          <w:noProof/>
        </w:rPr>
        <w:drawing>
          <wp:inline distT="114300" distB="114300" distL="114300" distR="114300" wp14:anchorId="4E8AD409" wp14:editId="3EF54EC9">
            <wp:extent cx="5734050" cy="2387600"/>
            <wp:effectExtent l="0" t="0" r="0" b="0"/>
            <wp:docPr id="29" name="image34.png"/>
            <wp:cNvGraphicFramePr/>
            <a:graphic xmlns:a="http://schemas.openxmlformats.org/drawingml/2006/main">
              <a:graphicData uri="http://schemas.openxmlformats.org/drawingml/2006/picture">
                <pic:pic xmlns:pic="http://schemas.openxmlformats.org/drawingml/2006/picture">
                  <pic:nvPicPr>
                    <pic:cNvPr id="0" name="image34.png"/>
                    <pic:cNvPicPr preferRelativeResize="0"/>
                  </pic:nvPicPr>
                  <pic:blipFill>
                    <a:blip r:embed="rId23"/>
                    <a:srcRect/>
                    <a:stretch>
                      <a:fillRect/>
                    </a:stretch>
                  </pic:blipFill>
                  <pic:spPr>
                    <a:xfrm>
                      <a:off x="0" y="0"/>
                      <a:ext cx="5734050" cy="2387600"/>
                    </a:xfrm>
                    <a:prstGeom prst="rect">
                      <a:avLst/>
                    </a:prstGeom>
                    <a:ln/>
                  </pic:spPr>
                </pic:pic>
              </a:graphicData>
            </a:graphic>
          </wp:inline>
        </w:drawing>
      </w:r>
      <w:r w:rsidRPr="00307566">
        <w:rPr>
          <w:b/>
          <w:i/>
          <w:color w:val="17365D"/>
        </w:rPr>
        <w:t>Fig. 11 - Average response time (working days) to the tickets submitted to the service support unit</w:t>
      </w:r>
      <w:r w:rsidR="00C3624E" w:rsidRPr="00307566">
        <w:rPr>
          <w:b/>
          <w:i/>
          <w:color w:val="17365D"/>
        </w:rPr>
        <w:t>.</w:t>
      </w:r>
    </w:p>
    <w:p w14:paraId="5F96323E" w14:textId="77777777" w:rsidR="009B4F68" w:rsidRPr="00307566" w:rsidRDefault="00164E6E">
      <w:pPr>
        <w:spacing w:after="0"/>
      </w:pPr>
      <w:r w:rsidRPr="00307566">
        <w:t>The Support Unit for the Accounting Repository had to deal with a relatively small number of tickets each month and the only incident when the response time was higher was due to a ticket not properly progressed in the GGUS (initially wrongly assigned to a different Support Unit).</w:t>
      </w:r>
    </w:p>
    <w:p w14:paraId="201267C4" w14:textId="77777777" w:rsidR="009B4F68" w:rsidRPr="00307566" w:rsidRDefault="00164E6E">
      <w:pPr>
        <w:pStyle w:val="Heading2"/>
        <w:numPr>
          <w:ilvl w:val="1"/>
          <w:numId w:val="4"/>
        </w:numPr>
      </w:pPr>
      <w:bookmarkStart w:id="16" w:name="_Toc46932765"/>
      <w:r w:rsidRPr="00307566">
        <w:lastRenderedPageBreak/>
        <w:t>Accounting Portal</w:t>
      </w:r>
      <w:bookmarkEnd w:id="16"/>
    </w:p>
    <w:p w14:paraId="7D238B9D" w14:textId="77777777" w:rsidR="009B4F68" w:rsidRPr="00307566" w:rsidRDefault="00164E6E">
      <w:pPr>
        <w:rPr>
          <w:highlight w:val="white"/>
        </w:rPr>
      </w:pPr>
      <w:r w:rsidRPr="00307566">
        <w:rPr>
          <w:highlight w:val="white"/>
        </w:rPr>
        <w:t>The EGI Accounting Portal</w:t>
      </w:r>
      <w:r w:rsidRPr="00307566">
        <w:rPr>
          <w:highlight w:val="white"/>
          <w:vertAlign w:val="superscript"/>
        </w:rPr>
        <w:footnoteReference w:id="8"/>
      </w:r>
      <w:r w:rsidRPr="00307566">
        <w:rPr>
          <w:highlight w:val="white"/>
        </w:rPr>
        <w:t xml:space="preserve"> receives data from APEL and ultimately from sites participating in the EGI and WLCG infrastructures as well as from sites belonging to other Grid organisations that are collaborating with EGI. This is crossed with metadata from other sources to offer an integrated view of accounting data on the EGI Infrastructure.</w:t>
      </w:r>
    </w:p>
    <w:p w14:paraId="57AFF5D4" w14:textId="77777777" w:rsidR="009B4F68" w:rsidRPr="00307566" w:rsidRDefault="00164E6E">
      <w:pPr>
        <w:pStyle w:val="Heading3"/>
        <w:numPr>
          <w:ilvl w:val="2"/>
          <w:numId w:val="4"/>
        </w:numPr>
      </w:pPr>
      <w:bookmarkStart w:id="17" w:name="_Toc46932766"/>
      <w:r w:rsidRPr="00307566">
        <w:t>Software/Service Performance SLIs</w:t>
      </w:r>
      <w:bookmarkEnd w:id="17"/>
    </w:p>
    <w:p w14:paraId="1476A028" w14:textId="77777777" w:rsidR="009B4F68" w:rsidRPr="00307566" w:rsidRDefault="00164E6E">
      <w:pPr>
        <w:numPr>
          <w:ilvl w:val="0"/>
          <w:numId w:val="2"/>
        </w:numPr>
        <w:spacing w:after="0"/>
        <w:rPr>
          <w:b/>
        </w:rPr>
      </w:pPr>
      <w:r w:rsidRPr="00307566">
        <w:rPr>
          <w:b/>
          <w:highlight w:val="white"/>
        </w:rPr>
        <w:t>Total number of hits on the frontend</w:t>
      </w:r>
    </w:p>
    <w:p w14:paraId="25EAE5B7" w14:textId="77777777" w:rsidR="009B4F68" w:rsidRPr="00307566" w:rsidRDefault="00164E6E">
      <w:pPr>
        <w:numPr>
          <w:ilvl w:val="1"/>
          <w:numId w:val="2"/>
        </w:numPr>
        <w:spacing w:after="0"/>
        <w:rPr>
          <w:b/>
        </w:rPr>
      </w:pPr>
      <w:r w:rsidRPr="00307566">
        <w:rPr>
          <w:highlight w:val="white"/>
        </w:rPr>
        <w:t>Number of HTTP requests (Apache hits) in the log for a month</w:t>
      </w:r>
    </w:p>
    <w:p w14:paraId="3F7B6663" w14:textId="77777777" w:rsidR="009B4F68" w:rsidRPr="00307566" w:rsidRDefault="00164E6E">
      <w:pPr>
        <w:numPr>
          <w:ilvl w:val="1"/>
          <w:numId w:val="2"/>
        </w:numPr>
        <w:spacing w:after="0"/>
        <w:rPr>
          <w:highlight w:val="white"/>
        </w:rPr>
      </w:pPr>
      <w:r w:rsidRPr="00307566">
        <w:t>Capacity strategy: lag</w:t>
      </w:r>
    </w:p>
    <w:p w14:paraId="7C13B3AF" w14:textId="77777777" w:rsidR="009B4F68" w:rsidRPr="00307566" w:rsidRDefault="00164E6E">
      <w:pPr>
        <w:numPr>
          <w:ilvl w:val="0"/>
          <w:numId w:val="2"/>
        </w:numPr>
        <w:spacing w:after="0"/>
        <w:rPr>
          <w:b/>
        </w:rPr>
      </w:pPr>
      <w:r w:rsidRPr="00307566">
        <w:rPr>
          <w:b/>
          <w:highlight w:val="white"/>
        </w:rPr>
        <w:t>Number of different IP addresses</w:t>
      </w:r>
    </w:p>
    <w:p w14:paraId="1AE14AF8" w14:textId="77777777" w:rsidR="009B4F68" w:rsidRPr="00307566" w:rsidRDefault="00164E6E">
      <w:pPr>
        <w:numPr>
          <w:ilvl w:val="1"/>
          <w:numId w:val="2"/>
        </w:numPr>
        <w:spacing w:after="0"/>
        <w:rPr>
          <w:b/>
        </w:rPr>
      </w:pPr>
      <w:r w:rsidRPr="00307566">
        <w:rPr>
          <w:highlight w:val="white"/>
        </w:rPr>
        <w:t>Number of accesses in the apache logs from different IPs in the month</w:t>
      </w:r>
    </w:p>
    <w:p w14:paraId="5005D273" w14:textId="77777777" w:rsidR="009B4F68" w:rsidRPr="00307566" w:rsidRDefault="00164E6E">
      <w:pPr>
        <w:numPr>
          <w:ilvl w:val="1"/>
          <w:numId w:val="2"/>
        </w:numPr>
        <w:spacing w:after="0"/>
        <w:rPr>
          <w:highlight w:val="white"/>
        </w:rPr>
      </w:pPr>
      <w:r w:rsidRPr="00307566">
        <w:t>Capacity strategy: lag</w:t>
      </w:r>
    </w:p>
    <w:p w14:paraId="0A677520" w14:textId="77777777" w:rsidR="009B4F68" w:rsidRPr="00307566" w:rsidRDefault="00164E6E">
      <w:pPr>
        <w:numPr>
          <w:ilvl w:val="0"/>
          <w:numId w:val="2"/>
        </w:numPr>
        <w:spacing w:after="0"/>
      </w:pPr>
      <w:r w:rsidRPr="00307566">
        <w:rPr>
          <w:b/>
          <w:highlight w:val="white"/>
        </w:rPr>
        <w:t>Total number of visitors</w:t>
      </w:r>
    </w:p>
    <w:p w14:paraId="3E04FCF4" w14:textId="77777777" w:rsidR="009B4F68" w:rsidRPr="00307566" w:rsidRDefault="00164E6E">
      <w:pPr>
        <w:numPr>
          <w:ilvl w:val="1"/>
          <w:numId w:val="2"/>
        </w:numPr>
        <w:spacing w:after="0"/>
      </w:pPr>
      <w:r w:rsidRPr="00307566">
        <w:rPr>
          <w:highlight w:val="white"/>
        </w:rPr>
        <w:t>Number of accesses in the apache logs considering also the same IP addresses</w:t>
      </w:r>
    </w:p>
    <w:p w14:paraId="6068FC8C" w14:textId="77777777" w:rsidR="009B4F68" w:rsidRPr="00307566" w:rsidRDefault="00164E6E">
      <w:pPr>
        <w:numPr>
          <w:ilvl w:val="1"/>
          <w:numId w:val="2"/>
        </w:numPr>
        <w:spacing w:after="0"/>
        <w:rPr>
          <w:highlight w:val="white"/>
        </w:rPr>
      </w:pPr>
      <w:r w:rsidRPr="00307566">
        <w:t>Capacity strategy: lag</w:t>
      </w:r>
    </w:p>
    <w:p w14:paraId="36AD73E2" w14:textId="77777777" w:rsidR="009B4F68" w:rsidRPr="00307566" w:rsidRDefault="009B4F68"/>
    <w:p w14:paraId="37436398" w14:textId="2BC94D4F" w:rsidR="009B4F68" w:rsidRPr="00307566" w:rsidRDefault="00164E6E">
      <w:pPr>
        <w:keepNext/>
        <w:spacing w:after="240"/>
        <w:jc w:val="center"/>
        <w:rPr>
          <w:b/>
          <w:i/>
          <w:color w:val="17365D"/>
        </w:rPr>
      </w:pPr>
      <w:r w:rsidRPr="00307566">
        <w:rPr>
          <w:b/>
          <w:i/>
          <w:color w:val="17365D"/>
        </w:rPr>
        <w:t>Table 4 – Service Performance SLIs for May 2020 (values available only for the last month - it was agreed with the provider to collect the values on a monthly basis)</w:t>
      </w:r>
      <w:r w:rsidR="00C46A72" w:rsidRPr="00307566">
        <w:rPr>
          <w:b/>
          <w:i/>
          <w:color w:val="17365D"/>
        </w:rPr>
        <w:t>.</w:t>
      </w:r>
    </w:p>
    <w:tbl>
      <w:tblPr>
        <w:tblStyle w:val="a7"/>
        <w:tblW w:w="5920" w:type="dxa"/>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2310"/>
        <w:gridCol w:w="3610"/>
      </w:tblGrid>
      <w:tr w:rsidR="009B4F68" w:rsidRPr="00307566" w14:paraId="5E7FA44C"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0" w:type="dxa"/>
          </w:tcPr>
          <w:p w14:paraId="2F50846E" w14:textId="77777777" w:rsidR="009B4F68" w:rsidRPr="00307566" w:rsidRDefault="00164E6E">
            <w:pPr>
              <w:jc w:val="center"/>
            </w:pPr>
            <w:r w:rsidRPr="00307566">
              <w:t>SLI</w:t>
            </w:r>
          </w:p>
        </w:tc>
        <w:tc>
          <w:tcPr>
            <w:tcW w:w="3610" w:type="dxa"/>
          </w:tcPr>
          <w:p w14:paraId="3EF52B01" w14:textId="77777777" w:rsidR="009B4F68" w:rsidRPr="00307566" w:rsidRDefault="00164E6E">
            <w:pPr>
              <w:jc w:val="center"/>
              <w:cnfStyle w:val="100000000000" w:firstRow="1" w:lastRow="0" w:firstColumn="0" w:lastColumn="0" w:oddVBand="0" w:evenVBand="0" w:oddHBand="0" w:evenHBand="0" w:firstRowFirstColumn="0" w:firstRowLastColumn="0" w:lastRowFirstColumn="0" w:lastRowLastColumn="0"/>
              <w:rPr>
                <w:i/>
              </w:rPr>
            </w:pPr>
            <w:r w:rsidRPr="00307566">
              <w:rPr>
                <w:i/>
              </w:rPr>
              <w:t>value in May 2020</w:t>
            </w:r>
          </w:p>
        </w:tc>
      </w:tr>
      <w:tr w:rsidR="009B4F68" w:rsidRPr="00307566" w14:paraId="6B2D4567"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0" w:type="dxa"/>
          </w:tcPr>
          <w:p w14:paraId="61CED6C4" w14:textId="77777777" w:rsidR="009B4F68" w:rsidRPr="00307566" w:rsidRDefault="00164E6E">
            <w:pPr>
              <w:jc w:val="left"/>
            </w:pPr>
            <w:r w:rsidRPr="00307566">
              <w:rPr>
                <w:b w:val="0"/>
              </w:rPr>
              <w:t>Total number of hits on the frontend</w:t>
            </w:r>
          </w:p>
        </w:tc>
        <w:tc>
          <w:tcPr>
            <w:tcW w:w="3610" w:type="dxa"/>
          </w:tcPr>
          <w:p w14:paraId="57121144" w14:textId="77777777" w:rsidR="009B4F68" w:rsidRPr="00307566" w:rsidRDefault="00164E6E">
            <w:pPr>
              <w:jc w:val="center"/>
              <w:cnfStyle w:val="000000100000" w:firstRow="0" w:lastRow="0" w:firstColumn="0" w:lastColumn="0" w:oddVBand="0" w:evenVBand="0" w:oddHBand="1" w:evenHBand="0" w:firstRowFirstColumn="0" w:firstRowLastColumn="0" w:lastRowFirstColumn="0" w:lastRowLastColumn="0"/>
            </w:pPr>
            <w:r w:rsidRPr="00307566">
              <w:t>~ 50000</w:t>
            </w:r>
          </w:p>
        </w:tc>
      </w:tr>
      <w:tr w:rsidR="009B4F68" w:rsidRPr="00307566" w14:paraId="6F2DBEB2" w14:textId="77777777">
        <w:tc>
          <w:tcPr>
            <w:cnfStyle w:val="001000000000" w:firstRow="0" w:lastRow="0" w:firstColumn="1" w:lastColumn="0" w:oddVBand="0" w:evenVBand="0" w:oddHBand="0" w:evenHBand="0" w:firstRowFirstColumn="0" w:firstRowLastColumn="0" w:lastRowFirstColumn="0" w:lastRowLastColumn="0"/>
            <w:tcW w:w="2310" w:type="dxa"/>
          </w:tcPr>
          <w:p w14:paraId="42CC693E" w14:textId="77777777" w:rsidR="009B4F68" w:rsidRPr="00307566" w:rsidRDefault="00164E6E">
            <w:pPr>
              <w:jc w:val="left"/>
            </w:pPr>
            <w:r w:rsidRPr="00307566">
              <w:rPr>
                <w:b w:val="0"/>
              </w:rPr>
              <w:t>Number of different IP address</w:t>
            </w:r>
          </w:p>
        </w:tc>
        <w:tc>
          <w:tcPr>
            <w:tcW w:w="3610" w:type="dxa"/>
          </w:tcPr>
          <w:p w14:paraId="36EE4DDC" w14:textId="77777777" w:rsidR="009B4F68" w:rsidRPr="00307566" w:rsidRDefault="00164E6E">
            <w:pPr>
              <w:jc w:val="center"/>
              <w:cnfStyle w:val="000000000000" w:firstRow="0" w:lastRow="0" w:firstColumn="0" w:lastColumn="0" w:oddVBand="0" w:evenVBand="0" w:oddHBand="0" w:evenHBand="0" w:firstRowFirstColumn="0" w:firstRowLastColumn="0" w:lastRowFirstColumn="0" w:lastRowLastColumn="0"/>
            </w:pPr>
            <w:r w:rsidRPr="00307566">
              <w:t>450</w:t>
            </w:r>
          </w:p>
        </w:tc>
      </w:tr>
      <w:tr w:rsidR="009B4F68" w:rsidRPr="00307566" w14:paraId="7837F8A2"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0" w:type="dxa"/>
          </w:tcPr>
          <w:p w14:paraId="48F9A155" w14:textId="77777777" w:rsidR="009B4F68" w:rsidRPr="00307566" w:rsidRDefault="00164E6E">
            <w:pPr>
              <w:jc w:val="left"/>
            </w:pPr>
            <w:r w:rsidRPr="00307566">
              <w:rPr>
                <w:b w:val="0"/>
              </w:rPr>
              <w:t>Total Number of visitors</w:t>
            </w:r>
          </w:p>
        </w:tc>
        <w:tc>
          <w:tcPr>
            <w:tcW w:w="3610" w:type="dxa"/>
          </w:tcPr>
          <w:p w14:paraId="2BAF1EA9" w14:textId="77777777" w:rsidR="009B4F68" w:rsidRPr="00307566" w:rsidRDefault="00164E6E">
            <w:pPr>
              <w:jc w:val="center"/>
              <w:cnfStyle w:val="000000100000" w:firstRow="0" w:lastRow="0" w:firstColumn="0" w:lastColumn="0" w:oddVBand="0" w:evenVBand="0" w:oddHBand="1" w:evenHBand="0" w:firstRowFirstColumn="0" w:firstRowLastColumn="0" w:lastRowFirstColumn="0" w:lastRowLastColumn="0"/>
            </w:pPr>
            <w:r w:rsidRPr="00307566">
              <w:t>11932</w:t>
            </w:r>
          </w:p>
        </w:tc>
      </w:tr>
    </w:tbl>
    <w:p w14:paraId="164A4462" w14:textId="77777777" w:rsidR="009B4F68" w:rsidRPr="00307566" w:rsidRDefault="009B4F68"/>
    <w:p w14:paraId="3A2E1BE0" w14:textId="77777777" w:rsidR="009B4F68" w:rsidRPr="00307566" w:rsidRDefault="00164E6E">
      <w:r w:rsidRPr="00307566">
        <w:t>The number of hits and visitors recorded every month may seem high but the service doesn’t present overload situations, so the resources are enough to guarantee the quality of service agreed in the OLA.</w:t>
      </w:r>
    </w:p>
    <w:p w14:paraId="15F023AA" w14:textId="77777777" w:rsidR="009B4F68" w:rsidRPr="00307566" w:rsidRDefault="00164E6E">
      <w:pPr>
        <w:pStyle w:val="Heading3"/>
        <w:numPr>
          <w:ilvl w:val="2"/>
          <w:numId w:val="4"/>
        </w:numPr>
      </w:pPr>
      <w:bookmarkStart w:id="18" w:name="_Toc46932767"/>
      <w:r w:rsidRPr="00307566">
        <w:t>Human (Operation and Tickets handling) SLIs</w:t>
      </w:r>
      <w:bookmarkEnd w:id="18"/>
    </w:p>
    <w:p w14:paraId="3894E895" w14:textId="77777777" w:rsidR="009B4F68" w:rsidRPr="00307566" w:rsidRDefault="00164E6E">
      <w:pPr>
        <w:numPr>
          <w:ilvl w:val="0"/>
          <w:numId w:val="15"/>
        </w:numPr>
        <w:spacing w:after="0"/>
        <w:rPr>
          <w:b/>
        </w:rPr>
      </w:pPr>
      <w:r w:rsidRPr="00307566">
        <w:rPr>
          <w:b/>
          <w:highlight w:val="white"/>
        </w:rPr>
        <w:t>Number of tickets</w:t>
      </w:r>
    </w:p>
    <w:p w14:paraId="43AB5BF8" w14:textId="77777777" w:rsidR="009B4F68" w:rsidRPr="00307566" w:rsidRDefault="00164E6E">
      <w:pPr>
        <w:numPr>
          <w:ilvl w:val="1"/>
          <w:numId w:val="15"/>
        </w:numPr>
        <w:spacing w:after="0"/>
        <w:rPr>
          <w:b/>
        </w:rPr>
      </w:pPr>
      <w:r w:rsidRPr="00307566">
        <w:rPr>
          <w:highlight w:val="white"/>
        </w:rPr>
        <w:t>Tickets directed to the "Accounting Portal" Support Unit in GGUS per month</w:t>
      </w:r>
    </w:p>
    <w:p w14:paraId="1FF409A5" w14:textId="77777777" w:rsidR="009B4F68" w:rsidRPr="00307566" w:rsidRDefault="00164E6E">
      <w:pPr>
        <w:numPr>
          <w:ilvl w:val="1"/>
          <w:numId w:val="15"/>
        </w:numPr>
        <w:spacing w:after="0"/>
        <w:rPr>
          <w:highlight w:val="white"/>
        </w:rPr>
      </w:pPr>
      <w:r w:rsidRPr="00307566">
        <w:t>Capacity strategy: lag</w:t>
      </w:r>
    </w:p>
    <w:p w14:paraId="7022BC88" w14:textId="77777777" w:rsidR="009B4F68" w:rsidRPr="00307566" w:rsidRDefault="00164E6E">
      <w:pPr>
        <w:numPr>
          <w:ilvl w:val="0"/>
          <w:numId w:val="15"/>
        </w:numPr>
        <w:spacing w:after="0"/>
        <w:rPr>
          <w:b/>
        </w:rPr>
      </w:pPr>
      <w:r w:rsidRPr="00307566">
        <w:rPr>
          <w:b/>
          <w:highlight w:val="white"/>
        </w:rPr>
        <w:t>Tickets average response time</w:t>
      </w:r>
    </w:p>
    <w:p w14:paraId="7FA79315" w14:textId="77777777" w:rsidR="009B4F68" w:rsidRPr="00307566" w:rsidRDefault="00164E6E">
      <w:pPr>
        <w:numPr>
          <w:ilvl w:val="1"/>
          <w:numId w:val="15"/>
        </w:numPr>
        <w:spacing w:after="0"/>
        <w:rPr>
          <w:b/>
        </w:rPr>
      </w:pPr>
      <w:r w:rsidRPr="00307566">
        <w:rPr>
          <w:highlight w:val="white"/>
        </w:rPr>
        <w:t>Average response time (in working days) to GGUS tickets (regardless category and priority) per calendar month</w:t>
      </w:r>
    </w:p>
    <w:p w14:paraId="5AC27933" w14:textId="77777777" w:rsidR="009B4F68" w:rsidRPr="00307566" w:rsidRDefault="00164E6E">
      <w:pPr>
        <w:numPr>
          <w:ilvl w:val="1"/>
          <w:numId w:val="15"/>
        </w:numPr>
        <w:spacing w:after="0"/>
        <w:rPr>
          <w:highlight w:val="white"/>
        </w:rPr>
      </w:pPr>
      <w:r w:rsidRPr="00307566">
        <w:t>Capacity strategy: lag</w:t>
      </w:r>
    </w:p>
    <w:p w14:paraId="71B07B02" w14:textId="77777777" w:rsidR="009B4F68" w:rsidRPr="00307566" w:rsidRDefault="009B4F68">
      <w:pPr>
        <w:spacing w:after="0"/>
      </w:pPr>
    </w:p>
    <w:p w14:paraId="1A6BE1A2" w14:textId="77777777" w:rsidR="009B4F68" w:rsidRPr="00307566" w:rsidRDefault="009B4F68">
      <w:pPr>
        <w:spacing w:after="0"/>
      </w:pPr>
    </w:p>
    <w:p w14:paraId="37BBB887" w14:textId="77777777" w:rsidR="009B4F68" w:rsidRPr="00307566" w:rsidRDefault="00164E6E">
      <w:pPr>
        <w:spacing w:after="0"/>
      </w:pPr>
      <w:r w:rsidRPr="00307566">
        <w:rPr>
          <w:noProof/>
        </w:rPr>
        <w:drawing>
          <wp:inline distT="114300" distB="114300" distL="114300" distR="114300" wp14:anchorId="63DC55FA" wp14:editId="16DB3350">
            <wp:extent cx="5734050" cy="2298700"/>
            <wp:effectExtent l="0" t="0" r="0" b="0"/>
            <wp:docPr id="36" name="image33.png"/>
            <wp:cNvGraphicFramePr/>
            <a:graphic xmlns:a="http://schemas.openxmlformats.org/drawingml/2006/main">
              <a:graphicData uri="http://schemas.openxmlformats.org/drawingml/2006/picture">
                <pic:pic xmlns:pic="http://schemas.openxmlformats.org/drawingml/2006/picture">
                  <pic:nvPicPr>
                    <pic:cNvPr id="0" name="image33.png"/>
                    <pic:cNvPicPr preferRelativeResize="0"/>
                  </pic:nvPicPr>
                  <pic:blipFill>
                    <a:blip r:embed="rId24"/>
                    <a:srcRect/>
                    <a:stretch>
                      <a:fillRect/>
                    </a:stretch>
                  </pic:blipFill>
                  <pic:spPr>
                    <a:xfrm>
                      <a:off x="0" y="0"/>
                      <a:ext cx="5734050" cy="2298700"/>
                    </a:xfrm>
                    <a:prstGeom prst="rect">
                      <a:avLst/>
                    </a:prstGeom>
                    <a:ln/>
                  </pic:spPr>
                </pic:pic>
              </a:graphicData>
            </a:graphic>
          </wp:inline>
        </w:drawing>
      </w:r>
    </w:p>
    <w:p w14:paraId="37A2E11E" w14:textId="4CA9DE7D" w:rsidR="009B4F68" w:rsidRPr="00307566" w:rsidRDefault="00164E6E">
      <w:pPr>
        <w:keepNext/>
        <w:spacing w:after="240"/>
        <w:jc w:val="center"/>
      </w:pPr>
      <w:r w:rsidRPr="00307566">
        <w:rPr>
          <w:b/>
          <w:i/>
          <w:color w:val="17365D"/>
        </w:rPr>
        <w:t>Fig. 12 - Number of tickets handled by the service support unit</w:t>
      </w:r>
      <w:r w:rsidR="00C46A72" w:rsidRPr="00307566">
        <w:rPr>
          <w:b/>
          <w:i/>
          <w:color w:val="17365D"/>
        </w:rPr>
        <w:t>.</w:t>
      </w:r>
    </w:p>
    <w:p w14:paraId="7EA32013" w14:textId="77777777" w:rsidR="009B4F68" w:rsidRPr="00307566" w:rsidRDefault="00164E6E">
      <w:pPr>
        <w:spacing w:after="0"/>
      </w:pPr>
      <w:r w:rsidRPr="00307566">
        <w:rPr>
          <w:noProof/>
        </w:rPr>
        <w:drawing>
          <wp:inline distT="114300" distB="114300" distL="114300" distR="114300" wp14:anchorId="724C2F38" wp14:editId="6FBC6928">
            <wp:extent cx="5734050" cy="2298700"/>
            <wp:effectExtent l="0" t="0" r="0" b="0"/>
            <wp:docPr id="14"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25"/>
                    <a:srcRect/>
                    <a:stretch>
                      <a:fillRect/>
                    </a:stretch>
                  </pic:blipFill>
                  <pic:spPr>
                    <a:xfrm>
                      <a:off x="0" y="0"/>
                      <a:ext cx="5734050" cy="2298700"/>
                    </a:xfrm>
                    <a:prstGeom prst="rect">
                      <a:avLst/>
                    </a:prstGeom>
                    <a:ln/>
                  </pic:spPr>
                </pic:pic>
              </a:graphicData>
            </a:graphic>
          </wp:inline>
        </w:drawing>
      </w:r>
    </w:p>
    <w:p w14:paraId="5312737C" w14:textId="0386279A" w:rsidR="009B4F68" w:rsidRPr="00307566" w:rsidRDefault="00164E6E">
      <w:pPr>
        <w:keepNext/>
        <w:spacing w:after="240"/>
        <w:jc w:val="center"/>
      </w:pPr>
      <w:r w:rsidRPr="00307566">
        <w:rPr>
          <w:b/>
          <w:i/>
          <w:color w:val="17365D"/>
        </w:rPr>
        <w:t>Fig. 13 - Average response time (working days) to the tickets submitted to the service support unit</w:t>
      </w:r>
      <w:r w:rsidR="00C46A72" w:rsidRPr="00307566">
        <w:rPr>
          <w:b/>
          <w:i/>
          <w:color w:val="17365D"/>
        </w:rPr>
        <w:t>.</w:t>
      </w:r>
    </w:p>
    <w:p w14:paraId="46428C46" w14:textId="1097303B" w:rsidR="009B4F68" w:rsidRPr="00307566" w:rsidRDefault="00164E6E">
      <w:pPr>
        <w:rPr>
          <w:color w:val="172B4D"/>
          <w:highlight w:val="white"/>
        </w:rPr>
      </w:pPr>
      <w:r w:rsidRPr="00307566">
        <w:rPr>
          <w:color w:val="172B4D"/>
          <w:highlight w:val="white"/>
        </w:rPr>
        <w:t>The number of tickets submitted on a monthly basis didn’t produce capacity issues to the service staff so far; the high value for the average response time recorded in Oct 2019 was due to a ticket properly handled but whose status wasn’t changed to “in progress”.</w:t>
      </w:r>
    </w:p>
    <w:p w14:paraId="020C31ED" w14:textId="77777777" w:rsidR="009B4F68" w:rsidRPr="00307566" w:rsidRDefault="00164E6E">
      <w:pPr>
        <w:pStyle w:val="Heading2"/>
        <w:numPr>
          <w:ilvl w:val="1"/>
          <w:numId w:val="4"/>
        </w:numPr>
      </w:pPr>
      <w:bookmarkStart w:id="19" w:name="_Toc46932768"/>
      <w:r w:rsidRPr="00307566">
        <w:t>Collaboration Software</w:t>
      </w:r>
      <w:bookmarkEnd w:id="19"/>
    </w:p>
    <w:p w14:paraId="28E3F211" w14:textId="77777777" w:rsidR="009B4F68" w:rsidRPr="00307566" w:rsidRDefault="00164E6E">
      <w:r w:rsidRPr="00307566">
        <w:rPr>
          <w:color w:val="172B4D"/>
          <w:highlight w:val="white"/>
        </w:rPr>
        <w:t>It is the software allowing EOSC-hub partners to collaborate. It's composed of the Atlassian Jira issue tracker and Atlassian Confluence wiki.</w:t>
      </w:r>
    </w:p>
    <w:p w14:paraId="4BCA4D05" w14:textId="77777777" w:rsidR="009B4F68" w:rsidRPr="00307566" w:rsidRDefault="00164E6E">
      <w:pPr>
        <w:pStyle w:val="Heading3"/>
        <w:numPr>
          <w:ilvl w:val="2"/>
          <w:numId w:val="4"/>
        </w:numPr>
      </w:pPr>
      <w:bookmarkStart w:id="20" w:name="_Toc46932769"/>
      <w:r w:rsidRPr="00307566">
        <w:t>Software/Service Performance SLIs</w:t>
      </w:r>
      <w:r w:rsidRPr="00307566">
        <w:rPr>
          <w:vertAlign w:val="superscript"/>
        </w:rPr>
        <w:footnoteReference w:id="9"/>
      </w:r>
      <w:bookmarkEnd w:id="20"/>
    </w:p>
    <w:p w14:paraId="2AF9974D" w14:textId="77777777" w:rsidR="009B4F68" w:rsidRPr="00307566" w:rsidRDefault="00164E6E">
      <w:pPr>
        <w:numPr>
          <w:ilvl w:val="0"/>
          <w:numId w:val="5"/>
        </w:numPr>
        <w:spacing w:after="0"/>
      </w:pPr>
      <w:r w:rsidRPr="00307566">
        <w:rPr>
          <w:b/>
          <w:color w:val="172B4D"/>
          <w:highlight w:val="white"/>
        </w:rPr>
        <w:t>Number of Jira tickets recorded per month</w:t>
      </w:r>
    </w:p>
    <w:p w14:paraId="442E40AF" w14:textId="77777777" w:rsidR="009B4F68" w:rsidRPr="00307566" w:rsidRDefault="00164E6E">
      <w:pPr>
        <w:numPr>
          <w:ilvl w:val="1"/>
          <w:numId w:val="5"/>
        </w:numPr>
        <w:spacing w:after="0"/>
      </w:pPr>
      <w:r w:rsidRPr="00307566">
        <w:rPr>
          <w:color w:val="172B4D"/>
          <w:highlight w:val="white"/>
        </w:rPr>
        <w:t>Total number of tickets opened by month in Jira</w:t>
      </w:r>
    </w:p>
    <w:p w14:paraId="3D746000" w14:textId="77777777" w:rsidR="009B4F68" w:rsidRPr="00307566" w:rsidRDefault="00164E6E">
      <w:pPr>
        <w:numPr>
          <w:ilvl w:val="1"/>
          <w:numId w:val="5"/>
        </w:numPr>
        <w:spacing w:after="0"/>
        <w:rPr>
          <w:color w:val="172B4D"/>
          <w:highlight w:val="white"/>
        </w:rPr>
      </w:pPr>
      <w:r w:rsidRPr="00307566">
        <w:t>Capacity strategy: lag</w:t>
      </w:r>
    </w:p>
    <w:p w14:paraId="3493C574" w14:textId="77777777" w:rsidR="009B4F68" w:rsidRPr="00307566" w:rsidRDefault="00164E6E">
      <w:pPr>
        <w:numPr>
          <w:ilvl w:val="0"/>
          <w:numId w:val="5"/>
        </w:numPr>
        <w:spacing w:after="0"/>
      </w:pPr>
      <w:r w:rsidRPr="00307566">
        <w:rPr>
          <w:b/>
          <w:highlight w:val="white"/>
        </w:rPr>
        <w:lastRenderedPageBreak/>
        <w:t>Number of concurrent Jira user sessions</w:t>
      </w:r>
    </w:p>
    <w:p w14:paraId="240ACABC" w14:textId="77777777" w:rsidR="009B4F68" w:rsidRPr="00307566" w:rsidRDefault="00164E6E">
      <w:pPr>
        <w:numPr>
          <w:ilvl w:val="1"/>
          <w:numId w:val="5"/>
        </w:numPr>
        <w:spacing w:after="0"/>
      </w:pPr>
      <w:r w:rsidRPr="00307566">
        <w:rPr>
          <w:color w:val="172B4D"/>
          <w:highlight w:val="white"/>
        </w:rPr>
        <w:t>Total number of concurrent Jira user sessions</w:t>
      </w:r>
    </w:p>
    <w:p w14:paraId="4D104EBC" w14:textId="77777777" w:rsidR="009B4F68" w:rsidRPr="00307566" w:rsidRDefault="00164E6E">
      <w:pPr>
        <w:numPr>
          <w:ilvl w:val="1"/>
          <w:numId w:val="5"/>
        </w:numPr>
        <w:spacing w:after="0"/>
        <w:rPr>
          <w:color w:val="172B4D"/>
          <w:highlight w:val="white"/>
        </w:rPr>
      </w:pPr>
      <w:r w:rsidRPr="00307566">
        <w:t>Capacity strategy: lag</w:t>
      </w:r>
    </w:p>
    <w:p w14:paraId="05A9643B" w14:textId="77777777" w:rsidR="009B4F68" w:rsidRPr="00307566" w:rsidRDefault="00164E6E">
      <w:pPr>
        <w:numPr>
          <w:ilvl w:val="0"/>
          <w:numId w:val="5"/>
        </w:numPr>
        <w:spacing w:after="0"/>
      </w:pPr>
      <w:r w:rsidRPr="00307566">
        <w:rPr>
          <w:b/>
          <w:color w:val="172B4D"/>
          <w:highlight w:val="white"/>
        </w:rPr>
        <w:t>Number of Jira logins per day</w:t>
      </w:r>
    </w:p>
    <w:p w14:paraId="4E76EE6B" w14:textId="77777777" w:rsidR="009B4F68" w:rsidRPr="00307566" w:rsidRDefault="00164E6E">
      <w:pPr>
        <w:numPr>
          <w:ilvl w:val="1"/>
          <w:numId w:val="5"/>
        </w:numPr>
        <w:spacing w:after="0"/>
      </w:pPr>
      <w:r w:rsidRPr="00307566">
        <w:rPr>
          <w:color w:val="172B4D"/>
          <w:highlight w:val="white"/>
        </w:rPr>
        <w:t>Number of Jira logins per day (monthly report of daily average)</w:t>
      </w:r>
    </w:p>
    <w:p w14:paraId="43A5678C" w14:textId="77777777" w:rsidR="009B4F68" w:rsidRPr="00307566" w:rsidRDefault="00164E6E">
      <w:pPr>
        <w:numPr>
          <w:ilvl w:val="1"/>
          <w:numId w:val="5"/>
        </w:numPr>
        <w:spacing w:after="0"/>
        <w:rPr>
          <w:color w:val="172B4D"/>
          <w:highlight w:val="white"/>
        </w:rPr>
      </w:pPr>
      <w:r w:rsidRPr="00307566">
        <w:t>Capacity strategy: lag</w:t>
      </w:r>
    </w:p>
    <w:p w14:paraId="3B82362F" w14:textId="77777777" w:rsidR="009B4F68" w:rsidRPr="00307566" w:rsidRDefault="00164E6E">
      <w:pPr>
        <w:numPr>
          <w:ilvl w:val="0"/>
          <w:numId w:val="5"/>
        </w:numPr>
        <w:spacing w:after="0"/>
        <w:rPr>
          <w:rFonts w:ascii="Roboto" w:eastAsia="Roboto" w:hAnsi="Roboto" w:cs="Roboto"/>
          <w:color w:val="172B4D"/>
          <w:highlight w:val="white"/>
        </w:rPr>
      </w:pPr>
      <w:r w:rsidRPr="00307566">
        <w:rPr>
          <w:b/>
          <w:color w:val="172B4D"/>
          <w:highlight w:val="white"/>
        </w:rPr>
        <w:t>Number of Confluence pages</w:t>
      </w:r>
    </w:p>
    <w:p w14:paraId="0D657821" w14:textId="77777777" w:rsidR="009B4F68" w:rsidRPr="00307566" w:rsidRDefault="00164E6E">
      <w:pPr>
        <w:numPr>
          <w:ilvl w:val="1"/>
          <w:numId w:val="5"/>
        </w:numPr>
        <w:spacing w:after="0"/>
        <w:rPr>
          <w:rFonts w:ascii="Roboto" w:eastAsia="Roboto" w:hAnsi="Roboto" w:cs="Roboto"/>
          <w:color w:val="172B4D"/>
          <w:highlight w:val="white"/>
        </w:rPr>
      </w:pPr>
      <w:r w:rsidRPr="00307566">
        <w:rPr>
          <w:color w:val="172B4D"/>
          <w:highlight w:val="white"/>
        </w:rPr>
        <w:t>Total number of Wiki pages recorded in Confluence</w:t>
      </w:r>
    </w:p>
    <w:p w14:paraId="08BE2F4E" w14:textId="77777777" w:rsidR="009B4F68" w:rsidRPr="00307566" w:rsidRDefault="00164E6E">
      <w:pPr>
        <w:numPr>
          <w:ilvl w:val="1"/>
          <w:numId w:val="5"/>
        </w:numPr>
        <w:spacing w:after="0"/>
        <w:rPr>
          <w:color w:val="172B4D"/>
          <w:highlight w:val="white"/>
        </w:rPr>
      </w:pPr>
      <w:r w:rsidRPr="00307566">
        <w:t>Capacity strategy: lag</w:t>
      </w:r>
    </w:p>
    <w:p w14:paraId="03298859" w14:textId="77777777" w:rsidR="009B4F68" w:rsidRPr="00307566" w:rsidRDefault="00164E6E">
      <w:pPr>
        <w:numPr>
          <w:ilvl w:val="0"/>
          <w:numId w:val="5"/>
        </w:numPr>
        <w:spacing w:after="0"/>
      </w:pPr>
      <w:r w:rsidRPr="00307566">
        <w:rPr>
          <w:b/>
          <w:color w:val="172B4D"/>
          <w:highlight w:val="white"/>
        </w:rPr>
        <w:t>Number of concurrent Confluence user sessions</w:t>
      </w:r>
    </w:p>
    <w:p w14:paraId="6B607CF8" w14:textId="77777777" w:rsidR="009B4F68" w:rsidRPr="00307566" w:rsidRDefault="00164E6E">
      <w:pPr>
        <w:numPr>
          <w:ilvl w:val="1"/>
          <w:numId w:val="5"/>
        </w:numPr>
        <w:spacing w:after="0"/>
      </w:pPr>
      <w:r w:rsidRPr="00307566">
        <w:rPr>
          <w:color w:val="172B4D"/>
          <w:highlight w:val="white"/>
        </w:rPr>
        <w:t>Total number of concurrent Confluence user sessions</w:t>
      </w:r>
    </w:p>
    <w:p w14:paraId="6FA7309A" w14:textId="77777777" w:rsidR="009B4F68" w:rsidRPr="00307566" w:rsidRDefault="00164E6E">
      <w:pPr>
        <w:numPr>
          <w:ilvl w:val="1"/>
          <w:numId w:val="5"/>
        </w:numPr>
        <w:spacing w:after="0"/>
        <w:rPr>
          <w:color w:val="172B4D"/>
          <w:highlight w:val="white"/>
        </w:rPr>
      </w:pPr>
      <w:r w:rsidRPr="00307566">
        <w:t>Capacity strategy: lag</w:t>
      </w:r>
    </w:p>
    <w:p w14:paraId="7C00741C" w14:textId="77777777" w:rsidR="009B4F68" w:rsidRPr="00307566" w:rsidRDefault="00164E6E">
      <w:pPr>
        <w:numPr>
          <w:ilvl w:val="0"/>
          <w:numId w:val="5"/>
        </w:numPr>
        <w:spacing w:after="0"/>
      </w:pPr>
      <w:r w:rsidRPr="00307566">
        <w:rPr>
          <w:b/>
          <w:highlight w:val="white"/>
        </w:rPr>
        <w:t>Number of Confluence logins per day</w:t>
      </w:r>
    </w:p>
    <w:p w14:paraId="3873533A" w14:textId="77777777" w:rsidR="009B4F68" w:rsidRPr="00307566" w:rsidRDefault="00164E6E">
      <w:pPr>
        <w:numPr>
          <w:ilvl w:val="1"/>
          <w:numId w:val="5"/>
        </w:numPr>
        <w:spacing w:after="0"/>
      </w:pPr>
      <w:r w:rsidRPr="00307566">
        <w:rPr>
          <w:highlight w:val="white"/>
        </w:rPr>
        <w:t>Number of Confluence logins per day (monthly report of daily average)</w:t>
      </w:r>
    </w:p>
    <w:p w14:paraId="3B4CB80E" w14:textId="77777777" w:rsidR="009B4F68" w:rsidRPr="00307566" w:rsidRDefault="00164E6E">
      <w:pPr>
        <w:numPr>
          <w:ilvl w:val="1"/>
          <w:numId w:val="5"/>
        </w:numPr>
        <w:rPr>
          <w:highlight w:val="white"/>
        </w:rPr>
      </w:pPr>
      <w:r w:rsidRPr="00307566">
        <w:t>Capacity strategy: lag</w:t>
      </w:r>
    </w:p>
    <w:p w14:paraId="093DBEB7" w14:textId="77777777" w:rsidR="009B4F68" w:rsidRPr="00307566" w:rsidRDefault="00164E6E">
      <w:pPr>
        <w:jc w:val="center"/>
      </w:pPr>
      <w:r w:rsidRPr="00307566">
        <w:rPr>
          <w:noProof/>
        </w:rPr>
        <w:drawing>
          <wp:inline distT="114300" distB="114300" distL="114300" distR="114300" wp14:anchorId="2A1B2070" wp14:editId="6DB83ABB">
            <wp:extent cx="5731200" cy="2197100"/>
            <wp:effectExtent l="0" t="0" r="0" b="0"/>
            <wp:docPr id="8"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26"/>
                    <a:srcRect/>
                    <a:stretch>
                      <a:fillRect/>
                    </a:stretch>
                  </pic:blipFill>
                  <pic:spPr>
                    <a:xfrm>
                      <a:off x="0" y="0"/>
                      <a:ext cx="5731200" cy="2197100"/>
                    </a:xfrm>
                    <a:prstGeom prst="rect">
                      <a:avLst/>
                    </a:prstGeom>
                    <a:ln/>
                  </pic:spPr>
                </pic:pic>
              </a:graphicData>
            </a:graphic>
          </wp:inline>
        </w:drawing>
      </w:r>
    </w:p>
    <w:p w14:paraId="20CA2CDA" w14:textId="6101221A" w:rsidR="009B4F68" w:rsidRPr="00307566" w:rsidRDefault="00164E6E">
      <w:pPr>
        <w:jc w:val="center"/>
      </w:pPr>
      <w:r w:rsidRPr="00307566">
        <w:rPr>
          <w:b/>
          <w:i/>
          <w:color w:val="17365D"/>
        </w:rPr>
        <w:t>Fig. 14 - Number of new tickets created in Jira by month</w:t>
      </w:r>
      <w:r w:rsidR="00C46A72" w:rsidRPr="00307566">
        <w:rPr>
          <w:b/>
          <w:i/>
          <w:color w:val="17365D"/>
        </w:rPr>
        <w:t>.</w:t>
      </w:r>
    </w:p>
    <w:p w14:paraId="07276DC8" w14:textId="028EDE19" w:rsidR="009B4F68" w:rsidRPr="00307566" w:rsidRDefault="00164E6E">
      <w:r w:rsidRPr="00307566">
        <w:t xml:space="preserve">The spike in newly created Jira tickets in May 2020 was due to fake service orders made in the Marketplace by the participants at the EOSC-hub week. Despite this, no hardware or </w:t>
      </w:r>
      <w:r w:rsidR="00307566" w:rsidRPr="00307566">
        <w:t>software related</w:t>
      </w:r>
      <w:r w:rsidRPr="00307566">
        <w:t xml:space="preserve"> capacity issues have been recorded.</w:t>
      </w:r>
    </w:p>
    <w:p w14:paraId="0EAB492E" w14:textId="77777777" w:rsidR="009B4F68" w:rsidRPr="00307566" w:rsidRDefault="00164E6E">
      <w:pPr>
        <w:pStyle w:val="Heading3"/>
        <w:numPr>
          <w:ilvl w:val="2"/>
          <w:numId w:val="4"/>
        </w:numPr>
      </w:pPr>
      <w:bookmarkStart w:id="21" w:name="_Toc46932770"/>
      <w:r w:rsidRPr="00307566">
        <w:t>Human (Operation and Tickets handling) SLIs</w:t>
      </w:r>
      <w:bookmarkEnd w:id="21"/>
    </w:p>
    <w:p w14:paraId="5C23340A" w14:textId="77777777" w:rsidR="009B4F68" w:rsidRPr="00307566" w:rsidRDefault="00164E6E">
      <w:pPr>
        <w:numPr>
          <w:ilvl w:val="0"/>
          <w:numId w:val="12"/>
        </w:numPr>
        <w:spacing w:after="0"/>
      </w:pPr>
      <w:r w:rsidRPr="00307566">
        <w:rPr>
          <w:b/>
        </w:rPr>
        <w:t>Number of tickets</w:t>
      </w:r>
    </w:p>
    <w:p w14:paraId="4D9044AA" w14:textId="77777777" w:rsidR="009B4F68" w:rsidRPr="00307566" w:rsidRDefault="00164E6E">
      <w:pPr>
        <w:numPr>
          <w:ilvl w:val="1"/>
          <w:numId w:val="12"/>
        </w:numPr>
        <w:spacing w:after="0"/>
      </w:pPr>
      <w:r w:rsidRPr="00307566">
        <w:t>Number of tickets handled by the provider (regardless category and priority). The statistic is collected by the EGI Helpdesk system (GGUS)</w:t>
      </w:r>
    </w:p>
    <w:p w14:paraId="32A71037" w14:textId="77777777" w:rsidR="009B4F68" w:rsidRPr="00307566" w:rsidRDefault="00164E6E">
      <w:pPr>
        <w:numPr>
          <w:ilvl w:val="1"/>
          <w:numId w:val="12"/>
        </w:numPr>
        <w:spacing w:after="0"/>
      </w:pPr>
      <w:r w:rsidRPr="00307566">
        <w:t>Capacity strategy: lag</w:t>
      </w:r>
    </w:p>
    <w:p w14:paraId="4E25DB61" w14:textId="77777777" w:rsidR="009B4F68" w:rsidRPr="00307566" w:rsidRDefault="00164E6E">
      <w:pPr>
        <w:numPr>
          <w:ilvl w:val="0"/>
          <w:numId w:val="12"/>
        </w:numPr>
        <w:spacing w:after="0"/>
        <w:rPr>
          <w:b/>
        </w:rPr>
      </w:pPr>
      <w:r w:rsidRPr="00307566">
        <w:rPr>
          <w:b/>
        </w:rPr>
        <w:t>Tickets average response time</w:t>
      </w:r>
    </w:p>
    <w:p w14:paraId="1D5E0A6E" w14:textId="77777777" w:rsidR="009B4F68" w:rsidRPr="00307566" w:rsidRDefault="00164E6E">
      <w:pPr>
        <w:numPr>
          <w:ilvl w:val="1"/>
          <w:numId w:val="12"/>
        </w:numPr>
        <w:spacing w:after="0"/>
        <w:rPr>
          <w:b/>
        </w:rPr>
      </w:pPr>
      <w:r w:rsidRPr="00307566">
        <w:rPr>
          <w:color w:val="172B4D"/>
          <w:highlight w:val="white"/>
        </w:rPr>
        <w:t>Average response time (in working days) to GGUS tickets (regardless category and priority) per calendar month</w:t>
      </w:r>
    </w:p>
    <w:p w14:paraId="3BC2F0E8" w14:textId="77777777" w:rsidR="009B4F68" w:rsidRPr="00307566" w:rsidRDefault="00164E6E">
      <w:pPr>
        <w:numPr>
          <w:ilvl w:val="1"/>
          <w:numId w:val="12"/>
        </w:numPr>
        <w:rPr>
          <w:color w:val="172B4D"/>
          <w:sz w:val="21"/>
          <w:szCs w:val="21"/>
          <w:highlight w:val="white"/>
        </w:rPr>
      </w:pPr>
      <w:r w:rsidRPr="00307566">
        <w:t>Capacity strategy: lag</w:t>
      </w:r>
    </w:p>
    <w:p w14:paraId="40A0D10B" w14:textId="77777777" w:rsidR="009B4F68" w:rsidRPr="00307566" w:rsidRDefault="009B4F68"/>
    <w:p w14:paraId="748067E3" w14:textId="77777777" w:rsidR="009B4F68" w:rsidRPr="00307566" w:rsidRDefault="00164E6E">
      <w:r w:rsidRPr="00307566">
        <w:rPr>
          <w:noProof/>
        </w:rPr>
        <w:lastRenderedPageBreak/>
        <w:drawing>
          <wp:inline distT="114300" distB="114300" distL="114300" distR="114300" wp14:anchorId="4FB2142A" wp14:editId="7DBC6F63">
            <wp:extent cx="5731200" cy="2197100"/>
            <wp:effectExtent l="0" t="0" r="0" b="0"/>
            <wp:docPr id="3"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27"/>
                    <a:srcRect/>
                    <a:stretch>
                      <a:fillRect/>
                    </a:stretch>
                  </pic:blipFill>
                  <pic:spPr>
                    <a:xfrm>
                      <a:off x="0" y="0"/>
                      <a:ext cx="5731200" cy="2197100"/>
                    </a:xfrm>
                    <a:prstGeom prst="rect">
                      <a:avLst/>
                    </a:prstGeom>
                    <a:ln/>
                  </pic:spPr>
                </pic:pic>
              </a:graphicData>
            </a:graphic>
          </wp:inline>
        </w:drawing>
      </w:r>
    </w:p>
    <w:p w14:paraId="7D1E67F2" w14:textId="4634572D" w:rsidR="009B4F68" w:rsidRPr="00307566" w:rsidRDefault="00164E6E">
      <w:pPr>
        <w:keepNext/>
        <w:spacing w:after="240"/>
        <w:jc w:val="center"/>
      </w:pPr>
      <w:r w:rsidRPr="00307566">
        <w:rPr>
          <w:b/>
          <w:i/>
          <w:color w:val="17365D"/>
        </w:rPr>
        <w:t>Fig. 15 - Number of tickets handled by the service support unit</w:t>
      </w:r>
      <w:r w:rsidR="00C46A72" w:rsidRPr="00307566">
        <w:rPr>
          <w:b/>
          <w:i/>
          <w:color w:val="17365D"/>
        </w:rPr>
        <w:t>.</w:t>
      </w:r>
    </w:p>
    <w:p w14:paraId="1286B21E" w14:textId="72EB4148" w:rsidR="009B4F68" w:rsidRPr="00307566" w:rsidRDefault="00164E6E">
      <w:pPr>
        <w:jc w:val="center"/>
      </w:pPr>
      <w:r w:rsidRPr="00307566">
        <w:rPr>
          <w:noProof/>
        </w:rPr>
        <w:drawing>
          <wp:inline distT="114300" distB="114300" distL="114300" distR="114300" wp14:anchorId="410A2AE4" wp14:editId="3E1C4578">
            <wp:extent cx="5731200" cy="2197100"/>
            <wp:effectExtent l="0" t="0" r="0" b="0"/>
            <wp:docPr id="23" name="image32.png"/>
            <wp:cNvGraphicFramePr/>
            <a:graphic xmlns:a="http://schemas.openxmlformats.org/drawingml/2006/main">
              <a:graphicData uri="http://schemas.openxmlformats.org/drawingml/2006/picture">
                <pic:pic xmlns:pic="http://schemas.openxmlformats.org/drawingml/2006/picture">
                  <pic:nvPicPr>
                    <pic:cNvPr id="0" name="image32.png"/>
                    <pic:cNvPicPr preferRelativeResize="0"/>
                  </pic:nvPicPr>
                  <pic:blipFill>
                    <a:blip r:embed="rId28"/>
                    <a:srcRect/>
                    <a:stretch>
                      <a:fillRect/>
                    </a:stretch>
                  </pic:blipFill>
                  <pic:spPr>
                    <a:xfrm>
                      <a:off x="0" y="0"/>
                      <a:ext cx="5731200" cy="2197100"/>
                    </a:xfrm>
                    <a:prstGeom prst="rect">
                      <a:avLst/>
                    </a:prstGeom>
                    <a:ln/>
                  </pic:spPr>
                </pic:pic>
              </a:graphicData>
            </a:graphic>
          </wp:inline>
        </w:drawing>
      </w:r>
      <w:r w:rsidRPr="00307566">
        <w:rPr>
          <w:b/>
          <w:i/>
          <w:color w:val="17365D"/>
        </w:rPr>
        <w:t>Fig. 16 - Average response time (working days) to the tickets submitted to the service support unit</w:t>
      </w:r>
      <w:r w:rsidR="00C46A72" w:rsidRPr="00307566">
        <w:rPr>
          <w:b/>
          <w:i/>
          <w:color w:val="17365D"/>
        </w:rPr>
        <w:t>.</w:t>
      </w:r>
    </w:p>
    <w:p w14:paraId="546BDE79" w14:textId="0A9102A5" w:rsidR="009B4F68" w:rsidRPr="00307566" w:rsidRDefault="00164E6E">
      <w:pPr>
        <w:rPr>
          <w:color w:val="172B4D"/>
          <w:sz w:val="21"/>
          <w:szCs w:val="21"/>
          <w:highlight w:val="white"/>
        </w:rPr>
      </w:pPr>
      <w:r w:rsidRPr="00307566">
        <w:t xml:space="preserve">The number of tickets handled monthly by the Collaboration Tools SU has been less than 10 in 2020 and most of 2019, and it has not produced any specific capacity issue. Regarding a relatively higher value for the average response time (Sep 2019), this was due mainly to a single ticket that, while the reported issue had been properly progressed and solved, had been poorly dealt with in GGUS portal (late switch to “in progress” status). </w:t>
      </w:r>
      <w:r w:rsidR="00307566" w:rsidRPr="00307566">
        <w:t>Overall,</w:t>
      </w:r>
      <w:r w:rsidRPr="00307566">
        <w:t xml:space="preserve"> we consider that both hardware and human capacities of this service are sufficient to deal with possible surge in demand and to guarantee an acceptable performance level.</w:t>
      </w:r>
    </w:p>
    <w:p w14:paraId="49429CED" w14:textId="77777777" w:rsidR="009B4F68" w:rsidRPr="00307566" w:rsidRDefault="00164E6E">
      <w:pPr>
        <w:pStyle w:val="Heading2"/>
        <w:numPr>
          <w:ilvl w:val="1"/>
          <w:numId w:val="4"/>
        </w:numPr>
      </w:pPr>
      <w:bookmarkStart w:id="22" w:name="_Toc46932771"/>
      <w:r w:rsidRPr="00307566">
        <w:t>EOSC-hub Helpdesk</w:t>
      </w:r>
      <w:bookmarkEnd w:id="22"/>
    </w:p>
    <w:p w14:paraId="1B8B0931" w14:textId="77777777" w:rsidR="009B4F68" w:rsidRPr="00307566" w:rsidRDefault="00164E6E">
      <w:r w:rsidRPr="00307566">
        <w:t>The EOSC-hub Helpdesk</w:t>
      </w:r>
      <w:r w:rsidRPr="00307566">
        <w:rPr>
          <w:vertAlign w:val="superscript"/>
        </w:rPr>
        <w:footnoteReference w:id="10"/>
      </w:r>
      <w:r w:rsidRPr="00307566">
        <w:t xml:space="preserve"> service is the central point where users can request support for the services included in the EOSC Service Catalogue. The support request is made by creating a ticket (either an Incident or a Service Request) which will be addressed to the affected service support unit.</w:t>
      </w:r>
    </w:p>
    <w:p w14:paraId="3FEC4F27" w14:textId="77777777" w:rsidR="009B4F68" w:rsidRPr="00307566" w:rsidRDefault="00164E6E">
      <w:pPr>
        <w:pStyle w:val="Heading3"/>
        <w:numPr>
          <w:ilvl w:val="2"/>
          <w:numId w:val="4"/>
        </w:numPr>
      </w:pPr>
      <w:bookmarkStart w:id="23" w:name="_Toc46932772"/>
      <w:r w:rsidRPr="00307566">
        <w:lastRenderedPageBreak/>
        <w:t>Software/Service Performance SLIs</w:t>
      </w:r>
      <w:bookmarkEnd w:id="23"/>
    </w:p>
    <w:p w14:paraId="67A56767" w14:textId="77777777" w:rsidR="009B4F68" w:rsidRPr="00307566" w:rsidRDefault="00164E6E">
      <w:pPr>
        <w:numPr>
          <w:ilvl w:val="0"/>
          <w:numId w:val="6"/>
        </w:numPr>
        <w:spacing w:after="0"/>
        <w:rPr>
          <w:b/>
        </w:rPr>
      </w:pPr>
      <w:r w:rsidRPr="00307566">
        <w:rPr>
          <w:b/>
          <w:highlight w:val="white"/>
        </w:rPr>
        <w:t>Number of submitted tickets</w:t>
      </w:r>
    </w:p>
    <w:p w14:paraId="4F7CCB42" w14:textId="77777777" w:rsidR="009B4F68" w:rsidRPr="00307566" w:rsidRDefault="00164E6E">
      <w:pPr>
        <w:numPr>
          <w:ilvl w:val="1"/>
          <w:numId w:val="6"/>
        </w:numPr>
        <w:spacing w:after="0"/>
        <w:rPr>
          <w:b/>
        </w:rPr>
      </w:pPr>
      <w:r w:rsidRPr="00307566">
        <w:rPr>
          <w:color w:val="172B4D"/>
          <w:highlight w:val="white"/>
        </w:rPr>
        <w:t xml:space="preserve">Total number of tickets submitted through the EOSC hub Helpdesk </w:t>
      </w:r>
    </w:p>
    <w:p w14:paraId="018E91F3" w14:textId="77777777" w:rsidR="009B4F68" w:rsidRPr="00307566" w:rsidRDefault="00164E6E">
      <w:pPr>
        <w:numPr>
          <w:ilvl w:val="1"/>
          <w:numId w:val="6"/>
        </w:numPr>
        <w:spacing w:after="0"/>
        <w:rPr>
          <w:b/>
        </w:rPr>
      </w:pPr>
      <w:r w:rsidRPr="00307566">
        <w:t>Capacity strategy: lag</w:t>
      </w:r>
    </w:p>
    <w:p w14:paraId="5581CB20" w14:textId="77777777" w:rsidR="009B4F68" w:rsidRPr="00307566" w:rsidRDefault="00164E6E">
      <w:pPr>
        <w:numPr>
          <w:ilvl w:val="0"/>
          <w:numId w:val="6"/>
        </w:numPr>
        <w:spacing w:after="0"/>
        <w:rPr>
          <w:b/>
        </w:rPr>
      </w:pPr>
      <w:r w:rsidRPr="00307566">
        <w:rPr>
          <w:b/>
          <w:highlight w:val="white"/>
        </w:rPr>
        <w:t>Number of ticket notifications</w:t>
      </w:r>
    </w:p>
    <w:p w14:paraId="6F5A7F23" w14:textId="77777777" w:rsidR="009B4F68" w:rsidRPr="00307566" w:rsidRDefault="00164E6E">
      <w:pPr>
        <w:numPr>
          <w:ilvl w:val="1"/>
          <w:numId w:val="6"/>
        </w:numPr>
        <w:spacing w:after="0"/>
        <w:rPr>
          <w:b/>
        </w:rPr>
      </w:pPr>
      <w:r w:rsidRPr="00307566">
        <w:rPr>
          <w:color w:val="172B4D"/>
          <w:highlight w:val="white"/>
        </w:rPr>
        <w:t>Number of email notifications sent after a ticket submitted, updated, and closed.</w:t>
      </w:r>
    </w:p>
    <w:p w14:paraId="7DCC5853" w14:textId="77777777" w:rsidR="009B4F68" w:rsidRPr="00307566" w:rsidRDefault="00164E6E">
      <w:pPr>
        <w:numPr>
          <w:ilvl w:val="1"/>
          <w:numId w:val="6"/>
        </w:numPr>
        <w:rPr>
          <w:b/>
        </w:rPr>
      </w:pPr>
      <w:r w:rsidRPr="00307566">
        <w:t>Capacity strategy: lag</w:t>
      </w:r>
    </w:p>
    <w:p w14:paraId="236556AC" w14:textId="77777777" w:rsidR="009B4F68" w:rsidRPr="00307566" w:rsidRDefault="00164E6E">
      <w:r w:rsidRPr="00307566">
        <w:t>As it emerges from the diagrams in Figures 17 and 18, the usage of the EOSC helpdesk increased in the first half of 2020 compared to 2019, but the system can handle the demand even if it becomes greater in the next 6/12 months.</w:t>
      </w:r>
    </w:p>
    <w:p w14:paraId="01BADB55" w14:textId="77777777" w:rsidR="009B4F68" w:rsidRPr="00307566" w:rsidRDefault="00164E6E">
      <w:r w:rsidRPr="00307566">
        <w:rPr>
          <w:noProof/>
        </w:rPr>
        <w:drawing>
          <wp:inline distT="114300" distB="114300" distL="114300" distR="114300" wp14:anchorId="5DA1E1DC" wp14:editId="2662A9E3">
            <wp:extent cx="5734050" cy="2146300"/>
            <wp:effectExtent l="0" t="0" r="0" b="0"/>
            <wp:docPr id="5"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9"/>
                    <a:srcRect/>
                    <a:stretch>
                      <a:fillRect/>
                    </a:stretch>
                  </pic:blipFill>
                  <pic:spPr>
                    <a:xfrm>
                      <a:off x="0" y="0"/>
                      <a:ext cx="5734050" cy="2146300"/>
                    </a:xfrm>
                    <a:prstGeom prst="rect">
                      <a:avLst/>
                    </a:prstGeom>
                    <a:ln/>
                  </pic:spPr>
                </pic:pic>
              </a:graphicData>
            </a:graphic>
          </wp:inline>
        </w:drawing>
      </w:r>
    </w:p>
    <w:p w14:paraId="787CECFE" w14:textId="77777777" w:rsidR="009B4F68" w:rsidRPr="00307566" w:rsidRDefault="00164E6E">
      <w:pPr>
        <w:keepNext/>
        <w:spacing w:after="240"/>
        <w:jc w:val="center"/>
      </w:pPr>
      <w:r w:rsidRPr="00307566">
        <w:rPr>
          <w:b/>
          <w:i/>
          <w:color w:val="17365D"/>
        </w:rPr>
        <w:t>Fig. 17 - Total number of tickets submitted through the EOSC Helpdesk.</w:t>
      </w:r>
    </w:p>
    <w:p w14:paraId="6B9CD76A" w14:textId="77777777" w:rsidR="009B4F68" w:rsidRPr="00307566" w:rsidRDefault="009B4F68"/>
    <w:p w14:paraId="7B00FA1C" w14:textId="77777777" w:rsidR="009B4F68" w:rsidRPr="00307566" w:rsidRDefault="00164E6E">
      <w:r w:rsidRPr="00307566">
        <w:rPr>
          <w:noProof/>
        </w:rPr>
        <w:drawing>
          <wp:inline distT="114300" distB="114300" distL="114300" distR="114300" wp14:anchorId="321C31B2" wp14:editId="7EAB5765">
            <wp:extent cx="5734050" cy="2146300"/>
            <wp:effectExtent l="0" t="0" r="0" b="0"/>
            <wp:docPr id="26" name="image25.png"/>
            <wp:cNvGraphicFramePr/>
            <a:graphic xmlns:a="http://schemas.openxmlformats.org/drawingml/2006/main">
              <a:graphicData uri="http://schemas.openxmlformats.org/drawingml/2006/picture">
                <pic:pic xmlns:pic="http://schemas.openxmlformats.org/drawingml/2006/picture">
                  <pic:nvPicPr>
                    <pic:cNvPr id="0" name="image25.png"/>
                    <pic:cNvPicPr preferRelativeResize="0"/>
                  </pic:nvPicPr>
                  <pic:blipFill>
                    <a:blip r:embed="rId30"/>
                    <a:srcRect/>
                    <a:stretch>
                      <a:fillRect/>
                    </a:stretch>
                  </pic:blipFill>
                  <pic:spPr>
                    <a:xfrm>
                      <a:off x="0" y="0"/>
                      <a:ext cx="5734050" cy="2146300"/>
                    </a:xfrm>
                    <a:prstGeom prst="rect">
                      <a:avLst/>
                    </a:prstGeom>
                    <a:ln/>
                  </pic:spPr>
                </pic:pic>
              </a:graphicData>
            </a:graphic>
          </wp:inline>
        </w:drawing>
      </w:r>
    </w:p>
    <w:p w14:paraId="6F880712" w14:textId="77777777" w:rsidR="009B4F68" w:rsidRPr="00307566" w:rsidRDefault="00164E6E">
      <w:pPr>
        <w:keepNext/>
        <w:spacing w:after="240"/>
        <w:jc w:val="center"/>
      </w:pPr>
      <w:r w:rsidRPr="00307566">
        <w:rPr>
          <w:b/>
          <w:i/>
          <w:color w:val="17365D"/>
        </w:rPr>
        <w:t>Fig. 18 - Number of ticket notifications sent as a ticket is submitted, updated, and closed.</w:t>
      </w:r>
    </w:p>
    <w:p w14:paraId="508423F7" w14:textId="77777777" w:rsidR="009B4F68" w:rsidRPr="00307566" w:rsidRDefault="00164E6E">
      <w:pPr>
        <w:pStyle w:val="Heading3"/>
        <w:numPr>
          <w:ilvl w:val="2"/>
          <w:numId w:val="4"/>
        </w:numPr>
      </w:pPr>
      <w:bookmarkStart w:id="24" w:name="_Toc46932773"/>
      <w:r w:rsidRPr="00307566">
        <w:t>Human (Operation and Tickets handling) SLIs</w:t>
      </w:r>
      <w:bookmarkEnd w:id="24"/>
    </w:p>
    <w:p w14:paraId="7864A041" w14:textId="77777777" w:rsidR="009B4F68" w:rsidRPr="00307566" w:rsidRDefault="00164E6E">
      <w:pPr>
        <w:numPr>
          <w:ilvl w:val="0"/>
          <w:numId w:val="7"/>
        </w:numPr>
        <w:spacing w:after="0"/>
        <w:rPr>
          <w:b/>
        </w:rPr>
      </w:pPr>
      <w:r w:rsidRPr="00307566">
        <w:rPr>
          <w:b/>
          <w:color w:val="172B4D"/>
          <w:highlight w:val="white"/>
        </w:rPr>
        <w:t>Number of tickets</w:t>
      </w:r>
    </w:p>
    <w:p w14:paraId="4764E289" w14:textId="77777777" w:rsidR="009B4F68" w:rsidRPr="00307566" w:rsidRDefault="00164E6E">
      <w:pPr>
        <w:numPr>
          <w:ilvl w:val="1"/>
          <w:numId w:val="7"/>
        </w:numPr>
        <w:spacing w:after="0"/>
        <w:rPr>
          <w:b/>
        </w:rPr>
      </w:pPr>
      <w:r w:rsidRPr="00307566">
        <w:rPr>
          <w:color w:val="172B4D"/>
          <w:highlight w:val="white"/>
        </w:rPr>
        <w:lastRenderedPageBreak/>
        <w:t>Total number of tickets assigned to EOSC-hub Helpdesk support unit (the source is the EOSC-hub Helpdesk itself): 1</w:t>
      </w:r>
    </w:p>
    <w:p w14:paraId="0453849B" w14:textId="77777777" w:rsidR="009B4F68" w:rsidRPr="00307566" w:rsidRDefault="00164E6E">
      <w:pPr>
        <w:numPr>
          <w:ilvl w:val="1"/>
          <w:numId w:val="7"/>
        </w:numPr>
        <w:spacing w:after="0"/>
        <w:rPr>
          <w:color w:val="172B4D"/>
          <w:highlight w:val="white"/>
        </w:rPr>
      </w:pPr>
      <w:r w:rsidRPr="00307566">
        <w:rPr>
          <w:color w:val="172B4D"/>
          <w:highlight w:val="white"/>
        </w:rPr>
        <w:t>Capacity Strategy: lag</w:t>
      </w:r>
    </w:p>
    <w:p w14:paraId="1312D1D4" w14:textId="77777777" w:rsidR="009B4F68" w:rsidRPr="00307566" w:rsidRDefault="00164E6E">
      <w:pPr>
        <w:numPr>
          <w:ilvl w:val="0"/>
          <w:numId w:val="7"/>
        </w:numPr>
        <w:spacing w:after="0"/>
        <w:rPr>
          <w:b/>
        </w:rPr>
      </w:pPr>
      <w:r w:rsidRPr="00307566">
        <w:rPr>
          <w:b/>
          <w:color w:val="172B4D"/>
          <w:highlight w:val="white"/>
        </w:rPr>
        <w:t>Average ticket response time</w:t>
      </w:r>
    </w:p>
    <w:p w14:paraId="5408693D" w14:textId="77777777" w:rsidR="009B4F68" w:rsidRPr="00307566" w:rsidRDefault="00164E6E">
      <w:pPr>
        <w:numPr>
          <w:ilvl w:val="1"/>
          <w:numId w:val="7"/>
        </w:numPr>
        <w:spacing w:after="0"/>
        <w:rPr>
          <w:b/>
        </w:rPr>
      </w:pPr>
      <w:r w:rsidRPr="00307566">
        <w:rPr>
          <w:color w:val="172B4D"/>
          <w:highlight w:val="white"/>
        </w:rPr>
        <w:t>Average response time across all tickets regardless category and priority</w:t>
      </w:r>
    </w:p>
    <w:p w14:paraId="3C1CF156" w14:textId="5C974613" w:rsidR="009B4F68" w:rsidRPr="00307566" w:rsidRDefault="00164E6E" w:rsidP="00C3624E">
      <w:pPr>
        <w:numPr>
          <w:ilvl w:val="1"/>
          <w:numId w:val="7"/>
        </w:numPr>
        <w:rPr>
          <w:b/>
          <w:color w:val="172B4D"/>
        </w:rPr>
      </w:pPr>
      <w:r w:rsidRPr="00307566">
        <w:rPr>
          <w:color w:val="172B4D"/>
        </w:rPr>
        <w:t>Capacity strategy: lag</w:t>
      </w:r>
    </w:p>
    <w:p w14:paraId="3D635133" w14:textId="77777777" w:rsidR="009B4F68" w:rsidRPr="00307566" w:rsidRDefault="00164E6E">
      <w:r w:rsidRPr="00307566">
        <w:t>The Helpdesk support unit received only 1 ticket so far and we don’t foresee the risk of the human capacity saturation for the next 6/12 months.</w:t>
      </w:r>
    </w:p>
    <w:p w14:paraId="262EED04" w14:textId="77777777" w:rsidR="009B4F68" w:rsidRPr="00307566" w:rsidRDefault="00164E6E">
      <w:pPr>
        <w:pStyle w:val="Heading2"/>
        <w:numPr>
          <w:ilvl w:val="1"/>
          <w:numId w:val="4"/>
        </w:numPr>
      </w:pPr>
      <w:bookmarkStart w:id="25" w:name="_Toc46932774"/>
      <w:r w:rsidRPr="00307566">
        <w:t>EOSC Marketplace</w:t>
      </w:r>
      <w:bookmarkEnd w:id="25"/>
    </w:p>
    <w:p w14:paraId="714783F9" w14:textId="77777777" w:rsidR="009B4F68" w:rsidRPr="00307566" w:rsidRDefault="00164E6E">
      <w:pPr>
        <w:rPr>
          <w:color w:val="172B4D"/>
        </w:rPr>
      </w:pPr>
      <w:r w:rsidRPr="00307566">
        <w:rPr>
          <w:color w:val="172B4D"/>
          <w:highlight w:val="white"/>
        </w:rPr>
        <w:t>EOSC-hub Marketplace</w:t>
      </w:r>
      <w:r w:rsidRPr="00307566">
        <w:rPr>
          <w:color w:val="172B4D"/>
          <w:highlight w:val="white"/>
          <w:vertAlign w:val="superscript"/>
        </w:rPr>
        <w:footnoteReference w:id="11"/>
      </w:r>
      <w:r w:rsidRPr="00307566">
        <w:rPr>
          <w:color w:val="172B4D"/>
          <w:highlight w:val="white"/>
        </w:rPr>
        <w:t xml:space="preserve"> (MP) is a user-facing platform where productional EOSC-hub services can be promoted, discovered, ordered and accessed. Interaction between the user and e-infrastructure involves numerous processes from a service management point of view which requires the Marketplace as a business tool which supports partial service catalogue management, order management, the management of service level agreements (SLAs, OLAs) and the service reporting.</w:t>
      </w:r>
    </w:p>
    <w:p w14:paraId="5F9ED946" w14:textId="77777777" w:rsidR="009B4F68" w:rsidRPr="00307566" w:rsidRDefault="00164E6E">
      <w:pPr>
        <w:pStyle w:val="Heading3"/>
        <w:numPr>
          <w:ilvl w:val="2"/>
          <w:numId w:val="4"/>
        </w:numPr>
      </w:pPr>
      <w:bookmarkStart w:id="26" w:name="_Toc46932775"/>
      <w:r w:rsidRPr="00307566">
        <w:t>Software/Service Performance SLIs</w:t>
      </w:r>
      <w:bookmarkEnd w:id="26"/>
    </w:p>
    <w:p w14:paraId="6C0228F8" w14:textId="77777777" w:rsidR="009B4F68" w:rsidRPr="00307566" w:rsidRDefault="00164E6E">
      <w:pPr>
        <w:numPr>
          <w:ilvl w:val="0"/>
          <w:numId w:val="8"/>
        </w:numPr>
        <w:spacing w:after="0"/>
        <w:rPr>
          <w:b/>
        </w:rPr>
      </w:pPr>
      <w:r w:rsidRPr="00307566">
        <w:rPr>
          <w:b/>
          <w:highlight w:val="white"/>
        </w:rPr>
        <w:t>Number of users/visitors</w:t>
      </w:r>
    </w:p>
    <w:p w14:paraId="29EAAA6E" w14:textId="77777777" w:rsidR="009B4F68" w:rsidRPr="00307566" w:rsidRDefault="00164E6E">
      <w:pPr>
        <w:numPr>
          <w:ilvl w:val="1"/>
          <w:numId w:val="8"/>
        </w:numPr>
        <w:spacing w:after="0"/>
        <w:rPr>
          <w:b/>
        </w:rPr>
      </w:pPr>
      <w:r w:rsidRPr="00307566">
        <w:rPr>
          <w:highlight w:val="white"/>
        </w:rPr>
        <w:t>People visiting the service, in the month</w:t>
      </w:r>
    </w:p>
    <w:p w14:paraId="2A990D03" w14:textId="77777777" w:rsidR="009B4F68" w:rsidRPr="00307566" w:rsidRDefault="00164E6E">
      <w:pPr>
        <w:numPr>
          <w:ilvl w:val="1"/>
          <w:numId w:val="8"/>
        </w:numPr>
        <w:spacing w:after="0"/>
        <w:rPr>
          <w:b/>
        </w:rPr>
      </w:pPr>
      <w:r w:rsidRPr="00307566">
        <w:t>Capacity strategy: lag</w:t>
      </w:r>
    </w:p>
    <w:p w14:paraId="4C94F7C4" w14:textId="77777777" w:rsidR="009B4F68" w:rsidRPr="00307566" w:rsidRDefault="00164E6E">
      <w:pPr>
        <w:numPr>
          <w:ilvl w:val="0"/>
          <w:numId w:val="8"/>
        </w:numPr>
        <w:spacing w:after="0"/>
        <w:rPr>
          <w:b/>
        </w:rPr>
      </w:pPr>
      <w:r w:rsidRPr="00307566">
        <w:rPr>
          <w:b/>
          <w:highlight w:val="white"/>
        </w:rPr>
        <w:t>Services and resources (numbers of entries</w:t>
      </w:r>
    </w:p>
    <w:p w14:paraId="09F20594" w14:textId="77777777" w:rsidR="009B4F68" w:rsidRPr="00307566" w:rsidRDefault="00164E6E">
      <w:pPr>
        <w:numPr>
          <w:ilvl w:val="1"/>
          <w:numId w:val="8"/>
        </w:numPr>
        <w:spacing w:after="0"/>
        <w:rPr>
          <w:b/>
        </w:rPr>
      </w:pPr>
      <w:r w:rsidRPr="00307566">
        <w:rPr>
          <w:highlight w:val="white"/>
        </w:rPr>
        <w:t>Number of services and resources added to Marketplace per calendar month</w:t>
      </w:r>
    </w:p>
    <w:p w14:paraId="24CCBD68" w14:textId="77777777" w:rsidR="009B4F68" w:rsidRPr="00307566" w:rsidRDefault="00164E6E">
      <w:pPr>
        <w:numPr>
          <w:ilvl w:val="1"/>
          <w:numId w:val="8"/>
        </w:numPr>
        <w:spacing w:after="0"/>
        <w:rPr>
          <w:b/>
        </w:rPr>
      </w:pPr>
      <w:r w:rsidRPr="00307566">
        <w:t>Capacity strategy: lag</w:t>
      </w:r>
    </w:p>
    <w:p w14:paraId="5D8B12ED" w14:textId="77777777" w:rsidR="009B4F68" w:rsidRPr="00307566" w:rsidRDefault="00164E6E">
      <w:pPr>
        <w:numPr>
          <w:ilvl w:val="0"/>
          <w:numId w:val="8"/>
        </w:numPr>
        <w:spacing w:after="0"/>
      </w:pPr>
      <w:r w:rsidRPr="00307566">
        <w:rPr>
          <w:b/>
          <w:highlight w:val="white"/>
        </w:rPr>
        <w:t>Number of orders handled (per day, the daily average per month)</w:t>
      </w:r>
    </w:p>
    <w:p w14:paraId="3B61E743" w14:textId="77777777" w:rsidR="009B4F68" w:rsidRPr="00307566" w:rsidRDefault="00164E6E">
      <w:pPr>
        <w:numPr>
          <w:ilvl w:val="1"/>
          <w:numId w:val="8"/>
        </w:numPr>
        <w:spacing w:after="0"/>
      </w:pPr>
      <w:r w:rsidRPr="00307566">
        <w:rPr>
          <w:highlight w:val="white"/>
        </w:rPr>
        <w:t>Number of service orders handled in Jira per calendar month</w:t>
      </w:r>
    </w:p>
    <w:p w14:paraId="35F1D506" w14:textId="77777777" w:rsidR="009B4F68" w:rsidRPr="00307566" w:rsidRDefault="00164E6E">
      <w:pPr>
        <w:numPr>
          <w:ilvl w:val="1"/>
          <w:numId w:val="8"/>
        </w:numPr>
        <w:rPr>
          <w:b/>
        </w:rPr>
      </w:pPr>
      <w:r w:rsidRPr="00307566">
        <w:t>Capacity strategy: lag</w:t>
      </w:r>
    </w:p>
    <w:p w14:paraId="19861F4C" w14:textId="77777777" w:rsidR="009B4F68" w:rsidRPr="00307566" w:rsidRDefault="009B4F68">
      <w:pPr>
        <w:rPr>
          <w:b/>
          <w:color w:val="172B4D"/>
          <w:sz w:val="21"/>
          <w:szCs w:val="21"/>
          <w:highlight w:val="white"/>
        </w:rPr>
      </w:pPr>
    </w:p>
    <w:p w14:paraId="39ECA751" w14:textId="326828E9" w:rsidR="009B4F68" w:rsidRPr="00307566" w:rsidRDefault="00164E6E" w:rsidP="00C3624E">
      <w:pPr>
        <w:jc w:val="center"/>
        <w:rPr>
          <w:b/>
          <w:color w:val="172B4D"/>
          <w:sz w:val="21"/>
          <w:szCs w:val="21"/>
          <w:highlight w:val="white"/>
        </w:rPr>
      </w:pPr>
      <w:r w:rsidRPr="00307566">
        <w:rPr>
          <w:noProof/>
        </w:rPr>
        <w:drawing>
          <wp:inline distT="114300" distB="114300" distL="114300" distR="114300" wp14:anchorId="0E44C6D0" wp14:editId="7F8BDC9F">
            <wp:extent cx="5731200" cy="1714500"/>
            <wp:effectExtent l="0" t="0" r="0" b="0"/>
            <wp:docPr id="25" name="image21.png"/>
            <wp:cNvGraphicFramePr/>
            <a:graphic xmlns:a="http://schemas.openxmlformats.org/drawingml/2006/main">
              <a:graphicData uri="http://schemas.openxmlformats.org/drawingml/2006/picture">
                <pic:pic xmlns:pic="http://schemas.openxmlformats.org/drawingml/2006/picture">
                  <pic:nvPicPr>
                    <pic:cNvPr id="0" name="image21.png"/>
                    <pic:cNvPicPr preferRelativeResize="0"/>
                  </pic:nvPicPr>
                  <pic:blipFill>
                    <a:blip r:embed="rId31"/>
                    <a:srcRect/>
                    <a:stretch>
                      <a:fillRect/>
                    </a:stretch>
                  </pic:blipFill>
                  <pic:spPr>
                    <a:xfrm>
                      <a:off x="0" y="0"/>
                      <a:ext cx="5731200" cy="1714500"/>
                    </a:xfrm>
                    <a:prstGeom prst="rect">
                      <a:avLst/>
                    </a:prstGeom>
                    <a:ln/>
                  </pic:spPr>
                </pic:pic>
              </a:graphicData>
            </a:graphic>
          </wp:inline>
        </w:drawing>
      </w:r>
      <w:r w:rsidRPr="00307566">
        <w:rPr>
          <w:b/>
          <w:i/>
          <w:color w:val="17365D"/>
        </w:rPr>
        <w:t>Fig. 19 - Number of users visiting the Marketplace.</w:t>
      </w:r>
    </w:p>
    <w:p w14:paraId="46DB9409" w14:textId="77777777" w:rsidR="009B4F68" w:rsidRPr="00307566" w:rsidRDefault="00164E6E">
      <w:pPr>
        <w:rPr>
          <w:b/>
          <w:color w:val="172B4D"/>
          <w:sz w:val="21"/>
          <w:szCs w:val="21"/>
          <w:highlight w:val="white"/>
        </w:rPr>
      </w:pPr>
      <w:r w:rsidRPr="00307566">
        <w:rPr>
          <w:noProof/>
        </w:rPr>
        <w:lastRenderedPageBreak/>
        <w:drawing>
          <wp:inline distT="114300" distB="114300" distL="114300" distR="114300" wp14:anchorId="339BAF68" wp14:editId="76A4F521">
            <wp:extent cx="5734050" cy="1714500"/>
            <wp:effectExtent l="0" t="0" r="0" b="0"/>
            <wp:docPr id="37" name="image30.png"/>
            <wp:cNvGraphicFramePr/>
            <a:graphic xmlns:a="http://schemas.openxmlformats.org/drawingml/2006/main">
              <a:graphicData uri="http://schemas.openxmlformats.org/drawingml/2006/picture">
                <pic:pic xmlns:pic="http://schemas.openxmlformats.org/drawingml/2006/picture">
                  <pic:nvPicPr>
                    <pic:cNvPr id="0" name="image30.png"/>
                    <pic:cNvPicPr preferRelativeResize="0"/>
                  </pic:nvPicPr>
                  <pic:blipFill>
                    <a:blip r:embed="rId32"/>
                    <a:srcRect/>
                    <a:stretch>
                      <a:fillRect/>
                    </a:stretch>
                  </pic:blipFill>
                  <pic:spPr>
                    <a:xfrm>
                      <a:off x="0" y="0"/>
                      <a:ext cx="5734050" cy="1714500"/>
                    </a:xfrm>
                    <a:prstGeom prst="rect">
                      <a:avLst/>
                    </a:prstGeom>
                    <a:ln/>
                  </pic:spPr>
                </pic:pic>
              </a:graphicData>
            </a:graphic>
          </wp:inline>
        </w:drawing>
      </w:r>
    </w:p>
    <w:p w14:paraId="70CAED4A" w14:textId="77777777" w:rsidR="009B4F68" w:rsidRPr="00307566" w:rsidRDefault="00164E6E">
      <w:pPr>
        <w:keepNext/>
        <w:spacing w:after="240"/>
        <w:jc w:val="center"/>
        <w:rPr>
          <w:b/>
          <w:color w:val="172B4D"/>
          <w:sz w:val="21"/>
          <w:szCs w:val="21"/>
          <w:highlight w:val="white"/>
        </w:rPr>
      </w:pPr>
      <w:r w:rsidRPr="00307566">
        <w:rPr>
          <w:b/>
          <w:i/>
          <w:color w:val="17365D"/>
        </w:rPr>
        <w:t>Fig. 20 - Number of services registered in the Marketplace.</w:t>
      </w:r>
    </w:p>
    <w:p w14:paraId="33FE2FC9" w14:textId="77777777" w:rsidR="009B4F68" w:rsidRPr="00307566" w:rsidRDefault="00164E6E">
      <w:pPr>
        <w:jc w:val="center"/>
        <w:rPr>
          <w:b/>
          <w:color w:val="172B4D"/>
          <w:sz w:val="21"/>
          <w:szCs w:val="21"/>
          <w:highlight w:val="white"/>
        </w:rPr>
      </w:pPr>
      <w:r w:rsidRPr="00307566">
        <w:rPr>
          <w:b/>
          <w:noProof/>
          <w:color w:val="172B4D"/>
          <w:sz w:val="21"/>
          <w:szCs w:val="21"/>
          <w:highlight w:val="white"/>
        </w:rPr>
        <w:drawing>
          <wp:inline distT="114300" distB="114300" distL="114300" distR="114300" wp14:anchorId="315CF6B7" wp14:editId="56718A8B">
            <wp:extent cx="5734050" cy="1714500"/>
            <wp:effectExtent l="0" t="0" r="0" b="0"/>
            <wp:docPr id="13"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33"/>
                    <a:srcRect/>
                    <a:stretch>
                      <a:fillRect/>
                    </a:stretch>
                  </pic:blipFill>
                  <pic:spPr>
                    <a:xfrm>
                      <a:off x="0" y="0"/>
                      <a:ext cx="5734050" cy="1714500"/>
                    </a:xfrm>
                    <a:prstGeom prst="rect">
                      <a:avLst/>
                    </a:prstGeom>
                    <a:ln/>
                  </pic:spPr>
                </pic:pic>
              </a:graphicData>
            </a:graphic>
          </wp:inline>
        </w:drawing>
      </w:r>
      <w:r w:rsidRPr="00307566">
        <w:rPr>
          <w:b/>
          <w:i/>
          <w:color w:val="17365D"/>
        </w:rPr>
        <w:t>Fig. 21 - Number of service orders handled per month.</w:t>
      </w:r>
    </w:p>
    <w:p w14:paraId="397C0E42" w14:textId="77777777" w:rsidR="009B4F68" w:rsidRPr="00307566" w:rsidRDefault="00164E6E">
      <w:pPr>
        <w:rPr>
          <w:color w:val="172B4D"/>
          <w:highlight w:val="white"/>
        </w:rPr>
      </w:pPr>
      <w:r w:rsidRPr="00307566">
        <w:rPr>
          <w:color w:val="172B4D"/>
          <w:highlight w:val="white"/>
        </w:rPr>
        <w:t>As shown in Fig. 19, in May 2020 there was a higher number of users visiting the Marketplace compared to the previous months due to the EOSC-hub Week 2020. For the same reason, the Number of Orders handled in May 2020 is not reported in Fig. 20 because the participants to the EOSC-hub Week made a number of fake service orders which produced noise to the statistics. In general the service didn’t show capacity issues and the current capacity should be enough to respond to the future demand even if it will increase.</w:t>
      </w:r>
    </w:p>
    <w:p w14:paraId="673BC474" w14:textId="77777777" w:rsidR="009B4F68" w:rsidRPr="00307566" w:rsidRDefault="00164E6E">
      <w:pPr>
        <w:pStyle w:val="Heading3"/>
        <w:numPr>
          <w:ilvl w:val="2"/>
          <w:numId w:val="4"/>
        </w:numPr>
      </w:pPr>
      <w:bookmarkStart w:id="27" w:name="_Toc46932776"/>
      <w:r w:rsidRPr="00307566">
        <w:t>Human (Operation and Tickets handling) SLIs</w:t>
      </w:r>
      <w:bookmarkEnd w:id="27"/>
    </w:p>
    <w:p w14:paraId="7AEC851B" w14:textId="77777777" w:rsidR="009B4F68" w:rsidRPr="00307566" w:rsidRDefault="00164E6E">
      <w:pPr>
        <w:numPr>
          <w:ilvl w:val="0"/>
          <w:numId w:val="1"/>
        </w:numPr>
        <w:spacing w:after="0"/>
        <w:rPr>
          <w:b/>
        </w:rPr>
      </w:pPr>
      <w:r w:rsidRPr="00307566">
        <w:rPr>
          <w:b/>
          <w:highlight w:val="white"/>
        </w:rPr>
        <w:t>Number of tickets</w:t>
      </w:r>
    </w:p>
    <w:p w14:paraId="5EBB5D62" w14:textId="77777777" w:rsidR="009B4F68" w:rsidRPr="00307566" w:rsidRDefault="00164E6E">
      <w:pPr>
        <w:numPr>
          <w:ilvl w:val="1"/>
          <w:numId w:val="1"/>
        </w:numPr>
        <w:spacing w:after="0"/>
        <w:rPr>
          <w:b/>
        </w:rPr>
      </w:pPr>
      <w:r w:rsidRPr="00307566">
        <w:rPr>
          <w:highlight w:val="white"/>
        </w:rPr>
        <w:t>Number of GGUS tickets handled by the provider (regardless category and priority) per calendar month</w:t>
      </w:r>
    </w:p>
    <w:p w14:paraId="54FA6D1D" w14:textId="77777777" w:rsidR="009B4F68" w:rsidRPr="00307566" w:rsidRDefault="00164E6E">
      <w:pPr>
        <w:numPr>
          <w:ilvl w:val="1"/>
          <w:numId w:val="1"/>
        </w:numPr>
        <w:spacing w:after="0"/>
        <w:rPr>
          <w:highlight w:val="white"/>
        </w:rPr>
      </w:pPr>
      <w:r w:rsidRPr="00307566">
        <w:t>Capacity strategy: lag</w:t>
      </w:r>
    </w:p>
    <w:p w14:paraId="2638DCAF" w14:textId="77777777" w:rsidR="009B4F68" w:rsidRPr="00307566" w:rsidRDefault="00164E6E">
      <w:pPr>
        <w:numPr>
          <w:ilvl w:val="0"/>
          <w:numId w:val="1"/>
        </w:numPr>
        <w:spacing w:after="0"/>
        <w:rPr>
          <w:b/>
        </w:rPr>
      </w:pPr>
      <w:r w:rsidRPr="00307566">
        <w:rPr>
          <w:b/>
          <w:highlight w:val="white"/>
        </w:rPr>
        <w:t>Average ticket response time</w:t>
      </w:r>
    </w:p>
    <w:p w14:paraId="6E76F5AC" w14:textId="77777777" w:rsidR="009B4F68" w:rsidRPr="00307566" w:rsidRDefault="00164E6E">
      <w:pPr>
        <w:numPr>
          <w:ilvl w:val="1"/>
          <w:numId w:val="1"/>
        </w:numPr>
        <w:spacing w:after="0"/>
        <w:rPr>
          <w:b/>
        </w:rPr>
      </w:pPr>
      <w:r w:rsidRPr="00307566">
        <w:rPr>
          <w:highlight w:val="white"/>
        </w:rPr>
        <w:t>Average response time across all tickets irrespective of urgency</w:t>
      </w:r>
    </w:p>
    <w:p w14:paraId="64BBA7FD" w14:textId="77777777" w:rsidR="009B4F68" w:rsidRPr="00307566" w:rsidRDefault="00164E6E">
      <w:pPr>
        <w:numPr>
          <w:ilvl w:val="1"/>
          <w:numId w:val="1"/>
        </w:numPr>
        <w:rPr>
          <w:b/>
        </w:rPr>
      </w:pPr>
      <w:r w:rsidRPr="00307566">
        <w:t>Capacity strategy: lag</w:t>
      </w:r>
    </w:p>
    <w:p w14:paraId="0E289351" w14:textId="77777777" w:rsidR="009B4F68" w:rsidRPr="00307566" w:rsidRDefault="009B4F68"/>
    <w:p w14:paraId="45A84E50" w14:textId="77777777" w:rsidR="009B4F68" w:rsidRPr="00307566" w:rsidRDefault="00164E6E">
      <w:r w:rsidRPr="00307566">
        <w:rPr>
          <w:noProof/>
        </w:rPr>
        <w:lastRenderedPageBreak/>
        <w:drawing>
          <wp:inline distT="114300" distB="114300" distL="114300" distR="114300" wp14:anchorId="5CDCDBF3" wp14:editId="1FEED0DF">
            <wp:extent cx="5734050" cy="2146300"/>
            <wp:effectExtent l="0" t="0" r="0" b="0"/>
            <wp:docPr id="1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34"/>
                    <a:srcRect/>
                    <a:stretch>
                      <a:fillRect/>
                    </a:stretch>
                  </pic:blipFill>
                  <pic:spPr>
                    <a:xfrm>
                      <a:off x="0" y="0"/>
                      <a:ext cx="5734050" cy="2146300"/>
                    </a:xfrm>
                    <a:prstGeom prst="rect">
                      <a:avLst/>
                    </a:prstGeom>
                    <a:ln/>
                  </pic:spPr>
                </pic:pic>
              </a:graphicData>
            </a:graphic>
          </wp:inline>
        </w:drawing>
      </w:r>
      <w:r w:rsidRPr="00307566">
        <w:t xml:space="preserve">  </w:t>
      </w:r>
    </w:p>
    <w:p w14:paraId="64D11C44" w14:textId="7F7CD458" w:rsidR="009B4F68" w:rsidRPr="00307566" w:rsidRDefault="00164E6E">
      <w:pPr>
        <w:ind w:left="720" w:firstLine="720"/>
      </w:pPr>
      <w:r w:rsidRPr="00307566">
        <w:rPr>
          <w:b/>
          <w:i/>
          <w:color w:val="17365D"/>
        </w:rPr>
        <w:t>Fig. 22 - Number of tickets handled by the service support unit</w:t>
      </w:r>
      <w:r w:rsidR="00C46A72" w:rsidRPr="00307566">
        <w:rPr>
          <w:b/>
          <w:i/>
          <w:color w:val="17365D"/>
        </w:rPr>
        <w:t>.</w:t>
      </w:r>
    </w:p>
    <w:p w14:paraId="4536484D" w14:textId="77777777" w:rsidR="009B4F68" w:rsidRPr="00307566" w:rsidRDefault="00164E6E">
      <w:r w:rsidRPr="00307566">
        <w:rPr>
          <w:noProof/>
        </w:rPr>
        <w:drawing>
          <wp:inline distT="114300" distB="114300" distL="114300" distR="114300" wp14:anchorId="27CFBB74" wp14:editId="67570CB5">
            <wp:extent cx="5734050" cy="2146300"/>
            <wp:effectExtent l="0" t="0" r="0" b="0"/>
            <wp:docPr id="38" name="image36.png"/>
            <wp:cNvGraphicFramePr/>
            <a:graphic xmlns:a="http://schemas.openxmlformats.org/drawingml/2006/main">
              <a:graphicData uri="http://schemas.openxmlformats.org/drawingml/2006/picture">
                <pic:pic xmlns:pic="http://schemas.openxmlformats.org/drawingml/2006/picture">
                  <pic:nvPicPr>
                    <pic:cNvPr id="0" name="image36.png"/>
                    <pic:cNvPicPr preferRelativeResize="0"/>
                  </pic:nvPicPr>
                  <pic:blipFill>
                    <a:blip r:embed="rId35"/>
                    <a:srcRect/>
                    <a:stretch>
                      <a:fillRect/>
                    </a:stretch>
                  </pic:blipFill>
                  <pic:spPr>
                    <a:xfrm>
                      <a:off x="0" y="0"/>
                      <a:ext cx="5734050" cy="2146300"/>
                    </a:xfrm>
                    <a:prstGeom prst="rect">
                      <a:avLst/>
                    </a:prstGeom>
                    <a:ln/>
                  </pic:spPr>
                </pic:pic>
              </a:graphicData>
            </a:graphic>
          </wp:inline>
        </w:drawing>
      </w:r>
    </w:p>
    <w:p w14:paraId="4E808584" w14:textId="60F63C99" w:rsidR="009B4F68" w:rsidRPr="00307566" w:rsidRDefault="00164E6E">
      <w:pPr>
        <w:keepNext/>
        <w:spacing w:after="240"/>
        <w:jc w:val="center"/>
        <w:rPr>
          <w:b/>
          <w:i/>
          <w:color w:val="17365D"/>
        </w:rPr>
      </w:pPr>
      <w:r w:rsidRPr="00307566">
        <w:rPr>
          <w:b/>
          <w:i/>
          <w:color w:val="17365D"/>
        </w:rPr>
        <w:t>Fig. 23 - Average response time (working days) to the tickets submitted to the service support unit</w:t>
      </w:r>
      <w:r w:rsidR="00C3624E" w:rsidRPr="00307566">
        <w:rPr>
          <w:b/>
          <w:i/>
          <w:color w:val="17365D"/>
        </w:rPr>
        <w:t>.</w:t>
      </w:r>
    </w:p>
    <w:p w14:paraId="338F0719" w14:textId="77777777" w:rsidR="009B4F68" w:rsidRPr="00307566" w:rsidRDefault="00164E6E">
      <w:pPr>
        <w:keepNext/>
        <w:spacing w:after="240"/>
        <w:jc w:val="left"/>
      </w:pPr>
      <w:r w:rsidRPr="00307566">
        <w:t>Similarly to other services, sometimes the support team replied to the tickets within the service level targets but it didn’t properly change the (single) ticket status to “in progress”, causing in this way a relatively high value in the average response time (Fig. 23).</w:t>
      </w:r>
    </w:p>
    <w:p w14:paraId="11102460" w14:textId="77777777" w:rsidR="009B4F68" w:rsidRPr="00307566" w:rsidRDefault="00164E6E">
      <w:pPr>
        <w:pStyle w:val="Heading2"/>
        <w:numPr>
          <w:ilvl w:val="1"/>
          <w:numId w:val="4"/>
        </w:numPr>
      </w:pPr>
      <w:bookmarkStart w:id="28" w:name="_Toc46932777"/>
      <w:r w:rsidRPr="00307566">
        <w:t>EOSC-hub Monitoring</w:t>
      </w:r>
      <w:bookmarkEnd w:id="28"/>
    </w:p>
    <w:p w14:paraId="335025A2" w14:textId="77777777" w:rsidR="009B4F68" w:rsidRPr="00307566" w:rsidRDefault="00164E6E">
      <w:r w:rsidRPr="00307566">
        <w:t>The EOSC-hub Monitoring service, based on ARGO</w:t>
      </w:r>
      <w:r w:rsidRPr="00307566">
        <w:rPr>
          <w:vertAlign w:val="superscript"/>
        </w:rPr>
        <w:footnoteReference w:id="12"/>
      </w:r>
      <w:r w:rsidRPr="00307566">
        <w:t>, is a central tool to monitor the several EOSC-hub services and to produce performance reports.</w:t>
      </w:r>
    </w:p>
    <w:p w14:paraId="24C07884" w14:textId="77777777" w:rsidR="009B4F68" w:rsidRPr="00307566" w:rsidRDefault="00164E6E">
      <w:pPr>
        <w:pStyle w:val="Heading3"/>
        <w:numPr>
          <w:ilvl w:val="2"/>
          <w:numId w:val="4"/>
        </w:numPr>
      </w:pPr>
      <w:bookmarkStart w:id="29" w:name="_Toc46932778"/>
      <w:r w:rsidRPr="00307566">
        <w:t>Software/Service Performance SLIs</w:t>
      </w:r>
      <w:r w:rsidRPr="00307566">
        <w:rPr>
          <w:vertAlign w:val="superscript"/>
        </w:rPr>
        <w:footnoteReference w:id="13"/>
      </w:r>
      <w:bookmarkEnd w:id="29"/>
    </w:p>
    <w:p w14:paraId="06DC306E" w14:textId="77777777" w:rsidR="009B4F68" w:rsidRPr="00307566" w:rsidRDefault="00164E6E">
      <w:pPr>
        <w:numPr>
          <w:ilvl w:val="0"/>
          <w:numId w:val="9"/>
        </w:numPr>
        <w:spacing w:after="0"/>
      </w:pPr>
      <w:r w:rsidRPr="00307566">
        <w:rPr>
          <w:b/>
        </w:rPr>
        <w:t>Number of connections / contacts via web</w:t>
      </w:r>
    </w:p>
    <w:p w14:paraId="483AA295" w14:textId="77777777" w:rsidR="009B4F68" w:rsidRPr="00307566" w:rsidRDefault="00164E6E">
      <w:pPr>
        <w:numPr>
          <w:ilvl w:val="1"/>
          <w:numId w:val="9"/>
        </w:numPr>
        <w:spacing w:after="0"/>
      </w:pPr>
      <w:r w:rsidRPr="00307566">
        <w:t>Total number of accesses to the web interface</w:t>
      </w:r>
    </w:p>
    <w:p w14:paraId="0C7C17EE" w14:textId="77777777" w:rsidR="009B4F68" w:rsidRPr="00307566" w:rsidRDefault="00164E6E">
      <w:pPr>
        <w:numPr>
          <w:ilvl w:val="1"/>
          <w:numId w:val="9"/>
        </w:numPr>
        <w:spacing w:after="0"/>
      </w:pPr>
      <w:r w:rsidRPr="00307566">
        <w:t>Capacity strategy: lag</w:t>
      </w:r>
    </w:p>
    <w:p w14:paraId="0FAECB39" w14:textId="77777777" w:rsidR="009B4F68" w:rsidRPr="00307566" w:rsidRDefault="00164E6E">
      <w:pPr>
        <w:numPr>
          <w:ilvl w:val="0"/>
          <w:numId w:val="9"/>
        </w:numPr>
        <w:spacing w:after="0"/>
      </w:pPr>
      <w:r w:rsidRPr="00307566">
        <w:rPr>
          <w:b/>
        </w:rPr>
        <w:t>Number of monitored service endpoints</w:t>
      </w:r>
    </w:p>
    <w:p w14:paraId="3FB7014E" w14:textId="77777777" w:rsidR="009B4F68" w:rsidRPr="00307566" w:rsidRDefault="00164E6E">
      <w:pPr>
        <w:numPr>
          <w:ilvl w:val="1"/>
          <w:numId w:val="9"/>
        </w:numPr>
        <w:spacing w:after="0"/>
      </w:pPr>
      <w:r w:rsidRPr="00307566">
        <w:lastRenderedPageBreak/>
        <w:t>Total number of monitored endpoints</w:t>
      </w:r>
    </w:p>
    <w:p w14:paraId="6AB9DEA1" w14:textId="77777777" w:rsidR="009B4F68" w:rsidRPr="00307566" w:rsidRDefault="00164E6E">
      <w:pPr>
        <w:numPr>
          <w:ilvl w:val="1"/>
          <w:numId w:val="9"/>
        </w:numPr>
        <w:spacing w:after="0"/>
      </w:pPr>
      <w:r w:rsidRPr="00307566">
        <w:t>Capacity strategy: lag</w:t>
      </w:r>
    </w:p>
    <w:p w14:paraId="779EC9C2" w14:textId="77777777" w:rsidR="009B4F68" w:rsidRPr="00307566" w:rsidRDefault="00164E6E">
      <w:pPr>
        <w:numPr>
          <w:ilvl w:val="0"/>
          <w:numId w:val="9"/>
        </w:numPr>
        <w:spacing w:after="0"/>
      </w:pPr>
      <w:r w:rsidRPr="00307566">
        <w:rPr>
          <w:b/>
        </w:rPr>
        <w:t>Number of probes</w:t>
      </w:r>
    </w:p>
    <w:p w14:paraId="21AF20AC" w14:textId="77777777" w:rsidR="009B4F68" w:rsidRPr="00307566" w:rsidRDefault="00164E6E">
      <w:pPr>
        <w:numPr>
          <w:ilvl w:val="1"/>
          <w:numId w:val="9"/>
        </w:numPr>
        <w:spacing w:after="0"/>
      </w:pPr>
      <w:r w:rsidRPr="00307566">
        <w:t>Total number of probes in the system</w:t>
      </w:r>
    </w:p>
    <w:p w14:paraId="56853070" w14:textId="77777777" w:rsidR="009B4F68" w:rsidRPr="00307566" w:rsidRDefault="00164E6E">
      <w:pPr>
        <w:numPr>
          <w:ilvl w:val="1"/>
          <w:numId w:val="9"/>
        </w:numPr>
        <w:spacing w:after="0"/>
      </w:pPr>
      <w:r w:rsidRPr="00307566">
        <w:t>Capacity strategy: lag</w:t>
      </w:r>
    </w:p>
    <w:p w14:paraId="4EA01D3E" w14:textId="77777777" w:rsidR="009B4F68" w:rsidRPr="00307566" w:rsidRDefault="00164E6E">
      <w:pPr>
        <w:numPr>
          <w:ilvl w:val="0"/>
          <w:numId w:val="9"/>
        </w:numPr>
        <w:spacing w:after="0"/>
      </w:pPr>
      <w:r w:rsidRPr="00307566">
        <w:rPr>
          <w:b/>
        </w:rPr>
        <w:t>Number of probes executions</w:t>
      </w:r>
      <w:r w:rsidRPr="00307566">
        <w:t xml:space="preserve"> (per day, daily average per month)</w:t>
      </w:r>
    </w:p>
    <w:p w14:paraId="6F8EA438" w14:textId="77777777" w:rsidR="009B4F68" w:rsidRPr="00307566" w:rsidRDefault="00164E6E">
      <w:pPr>
        <w:numPr>
          <w:ilvl w:val="1"/>
          <w:numId w:val="9"/>
        </w:numPr>
        <w:spacing w:after="0"/>
      </w:pPr>
      <w:r w:rsidRPr="00307566">
        <w:t>Total number of times that the probes are executed each day</w:t>
      </w:r>
    </w:p>
    <w:p w14:paraId="4E3EEA3C" w14:textId="77777777" w:rsidR="009B4F68" w:rsidRPr="00307566" w:rsidRDefault="00164E6E">
      <w:pPr>
        <w:numPr>
          <w:ilvl w:val="1"/>
          <w:numId w:val="9"/>
        </w:numPr>
        <w:spacing w:after="0"/>
      </w:pPr>
      <w:r w:rsidRPr="00307566">
        <w:t>Capacity strategy: lag</w:t>
      </w:r>
    </w:p>
    <w:p w14:paraId="5EACDD3B" w14:textId="77777777" w:rsidR="009B4F68" w:rsidRPr="00307566" w:rsidRDefault="00164E6E">
      <w:pPr>
        <w:numPr>
          <w:ilvl w:val="0"/>
          <w:numId w:val="9"/>
        </w:numPr>
        <w:spacing w:after="0"/>
      </w:pPr>
      <w:r w:rsidRPr="00307566">
        <w:rPr>
          <w:b/>
        </w:rPr>
        <w:t>Number of notifications</w:t>
      </w:r>
      <w:r w:rsidRPr="00307566">
        <w:t xml:space="preserve"> (per day, daily average per month)</w:t>
      </w:r>
    </w:p>
    <w:p w14:paraId="28B00DAE" w14:textId="77777777" w:rsidR="009B4F68" w:rsidRPr="00307566" w:rsidRDefault="00164E6E">
      <w:pPr>
        <w:numPr>
          <w:ilvl w:val="1"/>
          <w:numId w:val="9"/>
        </w:numPr>
        <w:spacing w:after="0"/>
      </w:pPr>
      <w:r w:rsidRPr="00307566">
        <w:t>Total number of email notifications that are sent to the providers who enabled this feature</w:t>
      </w:r>
    </w:p>
    <w:p w14:paraId="05099F9C" w14:textId="77777777" w:rsidR="009B4F68" w:rsidRPr="00307566" w:rsidRDefault="00164E6E">
      <w:pPr>
        <w:numPr>
          <w:ilvl w:val="1"/>
          <w:numId w:val="9"/>
        </w:numPr>
      </w:pPr>
      <w:r w:rsidRPr="00307566">
        <w:t>Capacity strategy: lag</w:t>
      </w:r>
    </w:p>
    <w:p w14:paraId="5D3CDD84" w14:textId="77777777" w:rsidR="009B4F68" w:rsidRPr="00307566" w:rsidRDefault="00164E6E">
      <w:pPr>
        <w:pStyle w:val="Heading3"/>
        <w:numPr>
          <w:ilvl w:val="2"/>
          <w:numId w:val="4"/>
        </w:numPr>
      </w:pPr>
      <w:bookmarkStart w:id="30" w:name="_Toc46932779"/>
      <w:r w:rsidRPr="00307566">
        <w:t>Human (Operation and Tickets handling) SLIs</w:t>
      </w:r>
      <w:bookmarkEnd w:id="30"/>
    </w:p>
    <w:p w14:paraId="030AF37D" w14:textId="77777777" w:rsidR="009B4F68" w:rsidRPr="00307566" w:rsidRDefault="00164E6E">
      <w:pPr>
        <w:numPr>
          <w:ilvl w:val="0"/>
          <w:numId w:val="13"/>
        </w:numPr>
        <w:spacing w:after="0"/>
      </w:pPr>
      <w:r w:rsidRPr="00307566">
        <w:rPr>
          <w:b/>
        </w:rPr>
        <w:t>Number of tickets</w:t>
      </w:r>
    </w:p>
    <w:p w14:paraId="562BB06A" w14:textId="77777777" w:rsidR="009B4F68" w:rsidRPr="00307566" w:rsidRDefault="00164E6E">
      <w:pPr>
        <w:numPr>
          <w:ilvl w:val="1"/>
          <w:numId w:val="13"/>
        </w:numPr>
        <w:spacing w:after="0"/>
      </w:pPr>
      <w:r w:rsidRPr="00307566">
        <w:t>Number of tickets handled by the provider (regardless category and priority). The statistic is collected by the EGI Helpdesk system (GGUS)</w:t>
      </w:r>
    </w:p>
    <w:p w14:paraId="651BC094" w14:textId="77777777" w:rsidR="009B4F68" w:rsidRPr="00307566" w:rsidRDefault="00164E6E">
      <w:pPr>
        <w:numPr>
          <w:ilvl w:val="1"/>
          <w:numId w:val="13"/>
        </w:numPr>
        <w:spacing w:after="0"/>
      </w:pPr>
      <w:r w:rsidRPr="00307566">
        <w:t>Capacity strategy: lag</w:t>
      </w:r>
    </w:p>
    <w:p w14:paraId="74B7D816" w14:textId="77777777" w:rsidR="009B4F68" w:rsidRPr="00307566" w:rsidRDefault="00164E6E">
      <w:pPr>
        <w:numPr>
          <w:ilvl w:val="0"/>
          <w:numId w:val="13"/>
        </w:numPr>
        <w:spacing w:after="0"/>
      </w:pPr>
      <w:r w:rsidRPr="00307566">
        <w:rPr>
          <w:b/>
        </w:rPr>
        <w:t>Tickets average response time</w:t>
      </w:r>
    </w:p>
    <w:p w14:paraId="4BE9BA87" w14:textId="77777777" w:rsidR="009B4F68" w:rsidRPr="00307566" w:rsidRDefault="00164E6E">
      <w:pPr>
        <w:numPr>
          <w:ilvl w:val="1"/>
          <w:numId w:val="13"/>
        </w:numPr>
        <w:spacing w:after="0"/>
      </w:pPr>
      <w:r w:rsidRPr="00307566">
        <w:t>Average response time (in working days) to the tickets (regardless category and priority). The aim is to check if a relatively high number of tickets can produce an increase of the (average) response time. The statistic is collected by the EGI Helpdesk system (GGUS).</w:t>
      </w:r>
    </w:p>
    <w:p w14:paraId="60A5B4AB" w14:textId="77777777" w:rsidR="009B4F68" w:rsidRPr="00307566" w:rsidRDefault="00164E6E">
      <w:pPr>
        <w:numPr>
          <w:ilvl w:val="1"/>
          <w:numId w:val="13"/>
        </w:numPr>
      </w:pPr>
      <w:r w:rsidRPr="00307566">
        <w:t>Capacity strategy: lag</w:t>
      </w:r>
    </w:p>
    <w:p w14:paraId="5010E5FA" w14:textId="77777777" w:rsidR="009B4F68" w:rsidRPr="00307566" w:rsidRDefault="009B4F68"/>
    <w:p w14:paraId="33538A34" w14:textId="77777777" w:rsidR="009B4F68" w:rsidRPr="00307566" w:rsidRDefault="00164E6E">
      <w:r w:rsidRPr="00307566">
        <w:t>The support team handled the tickets (Fig. 24 and 25) without particular problems even when a higher number of tickets than usual was assigned to it, and we can assume that this will continue in the same way also in case of an increase in service demand.</w:t>
      </w:r>
    </w:p>
    <w:p w14:paraId="26E9B353" w14:textId="617F9E22" w:rsidR="009B4F68" w:rsidRPr="00307566" w:rsidRDefault="00164E6E">
      <w:pPr>
        <w:jc w:val="center"/>
      </w:pPr>
      <w:r w:rsidRPr="00307566">
        <w:rPr>
          <w:noProof/>
        </w:rPr>
        <w:drawing>
          <wp:inline distT="114300" distB="114300" distL="114300" distR="114300" wp14:anchorId="118F651B" wp14:editId="45267F1F">
            <wp:extent cx="5731200" cy="2146300"/>
            <wp:effectExtent l="0" t="0" r="0" b="0"/>
            <wp:docPr id="18"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36"/>
                    <a:srcRect/>
                    <a:stretch>
                      <a:fillRect/>
                    </a:stretch>
                  </pic:blipFill>
                  <pic:spPr>
                    <a:xfrm>
                      <a:off x="0" y="0"/>
                      <a:ext cx="5731200" cy="2146300"/>
                    </a:xfrm>
                    <a:prstGeom prst="rect">
                      <a:avLst/>
                    </a:prstGeom>
                    <a:ln/>
                  </pic:spPr>
                </pic:pic>
              </a:graphicData>
            </a:graphic>
          </wp:inline>
        </w:drawing>
      </w:r>
      <w:r w:rsidRPr="00307566">
        <w:rPr>
          <w:b/>
          <w:i/>
          <w:color w:val="17365D"/>
        </w:rPr>
        <w:t>Fig. 24 - Number of tickets handled by the service support unit</w:t>
      </w:r>
      <w:r w:rsidR="00C3624E" w:rsidRPr="00307566">
        <w:rPr>
          <w:b/>
          <w:i/>
          <w:color w:val="17365D"/>
        </w:rPr>
        <w:t>.</w:t>
      </w:r>
    </w:p>
    <w:p w14:paraId="6E914719" w14:textId="77E27569" w:rsidR="009B4F68" w:rsidRPr="00307566" w:rsidRDefault="00164E6E">
      <w:pPr>
        <w:jc w:val="center"/>
      </w:pPr>
      <w:r w:rsidRPr="00307566">
        <w:rPr>
          <w:noProof/>
        </w:rPr>
        <w:lastRenderedPageBreak/>
        <w:drawing>
          <wp:inline distT="114300" distB="114300" distL="114300" distR="114300" wp14:anchorId="70E79895" wp14:editId="7FD5818A">
            <wp:extent cx="5731200" cy="2146300"/>
            <wp:effectExtent l="0" t="0" r="0" b="0"/>
            <wp:docPr id="27"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37"/>
                    <a:srcRect/>
                    <a:stretch>
                      <a:fillRect/>
                    </a:stretch>
                  </pic:blipFill>
                  <pic:spPr>
                    <a:xfrm>
                      <a:off x="0" y="0"/>
                      <a:ext cx="5731200" cy="2146300"/>
                    </a:xfrm>
                    <a:prstGeom prst="rect">
                      <a:avLst/>
                    </a:prstGeom>
                    <a:ln/>
                  </pic:spPr>
                </pic:pic>
              </a:graphicData>
            </a:graphic>
          </wp:inline>
        </w:drawing>
      </w:r>
      <w:r w:rsidRPr="00307566">
        <w:rPr>
          <w:b/>
          <w:i/>
          <w:color w:val="17365D"/>
        </w:rPr>
        <w:t>Fig. 25 - Average response time (working days) to the tickets submitted to the service support unit</w:t>
      </w:r>
      <w:r w:rsidR="00C3624E" w:rsidRPr="00307566">
        <w:rPr>
          <w:b/>
          <w:i/>
          <w:color w:val="17365D"/>
        </w:rPr>
        <w:t>.</w:t>
      </w:r>
    </w:p>
    <w:p w14:paraId="56618304" w14:textId="77777777" w:rsidR="009B4F68" w:rsidRPr="00307566" w:rsidRDefault="00164E6E">
      <w:pPr>
        <w:pStyle w:val="Heading2"/>
        <w:numPr>
          <w:ilvl w:val="1"/>
          <w:numId w:val="4"/>
        </w:numPr>
      </w:pPr>
      <w:bookmarkStart w:id="31" w:name="_Toc46932780"/>
      <w:r w:rsidRPr="00307566">
        <w:t>EOSC Portal</w:t>
      </w:r>
      <w:bookmarkEnd w:id="31"/>
    </w:p>
    <w:p w14:paraId="75EC10E2" w14:textId="77777777" w:rsidR="009B4F68" w:rsidRPr="00307566" w:rsidRDefault="00164E6E">
      <w:r w:rsidRPr="00307566">
        <w:t>The EOSC Portal</w:t>
      </w:r>
      <w:r w:rsidRPr="00307566">
        <w:rPr>
          <w:vertAlign w:val="superscript"/>
        </w:rPr>
        <w:footnoteReference w:id="14"/>
      </w:r>
      <w:r w:rsidRPr="00307566">
        <w:t xml:space="preserve"> website is a service complementing the EOSC Marketplace, which provides information content about the EOSC initiative.</w:t>
      </w:r>
    </w:p>
    <w:p w14:paraId="7C50A589" w14:textId="77777777" w:rsidR="009B4F68" w:rsidRPr="00307566" w:rsidRDefault="00164E6E">
      <w:pPr>
        <w:pStyle w:val="Heading3"/>
        <w:numPr>
          <w:ilvl w:val="2"/>
          <w:numId w:val="4"/>
        </w:numPr>
      </w:pPr>
      <w:bookmarkStart w:id="32" w:name="_Toc46932781"/>
      <w:r w:rsidRPr="00307566">
        <w:t>Software/Service Performance SLIs</w:t>
      </w:r>
      <w:bookmarkEnd w:id="32"/>
    </w:p>
    <w:p w14:paraId="3CEB674A" w14:textId="77777777" w:rsidR="009B4F68" w:rsidRPr="00307566" w:rsidRDefault="00164E6E">
      <w:pPr>
        <w:numPr>
          <w:ilvl w:val="0"/>
          <w:numId w:val="19"/>
        </w:numPr>
        <w:spacing w:after="0"/>
        <w:rPr>
          <w:b/>
        </w:rPr>
      </w:pPr>
      <w:r w:rsidRPr="00307566">
        <w:rPr>
          <w:b/>
          <w:highlight w:val="white"/>
        </w:rPr>
        <w:t>Number of Users/Visitors</w:t>
      </w:r>
    </w:p>
    <w:p w14:paraId="2DE658BA" w14:textId="77777777" w:rsidR="009B4F68" w:rsidRPr="00307566" w:rsidRDefault="00164E6E">
      <w:pPr>
        <w:numPr>
          <w:ilvl w:val="1"/>
          <w:numId w:val="19"/>
        </w:numPr>
        <w:spacing w:after="0"/>
        <w:rPr>
          <w:b/>
        </w:rPr>
      </w:pPr>
      <w:r w:rsidRPr="00307566">
        <w:rPr>
          <w:highlight w:val="white"/>
        </w:rPr>
        <w:t>Users who have initiated at least one session in a given month</w:t>
      </w:r>
    </w:p>
    <w:p w14:paraId="78E69F0C" w14:textId="77777777" w:rsidR="009B4F68" w:rsidRPr="00307566" w:rsidRDefault="00164E6E">
      <w:pPr>
        <w:numPr>
          <w:ilvl w:val="1"/>
          <w:numId w:val="19"/>
        </w:numPr>
        <w:spacing w:after="0"/>
        <w:rPr>
          <w:b/>
        </w:rPr>
      </w:pPr>
      <w:r w:rsidRPr="00307566">
        <w:t>Capacity strategy: lag</w:t>
      </w:r>
    </w:p>
    <w:p w14:paraId="42709A80" w14:textId="77777777" w:rsidR="009B4F68" w:rsidRPr="00307566" w:rsidRDefault="00164E6E">
      <w:pPr>
        <w:numPr>
          <w:ilvl w:val="0"/>
          <w:numId w:val="19"/>
        </w:numPr>
        <w:spacing w:after="0"/>
        <w:rPr>
          <w:b/>
        </w:rPr>
      </w:pPr>
      <w:r w:rsidRPr="00307566">
        <w:rPr>
          <w:b/>
          <w:highlight w:val="white"/>
        </w:rPr>
        <w:t>Number of Sessions</w:t>
      </w:r>
    </w:p>
    <w:p w14:paraId="74E4062D" w14:textId="77777777" w:rsidR="009B4F68" w:rsidRPr="00307566" w:rsidRDefault="00164E6E">
      <w:pPr>
        <w:numPr>
          <w:ilvl w:val="1"/>
          <w:numId w:val="19"/>
        </w:numPr>
        <w:spacing w:after="0"/>
        <w:rPr>
          <w:b/>
        </w:rPr>
      </w:pPr>
      <w:r w:rsidRPr="00307566">
        <w:rPr>
          <w:highlight w:val="white"/>
        </w:rPr>
        <w:t>Total number of Sessions within the month. A session is the period time a user is actively engaged with your website, app, etc. All usage data (Screen Views, Events, Ecommerce, etc.) is associated with a session.</w:t>
      </w:r>
    </w:p>
    <w:p w14:paraId="6ACDD8D7" w14:textId="77777777" w:rsidR="009B4F68" w:rsidRPr="00307566" w:rsidRDefault="00164E6E">
      <w:pPr>
        <w:numPr>
          <w:ilvl w:val="1"/>
          <w:numId w:val="19"/>
        </w:numPr>
        <w:spacing w:after="0"/>
        <w:rPr>
          <w:b/>
        </w:rPr>
      </w:pPr>
      <w:r w:rsidRPr="00307566">
        <w:t>Capacity strategy: lag</w:t>
      </w:r>
    </w:p>
    <w:p w14:paraId="7604B0E7" w14:textId="77777777" w:rsidR="009B4F68" w:rsidRPr="00307566" w:rsidRDefault="00164E6E">
      <w:pPr>
        <w:numPr>
          <w:ilvl w:val="0"/>
          <w:numId w:val="19"/>
        </w:numPr>
        <w:spacing w:after="0"/>
        <w:rPr>
          <w:b/>
        </w:rPr>
      </w:pPr>
      <w:r w:rsidRPr="00307566">
        <w:rPr>
          <w:b/>
          <w:highlight w:val="white"/>
        </w:rPr>
        <w:t>Number of Page Views:</w:t>
      </w:r>
    </w:p>
    <w:p w14:paraId="2D03976A" w14:textId="77777777" w:rsidR="009B4F68" w:rsidRPr="00307566" w:rsidRDefault="00164E6E">
      <w:pPr>
        <w:numPr>
          <w:ilvl w:val="1"/>
          <w:numId w:val="19"/>
        </w:numPr>
        <w:spacing w:after="0"/>
        <w:rPr>
          <w:b/>
        </w:rPr>
      </w:pPr>
      <w:r w:rsidRPr="00307566">
        <w:rPr>
          <w:highlight w:val="white"/>
        </w:rPr>
        <w:t>Pageviews is the total number of pages viewed. Repeated views of a single page are counted</w:t>
      </w:r>
    </w:p>
    <w:p w14:paraId="7DD47CF8" w14:textId="77777777" w:rsidR="009B4F68" w:rsidRPr="00307566" w:rsidRDefault="00164E6E">
      <w:pPr>
        <w:numPr>
          <w:ilvl w:val="1"/>
          <w:numId w:val="19"/>
        </w:numPr>
        <w:rPr>
          <w:b/>
        </w:rPr>
      </w:pPr>
      <w:r w:rsidRPr="00307566">
        <w:t>Capacity strategy: lag</w:t>
      </w:r>
    </w:p>
    <w:p w14:paraId="5BCB3086" w14:textId="0437CB5C" w:rsidR="009B4F68" w:rsidRPr="00307566" w:rsidRDefault="00164E6E">
      <w:pPr>
        <w:jc w:val="center"/>
      </w:pPr>
      <w:r w:rsidRPr="00307566">
        <w:rPr>
          <w:noProof/>
        </w:rPr>
        <w:lastRenderedPageBreak/>
        <w:drawing>
          <wp:inline distT="114300" distB="114300" distL="114300" distR="114300" wp14:anchorId="3CD77D40" wp14:editId="31ECCC4E">
            <wp:extent cx="5734050" cy="2146300"/>
            <wp:effectExtent l="0" t="0" r="0" b="0"/>
            <wp:docPr id="22" name="image31.png"/>
            <wp:cNvGraphicFramePr/>
            <a:graphic xmlns:a="http://schemas.openxmlformats.org/drawingml/2006/main">
              <a:graphicData uri="http://schemas.openxmlformats.org/drawingml/2006/picture">
                <pic:pic xmlns:pic="http://schemas.openxmlformats.org/drawingml/2006/picture">
                  <pic:nvPicPr>
                    <pic:cNvPr id="0" name="image31.png"/>
                    <pic:cNvPicPr preferRelativeResize="0"/>
                  </pic:nvPicPr>
                  <pic:blipFill>
                    <a:blip r:embed="rId38"/>
                    <a:srcRect/>
                    <a:stretch>
                      <a:fillRect/>
                    </a:stretch>
                  </pic:blipFill>
                  <pic:spPr>
                    <a:xfrm>
                      <a:off x="0" y="0"/>
                      <a:ext cx="5734050" cy="2146300"/>
                    </a:xfrm>
                    <a:prstGeom prst="rect">
                      <a:avLst/>
                    </a:prstGeom>
                    <a:ln/>
                  </pic:spPr>
                </pic:pic>
              </a:graphicData>
            </a:graphic>
          </wp:inline>
        </w:drawing>
      </w:r>
      <w:r w:rsidRPr="00307566">
        <w:rPr>
          <w:b/>
          <w:i/>
          <w:color w:val="17365D"/>
        </w:rPr>
        <w:t>Fig. 26 - Number of visitors to the EOSC Portal over the past months</w:t>
      </w:r>
      <w:r w:rsidR="0061001D" w:rsidRPr="00307566">
        <w:rPr>
          <w:b/>
          <w:i/>
          <w:color w:val="17365D"/>
        </w:rPr>
        <w:t>.</w:t>
      </w:r>
    </w:p>
    <w:p w14:paraId="1D117D64" w14:textId="77777777" w:rsidR="009B4F68" w:rsidRPr="00307566" w:rsidRDefault="00164E6E">
      <w:r w:rsidRPr="00307566">
        <w:rPr>
          <w:noProof/>
        </w:rPr>
        <w:drawing>
          <wp:inline distT="114300" distB="114300" distL="114300" distR="114300" wp14:anchorId="64668DD2" wp14:editId="4D5BA80D">
            <wp:extent cx="5734050" cy="2146300"/>
            <wp:effectExtent l="0" t="0" r="0" b="0"/>
            <wp:docPr id="20"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39"/>
                    <a:srcRect/>
                    <a:stretch>
                      <a:fillRect/>
                    </a:stretch>
                  </pic:blipFill>
                  <pic:spPr>
                    <a:xfrm>
                      <a:off x="0" y="0"/>
                      <a:ext cx="5734050" cy="2146300"/>
                    </a:xfrm>
                    <a:prstGeom prst="rect">
                      <a:avLst/>
                    </a:prstGeom>
                    <a:ln/>
                  </pic:spPr>
                </pic:pic>
              </a:graphicData>
            </a:graphic>
          </wp:inline>
        </w:drawing>
      </w:r>
    </w:p>
    <w:p w14:paraId="430430B5" w14:textId="6B814E08" w:rsidR="009B4F68" w:rsidRPr="00307566" w:rsidRDefault="00164E6E">
      <w:pPr>
        <w:keepNext/>
        <w:spacing w:after="240"/>
        <w:ind w:firstLine="720"/>
        <w:jc w:val="center"/>
      </w:pPr>
      <w:r w:rsidRPr="00307566">
        <w:rPr>
          <w:b/>
          <w:i/>
          <w:color w:val="17365D"/>
        </w:rPr>
        <w:t>Fig. 27 - Number of sessions over the past months</w:t>
      </w:r>
      <w:r w:rsidR="0061001D" w:rsidRPr="00307566">
        <w:rPr>
          <w:b/>
          <w:i/>
          <w:color w:val="17365D"/>
        </w:rPr>
        <w:t>.</w:t>
      </w:r>
    </w:p>
    <w:p w14:paraId="12CD5F42" w14:textId="77777777" w:rsidR="009B4F68" w:rsidRPr="00307566" w:rsidRDefault="00164E6E">
      <w:r w:rsidRPr="00307566">
        <w:rPr>
          <w:noProof/>
        </w:rPr>
        <w:drawing>
          <wp:inline distT="114300" distB="114300" distL="114300" distR="114300" wp14:anchorId="504AD0BD" wp14:editId="6136D094">
            <wp:extent cx="5734050" cy="2146300"/>
            <wp:effectExtent l="0" t="0" r="0" b="0"/>
            <wp:docPr id="32" name="image26.png"/>
            <wp:cNvGraphicFramePr/>
            <a:graphic xmlns:a="http://schemas.openxmlformats.org/drawingml/2006/main">
              <a:graphicData uri="http://schemas.openxmlformats.org/drawingml/2006/picture">
                <pic:pic xmlns:pic="http://schemas.openxmlformats.org/drawingml/2006/picture">
                  <pic:nvPicPr>
                    <pic:cNvPr id="0" name="image26.png"/>
                    <pic:cNvPicPr preferRelativeResize="0"/>
                  </pic:nvPicPr>
                  <pic:blipFill>
                    <a:blip r:embed="rId40"/>
                    <a:srcRect/>
                    <a:stretch>
                      <a:fillRect/>
                    </a:stretch>
                  </pic:blipFill>
                  <pic:spPr>
                    <a:xfrm>
                      <a:off x="0" y="0"/>
                      <a:ext cx="5734050" cy="2146300"/>
                    </a:xfrm>
                    <a:prstGeom prst="rect">
                      <a:avLst/>
                    </a:prstGeom>
                    <a:ln/>
                  </pic:spPr>
                </pic:pic>
              </a:graphicData>
            </a:graphic>
          </wp:inline>
        </w:drawing>
      </w:r>
    </w:p>
    <w:p w14:paraId="6BCC0FBC" w14:textId="5A9B674D" w:rsidR="009B4F68" w:rsidRPr="00307566" w:rsidRDefault="00164E6E">
      <w:pPr>
        <w:keepNext/>
        <w:spacing w:after="240"/>
        <w:ind w:firstLine="720"/>
        <w:jc w:val="center"/>
      </w:pPr>
      <w:r w:rsidRPr="00307566">
        <w:rPr>
          <w:b/>
          <w:i/>
          <w:color w:val="17365D"/>
        </w:rPr>
        <w:t>Fig. 28 - Number of page views over the past months</w:t>
      </w:r>
      <w:r w:rsidR="0061001D" w:rsidRPr="00307566">
        <w:rPr>
          <w:b/>
          <w:i/>
          <w:color w:val="17365D"/>
        </w:rPr>
        <w:t>.</w:t>
      </w:r>
    </w:p>
    <w:p w14:paraId="0E84984F" w14:textId="77777777" w:rsidR="009B4F68" w:rsidRPr="00307566" w:rsidRDefault="00164E6E">
      <w:r w:rsidRPr="00307566">
        <w:t xml:space="preserve">After the spike in the number of accesses to the website recorded in Nov 2018 when the service was launched for the first time, the “number of visitors” and the other two SLIs didn’t register particularly high values. It appears that from the beginning of this year there is an increase of the usage of the </w:t>
      </w:r>
      <w:r w:rsidRPr="00307566">
        <w:lastRenderedPageBreak/>
        <w:t>website: even if the increase will continue in the next 6/12 months, we don’t think that a capacity adjustment would be necessary.</w:t>
      </w:r>
    </w:p>
    <w:p w14:paraId="0FD3CFAA" w14:textId="77777777" w:rsidR="009B4F68" w:rsidRPr="00307566" w:rsidRDefault="00164E6E">
      <w:pPr>
        <w:pStyle w:val="Heading3"/>
        <w:numPr>
          <w:ilvl w:val="2"/>
          <w:numId w:val="4"/>
        </w:numPr>
      </w:pPr>
      <w:bookmarkStart w:id="33" w:name="_Toc46932782"/>
      <w:r w:rsidRPr="00307566">
        <w:t>Human (Operation and Tickets handling) SLIs</w:t>
      </w:r>
      <w:bookmarkEnd w:id="33"/>
    </w:p>
    <w:p w14:paraId="4BD272BE" w14:textId="77777777" w:rsidR="009B4F68" w:rsidRPr="00307566" w:rsidRDefault="00164E6E">
      <w:pPr>
        <w:numPr>
          <w:ilvl w:val="0"/>
          <w:numId w:val="14"/>
        </w:numPr>
        <w:spacing w:after="0"/>
        <w:rPr>
          <w:b/>
        </w:rPr>
      </w:pPr>
      <w:r w:rsidRPr="00307566">
        <w:rPr>
          <w:b/>
          <w:highlight w:val="white"/>
        </w:rPr>
        <w:t>Number of tickets</w:t>
      </w:r>
    </w:p>
    <w:p w14:paraId="6388AF86" w14:textId="77777777" w:rsidR="009B4F68" w:rsidRPr="00307566" w:rsidRDefault="00164E6E">
      <w:pPr>
        <w:numPr>
          <w:ilvl w:val="1"/>
          <w:numId w:val="14"/>
        </w:numPr>
        <w:spacing w:after="0"/>
        <w:rPr>
          <w:b/>
        </w:rPr>
      </w:pPr>
      <w:r w:rsidRPr="00307566">
        <w:rPr>
          <w:highlight w:val="white"/>
        </w:rPr>
        <w:t>Number of tickets handled by the provider (regardless category and priority). The statistic is collected by the EGI Helpdesk system (GGUS)</w:t>
      </w:r>
    </w:p>
    <w:p w14:paraId="0DC292FB" w14:textId="77777777" w:rsidR="009B4F68" w:rsidRPr="00307566" w:rsidRDefault="00164E6E">
      <w:pPr>
        <w:numPr>
          <w:ilvl w:val="1"/>
          <w:numId w:val="14"/>
        </w:numPr>
        <w:spacing w:after="0"/>
        <w:rPr>
          <w:b/>
        </w:rPr>
      </w:pPr>
      <w:r w:rsidRPr="00307566">
        <w:t>Capacity strategy: lag</w:t>
      </w:r>
    </w:p>
    <w:p w14:paraId="7C8D5EDA" w14:textId="77777777" w:rsidR="009B4F68" w:rsidRPr="00307566" w:rsidRDefault="00164E6E">
      <w:pPr>
        <w:numPr>
          <w:ilvl w:val="0"/>
          <w:numId w:val="14"/>
        </w:numPr>
        <w:spacing w:after="0"/>
        <w:rPr>
          <w:b/>
        </w:rPr>
      </w:pPr>
      <w:r w:rsidRPr="00307566">
        <w:rPr>
          <w:b/>
          <w:highlight w:val="white"/>
        </w:rPr>
        <w:t>Tickets average response time</w:t>
      </w:r>
    </w:p>
    <w:p w14:paraId="567CCFD3" w14:textId="77777777" w:rsidR="009B4F68" w:rsidRPr="00307566" w:rsidRDefault="00164E6E">
      <w:pPr>
        <w:numPr>
          <w:ilvl w:val="1"/>
          <w:numId w:val="14"/>
        </w:numPr>
        <w:spacing w:after="0"/>
        <w:rPr>
          <w:b/>
        </w:rPr>
      </w:pPr>
      <w:r w:rsidRPr="00307566">
        <w:rPr>
          <w:highlight w:val="white"/>
        </w:rPr>
        <w:t>Average response time (in working days) to the tickets (regardless category and priority). The aim is to check if a relatively high number of tickets can produce an increase of the (average) response time. The statistic is collected by the EGI Helpdesk system (GGUS)</w:t>
      </w:r>
    </w:p>
    <w:p w14:paraId="0091421F" w14:textId="76934F69" w:rsidR="009B4F68" w:rsidRPr="00307566" w:rsidRDefault="00164E6E" w:rsidP="0061001D">
      <w:pPr>
        <w:numPr>
          <w:ilvl w:val="1"/>
          <w:numId w:val="14"/>
        </w:numPr>
        <w:rPr>
          <w:b/>
        </w:rPr>
      </w:pPr>
      <w:r w:rsidRPr="00307566">
        <w:t>Capacity strategy: lag</w:t>
      </w:r>
    </w:p>
    <w:p w14:paraId="0C5A5427" w14:textId="77777777" w:rsidR="0061001D" w:rsidRPr="00307566" w:rsidRDefault="0061001D" w:rsidP="0061001D">
      <w:pPr>
        <w:rPr>
          <w:b/>
        </w:rPr>
      </w:pPr>
    </w:p>
    <w:p w14:paraId="5FA242A0" w14:textId="77777777" w:rsidR="009B4F68" w:rsidRPr="00307566" w:rsidRDefault="00164E6E">
      <w:r w:rsidRPr="00307566">
        <w:rPr>
          <w:noProof/>
        </w:rPr>
        <w:drawing>
          <wp:inline distT="114300" distB="114300" distL="114300" distR="114300" wp14:anchorId="0EECA984" wp14:editId="282FE813">
            <wp:extent cx="5734050" cy="2146300"/>
            <wp:effectExtent l="0" t="0" r="0" b="0"/>
            <wp:docPr id="2"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41"/>
                    <a:srcRect/>
                    <a:stretch>
                      <a:fillRect/>
                    </a:stretch>
                  </pic:blipFill>
                  <pic:spPr>
                    <a:xfrm>
                      <a:off x="0" y="0"/>
                      <a:ext cx="5734050" cy="2146300"/>
                    </a:xfrm>
                    <a:prstGeom prst="rect">
                      <a:avLst/>
                    </a:prstGeom>
                    <a:ln/>
                  </pic:spPr>
                </pic:pic>
              </a:graphicData>
            </a:graphic>
          </wp:inline>
        </w:drawing>
      </w:r>
    </w:p>
    <w:p w14:paraId="6EE2EA23" w14:textId="1F364188" w:rsidR="009B4F68" w:rsidRPr="00307566" w:rsidRDefault="00164E6E">
      <w:pPr>
        <w:ind w:firstLine="720"/>
        <w:jc w:val="center"/>
      </w:pPr>
      <w:r w:rsidRPr="00307566">
        <w:rPr>
          <w:b/>
          <w:i/>
          <w:color w:val="17365D"/>
        </w:rPr>
        <w:t>Fig. 29 - Number of tickets handled by the service support unit</w:t>
      </w:r>
      <w:r w:rsidR="00C46A72" w:rsidRPr="00307566">
        <w:rPr>
          <w:b/>
          <w:i/>
          <w:color w:val="17365D"/>
        </w:rPr>
        <w:t>.</w:t>
      </w:r>
    </w:p>
    <w:p w14:paraId="123D293E" w14:textId="70E1BDAB" w:rsidR="009B4F68" w:rsidRPr="00307566" w:rsidRDefault="00164E6E">
      <w:pPr>
        <w:jc w:val="center"/>
        <w:rPr>
          <w:b/>
          <w:i/>
          <w:color w:val="17365D"/>
        </w:rPr>
      </w:pPr>
      <w:r w:rsidRPr="00307566">
        <w:rPr>
          <w:noProof/>
        </w:rPr>
        <w:drawing>
          <wp:inline distT="114300" distB="114300" distL="114300" distR="114300" wp14:anchorId="50E6E071" wp14:editId="443D2A17">
            <wp:extent cx="5734050" cy="2146300"/>
            <wp:effectExtent l="0" t="0" r="0" b="0"/>
            <wp:docPr id="6"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42"/>
                    <a:srcRect/>
                    <a:stretch>
                      <a:fillRect/>
                    </a:stretch>
                  </pic:blipFill>
                  <pic:spPr>
                    <a:xfrm>
                      <a:off x="0" y="0"/>
                      <a:ext cx="5734050" cy="2146300"/>
                    </a:xfrm>
                    <a:prstGeom prst="rect">
                      <a:avLst/>
                    </a:prstGeom>
                    <a:ln/>
                  </pic:spPr>
                </pic:pic>
              </a:graphicData>
            </a:graphic>
          </wp:inline>
        </w:drawing>
      </w:r>
      <w:r w:rsidRPr="00307566">
        <w:t xml:space="preserve">  </w:t>
      </w:r>
      <w:r w:rsidRPr="00307566">
        <w:rPr>
          <w:b/>
          <w:i/>
          <w:color w:val="17365D"/>
        </w:rPr>
        <w:t>Fig. 30 - Average response time (working days) to the tickets submitted to the service support unit</w:t>
      </w:r>
      <w:r w:rsidR="00C46A72" w:rsidRPr="00307566">
        <w:rPr>
          <w:b/>
          <w:i/>
          <w:color w:val="17365D"/>
        </w:rPr>
        <w:t>.</w:t>
      </w:r>
    </w:p>
    <w:p w14:paraId="4F63F1FC" w14:textId="77777777" w:rsidR="009B4F68" w:rsidRPr="00307566" w:rsidRDefault="00164E6E">
      <w:r w:rsidRPr="00307566">
        <w:lastRenderedPageBreak/>
        <w:t>As shown by the diagrams in Figures 29 and 30, the EOSC Portal support unit received only 3 tickets since it was created in Dec 2019; the related high values in the response time were produced by not having changed the ticket status to “in progress” even though the tickets were accordingly handled.</w:t>
      </w:r>
    </w:p>
    <w:p w14:paraId="48472ECE" w14:textId="77777777" w:rsidR="009B4F68" w:rsidRPr="00307566" w:rsidRDefault="00164E6E">
      <w:pPr>
        <w:pStyle w:val="Heading2"/>
        <w:numPr>
          <w:ilvl w:val="1"/>
          <w:numId w:val="4"/>
        </w:numPr>
      </w:pPr>
      <w:bookmarkStart w:id="34" w:name="_Toc46932783"/>
      <w:r w:rsidRPr="00307566">
        <w:t>Operations Portal</w:t>
      </w:r>
      <w:bookmarkEnd w:id="34"/>
    </w:p>
    <w:p w14:paraId="19175328" w14:textId="005B09F4" w:rsidR="009B4F68" w:rsidRPr="00307566" w:rsidRDefault="00164E6E">
      <w:pPr>
        <w:spacing w:after="0"/>
      </w:pPr>
      <w:r w:rsidRPr="00307566">
        <w:t>The Operations Portal</w:t>
      </w:r>
      <w:r w:rsidRPr="00307566">
        <w:rPr>
          <w:vertAlign w:val="superscript"/>
        </w:rPr>
        <w:footnoteReference w:id="15"/>
      </w:r>
      <w:r w:rsidRPr="00307566">
        <w:t xml:space="preserve"> provides several capabilities which support the EGI and EOSC-hub daily operations, such as the broadcast tool, VO registration and management facilities, a security dashboard and an operations dashboard that is used to display information about failing monitoring probes and to open tickets to the affected Resource Centres, supporting the central infrastructure oversight activities.</w:t>
      </w:r>
    </w:p>
    <w:p w14:paraId="2EDDE380" w14:textId="77777777" w:rsidR="009B4F68" w:rsidRPr="00307566" w:rsidRDefault="00164E6E">
      <w:pPr>
        <w:pStyle w:val="Heading3"/>
        <w:numPr>
          <w:ilvl w:val="2"/>
          <w:numId w:val="4"/>
        </w:numPr>
      </w:pPr>
      <w:bookmarkStart w:id="35" w:name="_Toc46932784"/>
      <w:r w:rsidRPr="00307566">
        <w:t>Software/Service Performance SLIs</w:t>
      </w:r>
      <w:bookmarkEnd w:id="35"/>
    </w:p>
    <w:p w14:paraId="116D614C" w14:textId="77777777" w:rsidR="009B4F68" w:rsidRPr="00307566" w:rsidRDefault="00164E6E">
      <w:pPr>
        <w:numPr>
          <w:ilvl w:val="0"/>
          <w:numId w:val="17"/>
        </w:numPr>
        <w:spacing w:after="0"/>
        <w:ind w:firstLine="360"/>
      </w:pPr>
      <w:r w:rsidRPr="00307566">
        <w:rPr>
          <w:b/>
        </w:rPr>
        <w:t>Number of Broadcasts</w:t>
      </w:r>
    </w:p>
    <w:p w14:paraId="2C3A5223" w14:textId="77777777" w:rsidR="009B4F68" w:rsidRPr="00307566" w:rsidRDefault="00164E6E">
      <w:pPr>
        <w:numPr>
          <w:ilvl w:val="1"/>
          <w:numId w:val="17"/>
        </w:numPr>
        <w:spacing w:after="0"/>
      </w:pPr>
      <w:r w:rsidRPr="00307566">
        <w:t>Number of broadcasts sent through the tool on a monthly and yearly basis</w:t>
      </w:r>
    </w:p>
    <w:p w14:paraId="546DE507" w14:textId="77777777" w:rsidR="009B4F68" w:rsidRPr="00307566" w:rsidRDefault="00164E6E">
      <w:pPr>
        <w:numPr>
          <w:ilvl w:val="1"/>
          <w:numId w:val="17"/>
        </w:numPr>
        <w:spacing w:after="0"/>
      </w:pPr>
      <w:r w:rsidRPr="00307566">
        <w:t>Capacity strategy: lag</w:t>
      </w:r>
    </w:p>
    <w:p w14:paraId="16F80EFE" w14:textId="77777777" w:rsidR="009B4F68" w:rsidRPr="00307566" w:rsidRDefault="00164E6E">
      <w:pPr>
        <w:numPr>
          <w:ilvl w:val="0"/>
          <w:numId w:val="17"/>
        </w:numPr>
        <w:spacing w:after="0"/>
      </w:pPr>
      <w:r w:rsidRPr="00307566">
        <w:rPr>
          <w:b/>
        </w:rPr>
        <w:t>Number of Broadcast's recipients</w:t>
      </w:r>
    </w:p>
    <w:p w14:paraId="4563EAC2" w14:textId="77777777" w:rsidR="009B4F68" w:rsidRPr="00307566" w:rsidRDefault="00164E6E">
      <w:pPr>
        <w:numPr>
          <w:ilvl w:val="1"/>
          <w:numId w:val="17"/>
        </w:numPr>
        <w:spacing w:after="0"/>
      </w:pPr>
      <w:r w:rsidRPr="00307566">
        <w:t>Total number of potential recipients of the broadcasts. This is a cumulative number.</w:t>
      </w:r>
    </w:p>
    <w:p w14:paraId="2531EF11" w14:textId="77777777" w:rsidR="009B4F68" w:rsidRPr="00307566" w:rsidRDefault="00164E6E">
      <w:pPr>
        <w:numPr>
          <w:ilvl w:val="1"/>
          <w:numId w:val="17"/>
        </w:numPr>
        <w:spacing w:after="0"/>
      </w:pPr>
      <w:r w:rsidRPr="00307566">
        <w:t>Capacity strategy: lag</w:t>
      </w:r>
    </w:p>
    <w:p w14:paraId="07AD29CF" w14:textId="77777777" w:rsidR="009B4F68" w:rsidRPr="00307566" w:rsidRDefault="00164E6E">
      <w:pPr>
        <w:numPr>
          <w:ilvl w:val="0"/>
          <w:numId w:val="17"/>
        </w:numPr>
        <w:spacing w:after="0"/>
      </w:pPr>
      <w:r w:rsidRPr="00307566">
        <w:rPr>
          <w:b/>
        </w:rPr>
        <w:t>Number of subscriptions to Downtime tool</w:t>
      </w:r>
    </w:p>
    <w:p w14:paraId="19299A61" w14:textId="77777777" w:rsidR="009B4F68" w:rsidRPr="00307566" w:rsidRDefault="00164E6E">
      <w:pPr>
        <w:numPr>
          <w:ilvl w:val="1"/>
          <w:numId w:val="17"/>
        </w:numPr>
        <w:spacing w:after="0"/>
      </w:pPr>
      <w:r w:rsidRPr="00307566">
        <w:t>Number of recipients getting the downtime notifications. This is a cumulative number.</w:t>
      </w:r>
    </w:p>
    <w:p w14:paraId="6C144D35" w14:textId="77777777" w:rsidR="009B4F68" w:rsidRPr="00307566" w:rsidRDefault="00164E6E">
      <w:pPr>
        <w:numPr>
          <w:ilvl w:val="1"/>
          <w:numId w:val="17"/>
        </w:numPr>
        <w:spacing w:after="0"/>
      </w:pPr>
      <w:r w:rsidRPr="00307566">
        <w:t>Capacity strategy: lag</w:t>
      </w:r>
    </w:p>
    <w:p w14:paraId="61E2DF84" w14:textId="77777777" w:rsidR="009B4F68" w:rsidRPr="00307566" w:rsidRDefault="00164E6E">
      <w:pPr>
        <w:numPr>
          <w:ilvl w:val="0"/>
          <w:numId w:val="17"/>
        </w:numPr>
        <w:spacing w:after="0"/>
      </w:pPr>
      <w:r w:rsidRPr="00307566">
        <w:rPr>
          <w:b/>
        </w:rPr>
        <w:t>Number of VOs in production and decommissioned</w:t>
      </w:r>
    </w:p>
    <w:p w14:paraId="57A5AF22" w14:textId="77777777" w:rsidR="009B4F68" w:rsidRPr="00307566" w:rsidRDefault="00164E6E">
      <w:pPr>
        <w:numPr>
          <w:ilvl w:val="1"/>
          <w:numId w:val="17"/>
        </w:numPr>
        <w:spacing w:after="0"/>
      </w:pPr>
      <w:r w:rsidRPr="00307566">
        <w:t>Number of active and decommissioned VOs. This is a cumulative number.</w:t>
      </w:r>
    </w:p>
    <w:p w14:paraId="0A3C7F93" w14:textId="77777777" w:rsidR="009B4F68" w:rsidRPr="00307566" w:rsidRDefault="00164E6E">
      <w:pPr>
        <w:numPr>
          <w:ilvl w:val="1"/>
          <w:numId w:val="17"/>
        </w:numPr>
        <w:spacing w:after="0"/>
      </w:pPr>
      <w:r w:rsidRPr="00307566">
        <w:t>Capacity strategy: lag</w:t>
      </w:r>
    </w:p>
    <w:p w14:paraId="4DF6E42C" w14:textId="77777777" w:rsidR="009B4F68" w:rsidRPr="00307566" w:rsidRDefault="00164E6E">
      <w:pPr>
        <w:numPr>
          <w:ilvl w:val="0"/>
          <w:numId w:val="17"/>
        </w:numPr>
        <w:spacing w:after="0"/>
      </w:pPr>
      <w:r w:rsidRPr="00307566">
        <w:rPr>
          <w:b/>
        </w:rPr>
        <w:t>Number of users captured from VOMS</w:t>
      </w:r>
    </w:p>
    <w:p w14:paraId="139C478D" w14:textId="77777777" w:rsidR="009B4F68" w:rsidRPr="00307566" w:rsidRDefault="00164E6E">
      <w:pPr>
        <w:numPr>
          <w:ilvl w:val="1"/>
          <w:numId w:val="17"/>
        </w:numPr>
        <w:spacing w:after="0"/>
      </w:pPr>
      <w:r w:rsidRPr="00307566">
        <w:t>Number of VOs users registered in the Operations Portal database. This is a cumulative number.</w:t>
      </w:r>
    </w:p>
    <w:p w14:paraId="6D719E59" w14:textId="77777777" w:rsidR="009B4F68" w:rsidRPr="00307566" w:rsidRDefault="00164E6E">
      <w:pPr>
        <w:numPr>
          <w:ilvl w:val="1"/>
          <w:numId w:val="17"/>
        </w:numPr>
        <w:spacing w:after="0"/>
      </w:pPr>
      <w:r w:rsidRPr="00307566">
        <w:t>Capacity strategy: lag</w:t>
      </w:r>
    </w:p>
    <w:p w14:paraId="3AD4AA07" w14:textId="77777777" w:rsidR="009B4F68" w:rsidRPr="00307566" w:rsidRDefault="00164E6E">
      <w:pPr>
        <w:numPr>
          <w:ilvl w:val="0"/>
          <w:numId w:val="17"/>
        </w:numPr>
        <w:spacing w:after="0"/>
      </w:pPr>
      <w:r w:rsidRPr="00307566">
        <w:rPr>
          <w:b/>
        </w:rPr>
        <w:t>Number of issues in the operations dashboard</w:t>
      </w:r>
    </w:p>
    <w:p w14:paraId="0B8BA563" w14:textId="77777777" w:rsidR="009B4F68" w:rsidRPr="00307566" w:rsidRDefault="00164E6E">
      <w:pPr>
        <w:numPr>
          <w:ilvl w:val="1"/>
          <w:numId w:val="17"/>
        </w:numPr>
        <w:spacing w:after="0"/>
      </w:pPr>
      <w:r w:rsidRPr="00307566">
        <w:t>Number of issues recorded from the monitoring service. This is a cumulative number.</w:t>
      </w:r>
    </w:p>
    <w:p w14:paraId="07548E73" w14:textId="77777777" w:rsidR="009B4F68" w:rsidRPr="00307566" w:rsidRDefault="00164E6E">
      <w:pPr>
        <w:numPr>
          <w:ilvl w:val="1"/>
          <w:numId w:val="17"/>
        </w:numPr>
        <w:spacing w:after="0"/>
      </w:pPr>
      <w:r w:rsidRPr="00307566">
        <w:t>Capacity strategy: lag</w:t>
      </w:r>
    </w:p>
    <w:p w14:paraId="51E99031" w14:textId="77777777" w:rsidR="009B4F68" w:rsidRPr="00307566" w:rsidRDefault="009B4F68"/>
    <w:p w14:paraId="084D8D68" w14:textId="77777777" w:rsidR="009B4F68" w:rsidRPr="00307566" w:rsidRDefault="00164E6E">
      <w:pPr>
        <w:spacing w:after="0"/>
      </w:pPr>
      <w:r w:rsidRPr="00307566">
        <w:rPr>
          <w:noProof/>
        </w:rPr>
        <w:lastRenderedPageBreak/>
        <w:drawing>
          <wp:inline distT="114300" distB="114300" distL="114300" distR="114300" wp14:anchorId="7984826D" wp14:editId="6B8C9A23">
            <wp:extent cx="5731200" cy="2146300"/>
            <wp:effectExtent l="0" t="0" r="0" b="0"/>
            <wp:docPr id="31" name="image35.png"/>
            <wp:cNvGraphicFramePr/>
            <a:graphic xmlns:a="http://schemas.openxmlformats.org/drawingml/2006/main">
              <a:graphicData uri="http://schemas.openxmlformats.org/drawingml/2006/picture">
                <pic:pic xmlns:pic="http://schemas.openxmlformats.org/drawingml/2006/picture">
                  <pic:nvPicPr>
                    <pic:cNvPr id="0" name="image35.png"/>
                    <pic:cNvPicPr preferRelativeResize="0"/>
                  </pic:nvPicPr>
                  <pic:blipFill>
                    <a:blip r:embed="rId43"/>
                    <a:srcRect/>
                    <a:stretch>
                      <a:fillRect/>
                    </a:stretch>
                  </pic:blipFill>
                  <pic:spPr>
                    <a:xfrm>
                      <a:off x="0" y="0"/>
                      <a:ext cx="5731200" cy="2146300"/>
                    </a:xfrm>
                    <a:prstGeom prst="rect">
                      <a:avLst/>
                    </a:prstGeom>
                    <a:ln/>
                  </pic:spPr>
                </pic:pic>
              </a:graphicData>
            </a:graphic>
          </wp:inline>
        </w:drawing>
      </w:r>
    </w:p>
    <w:p w14:paraId="22368DF3" w14:textId="77777777" w:rsidR="009B4F68" w:rsidRPr="00307566" w:rsidRDefault="00164E6E">
      <w:pPr>
        <w:keepNext/>
        <w:spacing w:after="240"/>
        <w:jc w:val="center"/>
      </w:pPr>
      <w:r w:rsidRPr="00307566">
        <w:rPr>
          <w:b/>
          <w:i/>
          <w:color w:val="17365D"/>
        </w:rPr>
        <w:t>Fig. 31 - Number of broadcasts sent over the past years (until May 2020).</w:t>
      </w:r>
    </w:p>
    <w:p w14:paraId="21F05B7A" w14:textId="77777777" w:rsidR="009B4F68" w:rsidRPr="00307566" w:rsidRDefault="009B4F68">
      <w:pPr>
        <w:spacing w:after="0"/>
      </w:pPr>
    </w:p>
    <w:p w14:paraId="1CF213A4" w14:textId="77777777" w:rsidR="009B4F68" w:rsidRPr="00307566" w:rsidRDefault="00164E6E">
      <w:pPr>
        <w:spacing w:after="0"/>
      </w:pPr>
      <w:r w:rsidRPr="00307566">
        <w:rPr>
          <w:noProof/>
        </w:rPr>
        <w:drawing>
          <wp:inline distT="114300" distB="114300" distL="114300" distR="114300" wp14:anchorId="0C022B60" wp14:editId="4A46C2B0">
            <wp:extent cx="5734050" cy="2146300"/>
            <wp:effectExtent l="0" t="0" r="0" b="0"/>
            <wp:docPr id="16"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44"/>
                    <a:srcRect/>
                    <a:stretch>
                      <a:fillRect/>
                    </a:stretch>
                  </pic:blipFill>
                  <pic:spPr>
                    <a:xfrm>
                      <a:off x="0" y="0"/>
                      <a:ext cx="5734050" cy="2146300"/>
                    </a:xfrm>
                    <a:prstGeom prst="rect">
                      <a:avLst/>
                    </a:prstGeom>
                    <a:ln/>
                  </pic:spPr>
                </pic:pic>
              </a:graphicData>
            </a:graphic>
          </wp:inline>
        </w:drawing>
      </w:r>
    </w:p>
    <w:p w14:paraId="0DE83686" w14:textId="77777777" w:rsidR="009B4F68" w:rsidRPr="00307566" w:rsidRDefault="00164E6E">
      <w:pPr>
        <w:keepNext/>
        <w:spacing w:after="240"/>
        <w:jc w:val="center"/>
      </w:pPr>
      <w:r w:rsidRPr="00307566">
        <w:rPr>
          <w:b/>
          <w:i/>
          <w:color w:val="17365D"/>
        </w:rPr>
        <w:t>Fig. 32 - Number of broadcasts sent over the past months.</w:t>
      </w:r>
    </w:p>
    <w:p w14:paraId="20807225" w14:textId="77777777" w:rsidR="009B4F68" w:rsidRPr="00307566" w:rsidRDefault="009B4F68">
      <w:pPr>
        <w:spacing w:after="0"/>
      </w:pPr>
    </w:p>
    <w:p w14:paraId="7AA7C982" w14:textId="77777777" w:rsidR="009B4F68" w:rsidRPr="00307566" w:rsidRDefault="00164E6E">
      <w:pPr>
        <w:spacing w:after="0"/>
      </w:pPr>
      <w:r w:rsidRPr="00307566">
        <w:t>The usage of the broadcast tools, as shown in Figures 31 and 32, doesn’t present periods of high demand and we can assume that in the next period it will not deviate from the current trend. Besides, the cumulative numbers provided in Table 5 are relatively stable and their increase (or decrease) rate is very short, so we can assume that the capacity of the service doesn’t need to be modified even if there is an increase of demand.</w:t>
      </w:r>
    </w:p>
    <w:p w14:paraId="11EA78CA" w14:textId="77777777" w:rsidR="009B4F68" w:rsidRPr="00307566" w:rsidRDefault="009B4F68">
      <w:pPr>
        <w:spacing w:after="0"/>
      </w:pPr>
    </w:p>
    <w:p w14:paraId="6B289AE6" w14:textId="77777777" w:rsidR="009B4F68" w:rsidRPr="00307566" w:rsidRDefault="00164E6E">
      <w:pPr>
        <w:keepNext/>
        <w:spacing w:after="240"/>
        <w:jc w:val="center"/>
      </w:pPr>
      <w:r w:rsidRPr="00307566">
        <w:rPr>
          <w:b/>
          <w:i/>
          <w:color w:val="17365D"/>
        </w:rPr>
        <w:t>Table 5  – Aggregate values for some Service Performance SLIs.</w:t>
      </w:r>
    </w:p>
    <w:tbl>
      <w:tblPr>
        <w:tblStyle w:val="a8"/>
        <w:tblW w:w="902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513"/>
        <w:gridCol w:w="4513"/>
      </w:tblGrid>
      <w:tr w:rsidR="009B4F68" w:rsidRPr="00307566" w14:paraId="0E69EB12" w14:textId="77777777">
        <w:tc>
          <w:tcPr>
            <w:tcW w:w="4513" w:type="dxa"/>
            <w:shd w:val="clear" w:color="auto" w:fill="EFEFEF"/>
            <w:tcMar>
              <w:top w:w="100" w:type="dxa"/>
              <w:left w:w="100" w:type="dxa"/>
              <w:bottom w:w="100" w:type="dxa"/>
              <w:right w:w="100" w:type="dxa"/>
            </w:tcMar>
          </w:tcPr>
          <w:p w14:paraId="0FCB4844" w14:textId="77777777" w:rsidR="009B4F68" w:rsidRPr="00307566" w:rsidRDefault="00164E6E">
            <w:pPr>
              <w:widowControl w:val="0"/>
              <w:spacing w:after="0" w:line="240" w:lineRule="auto"/>
              <w:jc w:val="left"/>
              <w:rPr>
                <w:b/>
              </w:rPr>
            </w:pPr>
            <w:r w:rsidRPr="00307566">
              <w:rPr>
                <w:b/>
              </w:rPr>
              <w:t>Broadcasts recipients</w:t>
            </w:r>
          </w:p>
        </w:tc>
        <w:tc>
          <w:tcPr>
            <w:tcW w:w="4513" w:type="dxa"/>
            <w:shd w:val="clear" w:color="auto" w:fill="auto"/>
            <w:tcMar>
              <w:top w:w="100" w:type="dxa"/>
              <w:left w:w="100" w:type="dxa"/>
              <w:bottom w:w="100" w:type="dxa"/>
              <w:right w:w="100" w:type="dxa"/>
            </w:tcMar>
          </w:tcPr>
          <w:p w14:paraId="04A022F6" w14:textId="77777777" w:rsidR="009B4F68" w:rsidRPr="00307566" w:rsidRDefault="00164E6E">
            <w:pPr>
              <w:widowControl w:val="0"/>
              <w:spacing w:after="0" w:line="240" w:lineRule="auto"/>
              <w:jc w:val="left"/>
            </w:pPr>
            <w:r w:rsidRPr="00307566">
              <w:t>1645</w:t>
            </w:r>
          </w:p>
        </w:tc>
      </w:tr>
      <w:tr w:rsidR="009B4F68" w:rsidRPr="00307566" w14:paraId="17A4826E" w14:textId="77777777">
        <w:tc>
          <w:tcPr>
            <w:tcW w:w="4513" w:type="dxa"/>
            <w:shd w:val="clear" w:color="auto" w:fill="EFEFEF"/>
            <w:tcMar>
              <w:top w:w="100" w:type="dxa"/>
              <w:left w:w="100" w:type="dxa"/>
              <w:bottom w:w="100" w:type="dxa"/>
              <w:right w:w="100" w:type="dxa"/>
            </w:tcMar>
          </w:tcPr>
          <w:p w14:paraId="106BD1C1" w14:textId="77777777" w:rsidR="009B4F68" w:rsidRPr="00307566" w:rsidRDefault="00164E6E">
            <w:pPr>
              <w:widowControl w:val="0"/>
              <w:spacing w:after="0" w:line="240" w:lineRule="auto"/>
              <w:jc w:val="left"/>
              <w:rPr>
                <w:b/>
              </w:rPr>
            </w:pPr>
            <w:r w:rsidRPr="00307566">
              <w:rPr>
                <w:b/>
              </w:rPr>
              <w:t>Downtime subscriptions</w:t>
            </w:r>
          </w:p>
        </w:tc>
        <w:tc>
          <w:tcPr>
            <w:tcW w:w="4513" w:type="dxa"/>
            <w:shd w:val="clear" w:color="auto" w:fill="auto"/>
            <w:tcMar>
              <w:top w:w="100" w:type="dxa"/>
              <w:left w:w="100" w:type="dxa"/>
              <w:bottom w:w="100" w:type="dxa"/>
              <w:right w:w="100" w:type="dxa"/>
            </w:tcMar>
          </w:tcPr>
          <w:p w14:paraId="135AA625" w14:textId="77777777" w:rsidR="009B4F68" w:rsidRPr="00307566" w:rsidRDefault="00164E6E">
            <w:pPr>
              <w:widowControl w:val="0"/>
              <w:spacing w:after="0" w:line="240" w:lineRule="auto"/>
              <w:jc w:val="left"/>
            </w:pPr>
            <w:r w:rsidRPr="00307566">
              <w:t>270</w:t>
            </w:r>
          </w:p>
        </w:tc>
      </w:tr>
      <w:tr w:rsidR="009B4F68" w:rsidRPr="00307566" w14:paraId="3670B7CE" w14:textId="77777777">
        <w:tc>
          <w:tcPr>
            <w:tcW w:w="4513" w:type="dxa"/>
            <w:shd w:val="clear" w:color="auto" w:fill="EFEFEF"/>
            <w:tcMar>
              <w:top w:w="100" w:type="dxa"/>
              <w:left w:w="100" w:type="dxa"/>
              <w:bottom w:w="100" w:type="dxa"/>
              <w:right w:w="100" w:type="dxa"/>
            </w:tcMar>
          </w:tcPr>
          <w:p w14:paraId="1D2C7727" w14:textId="77777777" w:rsidR="009B4F68" w:rsidRPr="00307566" w:rsidRDefault="00164E6E">
            <w:pPr>
              <w:widowControl w:val="0"/>
              <w:spacing w:after="0" w:line="240" w:lineRule="auto"/>
              <w:jc w:val="left"/>
              <w:rPr>
                <w:b/>
              </w:rPr>
            </w:pPr>
            <w:r w:rsidRPr="00307566">
              <w:rPr>
                <w:b/>
              </w:rPr>
              <w:t>VOs in production</w:t>
            </w:r>
          </w:p>
        </w:tc>
        <w:tc>
          <w:tcPr>
            <w:tcW w:w="4513" w:type="dxa"/>
            <w:shd w:val="clear" w:color="auto" w:fill="auto"/>
            <w:tcMar>
              <w:top w:w="100" w:type="dxa"/>
              <w:left w:w="100" w:type="dxa"/>
              <w:bottom w:w="100" w:type="dxa"/>
              <w:right w:w="100" w:type="dxa"/>
            </w:tcMar>
          </w:tcPr>
          <w:p w14:paraId="4DE3C7B1" w14:textId="77777777" w:rsidR="009B4F68" w:rsidRPr="00307566" w:rsidRDefault="00164E6E">
            <w:pPr>
              <w:widowControl w:val="0"/>
              <w:spacing w:after="0" w:line="240" w:lineRule="auto"/>
              <w:jc w:val="left"/>
            </w:pPr>
            <w:r w:rsidRPr="00307566">
              <w:t>258</w:t>
            </w:r>
          </w:p>
        </w:tc>
      </w:tr>
      <w:tr w:rsidR="009B4F68" w:rsidRPr="00307566" w14:paraId="5821A592" w14:textId="77777777">
        <w:tc>
          <w:tcPr>
            <w:tcW w:w="4513" w:type="dxa"/>
            <w:shd w:val="clear" w:color="auto" w:fill="EFEFEF"/>
            <w:tcMar>
              <w:top w:w="100" w:type="dxa"/>
              <w:left w:w="100" w:type="dxa"/>
              <w:bottom w:w="100" w:type="dxa"/>
              <w:right w:w="100" w:type="dxa"/>
            </w:tcMar>
          </w:tcPr>
          <w:p w14:paraId="1D481FE5" w14:textId="77777777" w:rsidR="009B4F68" w:rsidRPr="00307566" w:rsidRDefault="00164E6E">
            <w:pPr>
              <w:widowControl w:val="0"/>
              <w:spacing w:after="0" w:line="240" w:lineRule="auto"/>
              <w:jc w:val="left"/>
              <w:rPr>
                <w:b/>
              </w:rPr>
            </w:pPr>
            <w:r w:rsidRPr="00307566">
              <w:rPr>
                <w:b/>
              </w:rPr>
              <w:t>VOs decommissioned</w:t>
            </w:r>
          </w:p>
        </w:tc>
        <w:tc>
          <w:tcPr>
            <w:tcW w:w="4513" w:type="dxa"/>
            <w:shd w:val="clear" w:color="auto" w:fill="auto"/>
            <w:tcMar>
              <w:top w:w="100" w:type="dxa"/>
              <w:left w:w="100" w:type="dxa"/>
              <w:bottom w:w="100" w:type="dxa"/>
              <w:right w:w="100" w:type="dxa"/>
            </w:tcMar>
          </w:tcPr>
          <w:p w14:paraId="72FC67A9" w14:textId="77777777" w:rsidR="009B4F68" w:rsidRPr="00307566" w:rsidRDefault="00164E6E">
            <w:pPr>
              <w:widowControl w:val="0"/>
              <w:spacing w:after="0" w:line="240" w:lineRule="auto"/>
              <w:jc w:val="left"/>
            </w:pPr>
            <w:r w:rsidRPr="00307566">
              <w:t>168</w:t>
            </w:r>
          </w:p>
        </w:tc>
      </w:tr>
      <w:tr w:rsidR="009B4F68" w:rsidRPr="00307566" w14:paraId="508E42C1" w14:textId="77777777">
        <w:tc>
          <w:tcPr>
            <w:tcW w:w="4513" w:type="dxa"/>
            <w:shd w:val="clear" w:color="auto" w:fill="EFEFEF"/>
            <w:tcMar>
              <w:top w:w="100" w:type="dxa"/>
              <w:left w:w="100" w:type="dxa"/>
              <w:bottom w:w="100" w:type="dxa"/>
              <w:right w:w="100" w:type="dxa"/>
            </w:tcMar>
          </w:tcPr>
          <w:p w14:paraId="1DD9B087" w14:textId="77777777" w:rsidR="009B4F68" w:rsidRPr="00307566" w:rsidRDefault="00164E6E">
            <w:pPr>
              <w:widowControl w:val="0"/>
              <w:spacing w:after="0" w:line="240" w:lineRule="auto"/>
              <w:jc w:val="left"/>
              <w:rPr>
                <w:b/>
              </w:rPr>
            </w:pPr>
            <w:r w:rsidRPr="00307566">
              <w:rPr>
                <w:b/>
              </w:rPr>
              <w:lastRenderedPageBreak/>
              <w:t>VOs users in DB since 2010</w:t>
            </w:r>
          </w:p>
        </w:tc>
        <w:tc>
          <w:tcPr>
            <w:tcW w:w="4513" w:type="dxa"/>
            <w:shd w:val="clear" w:color="auto" w:fill="auto"/>
            <w:tcMar>
              <w:top w:w="100" w:type="dxa"/>
              <w:left w:w="100" w:type="dxa"/>
              <w:bottom w:w="100" w:type="dxa"/>
              <w:right w:w="100" w:type="dxa"/>
            </w:tcMar>
          </w:tcPr>
          <w:p w14:paraId="4355E064" w14:textId="77777777" w:rsidR="009B4F68" w:rsidRPr="00307566" w:rsidRDefault="00164E6E">
            <w:pPr>
              <w:widowControl w:val="0"/>
              <w:spacing w:after="0" w:line="240" w:lineRule="auto"/>
              <w:jc w:val="left"/>
            </w:pPr>
            <w:r w:rsidRPr="00307566">
              <w:t>95344</w:t>
            </w:r>
          </w:p>
        </w:tc>
      </w:tr>
      <w:tr w:rsidR="009B4F68" w:rsidRPr="00307566" w14:paraId="56CB8494" w14:textId="77777777">
        <w:tc>
          <w:tcPr>
            <w:tcW w:w="4513" w:type="dxa"/>
            <w:shd w:val="clear" w:color="auto" w:fill="EFEFEF"/>
            <w:tcMar>
              <w:top w:w="100" w:type="dxa"/>
              <w:left w:w="100" w:type="dxa"/>
              <w:bottom w:w="100" w:type="dxa"/>
              <w:right w:w="100" w:type="dxa"/>
            </w:tcMar>
          </w:tcPr>
          <w:p w14:paraId="7CA3CB90" w14:textId="77777777" w:rsidR="009B4F68" w:rsidRPr="00307566" w:rsidRDefault="00164E6E">
            <w:pPr>
              <w:widowControl w:val="0"/>
              <w:spacing w:after="0" w:line="240" w:lineRule="auto"/>
              <w:jc w:val="left"/>
              <w:rPr>
                <w:b/>
              </w:rPr>
            </w:pPr>
            <w:r w:rsidRPr="00307566">
              <w:rPr>
                <w:b/>
              </w:rPr>
              <w:t>Operations dashboard issues (since 2017)</w:t>
            </w:r>
          </w:p>
        </w:tc>
        <w:tc>
          <w:tcPr>
            <w:tcW w:w="4513" w:type="dxa"/>
            <w:shd w:val="clear" w:color="auto" w:fill="auto"/>
            <w:tcMar>
              <w:top w:w="100" w:type="dxa"/>
              <w:left w:w="100" w:type="dxa"/>
              <w:bottom w:w="100" w:type="dxa"/>
              <w:right w:w="100" w:type="dxa"/>
            </w:tcMar>
          </w:tcPr>
          <w:p w14:paraId="32C55145" w14:textId="77777777" w:rsidR="009B4F68" w:rsidRPr="00307566" w:rsidRDefault="00164E6E">
            <w:pPr>
              <w:widowControl w:val="0"/>
              <w:spacing w:after="0" w:line="240" w:lineRule="auto"/>
              <w:jc w:val="left"/>
            </w:pPr>
            <w:r w:rsidRPr="00307566">
              <w:t>75k</w:t>
            </w:r>
          </w:p>
        </w:tc>
      </w:tr>
    </w:tbl>
    <w:p w14:paraId="58AA0AAA" w14:textId="77777777" w:rsidR="009B4F68" w:rsidRPr="00307566" w:rsidRDefault="009B4F68">
      <w:pPr>
        <w:spacing w:after="0"/>
      </w:pPr>
    </w:p>
    <w:p w14:paraId="0E6800FD" w14:textId="77777777" w:rsidR="009B4F68" w:rsidRPr="00307566" w:rsidRDefault="009B4F68">
      <w:pPr>
        <w:spacing w:after="0"/>
      </w:pPr>
    </w:p>
    <w:p w14:paraId="46FAAC99" w14:textId="77777777" w:rsidR="009B4F68" w:rsidRPr="00307566" w:rsidRDefault="00164E6E">
      <w:pPr>
        <w:pStyle w:val="Heading3"/>
        <w:numPr>
          <w:ilvl w:val="2"/>
          <w:numId w:val="4"/>
        </w:numPr>
      </w:pPr>
      <w:bookmarkStart w:id="36" w:name="_Toc46932785"/>
      <w:r w:rsidRPr="00307566">
        <w:t>Human (Operation and Tickets handling) SLIs</w:t>
      </w:r>
      <w:bookmarkEnd w:id="36"/>
    </w:p>
    <w:p w14:paraId="19BC3663" w14:textId="77777777" w:rsidR="009B4F68" w:rsidRPr="00307566" w:rsidRDefault="00164E6E">
      <w:pPr>
        <w:numPr>
          <w:ilvl w:val="0"/>
          <w:numId w:val="20"/>
        </w:numPr>
        <w:spacing w:after="0"/>
      </w:pPr>
      <w:r w:rsidRPr="00307566">
        <w:rPr>
          <w:b/>
        </w:rPr>
        <w:t>Number of GGUS tickets</w:t>
      </w:r>
    </w:p>
    <w:p w14:paraId="647F2E68" w14:textId="77777777" w:rsidR="009B4F68" w:rsidRPr="00307566" w:rsidRDefault="00164E6E">
      <w:pPr>
        <w:numPr>
          <w:ilvl w:val="1"/>
          <w:numId w:val="20"/>
        </w:numPr>
        <w:spacing w:after="0"/>
      </w:pPr>
      <w:r w:rsidRPr="00307566">
        <w:t>Number of tickets handled by the provider (regardless category and priority). The statistic is collected by the EGI Helpdesk system (GGUS).</w:t>
      </w:r>
    </w:p>
    <w:p w14:paraId="7E243FB1" w14:textId="77777777" w:rsidR="009B4F68" w:rsidRPr="00307566" w:rsidRDefault="00164E6E">
      <w:pPr>
        <w:numPr>
          <w:ilvl w:val="1"/>
          <w:numId w:val="20"/>
        </w:numPr>
        <w:spacing w:after="0"/>
      </w:pPr>
      <w:r w:rsidRPr="00307566">
        <w:t>Capacity strategy: lag</w:t>
      </w:r>
    </w:p>
    <w:p w14:paraId="4FAC696D" w14:textId="77777777" w:rsidR="009B4F68" w:rsidRPr="00307566" w:rsidRDefault="00164E6E">
      <w:pPr>
        <w:numPr>
          <w:ilvl w:val="0"/>
          <w:numId w:val="20"/>
        </w:numPr>
        <w:spacing w:after="0"/>
      </w:pPr>
      <w:r w:rsidRPr="00307566">
        <w:rPr>
          <w:b/>
        </w:rPr>
        <w:t>Tickets average response time</w:t>
      </w:r>
    </w:p>
    <w:p w14:paraId="24556BD1" w14:textId="77777777" w:rsidR="009B4F68" w:rsidRPr="00307566" w:rsidRDefault="00164E6E">
      <w:pPr>
        <w:numPr>
          <w:ilvl w:val="1"/>
          <w:numId w:val="20"/>
        </w:numPr>
        <w:spacing w:after="0"/>
      </w:pPr>
      <w:r w:rsidRPr="00307566">
        <w:t>Average response time (in working days) to the tickets (regardless category and priority). The aim is to check if a relatively high number of tickets can produce an increase of the (average) response time. The statistic is collected by the EGI Helpdesk system (GGUS).</w:t>
      </w:r>
    </w:p>
    <w:p w14:paraId="7C15F602" w14:textId="77777777" w:rsidR="009B4F68" w:rsidRPr="00307566" w:rsidRDefault="00164E6E">
      <w:pPr>
        <w:numPr>
          <w:ilvl w:val="1"/>
          <w:numId w:val="20"/>
        </w:numPr>
      </w:pPr>
      <w:r w:rsidRPr="00307566">
        <w:t>Capacity strategy: lag</w:t>
      </w:r>
    </w:p>
    <w:p w14:paraId="13212121" w14:textId="3F998871" w:rsidR="009B4F68" w:rsidRPr="00307566" w:rsidRDefault="00164E6E">
      <w:r w:rsidRPr="00307566">
        <w:t>Looking at the amount of tickets handled by the Operations Portal team (Figure 31), it appears that the human capacity area of the service didn’t suffer particular issues; the high value in the average response time (Figure 32) recorded in November 2019, compared to the other months, was due to a single ticket whose status wasn’t properly set to “in progress”, even though it was processed according to the service OLA. We can assume that the number of staff and the effort allocated to deliver the service are enough to cope with an eventual increase of demand and to guarantee an adequate performance level.</w:t>
      </w:r>
    </w:p>
    <w:p w14:paraId="29683544" w14:textId="2284B0CD" w:rsidR="009B4F68" w:rsidRPr="00307566" w:rsidRDefault="00164E6E" w:rsidP="0061001D">
      <w:pPr>
        <w:jc w:val="center"/>
      </w:pPr>
      <w:r w:rsidRPr="00307566">
        <w:rPr>
          <w:noProof/>
        </w:rPr>
        <w:drawing>
          <wp:inline distT="114300" distB="114300" distL="114300" distR="114300" wp14:anchorId="17A7B85A" wp14:editId="18580314">
            <wp:extent cx="5734050" cy="2146300"/>
            <wp:effectExtent l="0" t="0" r="0" b="0"/>
            <wp:docPr id="28" name="image27.png"/>
            <wp:cNvGraphicFramePr/>
            <a:graphic xmlns:a="http://schemas.openxmlformats.org/drawingml/2006/main">
              <a:graphicData uri="http://schemas.openxmlformats.org/drawingml/2006/picture">
                <pic:pic xmlns:pic="http://schemas.openxmlformats.org/drawingml/2006/picture">
                  <pic:nvPicPr>
                    <pic:cNvPr id="0" name="image27.png"/>
                    <pic:cNvPicPr preferRelativeResize="0"/>
                  </pic:nvPicPr>
                  <pic:blipFill>
                    <a:blip r:embed="rId45"/>
                    <a:srcRect/>
                    <a:stretch>
                      <a:fillRect/>
                    </a:stretch>
                  </pic:blipFill>
                  <pic:spPr>
                    <a:xfrm>
                      <a:off x="0" y="0"/>
                      <a:ext cx="5734050" cy="2146300"/>
                    </a:xfrm>
                    <a:prstGeom prst="rect">
                      <a:avLst/>
                    </a:prstGeom>
                    <a:ln/>
                  </pic:spPr>
                </pic:pic>
              </a:graphicData>
            </a:graphic>
          </wp:inline>
        </w:drawing>
      </w:r>
      <w:r w:rsidRPr="00307566">
        <w:rPr>
          <w:b/>
          <w:i/>
          <w:color w:val="17365D"/>
        </w:rPr>
        <w:t>Fig. 33 - Number of tickets handled by the service support unit</w:t>
      </w:r>
      <w:r w:rsidR="0061001D" w:rsidRPr="00307566">
        <w:rPr>
          <w:b/>
          <w:i/>
          <w:color w:val="17365D"/>
        </w:rPr>
        <w:t>.</w:t>
      </w:r>
    </w:p>
    <w:p w14:paraId="1DD03178" w14:textId="77777777" w:rsidR="009B4F68" w:rsidRPr="00307566" w:rsidRDefault="00164E6E">
      <w:r w:rsidRPr="00307566">
        <w:rPr>
          <w:noProof/>
        </w:rPr>
        <w:lastRenderedPageBreak/>
        <w:drawing>
          <wp:inline distT="114300" distB="114300" distL="114300" distR="114300" wp14:anchorId="037ADA74" wp14:editId="1B1B52DC">
            <wp:extent cx="5734050" cy="2146300"/>
            <wp:effectExtent l="0" t="0" r="0" b="0"/>
            <wp:docPr id="21" name="image24.png"/>
            <wp:cNvGraphicFramePr/>
            <a:graphic xmlns:a="http://schemas.openxmlformats.org/drawingml/2006/main">
              <a:graphicData uri="http://schemas.openxmlformats.org/drawingml/2006/picture">
                <pic:pic xmlns:pic="http://schemas.openxmlformats.org/drawingml/2006/picture">
                  <pic:nvPicPr>
                    <pic:cNvPr id="0" name="image24.png"/>
                    <pic:cNvPicPr preferRelativeResize="0"/>
                  </pic:nvPicPr>
                  <pic:blipFill>
                    <a:blip r:embed="rId46"/>
                    <a:srcRect/>
                    <a:stretch>
                      <a:fillRect/>
                    </a:stretch>
                  </pic:blipFill>
                  <pic:spPr>
                    <a:xfrm>
                      <a:off x="0" y="0"/>
                      <a:ext cx="5734050" cy="2146300"/>
                    </a:xfrm>
                    <a:prstGeom prst="rect">
                      <a:avLst/>
                    </a:prstGeom>
                    <a:ln/>
                  </pic:spPr>
                </pic:pic>
              </a:graphicData>
            </a:graphic>
          </wp:inline>
        </w:drawing>
      </w:r>
    </w:p>
    <w:p w14:paraId="5706922C" w14:textId="577F6E88" w:rsidR="009B4F68" w:rsidRPr="00307566" w:rsidRDefault="00164E6E">
      <w:pPr>
        <w:keepNext/>
        <w:spacing w:after="240"/>
        <w:jc w:val="center"/>
      </w:pPr>
      <w:r w:rsidRPr="00307566">
        <w:rPr>
          <w:b/>
          <w:i/>
          <w:color w:val="17365D"/>
        </w:rPr>
        <w:t>Fig. 34 - Average response time (working days) to the tickets submitted to the service support unit</w:t>
      </w:r>
      <w:r w:rsidR="0061001D" w:rsidRPr="00307566">
        <w:rPr>
          <w:b/>
          <w:i/>
          <w:color w:val="17365D"/>
        </w:rPr>
        <w:t>.</w:t>
      </w:r>
    </w:p>
    <w:p w14:paraId="32228A10" w14:textId="77777777" w:rsidR="009B4F68" w:rsidRPr="00307566" w:rsidRDefault="00164E6E">
      <w:pPr>
        <w:pStyle w:val="Heading1"/>
        <w:numPr>
          <w:ilvl w:val="0"/>
          <w:numId w:val="4"/>
        </w:numPr>
      </w:pPr>
      <w:bookmarkStart w:id="37" w:name="_Toc46932786"/>
      <w:r w:rsidRPr="00307566">
        <w:t>Conclusion</w:t>
      </w:r>
      <w:bookmarkEnd w:id="37"/>
    </w:p>
    <w:p w14:paraId="721746C0" w14:textId="77777777" w:rsidR="009B4F68" w:rsidRPr="00307566" w:rsidRDefault="00164E6E">
      <w:pPr>
        <w:spacing w:after="0"/>
      </w:pPr>
      <w:r w:rsidRPr="00307566">
        <w:t>We have defined the criteria for creating a capacity plan according to the FitSM requirements, and based on this we have produced capacity plans for the services in the Hub Portfolio to assess if the resources provided for the service delivery are sufficient to meet the current demand at the quality level agreed in the several OLAs. At the same time we have provided our recommendations on future capacity requirements that may be necessary to meet an eventual increase in the service demand. We have ensured that the capacity of our services is regularly monitored and we have also planned periodic reviews of the capacity plans: if any capacity issue will be identified, we can proactively intervene, discussing and planning along with the providers either any capacity adjustment or any performance improvement that might be necessary to meet the agreed service level.</w:t>
      </w:r>
    </w:p>
    <w:p w14:paraId="020223C6" w14:textId="77777777" w:rsidR="009B4F68" w:rsidRPr="00307566" w:rsidRDefault="00164E6E">
      <w:pPr>
        <w:spacing w:after="0"/>
      </w:pPr>
      <w:r w:rsidRPr="00307566">
        <w:t>From the data collected it appears that current capacity of the services is enough to cope with the current and the future service demand, even in the case of an increase of service utilisation over the next 6/12 months.</w:t>
      </w:r>
    </w:p>
    <w:p w14:paraId="27230553" w14:textId="77777777" w:rsidR="009B4F68" w:rsidRPr="00307566" w:rsidRDefault="009B4F68">
      <w:pPr>
        <w:spacing w:after="0"/>
      </w:pPr>
    </w:p>
    <w:p w14:paraId="059002F2" w14:textId="77777777" w:rsidR="009B4F68" w:rsidRPr="00307566" w:rsidRDefault="009B4F68"/>
    <w:p w14:paraId="00CDB477" w14:textId="77777777" w:rsidR="009B4F68" w:rsidRPr="00307566" w:rsidRDefault="009B4F68"/>
    <w:p w14:paraId="6E90F5B2" w14:textId="77777777" w:rsidR="009B4F68" w:rsidRPr="00307566" w:rsidRDefault="009B4F68"/>
    <w:sectPr w:rsidR="009B4F68" w:rsidRPr="00307566">
      <w:headerReference w:type="even" r:id="rId47"/>
      <w:headerReference w:type="default" r:id="rId48"/>
      <w:footerReference w:type="first" r:id="rId49"/>
      <w:pgSz w:w="11906" w:h="16838"/>
      <w:pgMar w:top="1985" w:right="1440" w:bottom="1440" w:left="1440" w:header="993" w:footer="649" w:gutter="0"/>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5F7CAF" w14:textId="77777777" w:rsidR="006C3A5A" w:rsidRDefault="006C3A5A">
      <w:pPr>
        <w:spacing w:after="0" w:line="240" w:lineRule="auto"/>
      </w:pPr>
      <w:r>
        <w:separator/>
      </w:r>
    </w:p>
  </w:endnote>
  <w:endnote w:type="continuationSeparator" w:id="0">
    <w:p w14:paraId="7777FE4E" w14:textId="77777777" w:rsidR="006C3A5A" w:rsidRDefault="006C3A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Roboto">
    <w:altName w:val="Arial"/>
    <w:charset w:val="00"/>
    <w:family w:val="auto"/>
    <w:pitch w:val="variable"/>
    <w:sig w:usb0="E00002FF" w:usb1="5000205B" w:usb2="0000002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E30DDE" w14:textId="77777777" w:rsidR="00307566" w:rsidRDefault="00307566">
    <w:pPr>
      <w:widowControl w:val="0"/>
      <w:pBdr>
        <w:top w:val="nil"/>
        <w:left w:val="nil"/>
        <w:bottom w:val="nil"/>
        <w:right w:val="nil"/>
        <w:between w:val="nil"/>
      </w:pBdr>
      <w:spacing w:after="0"/>
      <w:jc w:val="left"/>
      <w:rPr>
        <w:color w:val="000000"/>
      </w:rPr>
    </w:pPr>
  </w:p>
  <w:tbl>
    <w:tblPr>
      <w:tblStyle w:val="aa"/>
      <w:tblW w:w="9870" w:type="dxa"/>
      <w:tblInd w:w="0" w:type="dxa"/>
      <w:tblLayout w:type="fixed"/>
      <w:tblLook w:val="0400" w:firstRow="0" w:lastRow="0" w:firstColumn="0" w:lastColumn="0" w:noHBand="0" w:noVBand="1"/>
    </w:tblPr>
    <w:tblGrid>
      <w:gridCol w:w="9144"/>
      <w:gridCol w:w="726"/>
    </w:tblGrid>
    <w:tr w:rsidR="00307566" w14:paraId="633CFED2" w14:textId="77777777">
      <w:trPr>
        <w:trHeight w:val="475"/>
      </w:trPr>
      <w:tc>
        <w:tcPr>
          <w:tcW w:w="9144" w:type="dxa"/>
          <w:shd w:val="clear" w:color="auto" w:fill="7DA9DF"/>
          <w:vAlign w:val="center"/>
        </w:tcPr>
        <w:p w14:paraId="3B97E6B3" w14:textId="77777777" w:rsidR="00307566" w:rsidRDefault="00307566">
          <w:pPr>
            <w:pBdr>
              <w:top w:val="nil"/>
              <w:left w:val="nil"/>
              <w:bottom w:val="nil"/>
              <w:right w:val="nil"/>
              <w:between w:val="nil"/>
            </w:pBdr>
            <w:tabs>
              <w:tab w:val="center" w:pos="4513"/>
              <w:tab w:val="right" w:pos="9026"/>
            </w:tabs>
            <w:spacing w:after="0" w:line="240" w:lineRule="auto"/>
            <w:jc w:val="left"/>
            <w:rPr>
              <w:smallCaps/>
              <w:color w:val="FFFFFF"/>
              <w:sz w:val="16"/>
              <w:szCs w:val="16"/>
            </w:rPr>
          </w:pPr>
          <w:r>
            <w:rPr>
              <w:smallCaps/>
              <w:color w:val="FFFFFF"/>
              <w:sz w:val="16"/>
              <w:szCs w:val="16"/>
            </w:rPr>
            <w:t>EOSC-HUB RECEIVES FUNDING FROM THE EUROPEAN UNION’S HORIZON 2020 RESEARCH AND INNOVATION PROGRAMME UNDER GRANT AGREEMENT NO. 777536.</w:t>
          </w:r>
        </w:p>
      </w:tc>
      <w:tc>
        <w:tcPr>
          <w:tcW w:w="726" w:type="dxa"/>
          <w:shd w:val="clear" w:color="auto" w:fill="1E2F46"/>
          <w:vAlign w:val="center"/>
        </w:tcPr>
        <w:p w14:paraId="4D7A2DD4" w14:textId="77777777" w:rsidR="00307566" w:rsidRDefault="00307566">
          <w:pPr>
            <w:pBdr>
              <w:top w:val="nil"/>
              <w:left w:val="nil"/>
              <w:bottom w:val="nil"/>
              <w:right w:val="nil"/>
              <w:between w:val="nil"/>
            </w:pBdr>
            <w:tabs>
              <w:tab w:val="center" w:pos="4513"/>
              <w:tab w:val="right" w:pos="9026"/>
            </w:tabs>
            <w:spacing w:after="0" w:line="240" w:lineRule="auto"/>
            <w:jc w:val="right"/>
            <w:rPr>
              <w:color w:val="002060"/>
              <w:sz w:val="18"/>
              <w:szCs w:val="18"/>
            </w:rPr>
          </w:pPr>
        </w:p>
      </w:tc>
    </w:tr>
  </w:tbl>
  <w:p w14:paraId="3608B234" w14:textId="77777777" w:rsidR="00307566" w:rsidRDefault="00307566">
    <w:pPr>
      <w:pBdr>
        <w:top w:val="nil"/>
        <w:left w:val="nil"/>
        <w:bottom w:val="nil"/>
        <w:right w:val="nil"/>
        <w:between w:val="nil"/>
      </w:pBdr>
      <w:tabs>
        <w:tab w:val="center" w:pos="4513"/>
        <w:tab w:val="right" w:pos="9026"/>
      </w:tabs>
      <w:spacing w:after="0" w:line="240" w:lineRule="auto"/>
      <w:rPr>
        <w:color w:val="000000"/>
      </w:rPr>
    </w:pPr>
    <w:r>
      <w:rPr>
        <w:noProof/>
      </w:rPr>
      <w:drawing>
        <wp:anchor distT="0" distB="0" distL="114300" distR="114300" simplePos="0" relativeHeight="251658240" behindDoc="0" locked="0" layoutInCell="1" hidden="0" allowOverlap="1" wp14:anchorId="062202D0" wp14:editId="61D28D0C">
          <wp:simplePos x="0" y="0"/>
          <wp:positionH relativeFrom="column">
            <wp:posOffset>537210</wp:posOffset>
          </wp:positionH>
          <wp:positionV relativeFrom="paragraph">
            <wp:posOffset>-304535</wp:posOffset>
          </wp:positionV>
          <wp:extent cx="445770" cy="301494"/>
          <wp:effectExtent l="0" t="0" r="0" b="0"/>
          <wp:wrapNone/>
          <wp:docPr id="15"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1"/>
                  <a:srcRect/>
                  <a:stretch>
                    <a:fillRect/>
                  </a:stretch>
                </pic:blipFill>
                <pic:spPr>
                  <a:xfrm>
                    <a:off x="0" y="0"/>
                    <a:ext cx="445770" cy="301494"/>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6BABDA" w14:textId="77777777" w:rsidR="006C3A5A" w:rsidRDefault="006C3A5A">
      <w:pPr>
        <w:spacing w:after="0" w:line="240" w:lineRule="auto"/>
      </w:pPr>
      <w:r>
        <w:separator/>
      </w:r>
    </w:p>
  </w:footnote>
  <w:footnote w:type="continuationSeparator" w:id="0">
    <w:p w14:paraId="4E28E767" w14:textId="77777777" w:rsidR="006C3A5A" w:rsidRDefault="006C3A5A">
      <w:pPr>
        <w:spacing w:after="0" w:line="240" w:lineRule="auto"/>
      </w:pPr>
      <w:r>
        <w:continuationSeparator/>
      </w:r>
    </w:p>
  </w:footnote>
  <w:footnote w:id="1">
    <w:p w14:paraId="6579FAFF" w14:textId="77777777" w:rsidR="00307566" w:rsidRDefault="00307566">
      <w:pPr>
        <w:spacing w:after="0" w:line="240" w:lineRule="auto"/>
        <w:rPr>
          <w:sz w:val="16"/>
          <w:szCs w:val="16"/>
        </w:rPr>
      </w:pPr>
      <w:r>
        <w:rPr>
          <w:vertAlign w:val="superscript"/>
        </w:rPr>
        <w:footnoteRef/>
      </w:r>
      <w:r>
        <w:rPr>
          <w:sz w:val="16"/>
          <w:szCs w:val="16"/>
        </w:rPr>
        <w:t xml:space="preserve"> An IT service management system is the entirety of activities performed by service providers to plan, deliver, operate and control services offered to customers</w:t>
      </w:r>
    </w:p>
  </w:footnote>
  <w:footnote w:id="2">
    <w:p w14:paraId="139EE939" w14:textId="77777777" w:rsidR="00307566" w:rsidRDefault="00307566">
      <w:pPr>
        <w:spacing w:after="0" w:line="240" w:lineRule="auto"/>
        <w:rPr>
          <w:sz w:val="16"/>
          <w:szCs w:val="16"/>
        </w:rPr>
      </w:pPr>
      <w:r>
        <w:rPr>
          <w:vertAlign w:val="superscript"/>
        </w:rPr>
        <w:footnoteRef/>
      </w:r>
      <w:r>
        <w:rPr>
          <w:sz w:val="16"/>
          <w:szCs w:val="16"/>
        </w:rPr>
        <w:t xml:space="preserve"> </w:t>
      </w:r>
      <w:hyperlink r:id="rId1">
        <w:r>
          <w:rPr>
            <w:color w:val="1155CC"/>
            <w:sz w:val="16"/>
            <w:szCs w:val="16"/>
            <w:u w:val="single"/>
          </w:rPr>
          <w:t>www.fitsm.eu</w:t>
        </w:r>
      </w:hyperlink>
      <w:r>
        <w:rPr>
          <w:sz w:val="16"/>
          <w:szCs w:val="16"/>
        </w:rPr>
        <w:t xml:space="preserve"> </w:t>
      </w:r>
    </w:p>
  </w:footnote>
  <w:footnote w:id="3">
    <w:p w14:paraId="5265E85A" w14:textId="77777777" w:rsidR="00307566" w:rsidRDefault="00307566">
      <w:pPr>
        <w:spacing w:after="0" w:line="240" w:lineRule="auto"/>
        <w:rPr>
          <w:sz w:val="16"/>
          <w:szCs w:val="16"/>
        </w:rPr>
      </w:pPr>
      <w:r>
        <w:rPr>
          <w:vertAlign w:val="superscript"/>
        </w:rPr>
        <w:footnoteRef/>
      </w:r>
      <w:r>
        <w:rPr>
          <w:sz w:val="16"/>
          <w:szCs w:val="16"/>
        </w:rPr>
        <w:t xml:space="preserve"> D4.2 Operational Infrastructure Roadmap: </w:t>
      </w:r>
      <w:hyperlink r:id="rId2">
        <w:r>
          <w:rPr>
            <w:color w:val="1155CC"/>
            <w:sz w:val="16"/>
            <w:szCs w:val="16"/>
            <w:u w:val="single"/>
          </w:rPr>
          <w:t>https://documents.egi.eu/document/3422</w:t>
        </w:r>
      </w:hyperlink>
      <w:r>
        <w:rPr>
          <w:sz w:val="16"/>
          <w:szCs w:val="16"/>
        </w:rPr>
        <w:t xml:space="preserve"> </w:t>
      </w:r>
    </w:p>
  </w:footnote>
  <w:footnote w:id="4">
    <w:p w14:paraId="2A8FAAD3" w14:textId="77777777" w:rsidR="00307566" w:rsidRDefault="00307566">
      <w:pPr>
        <w:spacing w:after="0" w:line="240" w:lineRule="auto"/>
        <w:rPr>
          <w:sz w:val="16"/>
          <w:szCs w:val="16"/>
        </w:rPr>
      </w:pPr>
      <w:r>
        <w:rPr>
          <w:vertAlign w:val="superscript"/>
        </w:rPr>
        <w:footnoteRef/>
      </w:r>
      <w:r>
        <w:rPr>
          <w:sz w:val="16"/>
          <w:szCs w:val="16"/>
        </w:rPr>
        <w:t xml:space="preserve"> A new component of the Operations Portal just released at the moment of writing this deliverable, SOMBO (Service Order Management Back Office) has been proposed as a service in the Hub Portfolio to support the service orders handled through the Marketplace.</w:t>
      </w:r>
    </w:p>
  </w:footnote>
  <w:footnote w:id="5">
    <w:p w14:paraId="64992A3B" w14:textId="77777777" w:rsidR="00307566" w:rsidRDefault="00307566">
      <w:pPr>
        <w:spacing w:after="0" w:line="240" w:lineRule="auto"/>
        <w:rPr>
          <w:sz w:val="16"/>
          <w:szCs w:val="16"/>
        </w:rPr>
      </w:pPr>
      <w:r>
        <w:rPr>
          <w:vertAlign w:val="superscript"/>
        </w:rPr>
        <w:footnoteRef/>
      </w:r>
      <w:r>
        <w:rPr>
          <w:sz w:val="16"/>
          <w:szCs w:val="16"/>
        </w:rPr>
        <w:t xml:space="preserve"> An international e-Infrastructure, member of EOSC-hub, set up to provide advanced computing and data analytics services for research and innovation - </w:t>
      </w:r>
      <w:hyperlink r:id="rId3">
        <w:r>
          <w:rPr>
            <w:color w:val="1155CC"/>
            <w:sz w:val="16"/>
            <w:szCs w:val="16"/>
            <w:u w:val="single"/>
          </w:rPr>
          <w:t>https://www.egi.eu</w:t>
        </w:r>
      </w:hyperlink>
      <w:r>
        <w:rPr>
          <w:sz w:val="16"/>
          <w:szCs w:val="16"/>
        </w:rPr>
        <w:t xml:space="preserve">. </w:t>
      </w:r>
    </w:p>
  </w:footnote>
  <w:footnote w:id="6">
    <w:p w14:paraId="62F60182" w14:textId="77777777" w:rsidR="00307566" w:rsidRDefault="00307566">
      <w:pPr>
        <w:spacing w:after="0" w:line="240" w:lineRule="auto"/>
        <w:rPr>
          <w:sz w:val="16"/>
          <w:szCs w:val="16"/>
        </w:rPr>
      </w:pPr>
      <w:r>
        <w:rPr>
          <w:vertAlign w:val="superscript"/>
        </w:rPr>
        <w:footnoteRef/>
      </w:r>
      <w:r>
        <w:rPr>
          <w:sz w:val="16"/>
          <w:szCs w:val="16"/>
        </w:rPr>
        <w:t xml:space="preserve"> </w:t>
      </w:r>
      <w:hyperlink r:id="rId4">
        <w:r>
          <w:rPr>
            <w:color w:val="1155CC"/>
            <w:sz w:val="16"/>
            <w:szCs w:val="16"/>
            <w:u w:val="single"/>
          </w:rPr>
          <w:t>https://www.egi.eu/internal-services/check-in</w:t>
        </w:r>
      </w:hyperlink>
      <w:r>
        <w:rPr>
          <w:sz w:val="16"/>
          <w:szCs w:val="16"/>
        </w:rPr>
        <w:t xml:space="preserve"> </w:t>
      </w:r>
    </w:p>
  </w:footnote>
  <w:footnote w:id="7">
    <w:p w14:paraId="12A4BD88" w14:textId="77777777" w:rsidR="00307566" w:rsidRDefault="00307566">
      <w:pPr>
        <w:spacing w:after="0" w:line="240" w:lineRule="auto"/>
        <w:rPr>
          <w:sz w:val="16"/>
          <w:szCs w:val="16"/>
        </w:rPr>
      </w:pPr>
      <w:r>
        <w:rPr>
          <w:vertAlign w:val="superscript"/>
        </w:rPr>
        <w:footnoteRef/>
      </w:r>
      <w:r>
        <w:rPr>
          <w:sz w:val="16"/>
          <w:szCs w:val="16"/>
        </w:rPr>
        <w:t xml:space="preserve"> </w:t>
      </w:r>
      <w:hyperlink r:id="rId5">
        <w:r>
          <w:rPr>
            <w:color w:val="1155CC"/>
            <w:sz w:val="16"/>
            <w:szCs w:val="16"/>
            <w:u w:val="single"/>
          </w:rPr>
          <w:t>https://goc.egi.eu</w:t>
        </w:r>
      </w:hyperlink>
      <w:r>
        <w:rPr>
          <w:sz w:val="16"/>
          <w:szCs w:val="16"/>
        </w:rPr>
        <w:t xml:space="preserve"> </w:t>
      </w:r>
    </w:p>
  </w:footnote>
  <w:footnote w:id="8">
    <w:p w14:paraId="5507D40F" w14:textId="77777777" w:rsidR="00307566" w:rsidRDefault="00307566">
      <w:pPr>
        <w:spacing w:after="0" w:line="240" w:lineRule="auto"/>
        <w:rPr>
          <w:sz w:val="16"/>
          <w:szCs w:val="16"/>
        </w:rPr>
      </w:pPr>
      <w:r>
        <w:rPr>
          <w:vertAlign w:val="superscript"/>
        </w:rPr>
        <w:footnoteRef/>
      </w:r>
      <w:r>
        <w:rPr>
          <w:sz w:val="16"/>
          <w:szCs w:val="16"/>
        </w:rPr>
        <w:t xml:space="preserve"> </w:t>
      </w:r>
      <w:hyperlink r:id="rId6">
        <w:r>
          <w:rPr>
            <w:color w:val="1155CC"/>
            <w:sz w:val="16"/>
            <w:szCs w:val="16"/>
            <w:u w:val="single"/>
          </w:rPr>
          <w:t>https://accounting.egi.eu</w:t>
        </w:r>
      </w:hyperlink>
      <w:r>
        <w:rPr>
          <w:sz w:val="16"/>
          <w:szCs w:val="16"/>
        </w:rPr>
        <w:t xml:space="preserve"> </w:t>
      </w:r>
    </w:p>
  </w:footnote>
  <w:footnote w:id="9">
    <w:p w14:paraId="285F327F" w14:textId="23D85FAE" w:rsidR="00307566" w:rsidRDefault="00307566">
      <w:pPr>
        <w:spacing w:after="0" w:line="240" w:lineRule="auto"/>
        <w:rPr>
          <w:sz w:val="16"/>
          <w:szCs w:val="16"/>
        </w:rPr>
      </w:pPr>
      <w:r>
        <w:rPr>
          <w:vertAlign w:val="superscript"/>
        </w:rPr>
        <w:footnoteRef/>
      </w:r>
      <w:r>
        <w:rPr>
          <w:sz w:val="20"/>
          <w:szCs w:val="20"/>
        </w:rPr>
        <w:t xml:space="preserve"> </w:t>
      </w:r>
      <w:r>
        <w:rPr>
          <w:sz w:val="16"/>
          <w:szCs w:val="16"/>
        </w:rPr>
        <w:t>As reported in Table 1, this capacity plan is not completed yet, so that at the moment of writing this document only a subset of capacity monitoring data was available.</w:t>
      </w:r>
    </w:p>
  </w:footnote>
  <w:footnote w:id="10">
    <w:p w14:paraId="6720ECF4" w14:textId="77777777" w:rsidR="00307566" w:rsidRDefault="00307566">
      <w:pPr>
        <w:spacing w:after="0" w:line="240" w:lineRule="auto"/>
        <w:rPr>
          <w:sz w:val="16"/>
          <w:szCs w:val="16"/>
        </w:rPr>
      </w:pPr>
      <w:r>
        <w:rPr>
          <w:vertAlign w:val="superscript"/>
        </w:rPr>
        <w:footnoteRef/>
      </w:r>
      <w:r>
        <w:rPr>
          <w:sz w:val="16"/>
          <w:szCs w:val="16"/>
        </w:rPr>
        <w:t xml:space="preserve"> </w:t>
      </w:r>
      <w:hyperlink r:id="rId7">
        <w:r>
          <w:rPr>
            <w:color w:val="1155CC"/>
            <w:sz w:val="16"/>
            <w:szCs w:val="16"/>
            <w:u w:val="single"/>
          </w:rPr>
          <w:t>https://helpdesk.eosc-hub.eu/</w:t>
        </w:r>
      </w:hyperlink>
      <w:r>
        <w:rPr>
          <w:sz w:val="16"/>
          <w:szCs w:val="16"/>
        </w:rPr>
        <w:t xml:space="preserve"> </w:t>
      </w:r>
    </w:p>
  </w:footnote>
  <w:footnote w:id="11">
    <w:p w14:paraId="752F3D08" w14:textId="77777777" w:rsidR="00307566" w:rsidRDefault="00307566">
      <w:pPr>
        <w:spacing w:after="0" w:line="240" w:lineRule="auto"/>
        <w:rPr>
          <w:sz w:val="16"/>
          <w:szCs w:val="16"/>
        </w:rPr>
      </w:pPr>
      <w:r>
        <w:rPr>
          <w:vertAlign w:val="superscript"/>
        </w:rPr>
        <w:footnoteRef/>
      </w:r>
      <w:r>
        <w:rPr>
          <w:sz w:val="16"/>
          <w:szCs w:val="16"/>
        </w:rPr>
        <w:t xml:space="preserve"> </w:t>
      </w:r>
      <w:hyperlink r:id="rId8">
        <w:r>
          <w:rPr>
            <w:color w:val="1155CC"/>
            <w:sz w:val="16"/>
            <w:szCs w:val="16"/>
            <w:u w:val="single"/>
          </w:rPr>
          <w:t>https://marketplace.eosc-portal.eu</w:t>
        </w:r>
      </w:hyperlink>
      <w:r>
        <w:rPr>
          <w:sz w:val="16"/>
          <w:szCs w:val="16"/>
        </w:rPr>
        <w:t xml:space="preserve"> </w:t>
      </w:r>
    </w:p>
  </w:footnote>
  <w:footnote w:id="12">
    <w:p w14:paraId="3045476E" w14:textId="77777777" w:rsidR="00307566" w:rsidRDefault="00307566">
      <w:pPr>
        <w:spacing w:after="0" w:line="240" w:lineRule="auto"/>
        <w:rPr>
          <w:sz w:val="16"/>
          <w:szCs w:val="16"/>
        </w:rPr>
      </w:pPr>
      <w:r>
        <w:rPr>
          <w:vertAlign w:val="superscript"/>
        </w:rPr>
        <w:footnoteRef/>
      </w:r>
      <w:r>
        <w:rPr>
          <w:sz w:val="16"/>
          <w:szCs w:val="16"/>
        </w:rPr>
        <w:t xml:space="preserve"> </w:t>
      </w:r>
      <w:hyperlink r:id="rId9">
        <w:r>
          <w:rPr>
            <w:color w:val="1155CC"/>
            <w:sz w:val="16"/>
            <w:szCs w:val="16"/>
            <w:u w:val="single"/>
          </w:rPr>
          <w:t>http://argoeu.github.io/index.html</w:t>
        </w:r>
      </w:hyperlink>
      <w:r>
        <w:rPr>
          <w:sz w:val="16"/>
          <w:szCs w:val="16"/>
        </w:rPr>
        <w:t xml:space="preserve"> </w:t>
      </w:r>
    </w:p>
  </w:footnote>
  <w:footnote w:id="13">
    <w:p w14:paraId="6CD2139C" w14:textId="77777777" w:rsidR="00307566" w:rsidRDefault="00307566">
      <w:pPr>
        <w:spacing w:after="0" w:line="240" w:lineRule="auto"/>
        <w:rPr>
          <w:sz w:val="16"/>
          <w:szCs w:val="16"/>
        </w:rPr>
      </w:pPr>
      <w:r>
        <w:rPr>
          <w:vertAlign w:val="superscript"/>
        </w:rPr>
        <w:footnoteRef/>
      </w:r>
      <w:r>
        <w:rPr>
          <w:sz w:val="16"/>
          <w:szCs w:val="16"/>
        </w:rPr>
        <w:t xml:space="preserve"> As shown in Table 1, this capacity plan is not yet completed: we managed to agree with the provider the SLIs list and we are waiting for receiving the required capacity monitoring data (only the Human SLIs data are already available to us).</w:t>
      </w:r>
    </w:p>
  </w:footnote>
  <w:footnote w:id="14">
    <w:p w14:paraId="524740E8" w14:textId="77777777" w:rsidR="00307566" w:rsidRDefault="00307566">
      <w:pPr>
        <w:spacing w:after="0" w:line="240" w:lineRule="auto"/>
        <w:rPr>
          <w:sz w:val="16"/>
          <w:szCs w:val="16"/>
        </w:rPr>
      </w:pPr>
      <w:r>
        <w:rPr>
          <w:vertAlign w:val="superscript"/>
        </w:rPr>
        <w:footnoteRef/>
      </w:r>
      <w:r>
        <w:rPr>
          <w:sz w:val="16"/>
          <w:szCs w:val="16"/>
        </w:rPr>
        <w:t xml:space="preserve"> </w:t>
      </w:r>
      <w:hyperlink r:id="rId10">
        <w:r>
          <w:rPr>
            <w:color w:val="1155CC"/>
            <w:sz w:val="16"/>
            <w:szCs w:val="16"/>
            <w:u w:val="single"/>
          </w:rPr>
          <w:t>https://eosc-portal.eu/</w:t>
        </w:r>
      </w:hyperlink>
      <w:r>
        <w:rPr>
          <w:sz w:val="16"/>
          <w:szCs w:val="16"/>
        </w:rPr>
        <w:t xml:space="preserve"> </w:t>
      </w:r>
    </w:p>
  </w:footnote>
  <w:footnote w:id="15">
    <w:p w14:paraId="1291DA3A" w14:textId="77777777" w:rsidR="00307566" w:rsidRDefault="00307566">
      <w:pPr>
        <w:spacing w:after="0" w:line="240" w:lineRule="auto"/>
        <w:rPr>
          <w:sz w:val="16"/>
          <w:szCs w:val="16"/>
        </w:rPr>
      </w:pPr>
      <w:r>
        <w:rPr>
          <w:vertAlign w:val="superscript"/>
        </w:rPr>
        <w:footnoteRef/>
      </w:r>
      <w:r>
        <w:rPr>
          <w:sz w:val="16"/>
          <w:szCs w:val="16"/>
        </w:rPr>
        <w:t xml:space="preserve"> </w:t>
      </w:r>
      <w:hyperlink r:id="rId11">
        <w:r>
          <w:rPr>
            <w:color w:val="1155CC"/>
            <w:sz w:val="16"/>
            <w:szCs w:val="16"/>
            <w:highlight w:val="white"/>
            <w:u w:val="single"/>
          </w:rPr>
          <w:t>http://operations-portal.egi.eu</w:t>
        </w:r>
      </w:hyperlink>
      <w:r>
        <w:rPr>
          <w:sz w:val="16"/>
          <w:szCs w:val="16"/>
          <w:highlight w:val="white"/>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7D02E9" w14:textId="77777777" w:rsidR="00307566" w:rsidRDefault="00307566">
    <w:pPr>
      <w:pBdr>
        <w:top w:val="nil"/>
        <w:left w:val="nil"/>
        <w:bottom w:val="nil"/>
        <w:right w:val="nil"/>
        <w:between w:val="nil"/>
      </w:pBdr>
      <w:tabs>
        <w:tab w:val="center" w:pos="4513"/>
        <w:tab w:val="right" w:pos="9026"/>
      </w:tabs>
      <w:spacing w:after="0" w:line="240" w:lineRule="auto"/>
      <w:jc w:val="right"/>
      <w:rPr>
        <w:color w:val="000000"/>
      </w:rPr>
    </w:pPr>
  </w:p>
  <w:p w14:paraId="53E567B4" w14:textId="77777777" w:rsidR="00307566" w:rsidRDefault="00307566">
    <w:pPr>
      <w:pBdr>
        <w:top w:val="nil"/>
        <w:left w:val="nil"/>
        <w:bottom w:val="nil"/>
        <w:right w:val="nil"/>
        <w:between w:val="nil"/>
      </w:pBdr>
      <w:tabs>
        <w:tab w:val="center" w:pos="4513"/>
        <w:tab w:val="right" w:pos="9026"/>
      </w:tabs>
      <w:spacing w:after="0" w:line="240" w:lineRule="auto"/>
      <w:ind w:right="360"/>
      <w:rPr>
        <w:color w:val="000000"/>
      </w:rPr>
    </w:pPr>
    <w:r>
      <w:rPr>
        <w:color w:val="000000"/>
      </w:rPr>
      <w:fldChar w:fldCharType="begin"/>
    </w:r>
    <w:r>
      <w:rPr>
        <w:color w:val="000000"/>
      </w:rPr>
      <w:instrText>PAGE</w:instrText>
    </w:r>
    <w:r>
      <w:rPr>
        <w:color w:val="000000"/>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4CA978" w14:textId="77777777" w:rsidR="00307566" w:rsidRDefault="00307566">
    <w:pPr>
      <w:pBdr>
        <w:top w:val="nil"/>
        <w:left w:val="nil"/>
        <w:bottom w:val="nil"/>
        <w:right w:val="nil"/>
        <w:between w:val="nil"/>
      </w:pBdr>
      <w:tabs>
        <w:tab w:val="center" w:pos="4513"/>
        <w:tab w:val="right" w:pos="9026"/>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Pr>
        <w:noProof/>
        <w:color w:val="000000"/>
      </w:rPr>
      <w:t>2</w:t>
    </w:r>
    <w:r>
      <w:rPr>
        <w:color w:val="000000"/>
      </w:rPr>
      <w:fldChar w:fldCharType="end"/>
    </w:r>
  </w:p>
  <w:tbl>
    <w:tblPr>
      <w:tblStyle w:val="a9"/>
      <w:tblW w:w="9242" w:type="dxa"/>
      <w:tblInd w:w="0" w:type="dxa"/>
      <w:tblBorders>
        <w:top w:val="nil"/>
        <w:left w:val="nil"/>
        <w:bottom w:val="single" w:sz="4" w:space="0" w:color="BFBFBF"/>
        <w:right w:val="nil"/>
        <w:insideH w:val="nil"/>
        <w:insideV w:val="nil"/>
      </w:tblBorders>
      <w:tblLayout w:type="fixed"/>
      <w:tblLook w:val="0400" w:firstRow="0" w:lastRow="0" w:firstColumn="0" w:lastColumn="0" w:noHBand="0" w:noVBand="1"/>
    </w:tblPr>
    <w:tblGrid>
      <w:gridCol w:w="4621"/>
      <w:gridCol w:w="4621"/>
    </w:tblGrid>
    <w:tr w:rsidR="00307566" w14:paraId="0C8DAA3F" w14:textId="77777777">
      <w:tc>
        <w:tcPr>
          <w:tcW w:w="4621" w:type="dxa"/>
        </w:tcPr>
        <w:p w14:paraId="6A0E5661" w14:textId="77777777" w:rsidR="00307566" w:rsidRDefault="00307566">
          <w:pPr>
            <w:ind w:right="360"/>
          </w:pPr>
        </w:p>
      </w:tc>
      <w:tc>
        <w:tcPr>
          <w:tcW w:w="4621" w:type="dxa"/>
        </w:tcPr>
        <w:p w14:paraId="4314B5C2" w14:textId="77777777" w:rsidR="00307566" w:rsidRDefault="00307566">
          <w:pPr>
            <w:jc w:val="right"/>
          </w:pPr>
        </w:p>
      </w:tc>
    </w:tr>
  </w:tbl>
  <w:p w14:paraId="31C8F367" w14:textId="77777777" w:rsidR="00307566" w:rsidRDefault="00307566">
    <w:pPr>
      <w:pBdr>
        <w:top w:val="nil"/>
        <w:left w:val="nil"/>
        <w:bottom w:val="nil"/>
        <w:right w:val="nil"/>
        <w:between w:val="nil"/>
      </w:pBdr>
      <w:tabs>
        <w:tab w:val="center" w:pos="4513"/>
        <w:tab w:val="right" w:pos="9026"/>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483F97"/>
    <w:multiLevelType w:val="multilevel"/>
    <w:tmpl w:val="93B866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7CC496F"/>
    <w:multiLevelType w:val="multilevel"/>
    <w:tmpl w:val="B984724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5BC78FE"/>
    <w:multiLevelType w:val="multilevel"/>
    <w:tmpl w:val="FD7895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78156E2"/>
    <w:multiLevelType w:val="multilevel"/>
    <w:tmpl w:val="CF22E9C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BA82B01"/>
    <w:multiLevelType w:val="multilevel"/>
    <w:tmpl w:val="1714BE1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1F7D2B50"/>
    <w:multiLevelType w:val="multilevel"/>
    <w:tmpl w:val="906C058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22890888"/>
    <w:multiLevelType w:val="multilevel"/>
    <w:tmpl w:val="D71264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233B4406"/>
    <w:multiLevelType w:val="multilevel"/>
    <w:tmpl w:val="CBBC6F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2B657A92"/>
    <w:multiLevelType w:val="multilevel"/>
    <w:tmpl w:val="2D5EE06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37AF679D"/>
    <w:multiLevelType w:val="multilevel"/>
    <w:tmpl w:val="5F26CF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38F01517"/>
    <w:multiLevelType w:val="multilevel"/>
    <w:tmpl w:val="783E74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47BD63F0"/>
    <w:multiLevelType w:val="multilevel"/>
    <w:tmpl w:val="904C568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550204B6"/>
    <w:multiLevelType w:val="multilevel"/>
    <w:tmpl w:val="F6328BD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55F60EFE"/>
    <w:multiLevelType w:val="multilevel"/>
    <w:tmpl w:val="C966E3B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5AE959E0"/>
    <w:multiLevelType w:val="multilevel"/>
    <w:tmpl w:val="6A68A04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5E8149B6"/>
    <w:multiLevelType w:val="multilevel"/>
    <w:tmpl w:val="4002F79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6F0C719D"/>
    <w:multiLevelType w:val="multilevel"/>
    <w:tmpl w:val="EBCA3398"/>
    <w:lvl w:ilvl="0">
      <w:start w:val="1"/>
      <w:numFmt w:val="decimal"/>
      <w:lvlText w:val="%1"/>
      <w:lvlJc w:val="left"/>
      <w:pPr>
        <w:ind w:left="432" w:hanging="432"/>
      </w:pPr>
    </w:lvl>
    <w:lvl w:ilvl="1">
      <w:start w:val="1"/>
      <w:numFmt w:val="decimal"/>
      <w:lvlText w:val="%1.%2 "/>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7" w15:restartNumberingAfterBreak="0">
    <w:nsid w:val="72904400"/>
    <w:multiLevelType w:val="multilevel"/>
    <w:tmpl w:val="E80487A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7AD17792"/>
    <w:multiLevelType w:val="multilevel"/>
    <w:tmpl w:val="BD42354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7C582091"/>
    <w:multiLevelType w:val="multilevel"/>
    <w:tmpl w:val="3E36F7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3"/>
  </w:num>
  <w:num w:numId="2">
    <w:abstractNumId w:val="1"/>
  </w:num>
  <w:num w:numId="3">
    <w:abstractNumId w:val="13"/>
  </w:num>
  <w:num w:numId="4">
    <w:abstractNumId w:val="16"/>
  </w:num>
  <w:num w:numId="5">
    <w:abstractNumId w:val="12"/>
  </w:num>
  <w:num w:numId="6">
    <w:abstractNumId w:val="8"/>
  </w:num>
  <w:num w:numId="7">
    <w:abstractNumId w:val="11"/>
  </w:num>
  <w:num w:numId="8">
    <w:abstractNumId w:val="7"/>
  </w:num>
  <w:num w:numId="9">
    <w:abstractNumId w:val="6"/>
  </w:num>
  <w:num w:numId="10">
    <w:abstractNumId w:val="10"/>
  </w:num>
  <w:num w:numId="11">
    <w:abstractNumId w:val="0"/>
  </w:num>
  <w:num w:numId="12">
    <w:abstractNumId w:val="15"/>
  </w:num>
  <w:num w:numId="13">
    <w:abstractNumId w:val="19"/>
  </w:num>
  <w:num w:numId="14">
    <w:abstractNumId w:val="4"/>
  </w:num>
  <w:num w:numId="15">
    <w:abstractNumId w:val="5"/>
  </w:num>
  <w:num w:numId="16">
    <w:abstractNumId w:val="9"/>
  </w:num>
  <w:num w:numId="17">
    <w:abstractNumId w:val="2"/>
  </w:num>
  <w:num w:numId="18">
    <w:abstractNumId w:val="18"/>
  </w:num>
  <w:num w:numId="19">
    <w:abstractNumId w:val="14"/>
  </w:num>
  <w:num w:numId="2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4F68"/>
    <w:rsid w:val="00067654"/>
    <w:rsid w:val="00164E6E"/>
    <w:rsid w:val="00307566"/>
    <w:rsid w:val="003921A6"/>
    <w:rsid w:val="005C2031"/>
    <w:rsid w:val="0061001D"/>
    <w:rsid w:val="006C3A5A"/>
    <w:rsid w:val="009B4F68"/>
    <w:rsid w:val="00A9733C"/>
    <w:rsid w:val="00AF7A2A"/>
    <w:rsid w:val="00C3624E"/>
    <w:rsid w:val="00C46A72"/>
    <w:rsid w:val="00CE39E0"/>
    <w:rsid w:val="00D34A23"/>
    <w:rsid w:val="00D66FAE"/>
    <w:rsid w:val="00E37FC6"/>
    <w:rsid w:val="00F836D7"/>
    <w:rsid w:val="00FD1DE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9B7FAB"/>
  <w15:docId w15:val="{787CDC08-11A4-4B0C-A781-40F29EA9EF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GB" w:eastAsia="nl-NL" w:bidi="ar-SA"/>
      </w:rPr>
    </w:rPrDefault>
    <w:pPrDefault>
      <w:pPr>
        <w:spacing w:after="12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0"/>
      <w:ind w:left="567"/>
      <w:outlineLvl w:val="0"/>
    </w:pPr>
    <w:rPr>
      <w:b/>
      <w:color w:val="1C3046"/>
      <w:sz w:val="40"/>
      <w:szCs w:val="40"/>
    </w:rPr>
  </w:style>
  <w:style w:type="paragraph" w:styleId="Heading2">
    <w:name w:val="heading 2"/>
    <w:basedOn w:val="Normal"/>
    <w:next w:val="Normal"/>
    <w:uiPriority w:val="9"/>
    <w:unhideWhenUsed/>
    <w:qFormat/>
    <w:pPr>
      <w:keepNext/>
      <w:keepLines/>
      <w:spacing w:before="200"/>
      <w:outlineLvl w:val="1"/>
    </w:pPr>
    <w:rPr>
      <w:color w:val="1C3046"/>
      <w:sz w:val="32"/>
      <w:szCs w:val="32"/>
    </w:rPr>
  </w:style>
  <w:style w:type="paragraph" w:styleId="Heading3">
    <w:name w:val="heading 3"/>
    <w:basedOn w:val="Normal"/>
    <w:next w:val="Normal"/>
    <w:uiPriority w:val="9"/>
    <w:unhideWhenUsed/>
    <w:qFormat/>
    <w:pPr>
      <w:keepNext/>
      <w:keepLines/>
      <w:spacing w:before="200"/>
      <w:ind w:left="720" w:hanging="720"/>
      <w:outlineLvl w:val="2"/>
    </w:pPr>
    <w:rPr>
      <w:b/>
      <w:color w:val="1C3046"/>
      <w:sz w:val="24"/>
      <w:szCs w:val="24"/>
    </w:rPr>
  </w:style>
  <w:style w:type="paragraph" w:styleId="Heading4">
    <w:name w:val="heading 4"/>
    <w:basedOn w:val="Normal"/>
    <w:next w:val="Normal"/>
    <w:uiPriority w:val="9"/>
    <w:semiHidden/>
    <w:unhideWhenUsed/>
    <w:qFormat/>
    <w:pPr>
      <w:keepNext/>
      <w:keepLines/>
      <w:spacing w:before="200"/>
      <w:ind w:left="864" w:hanging="864"/>
      <w:outlineLvl w:val="3"/>
    </w:pPr>
    <w:rPr>
      <w:i/>
      <w:color w:val="1C3046"/>
    </w:rPr>
  </w:style>
  <w:style w:type="paragraph" w:styleId="Heading5">
    <w:name w:val="heading 5"/>
    <w:basedOn w:val="Normal"/>
    <w:next w:val="Normal"/>
    <w:uiPriority w:val="9"/>
    <w:semiHidden/>
    <w:unhideWhenUsed/>
    <w:qFormat/>
    <w:pPr>
      <w:keepNext/>
      <w:keepLines/>
      <w:spacing w:before="200"/>
      <w:ind w:left="1008" w:hanging="1008"/>
      <w:outlineLvl w:val="4"/>
    </w:pPr>
    <w:rPr>
      <w:color w:val="1C3046"/>
    </w:rPr>
  </w:style>
  <w:style w:type="paragraph" w:styleId="Heading6">
    <w:name w:val="heading 6"/>
    <w:basedOn w:val="Normal"/>
    <w:next w:val="Normal"/>
    <w:uiPriority w:val="9"/>
    <w:semiHidden/>
    <w:unhideWhenUsed/>
    <w:qFormat/>
    <w:pPr>
      <w:keepNext/>
      <w:keepLines/>
      <w:spacing w:before="200"/>
      <w:ind w:left="1008" w:hanging="1008"/>
      <w:outlineLvl w:val="5"/>
    </w:pPr>
    <w:rPr>
      <w:color w:val="1C304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uiPriority w:val="10"/>
    <w:qFormat/>
    <w:pPr>
      <w:jc w:val="center"/>
    </w:pPr>
    <w:rPr>
      <w:b/>
      <w:i/>
      <w:sz w:val="44"/>
      <w:szCs w:val="44"/>
    </w:rPr>
  </w:style>
  <w:style w:type="paragraph" w:styleId="Subtitle">
    <w:name w:val="Subtitle"/>
    <w:basedOn w:val="Normal"/>
    <w:next w:val="Normal"/>
    <w:uiPriority w:val="11"/>
    <w:qFormat/>
    <w:pPr>
      <w:jc w:val="center"/>
    </w:pPr>
    <w:rPr>
      <w:b/>
      <w:sz w:val="26"/>
      <w:szCs w:val="26"/>
    </w:rPr>
  </w:style>
  <w:style w:type="table" w:customStyle="1" w:styleId="a">
    <w:basedOn w:val="TableNormal1"/>
    <w:pPr>
      <w:spacing w:after="0" w:line="240" w:lineRule="auto"/>
    </w:pPr>
    <w:tblPr>
      <w:tblStyleRowBandSize w:val="1"/>
      <w:tblStyleColBandSize w:val="1"/>
      <w:tblCellMar>
        <w:left w:w="108" w:type="dxa"/>
        <w:right w:w="108" w:type="dxa"/>
      </w:tblCellMar>
    </w:tblPr>
  </w:style>
  <w:style w:type="table" w:customStyle="1" w:styleId="a0">
    <w:basedOn w:val="TableNormal1"/>
    <w:pPr>
      <w:spacing w:after="0" w:line="240" w:lineRule="auto"/>
    </w:pPr>
    <w:tblPr>
      <w:tblStyleRowBandSize w:val="1"/>
      <w:tblStyleColBandSize w:val="1"/>
      <w:tblCellMar>
        <w:left w:w="108" w:type="dxa"/>
        <w:right w:w="108" w:type="dxa"/>
      </w:tblCellMar>
    </w:tblPr>
  </w:style>
  <w:style w:type="table" w:customStyle="1" w:styleId="a1">
    <w:basedOn w:val="TableNormal1"/>
    <w:pPr>
      <w:spacing w:after="0" w:line="240" w:lineRule="auto"/>
    </w:pPr>
    <w:tblPr>
      <w:tblStyleRowBandSize w:val="1"/>
      <w:tblStyleColBandSize w:val="1"/>
      <w:tblCellMar>
        <w:left w:w="108" w:type="dxa"/>
        <w:right w:w="108" w:type="dxa"/>
      </w:tblCellMar>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2">
    <w:basedOn w:val="TableNormal1"/>
    <w:pPr>
      <w:spacing w:after="0" w:line="240" w:lineRule="auto"/>
    </w:pPr>
    <w:tblPr>
      <w:tblStyleRowBandSize w:val="1"/>
      <w:tblStyleColBandSize w:val="1"/>
      <w:tblCellMar>
        <w:left w:w="108" w:type="dxa"/>
        <w:right w:w="108" w:type="dxa"/>
      </w:tblCellMar>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3">
    <w:basedOn w:val="TableNormal1"/>
    <w:pPr>
      <w:spacing w:after="0" w:line="240" w:lineRule="auto"/>
    </w:pPr>
    <w:tblPr>
      <w:tblStyleRowBandSize w:val="1"/>
      <w:tblStyleColBandSize w:val="1"/>
      <w:tblCellMar>
        <w:left w:w="108" w:type="dxa"/>
        <w:right w:w="108" w:type="dxa"/>
      </w:tblCellMar>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4">
    <w:basedOn w:val="TableNormal1"/>
    <w:pPr>
      <w:spacing w:after="0" w:line="240" w:lineRule="auto"/>
    </w:pPr>
    <w:tblPr>
      <w:tblStyleRowBandSize w:val="1"/>
      <w:tblStyleColBandSize w:val="1"/>
      <w:tblCellMar>
        <w:left w:w="108" w:type="dxa"/>
        <w:right w:w="108" w:type="dxa"/>
      </w:tblCellMar>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5">
    <w:basedOn w:val="TableNormal1"/>
    <w:tblPr>
      <w:tblStyleRowBandSize w:val="1"/>
      <w:tblStyleColBandSize w:val="1"/>
      <w:tblCellMar>
        <w:top w:w="100" w:type="dxa"/>
        <w:left w:w="100" w:type="dxa"/>
        <w:bottom w:w="100" w:type="dxa"/>
        <w:right w:w="100" w:type="dxa"/>
      </w:tblCellMar>
    </w:tblPr>
  </w:style>
  <w:style w:type="table" w:customStyle="1" w:styleId="a6">
    <w:basedOn w:val="TableNormal1"/>
    <w:tblPr>
      <w:tblStyleRowBandSize w:val="1"/>
      <w:tblStyleColBandSize w:val="1"/>
      <w:tblCellMar>
        <w:top w:w="100" w:type="dxa"/>
        <w:left w:w="100" w:type="dxa"/>
        <w:bottom w:w="100" w:type="dxa"/>
        <w:right w:w="100" w:type="dxa"/>
      </w:tblCellMar>
    </w:tblPr>
    <w:tcPr>
      <w:shd w:val="clear" w:color="auto" w:fill="FFFFFF"/>
    </w:tcPr>
  </w:style>
  <w:style w:type="table" w:customStyle="1" w:styleId="a7">
    <w:basedOn w:val="TableNormal1"/>
    <w:pPr>
      <w:spacing w:after="0" w:line="240" w:lineRule="auto"/>
    </w:pPr>
    <w:tblPr>
      <w:tblStyleRowBandSize w:val="1"/>
      <w:tblStyleColBandSize w:val="1"/>
      <w:tblCellMar>
        <w:left w:w="108" w:type="dxa"/>
        <w:right w:w="108" w:type="dxa"/>
      </w:tblCellMar>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8">
    <w:basedOn w:val="TableNormal1"/>
    <w:tblPr>
      <w:tblStyleRowBandSize w:val="1"/>
      <w:tblStyleColBandSize w:val="1"/>
      <w:tblCellMar>
        <w:top w:w="100" w:type="dxa"/>
        <w:left w:w="100" w:type="dxa"/>
        <w:bottom w:w="100" w:type="dxa"/>
        <w:right w:w="100" w:type="dxa"/>
      </w:tblCellMar>
    </w:tblPr>
  </w:style>
  <w:style w:type="table" w:customStyle="1" w:styleId="a9">
    <w:basedOn w:val="TableNormal1"/>
    <w:pPr>
      <w:spacing w:after="0" w:line="240" w:lineRule="auto"/>
    </w:pPr>
    <w:tblPr>
      <w:tblStyleRowBandSize w:val="1"/>
      <w:tblStyleColBandSize w:val="1"/>
      <w:tblCellMar>
        <w:left w:w="108" w:type="dxa"/>
        <w:right w:w="108" w:type="dxa"/>
      </w:tblCellMar>
    </w:tblPr>
  </w:style>
  <w:style w:type="table" w:customStyle="1" w:styleId="aa">
    <w:basedOn w:val="TableNormal1"/>
    <w:tblPr>
      <w:tblStyleRowBandSize w:val="1"/>
      <w:tblStyleColBandSize w:val="1"/>
      <w:tblCellMar>
        <w:left w:w="115" w:type="dxa"/>
        <w:right w:w="115" w:type="dxa"/>
      </w:tblCellMar>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TOC1">
    <w:name w:val="toc 1"/>
    <w:basedOn w:val="Normal"/>
    <w:next w:val="Normal"/>
    <w:autoRedefine/>
    <w:uiPriority w:val="39"/>
    <w:unhideWhenUsed/>
    <w:rsid w:val="005C2031"/>
    <w:pPr>
      <w:spacing w:after="100"/>
    </w:pPr>
  </w:style>
  <w:style w:type="paragraph" w:styleId="TOC2">
    <w:name w:val="toc 2"/>
    <w:basedOn w:val="Normal"/>
    <w:next w:val="Normal"/>
    <w:autoRedefine/>
    <w:uiPriority w:val="39"/>
    <w:unhideWhenUsed/>
    <w:rsid w:val="005C2031"/>
    <w:pPr>
      <w:spacing w:after="100"/>
      <w:ind w:left="220"/>
    </w:pPr>
  </w:style>
  <w:style w:type="paragraph" w:styleId="TOC3">
    <w:name w:val="toc 3"/>
    <w:basedOn w:val="Normal"/>
    <w:next w:val="Normal"/>
    <w:autoRedefine/>
    <w:uiPriority w:val="39"/>
    <w:unhideWhenUsed/>
    <w:rsid w:val="005C2031"/>
    <w:pPr>
      <w:spacing w:after="100"/>
      <w:ind w:left="440"/>
    </w:pPr>
  </w:style>
  <w:style w:type="character" w:styleId="Hyperlink">
    <w:name w:val="Hyperlink"/>
    <w:basedOn w:val="DefaultParagraphFont"/>
    <w:uiPriority w:val="99"/>
    <w:unhideWhenUsed/>
    <w:rsid w:val="005C2031"/>
    <w:rPr>
      <w:color w:val="0000FF" w:themeColor="hyperlink"/>
      <w:u w:val="single"/>
    </w:rPr>
  </w:style>
  <w:style w:type="paragraph" w:styleId="BalloonText">
    <w:name w:val="Balloon Text"/>
    <w:basedOn w:val="Normal"/>
    <w:link w:val="BalloonTextChar"/>
    <w:uiPriority w:val="99"/>
    <w:semiHidden/>
    <w:unhideWhenUsed/>
    <w:rsid w:val="005C203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C2031"/>
    <w:rPr>
      <w:rFonts w:ascii="Segoe UI" w:hAnsi="Segoe UI" w:cs="Segoe UI"/>
      <w:sz w:val="18"/>
      <w:szCs w:val="18"/>
    </w:rPr>
  </w:style>
  <w:style w:type="character" w:styleId="UnresolvedMention">
    <w:name w:val="Unresolved Mention"/>
    <w:basedOn w:val="DefaultParagraphFont"/>
    <w:uiPriority w:val="99"/>
    <w:semiHidden/>
    <w:unhideWhenUsed/>
    <w:rsid w:val="00D34A2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9" Type="http://schemas.openxmlformats.org/officeDocument/2006/relationships/image" Target="media/image30.png"/><Relationship Id="rId21" Type="http://schemas.openxmlformats.org/officeDocument/2006/relationships/image" Target="media/image12.png"/><Relationship Id="rId34" Type="http://schemas.openxmlformats.org/officeDocument/2006/relationships/image" Target="media/image25.png"/><Relationship Id="rId42" Type="http://schemas.openxmlformats.org/officeDocument/2006/relationships/image" Target="media/image33.png"/><Relationship Id="rId47" Type="http://schemas.openxmlformats.org/officeDocument/2006/relationships/header" Target="header1.xml"/><Relationship Id="rId50" Type="http://schemas.openxmlformats.org/officeDocument/2006/relationships/fontTable" Target="fontTable.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image" Target="media/image7.png"/><Relationship Id="rId29" Type="http://schemas.openxmlformats.org/officeDocument/2006/relationships/image" Target="media/image20.png"/><Relationship Id="rId11" Type="http://schemas.openxmlformats.org/officeDocument/2006/relationships/hyperlink" Target="http://creativecommons.org/licenses/by/4.0/" TargetMode="External"/><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image" Target="media/image28.png"/><Relationship Id="rId40" Type="http://schemas.openxmlformats.org/officeDocument/2006/relationships/image" Target="media/image31.png"/><Relationship Id="rId45" Type="http://schemas.openxmlformats.org/officeDocument/2006/relationships/image" Target="media/image36.png"/><Relationship Id="rId5"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49"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image" Target="media/image10.png"/><Relationship Id="rId31" Type="http://schemas.openxmlformats.org/officeDocument/2006/relationships/image" Target="media/image22.png"/><Relationship Id="rId44" Type="http://schemas.openxmlformats.org/officeDocument/2006/relationships/image" Target="media/image35.png"/><Relationship Id="rId4" Type="http://schemas.openxmlformats.org/officeDocument/2006/relationships/webSettings" Target="webSettings.xml"/><Relationship Id="rId9" Type="http://schemas.openxmlformats.org/officeDocument/2006/relationships/hyperlink" Target="https://documents.egi.eu/document/3628" TargetMode="Externa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 Id="rId43" Type="http://schemas.openxmlformats.org/officeDocument/2006/relationships/image" Target="media/image34.png"/><Relationship Id="rId48" Type="http://schemas.openxmlformats.org/officeDocument/2006/relationships/header" Target="header2.xml"/><Relationship Id="rId8" Type="http://schemas.openxmlformats.org/officeDocument/2006/relationships/image" Target="media/image2.png"/><Relationship Id="rId51"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yperlink" Target="https://wiki.eosc-hub.eu/display/EOSC/EOSC-hub+Glossary" TargetMode="External"/><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image" Target="media/image29.png"/><Relationship Id="rId46" Type="http://schemas.openxmlformats.org/officeDocument/2006/relationships/image" Target="media/image37.png"/><Relationship Id="rId20" Type="http://schemas.openxmlformats.org/officeDocument/2006/relationships/image" Target="media/image11.png"/><Relationship Id="rId41" Type="http://schemas.openxmlformats.org/officeDocument/2006/relationships/image" Target="media/image32.png"/><Relationship Id="rId1" Type="http://schemas.openxmlformats.org/officeDocument/2006/relationships/numbering" Target="numbering.xml"/><Relationship Id="rId6"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38.png"/></Relationships>
</file>

<file path=word/_rels/footnotes.xml.rels><?xml version="1.0" encoding="UTF-8" standalone="yes"?>
<Relationships xmlns="http://schemas.openxmlformats.org/package/2006/relationships"><Relationship Id="rId8" Type="http://schemas.openxmlformats.org/officeDocument/2006/relationships/hyperlink" Target="https://marketplace.eosc-portal.eu" TargetMode="External"/><Relationship Id="rId3" Type="http://schemas.openxmlformats.org/officeDocument/2006/relationships/hyperlink" Target="https://www.egi.eu" TargetMode="External"/><Relationship Id="rId7" Type="http://schemas.openxmlformats.org/officeDocument/2006/relationships/hyperlink" Target="https://helpdesk.eosc-hub.eu/" TargetMode="External"/><Relationship Id="rId2" Type="http://schemas.openxmlformats.org/officeDocument/2006/relationships/hyperlink" Target="https://documents.egi.eu/document/3422" TargetMode="External"/><Relationship Id="rId1" Type="http://schemas.openxmlformats.org/officeDocument/2006/relationships/hyperlink" Target="http://www.fitsm.eu" TargetMode="External"/><Relationship Id="rId6" Type="http://schemas.openxmlformats.org/officeDocument/2006/relationships/hyperlink" Target="https://accounting.egi.eu" TargetMode="External"/><Relationship Id="rId11" Type="http://schemas.openxmlformats.org/officeDocument/2006/relationships/hyperlink" Target="http://operations-portal.egi.eu" TargetMode="External"/><Relationship Id="rId5" Type="http://schemas.openxmlformats.org/officeDocument/2006/relationships/hyperlink" Target="https://goc.egi.eu" TargetMode="External"/><Relationship Id="rId10" Type="http://schemas.openxmlformats.org/officeDocument/2006/relationships/hyperlink" Target="https://eosc-portal.eu/" TargetMode="External"/><Relationship Id="rId4" Type="http://schemas.openxmlformats.org/officeDocument/2006/relationships/hyperlink" Target="https://www.egi.eu/internal-services/check-in" TargetMode="External"/><Relationship Id="rId9" Type="http://schemas.openxmlformats.org/officeDocument/2006/relationships/hyperlink" Target="http://argoeu.github.io/index.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208</TotalTime>
  <Pages>1</Pages>
  <Words>6756</Words>
  <Characters>38510</Characters>
  <Application>Microsoft Office Word</Application>
  <DocSecurity>0</DocSecurity>
  <Lines>320</Lines>
  <Paragraphs>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Malgorzata Krakowian</cp:lastModifiedBy>
  <cp:revision>14</cp:revision>
  <cp:lastPrinted>2021-06-24T12:16:00Z</cp:lastPrinted>
  <dcterms:created xsi:type="dcterms:W3CDTF">2020-07-10T15:41:00Z</dcterms:created>
  <dcterms:modified xsi:type="dcterms:W3CDTF">2021-06-24T12:16:00Z</dcterms:modified>
</cp:coreProperties>
</file>