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88097" w14:textId="77777777" w:rsidR="00A30A98" w:rsidRPr="00E04C11" w:rsidRDefault="00A30A98" w:rsidP="00A30A98">
      <w:pPr>
        <w:jc w:val="center"/>
      </w:pPr>
      <w:r>
        <w:rPr>
          <w:noProof/>
          <w:lang w:val="fr-FR" w:eastAsia="fr-FR"/>
        </w:rPr>
        <w:drawing>
          <wp:anchor distT="0" distB="0" distL="114300" distR="114300" simplePos="0" relativeHeight="251658752" behindDoc="1" locked="0" layoutInCell="1" allowOverlap="1" wp14:anchorId="59BAA60B" wp14:editId="6880E583">
            <wp:simplePos x="0" y="0"/>
            <wp:positionH relativeFrom="column">
              <wp:posOffset>-3833259</wp:posOffset>
            </wp:positionH>
            <wp:positionV relativeFrom="paragraph">
              <wp:posOffset>-2401289</wp:posOffset>
            </wp:positionV>
            <wp:extent cx="8706932" cy="6166766"/>
            <wp:effectExtent l="0" t="0" r="0" b="0"/>
            <wp:wrapNone/>
            <wp:docPr id="1" name="Immagine 1" descr="300ppi/Tavola%20disegno%20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0ppi/Tavola%20disegno%201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6932" cy="616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inline distT="0" distB="0" distL="0" distR="0" wp14:anchorId="33F1B38C" wp14:editId="5A81DD58">
            <wp:extent cx="5720080" cy="2768600"/>
            <wp:effectExtent l="0" t="0" r="0" b="0"/>
            <wp:docPr id="3" name="Immagine 3" descr="300ppi/Tavola%20disegno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00ppi/Tavola%20disegno%2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82" b="13479"/>
                    <a:stretch/>
                  </pic:blipFill>
                  <pic:spPr bwMode="auto">
                    <a:xfrm>
                      <a:off x="0" y="0"/>
                      <a:ext cx="572008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0A0EB4" w14:textId="77777777" w:rsidR="00A30A98" w:rsidRPr="008E2AA9" w:rsidRDefault="00A439C7" w:rsidP="00A30A98">
      <w:pPr>
        <w:pStyle w:val="Title"/>
        <w:rPr>
          <w:i w:val="0"/>
          <w:color w:val="1C3046"/>
        </w:rPr>
      </w:pPr>
      <w:proofErr w:type="spellStart"/>
      <w:r>
        <w:rPr>
          <w:i w:val="0"/>
          <w:color w:val="1C3046"/>
        </w:rPr>
        <w:t>eTDR@CINES</w:t>
      </w:r>
      <w:proofErr w:type="spellEnd"/>
      <w:r>
        <w:rPr>
          <w:i w:val="0"/>
          <w:color w:val="1C3046"/>
        </w:rPr>
        <w:t xml:space="preserve"> – Business model</w:t>
      </w:r>
      <w:r w:rsidR="001D1FF5">
        <w:rPr>
          <w:i w:val="0"/>
          <w:color w:val="1C3046"/>
        </w:rPr>
        <w:t xml:space="preserve"> </w:t>
      </w:r>
    </w:p>
    <w:tbl>
      <w:tblPr>
        <w:tblStyle w:val="TableGridLight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3"/>
        <w:gridCol w:w="5642"/>
      </w:tblGrid>
      <w:tr w:rsidR="00A30A98" w:rsidRPr="007255C2" w14:paraId="0F87D738" w14:textId="77777777" w:rsidTr="0066656C">
        <w:trPr>
          <w:trHeight w:val="526"/>
          <w:jc w:val="center"/>
        </w:trPr>
        <w:tc>
          <w:tcPr>
            <w:tcW w:w="2263" w:type="dxa"/>
          </w:tcPr>
          <w:p w14:paraId="00E2CDCF" w14:textId="77777777" w:rsidR="00A30A98" w:rsidRPr="007255C2" w:rsidRDefault="005959F1" w:rsidP="00C14129">
            <w:pPr>
              <w:snapToGrid w:val="0"/>
              <w:spacing w:before="120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Lead Partner</w:t>
            </w:r>
            <w:r w:rsidR="00A30A98">
              <w:rPr>
                <w:rFonts w:cs="Open Sans"/>
                <w:b/>
              </w:rPr>
              <w:t>:</w:t>
            </w:r>
          </w:p>
        </w:tc>
        <w:tc>
          <w:tcPr>
            <w:tcW w:w="5642" w:type="dxa"/>
          </w:tcPr>
          <w:p w14:paraId="17FE3D71" w14:textId="77777777" w:rsidR="00A30A98" w:rsidRPr="007255C2" w:rsidRDefault="008343FC" w:rsidP="00C14129">
            <w:pPr>
              <w:snapToGrid w:val="0"/>
              <w:spacing w:before="120"/>
              <w:jc w:val="left"/>
              <w:rPr>
                <w:rFonts w:cs="Open Sans"/>
              </w:rPr>
            </w:pPr>
            <w:r>
              <w:rPr>
                <w:rFonts w:cs="Open Sans"/>
              </w:rPr>
              <w:t>CINES</w:t>
            </w:r>
          </w:p>
        </w:tc>
      </w:tr>
      <w:tr w:rsidR="00A30A98" w:rsidRPr="007255C2" w14:paraId="70D40B1F" w14:textId="77777777" w:rsidTr="0066656C">
        <w:trPr>
          <w:trHeight w:val="508"/>
          <w:jc w:val="center"/>
        </w:trPr>
        <w:tc>
          <w:tcPr>
            <w:tcW w:w="2263" w:type="dxa"/>
          </w:tcPr>
          <w:p w14:paraId="6958430A" w14:textId="77777777" w:rsidR="00A30A98" w:rsidRPr="007255C2" w:rsidRDefault="00A30A98" w:rsidP="00C14129">
            <w:pPr>
              <w:snapToGrid w:val="0"/>
              <w:spacing w:before="120"/>
              <w:rPr>
                <w:rFonts w:cs="Open Sans"/>
                <w:b/>
              </w:rPr>
            </w:pPr>
            <w:r w:rsidRPr="007255C2">
              <w:rPr>
                <w:rFonts w:cs="Open Sans"/>
                <w:b/>
              </w:rPr>
              <w:t>Version</w:t>
            </w:r>
            <w:r>
              <w:rPr>
                <w:rFonts w:cs="Open Sans"/>
                <w:b/>
              </w:rPr>
              <w:t>:</w:t>
            </w:r>
          </w:p>
        </w:tc>
        <w:tc>
          <w:tcPr>
            <w:tcW w:w="5642" w:type="dxa"/>
          </w:tcPr>
          <w:p w14:paraId="7A10C7F5" w14:textId="77777777" w:rsidR="00A30A98" w:rsidRPr="007255C2" w:rsidRDefault="001D47EE" w:rsidP="001D47EE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  <w:highlight w:val="yellow"/>
              </w:rPr>
            </w:pPr>
            <w:r w:rsidRPr="001D47EE">
              <w:rPr>
                <w:rFonts w:ascii="Calibri" w:hAnsi="Calibri" w:cs="Open Sans"/>
                <w:b w:val="0"/>
              </w:rPr>
              <w:t>1.0</w:t>
            </w:r>
          </w:p>
        </w:tc>
      </w:tr>
      <w:tr w:rsidR="0066656C" w:rsidRPr="007255C2" w14:paraId="5EC2AA6A" w14:textId="77777777" w:rsidTr="0066656C">
        <w:trPr>
          <w:trHeight w:val="508"/>
          <w:jc w:val="center"/>
        </w:trPr>
        <w:tc>
          <w:tcPr>
            <w:tcW w:w="2263" w:type="dxa"/>
          </w:tcPr>
          <w:p w14:paraId="11BB8DB0" w14:textId="77777777" w:rsidR="0066656C" w:rsidRPr="007255C2" w:rsidRDefault="0066656C" w:rsidP="00C14129">
            <w:pPr>
              <w:snapToGrid w:val="0"/>
              <w:spacing w:before="120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Status:</w:t>
            </w:r>
          </w:p>
        </w:tc>
        <w:tc>
          <w:tcPr>
            <w:tcW w:w="5642" w:type="dxa"/>
          </w:tcPr>
          <w:p w14:paraId="6337624A" w14:textId="2910788E" w:rsidR="0066656C" w:rsidRPr="007255C2" w:rsidRDefault="0072257B" w:rsidP="00C14129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  <w:highlight w:val="yellow"/>
              </w:rPr>
            </w:pPr>
            <w:r>
              <w:rPr>
                <w:rFonts w:ascii="Calibri" w:hAnsi="Calibri" w:cs="Open Sans"/>
                <w:b w:val="0"/>
              </w:rPr>
              <w:t>Final</w:t>
            </w:r>
          </w:p>
        </w:tc>
      </w:tr>
      <w:tr w:rsidR="0066656C" w:rsidRPr="007255C2" w14:paraId="21EDFEFC" w14:textId="77777777" w:rsidTr="0066656C">
        <w:trPr>
          <w:trHeight w:val="508"/>
          <w:jc w:val="center"/>
        </w:trPr>
        <w:tc>
          <w:tcPr>
            <w:tcW w:w="2263" w:type="dxa"/>
          </w:tcPr>
          <w:p w14:paraId="6D10962C" w14:textId="77777777" w:rsidR="0066656C" w:rsidRDefault="0066656C" w:rsidP="00C14129">
            <w:pPr>
              <w:snapToGrid w:val="0"/>
              <w:spacing w:before="120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Dissemination Level:</w:t>
            </w:r>
          </w:p>
        </w:tc>
        <w:tc>
          <w:tcPr>
            <w:tcW w:w="5642" w:type="dxa"/>
          </w:tcPr>
          <w:p w14:paraId="305E04E1" w14:textId="77777777" w:rsidR="0066656C" w:rsidRPr="007255C2" w:rsidRDefault="001D47EE" w:rsidP="00C14129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  <w:highlight w:val="yellow"/>
              </w:rPr>
            </w:pPr>
            <w:r w:rsidRPr="001D47EE">
              <w:rPr>
                <w:rFonts w:ascii="Calibri" w:hAnsi="Calibri" w:cs="Open Sans"/>
                <w:b w:val="0"/>
              </w:rPr>
              <w:t>Public</w:t>
            </w:r>
          </w:p>
        </w:tc>
      </w:tr>
      <w:tr w:rsidR="00A30A98" w:rsidRPr="007255C2" w14:paraId="5AEF65A5" w14:textId="77777777" w:rsidTr="0066656C">
        <w:trPr>
          <w:trHeight w:val="526"/>
          <w:jc w:val="center"/>
        </w:trPr>
        <w:tc>
          <w:tcPr>
            <w:tcW w:w="2263" w:type="dxa"/>
          </w:tcPr>
          <w:p w14:paraId="425BDBD1" w14:textId="77777777" w:rsidR="00A30A98" w:rsidRPr="007255C2" w:rsidRDefault="00A30A98" w:rsidP="00C14129">
            <w:pPr>
              <w:pStyle w:val="Header"/>
              <w:snapToGrid w:val="0"/>
              <w:spacing w:before="120" w:after="120"/>
              <w:rPr>
                <w:rFonts w:cs="Open Sans"/>
                <w:b/>
              </w:rPr>
            </w:pPr>
            <w:r w:rsidRPr="007255C2">
              <w:rPr>
                <w:rFonts w:cs="Open Sans"/>
                <w:b/>
              </w:rPr>
              <w:t>Document</w:t>
            </w:r>
            <w:r w:rsidRPr="007255C2">
              <w:rPr>
                <w:rFonts w:eastAsia="Calibri" w:cs="Open Sans"/>
                <w:b/>
              </w:rPr>
              <w:t xml:space="preserve"> </w:t>
            </w:r>
            <w:r w:rsidRPr="007255C2">
              <w:rPr>
                <w:rFonts w:cs="Open Sans"/>
                <w:b/>
              </w:rPr>
              <w:t>Link:</w:t>
            </w:r>
          </w:p>
        </w:tc>
        <w:tc>
          <w:tcPr>
            <w:tcW w:w="5642" w:type="dxa"/>
          </w:tcPr>
          <w:p w14:paraId="590CCBB3" w14:textId="16A7A15F" w:rsidR="00A30A98" w:rsidRPr="007255C2" w:rsidRDefault="0072257B" w:rsidP="00C14129">
            <w:pPr>
              <w:snapToGrid w:val="0"/>
              <w:spacing w:before="120"/>
              <w:jc w:val="left"/>
              <w:rPr>
                <w:rFonts w:cs="Open Sans"/>
                <w:highlight w:val="yellow"/>
              </w:rPr>
            </w:pPr>
            <w:hyperlink r:id="rId10" w:history="1">
              <w:r w:rsidRPr="00A056E0">
                <w:rPr>
                  <w:rStyle w:val="Hyperlink"/>
                  <w:rFonts w:cs="Open Sans"/>
                </w:rPr>
                <w:t>https://documents.egi.eu/document/3704</w:t>
              </w:r>
            </w:hyperlink>
            <w:r>
              <w:rPr>
                <w:rFonts w:cs="Open Sans"/>
              </w:rPr>
              <w:t xml:space="preserve"> </w:t>
            </w:r>
          </w:p>
        </w:tc>
      </w:tr>
    </w:tbl>
    <w:p w14:paraId="2D1B600E" w14:textId="77777777" w:rsidR="00A30A98" w:rsidRDefault="00A30A98" w:rsidP="00A30A98"/>
    <w:tbl>
      <w:tblPr>
        <w:tblStyle w:val="TableGridLight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33"/>
      </w:tblGrid>
      <w:tr w:rsidR="00A30A98" w:rsidRPr="007255C2" w14:paraId="675BC61B" w14:textId="77777777" w:rsidTr="00C14129">
        <w:trPr>
          <w:trHeight w:val="319"/>
          <w:jc w:val="center"/>
        </w:trPr>
        <w:tc>
          <w:tcPr>
            <w:tcW w:w="7933" w:type="dxa"/>
          </w:tcPr>
          <w:p w14:paraId="0E40CF42" w14:textId="77777777" w:rsidR="00A30A98" w:rsidRPr="007255C2" w:rsidRDefault="00A30A98" w:rsidP="00C14129">
            <w:pPr>
              <w:snapToGrid w:val="0"/>
              <w:spacing w:before="120"/>
              <w:jc w:val="left"/>
              <w:rPr>
                <w:rFonts w:cs="Open Sans"/>
              </w:rPr>
            </w:pPr>
            <w:r>
              <w:rPr>
                <w:rFonts w:cs="Open Sans"/>
                <w:b/>
              </w:rPr>
              <w:t>Deliverable Abstract</w:t>
            </w:r>
          </w:p>
        </w:tc>
      </w:tr>
      <w:tr w:rsidR="00A30A98" w:rsidRPr="007255C2" w14:paraId="15F6284C" w14:textId="77777777" w:rsidTr="00C14129">
        <w:trPr>
          <w:trHeight w:val="3475"/>
          <w:jc w:val="center"/>
        </w:trPr>
        <w:tc>
          <w:tcPr>
            <w:tcW w:w="7933" w:type="dxa"/>
          </w:tcPr>
          <w:p w14:paraId="46CBDD50" w14:textId="44B5AAB1" w:rsidR="00A30A98" w:rsidRPr="007255C2" w:rsidRDefault="001D47EE" w:rsidP="00C14129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  <w:highlight w:val="yellow"/>
              </w:rPr>
            </w:pPr>
            <w:r w:rsidRPr="001D47EE">
              <w:rPr>
                <w:rFonts w:ascii="Calibri" w:hAnsi="Calibri" w:cs="Open Sans"/>
                <w:b w:val="0"/>
              </w:rPr>
              <w:t xml:space="preserve">This document details </w:t>
            </w:r>
            <w:r>
              <w:rPr>
                <w:rFonts w:ascii="Calibri" w:hAnsi="Calibri" w:cs="Open Sans"/>
                <w:b w:val="0"/>
              </w:rPr>
              <w:t xml:space="preserve">the business model for the long-term preservation service which has recently been added to the EOSC </w:t>
            </w:r>
            <w:r w:rsidR="0072257B">
              <w:rPr>
                <w:rFonts w:ascii="Calibri" w:hAnsi="Calibri" w:cs="Open Sans"/>
                <w:b w:val="0"/>
              </w:rPr>
              <w:t>catalogue</w:t>
            </w:r>
            <w:r>
              <w:rPr>
                <w:rFonts w:ascii="Calibri" w:hAnsi="Calibri" w:cs="Open Sans"/>
                <w:b w:val="0"/>
              </w:rPr>
              <w:t xml:space="preserve"> as part of the EOSC-hub project.</w:t>
            </w:r>
          </w:p>
        </w:tc>
      </w:tr>
    </w:tbl>
    <w:p w14:paraId="1F74A41C" w14:textId="77777777" w:rsidR="001D1FF5" w:rsidRDefault="001D1FF5" w:rsidP="00247395">
      <w:pPr>
        <w:rPr>
          <w:b/>
          <w:color w:val="1C3046"/>
        </w:rPr>
      </w:pPr>
    </w:p>
    <w:p w14:paraId="58C877FF" w14:textId="77777777" w:rsidR="00247395" w:rsidRPr="006014D2" w:rsidRDefault="001D1FF5" w:rsidP="00152518">
      <w:pPr>
        <w:spacing w:after="200"/>
        <w:jc w:val="left"/>
        <w:rPr>
          <w:b/>
          <w:color w:val="1C3046"/>
        </w:rPr>
      </w:pPr>
      <w:r>
        <w:rPr>
          <w:b/>
          <w:color w:val="1C3046"/>
        </w:rPr>
        <w:br w:type="page"/>
      </w:r>
      <w:r w:rsidR="00247395" w:rsidRPr="006014D2">
        <w:rPr>
          <w:b/>
          <w:color w:val="1C3046"/>
        </w:rPr>
        <w:lastRenderedPageBreak/>
        <w:t xml:space="preserve">COPYRIGHT NOTICE </w:t>
      </w:r>
    </w:p>
    <w:p w14:paraId="1DB069D3" w14:textId="77777777" w:rsidR="00247395" w:rsidRDefault="00247395" w:rsidP="00247395">
      <w:r>
        <w:rPr>
          <w:noProof/>
          <w:lang w:val="fr-FR" w:eastAsia="fr-FR"/>
        </w:rPr>
        <w:drawing>
          <wp:inline distT="0" distB="0" distL="0" distR="0" wp14:anchorId="431570DB" wp14:editId="28974D03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8849E" w14:textId="77777777" w:rsidR="00247395" w:rsidRDefault="00247395" w:rsidP="00247395">
      <w:r w:rsidRPr="001365FE">
        <w:t xml:space="preserve">This work by Parties of the </w:t>
      </w:r>
      <w:r>
        <w:t>EOSC-hub</w:t>
      </w:r>
      <w:r w:rsidRPr="001365FE">
        <w:t xml:space="preserve"> Consortium is licensed under a Creative Commons Attribution 4.0 International License</w:t>
      </w:r>
      <w:r>
        <w:t xml:space="preserve"> (</w:t>
      </w:r>
      <w:hyperlink r:id="rId12" w:history="1">
        <w:r w:rsidRPr="007B70E5">
          <w:rPr>
            <w:rStyle w:val="Hyperlink"/>
          </w:rPr>
          <w:t>http://creativecommons.org/licenses/by/4.0/</w:t>
        </w:r>
      </w:hyperlink>
      <w:r>
        <w:t>)</w:t>
      </w:r>
      <w:r w:rsidRPr="001365FE">
        <w:t xml:space="preserve">. The </w:t>
      </w:r>
      <w:r>
        <w:t>EOSC-hub</w:t>
      </w:r>
      <w:r w:rsidRPr="001365FE">
        <w:t xml:space="preserve"> project is c</w:t>
      </w:r>
      <w:r>
        <w:t>o-funded by the European Union Horizon 2020 programme under grant number 777536.</w:t>
      </w:r>
    </w:p>
    <w:p w14:paraId="74646761" w14:textId="77777777" w:rsidR="0066656C" w:rsidRPr="0066656C" w:rsidRDefault="0066656C" w:rsidP="00247395">
      <w:pPr>
        <w:rPr>
          <w:b/>
          <w:color w:val="1C3046"/>
        </w:rPr>
      </w:pPr>
      <w:r w:rsidRPr="006014D2">
        <w:rPr>
          <w:b/>
          <w:color w:val="1C3046"/>
        </w:rPr>
        <w:t>DELIVERY SLIP</w:t>
      </w:r>
    </w:p>
    <w:tbl>
      <w:tblPr>
        <w:tblStyle w:val="TableSimple1"/>
        <w:tblW w:w="0" w:type="auto"/>
        <w:tblLook w:val="04A0" w:firstRow="1" w:lastRow="0" w:firstColumn="1" w:lastColumn="0" w:noHBand="0" w:noVBand="1"/>
      </w:tblPr>
      <w:tblGrid>
        <w:gridCol w:w="2091"/>
        <w:gridCol w:w="3696"/>
        <w:gridCol w:w="1724"/>
        <w:gridCol w:w="1505"/>
      </w:tblGrid>
      <w:tr w:rsidR="0066656C" w:rsidRPr="002E5F1F" w14:paraId="3AC9E679" w14:textId="77777777" w:rsidTr="00722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4ADEE71A" w14:textId="77777777" w:rsidR="0066656C" w:rsidRPr="002E5F1F" w:rsidRDefault="0066656C" w:rsidP="00C14129">
            <w:pPr>
              <w:pStyle w:val="NoSpacing"/>
              <w:rPr>
                <w:b w:val="0"/>
                <w:i/>
              </w:rPr>
            </w:pPr>
            <w:r>
              <w:rPr>
                <w:i/>
              </w:rPr>
              <w:t>Date</w:t>
            </w:r>
          </w:p>
        </w:tc>
        <w:tc>
          <w:tcPr>
            <w:tcW w:w="3696" w:type="dxa"/>
          </w:tcPr>
          <w:p w14:paraId="6454BBD1" w14:textId="77777777" w:rsidR="0066656C" w:rsidRPr="002E5F1F" w:rsidRDefault="0066656C" w:rsidP="00C1412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i/>
              </w:rPr>
              <w:t>Name</w:t>
            </w:r>
          </w:p>
        </w:tc>
        <w:tc>
          <w:tcPr>
            <w:tcW w:w="1724" w:type="dxa"/>
          </w:tcPr>
          <w:p w14:paraId="21B625EE" w14:textId="77777777" w:rsidR="0066656C" w:rsidRDefault="0066656C" w:rsidP="00C1412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Partner/Activity</w:t>
            </w:r>
          </w:p>
        </w:tc>
        <w:tc>
          <w:tcPr>
            <w:tcW w:w="1505" w:type="dxa"/>
          </w:tcPr>
          <w:p w14:paraId="63D9EF9B" w14:textId="77777777" w:rsidR="0066656C" w:rsidRPr="0066656C" w:rsidRDefault="0066656C" w:rsidP="00C1412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656C">
              <w:rPr>
                <w:i/>
              </w:rPr>
              <w:t>Date</w:t>
            </w:r>
          </w:p>
        </w:tc>
      </w:tr>
      <w:tr w:rsidR="0066656C" w14:paraId="46428107" w14:textId="77777777" w:rsidTr="0072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6E9B8FA3" w14:textId="77777777" w:rsidR="0066656C" w:rsidRDefault="0066656C" w:rsidP="00C14129">
            <w:pPr>
              <w:pStyle w:val="NoSpacing"/>
            </w:pPr>
            <w:r>
              <w:t>From:</w:t>
            </w:r>
          </w:p>
        </w:tc>
        <w:tc>
          <w:tcPr>
            <w:tcW w:w="3696" w:type="dxa"/>
          </w:tcPr>
          <w:p w14:paraId="60E25EB1" w14:textId="5FE8BB8A" w:rsidR="0066656C" w:rsidRDefault="0072257B" w:rsidP="00C1412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257B">
              <w:t xml:space="preserve">Olivier </w:t>
            </w:r>
            <w:proofErr w:type="spellStart"/>
            <w:r w:rsidRPr="0072257B">
              <w:t>Rouchon</w:t>
            </w:r>
            <w:proofErr w:type="spellEnd"/>
          </w:p>
        </w:tc>
        <w:tc>
          <w:tcPr>
            <w:tcW w:w="1724" w:type="dxa"/>
          </w:tcPr>
          <w:p w14:paraId="67579D84" w14:textId="09B48440" w:rsidR="0066656C" w:rsidRDefault="0072257B" w:rsidP="00C1412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CINES</w:t>
            </w:r>
          </w:p>
        </w:tc>
        <w:tc>
          <w:tcPr>
            <w:tcW w:w="1505" w:type="dxa"/>
          </w:tcPr>
          <w:p w14:paraId="2742BC67" w14:textId="77777777" w:rsidR="0066656C" w:rsidRDefault="0066656C" w:rsidP="00C1412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181EDC7" w14:textId="77777777" w:rsidR="0066656C" w:rsidRDefault="0066656C" w:rsidP="00247395"/>
    <w:p w14:paraId="708B8AE9" w14:textId="77777777" w:rsidR="00A30A98" w:rsidRPr="00807121" w:rsidRDefault="00A30A98" w:rsidP="00A30A98">
      <w:pPr>
        <w:rPr>
          <w:b/>
          <w:color w:val="1C3046"/>
        </w:rPr>
      </w:pPr>
      <w:r w:rsidRPr="00807121">
        <w:rPr>
          <w:b/>
          <w:color w:val="1C3046"/>
        </w:rPr>
        <w:t>DOCUMENT LOG</w:t>
      </w:r>
    </w:p>
    <w:tbl>
      <w:tblPr>
        <w:tblStyle w:val="TableSimple1"/>
        <w:tblW w:w="0" w:type="auto"/>
        <w:tblLook w:val="04A0" w:firstRow="1" w:lastRow="0" w:firstColumn="1" w:lastColumn="0" w:noHBand="0" w:noVBand="1"/>
      </w:tblPr>
      <w:tblGrid>
        <w:gridCol w:w="812"/>
        <w:gridCol w:w="1310"/>
        <w:gridCol w:w="5438"/>
        <w:gridCol w:w="1456"/>
      </w:tblGrid>
      <w:tr w:rsidR="00A30A98" w:rsidRPr="002E5F1F" w14:paraId="137BAA5A" w14:textId="77777777" w:rsidTr="006665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345CFF83" w14:textId="77777777" w:rsidR="00A30A98" w:rsidRPr="002E5F1F" w:rsidRDefault="00A30A98" w:rsidP="00C14129">
            <w:pPr>
              <w:pStyle w:val="NoSpacing"/>
              <w:rPr>
                <w:b w:val="0"/>
                <w:i/>
              </w:rPr>
            </w:pPr>
            <w:r w:rsidRPr="002E5F1F">
              <w:rPr>
                <w:i/>
              </w:rPr>
              <w:t>Issue</w:t>
            </w:r>
          </w:p>
        </w:tc>
        <w:tc>
          <w:tcPr>
            <w:tcW w:w="1310" w:type="dxa"/>
          </w:tcPr>
          <w:p w14:paraId="6EC31523" w14:textId="77777777" w:rsidR="00A30A98" w:rsidRPr="002E5F1F" w:rsidRDefault="00A30A98" w:rsidP="00C1412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i/>
              </w:rPr>
              <w:t>Date</w:t>
            </w:r>
          </w:p>
        </w:tc>
        <w:tc>
          <w:tcPr>
            <w:tcW w:w="5438" w:type="dxa"/>
          </w:tcPr>
          <w:p w14:paraId="4D0EC3AB" w14:textId="77777777" w:rsidR="00A30A98" w:rsidRPr="002E5F1F" w:rsidRDefault="00A30A98" w:rsidP="00C1412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i/>
              </w:rPr>
              <w:t>Comment</w:t>
            </w:r>
          </w:p>
        </w:tc>
        <w:tc>
          <w:tcPr>
            <w:tcW w:w="1456" w:type="dxa"/>
          </w:tcPr>
          <w:p w14:paraId="4A755CF3" w14:textId="77777777" w:rsidR="00A30A98" w:rsidRPr="002E5F1F" w:rsidRDefault="00A30A98" w:rsidP="00C1412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i/>
              </w:rPr>
              <w:t>Author</w:t>
            </w:r>
          </w:p>
        </w:tc>
      </w:tr>
      <w:tr w:rsidR="00A30A98" w14:paraId="47D5E922" w14:textId="77777777" w:rsidTr="00666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0A42EA88" w14:textId="77777777" w:rsidR="00A30A98" w:rsidRPr="002E5F1F" w:rsidRDefault="00A30A98" w:rsidP="00C14129">
            <w:pPr>
              <w:pStyle w:val="NoSpacing"/>
              <w:rPr>
                <w:b w:val="0"/>
              </w:rPr>
            </w:pPr>
            <w:r>
              <w:t>v.1</w:t>
            </w:r>
          </w:p>
        </w:tc>
        <w:tc>
          <w:tcPr>
            <w:tcW w:w="1310" w:type="dxa"/>
          </w:tcPr>
          <w:p w14:paraId="442C20D9" w14:textId="77777777" w:rsidR="00A30A98" w:rsidRDefault="00932BAC" w:rsidP="00932BA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</w:t>
            </w:r>
            <w:r w:rsidR="00BC2CDD">
              <w:t>/</w:t>
            </w:r>
            <w:r>
              <w:t>11</w:t>
            </w:r>
            <w:r w:rsidR="00BC2CDD">
              <w:t>/20</w:t>
            </w:r>
            <w:r w:rsidR="00A439C7">
              <w:t>20</w:t>
            </w:r>
          </w:p>
        </w:tc>
        <w:tc>
          <w:tcPr>
            <w:tcW w:w="5438" w:type="dxa"/>
          </w:tcPr>
          <w:p w14:paraId="6BF4FC92" w14:textId="77777777" w:rsidR="00A30A98" w:rsidRDefault="001D47EE" w:rsidP="00C1412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version</w:t>
            </w:r>
          </w:p>
        </w:tc>
        <w:tc>
          <w:tcPr>
            <w:tcW w:w="1456" w:type="dxa"/>
          </w:tcPr>
          <w:p w14:paraId="308A61C7" w14:textId="77777777" w:rsidR="00A30A98" w:rsidRDefault="00BC2CDD" w:rsidP="00C1412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proofErr w:type="gramStart"/>
            <w:r>
              <w:t>O.Rouchon</w:t>
            </w:r>
            <w:proofErr w:type="spellEnd"/>
            <w:proofErr w:type="gramEnd"/>
          </w:p>
        </w:tc>
      </w:tr>
    </w:tbl>
    <w:p w14:paraId="648DF6AD" w14:textId="77777777" w:rsidR="00A30A98" w:rsidRDefault="00A30A98" w:rsidP="00A30A98"/>
    <w:p w14:paraId="353D3EB0" w14:textId="77777777" w:rsidR="00A30A98" w:rsidRDefault="00A30A98" w:rsidP="00A30A98">
      <w:pPr>
        <w:rPr>
          <w:b/>
          <w:color w:val="1C3046"/>
        </w:rPr>
      </w:pPr>
      <w:r w:rsidRPr="00807121">
        <w:rPr>
          <w:b/>
          <w:color w:val="1C3046"/>
        </w:rPr>
        <w:t>TERMINOLOGY</w:t>
      </w:r>
    </w:p>
    <w:p w14:paraId="099AB8BD" w14:textId="77777777" w:rsidR="00B75013" w:rsidRPr="00807121" w:rsidRDefault="006D737B" w:rsidP="00A30A98">
      <w:pPr>
        <w:rPr>
          <w:b/>
          <w:color w:val="1C3046"/>
        </w:rPr>
      </w:pPr>
      <w:hyperlink r:id="rId13" w:tgtFrame="_blank" w:history="1">
        <w:r w:rsidR="00B75013">
          <w:rPr>
            <w:rStyle w:val="Hyperlink"/>
          </w:rPr>
          <w:t>https://wiki.eosc-hub.eu/display/EOSC/EOSC-hub+Glossary</w:t>
        </w:r>
      </w:hyperlink>
    </w:p>
    <w:tbl>
      <w:tblPr>
        <w:tblStyle w:val="TableSimple1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9F1D83" w:rsidRPr="002E5F1F" w14:paraId="1B05FF6E" w14:textId="77777777" w:rsidTr="009F1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</w:tcPr>
          <w:p w14:paraId="0FADD320" w14:textId="77777777" w:rsidR="009F1D83" w:rsidRPr="002E5F1F" w:rsidRDefault="009F1D83" w:rsidP="00C14129">
            <w:pPr>
              <w:pStyle w:val="NoSpacing"/>
              <w:rPr>
                <w:b w:val="0"/>
                <w:i/>
              </w:rPr>
            </w:pPr>
            <w:r>
              <w:rPr>
                <w:i/>
              </w:rPr>
              <w:t>Terminology/Acronym</w:t>
            </w:r>
          </w:p>
        </w:tc>
        <w:tc>
          <w:tcPr>
            <w:tcW w:w="3666" w:type="pct"/>
          </w:tcPr>
          <w:p w14:paraId="1A892966" w14:textId="77777777" w:rsidR="009F1D83" w:rsidRPr="002E5F1F" w:rsidRDefault="009F1D83" w:rsidP="00C1412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i/>
              </w:rPr>
              <w:t>Definition</w:t>
            </w:r>
          </w:p>
        </w:tc>
      </w:tr>
      <w:tr w:rsidR="009F1D83" w14:paraId="5C85E429" w14:textId="77777777" w:rsidTr="009F1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</w:tcPr>
          <w:p w14:paraId="5024DC7A" w14:textId="77777777" w:rsidR="009F1D83" w:rsidRDefault="001D47EE" w:rsidP="00C14129">
            <w:pPr>
              <w:pStyle w:val="NoSpacing"/>
            </w:pPr>
            <w:proofErr w:type="spellStart"/>
            <w:r>
              <w:t>eTDR</w:t>
            </w:r>
            <w:proofErr w:type="spellEnd"/>
          </w:p>
        </w:tc>
        <w:tc>
          <w:tcPr>
            <w:tcW w:w="3666" w:type="pct"/>
          </w:tcPr>
          <w:p w14:paraId="312B1308" w14:textId="77777777" w:rsidR="009F1D83" w:rsidRDefault="001D47EE" w:rsidP="00C1412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European Trusted Digital Repository</w:t>
            </w:r>
          </w:p>
        </w:tc>
      </w:tr>
      <w:tr w:rsidR="009F1D83" w14:paraId="77A40C27" w14:textId="77777777" w:rsidTr="009F1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</w:tcPr>
          <w:p w14:paraId="178ED2F6" w14:textId="77777777" w:rsidR="009F1D83" w:rsidRDefault="00F12DFC" w:rsidP="00C14129">
            <w:pPr>
              <w:pStyle w:val="NoSpacing"/>
            </w:pPr>
            <w:r>
              <w:t>FAIR</w:t>
            </w:r>
          </w:p>
        </w:tc>
        <w:tc>
          <w:tcPr>
            <w:tcW w:w="3666" w:type="pct"/>
          </w:tcPr>
          <w:p w14:paraId="5D3FE794" w14:textId="77777777" w:rsidR="009F1D83" w:rsidRDefault="00F12DFC" w:rsidP="00C1412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Findable Accessible Interoperable Reusable</w:t>
            </w:r>
          </w:p>
        </w:tc>
      </w:tr>
      <w:tr w:rsidR="009F1D83" w14:paraId="6054C5B7" w14:textId="77777777" w:rsidTr="009F1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</w:tcPr>
          <w:p w14:paraId="6B7329E1" w14:textId="77777777" w:rsidR="009F1D83" w:rsidRDefault="00F12DFC" w:rsidP="00C14129">
            <w:pPr>
              <w:pStyle w:val="NoSpacing"/>
            </w:pPr>
            <w:r>
              <w:t>HPC</w:t>
            </w:r>
          </w:p>
        </w:tc>
        <w:tc>
          <w:tcPr>
            <w:tcW w:w="3666" w:type="pct"/>
          </w:tcPr>
          <w:p w14:paraId="3C1A845D" w14:textId="77777777" w:rsidR="009F1D83" w:rsidRDefault="00F12DFC" w:rsidP="00C1412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Performance Computing</w:t>
            </w:r>
          </w:p>
        </w:tc>
      </w:tr>
      <w:tr w:rsidR="009F1D83" w14:paraId="1B0BC5A0" w14:textId="77777777" w:rsidTr="009F1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</w:tcPr>
          <w:p w14:paraId="2F31E6D5" w14:textId="77777777" w:rsidR="009F1D83" w:rsidRDefault="009F1D83" w:rsidP="00C14129">
            <w:pPr>
              <w:pStyle w:val="NoSpacing"/>
            </w:pPr>
          </w:p>
        </w:tc>
        <w:tc>
          <w:tcPr>
            <w:tcW w:w="3666" w:type="pct"/>
          </w:tcPr>
          <w:p w14:paraId="28713BB1" w14:textId="77777777" w:rsidR="009F1D83" w:rsidRDefault="009F1D83" w:rsidP="00C1412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A95A2D" w14:textId="77777777" w:rsidR="00A30A98" w:rsidRDefault="00A30A98" w:rsidP="00A30A98">
      <w:r>
        <w:br w:type="page"/>
      </w:r>
    </w:p>
    <w:bookmarkStart w:id="0" w:name="_Hlk515956646" w:displacedByCustomXml="next"/>
    <w:sdt>
      <w:sdtPr>
        <w:rPr>
          <w:rFonts w:ascii="Calibri" w:eastAsiaTheme="minorHAnsi" w:hAnsi="Calibri" w:cstheme="minorBidi"/>
          <w:b w:val="0"/>
          <w:bCs w:val="0"/>
          <w:color w:val="auto"/>
          <w:sz w:val="22"/>
          <w:szCs w:val="22"/>
          <w:lang w:val="fr-FR"/>
        </w:rPr>
        <w:id w:val="871575961"/>
        <w:docPartObj>
          <w:docPartGallery w:val="Table of Contents"/>
          <w:docPartUnique/>
        </w:docPartObj>
      </w:sdtPr>
      <w:sdtEndPr>
        <w:rPr>
          <w:lang w:val="en-GB"/>
        </w:rPr>
      </w:sdtEndPr>
      <w:sdtContent>
        <w:p w14:paraId="54F53C06" w14:textId="77777777" w:rsidR="00932BAC" w:rsidRPr="00932BAC" w:rsidRDefault="00932BAC" w:rsidP="00932BAC">
          <w:pPr>
            <w:pStyle w:val="TOCHeading"/>
            <w:numPr>
              <w:ilvl w:val="0"/>
              <w:numId w:val="0"/>
            </w:numPr>
            <w:rPr>
              <w:rFonts w:asciiTheme="minorHAnsi" w:hAnsiTheme="minorHAnsi" w:cstheme="minorHAnsi"/>
              <w:sz w:val="40"/>
              <w:szCs w:val="40"/>
            </w:rPr>
          </w:pPr>
          <w:r>
            <w:rPr>
              <w:rFonts w:asciiTheme="minorHAnsi" w:hAnsiTheme="minorHAnsi" w:cstheme="minorHAnsi"/>
              <w:sz w:val="40"/>
              <w:szCs w:val="40"/>
            </w:rPr>
            <w:t>Content</w:t>
          </w:r>
        </w:p>
        <w:p w14:paraId="025B6000" w14:textId="1DBA8C90" w:rsidR="0072257B" w:rsidRDefault="00932BAC">
          <w:pPr>
            <w:pStyle w:val="TOC1"/>
            <w:rPr>
              <w:rFonts w:asciiTheme="minorHAnsi" w:eastAsiaTheme="minorEastAsia" w:hAnsiTheme="minorHAnsi"/>
              <w:color w:val="auto"/>
              <w:spacing w:val="0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6434770" w:history="1">
            <w:r w:rsidR="0072257B" w:rsidRPr="003F22AB">
              <w:rPr>
                <w:rStyle w:val="Hyperlink"/>
              </w:rPr>
              <w:t>1</w:t>
            </w:r>
            <w:r w:rsidR="0072257B">
              <w:rPr>
                <w:rFonts w:asciiTheme="minorHAnsi" w:eastAsiaTheme="minorEastAsia" w:hAnsiTheme="minorHAnsi"/>
                <w:color w:val="auto"/>
                <w:spacing w:val="0"/>
                <w:lang w:eastAsia="en-GB"/>
              </w:rPr>
              <w:tab/>
            </w:r>
            <w:r w:rsidR="0072257B" w:rsidRPr="003F22AB">
              <w:rPr>
                <w:rStyle w:val="Hyperlink"/>
              </w:rPr>
              <w:t>Business case</w:t>
            </w:r>
            <w:r w:rsidR="0072257B">
              <w:rPr>
                <w:webHidden/>
              </w:rPr>
              <w:tab/>
            </w:r>
            <w:r w:rsidR="0072257B">
              <w:rPr>
                <w:webHidden/>
              </w:rPr>
              <w:fldChar w:fldCharType="begin"/>
            </w:r>
            <w:r w:rsidR="0072257B">
              <w:rPr>
                <w:webHidden/>
              </w:rPr>
              <w:instrText xml:space="preserve"> PAGEREF _Toc66434770 \h </w:instrText>
            </w:r>
            <w:r w:rsidR="0072257B">
              <w:rPr>
                <w:webHidden/>
              </w:rPr>
            </w:r>
            <w:r w:rsidR="0072257B">
              <w:rPr>
                <w:webHidden/>
              </w:rPr>
              <w:fldChar w:fldCharType="separate"/>
            </w:r>
            <w:r w:rsidR="007A3622">
              <w:rPr>
                <w:webHidden/>
              </w:rPr>
              <w:t>4</w:t>
            </w:r>
            <w:r w:rsidR="0072257B">
              <w:rPr>
                <w:webHidden/>
              </w:rPr>
              <w:fldChar w:fldCharType="end"/>
            </w:r>
          </w:hyperlink>
        </w:p>
        <w:p w14:paraId="067E9D85" w14:textId="40AEDD93" w:rsidR="0072257B" w:rsidRDefault="0072257B">
          <w:pPr>
            <w:pStyle w:val="TOC1"/>
            <w:rPr>
              <w:rFonts w:asciiTheme="minorHAnsi" w:eastAsiaTheme="minorEastAsia" w:hAnsiTheme="minorHAnsi"/>
              <w:color w:val="auto"/>
              <w:spacing w:val="0"/>
              <w:lang w:eastAsia="en-GB"/>
            </w:rPr>
          </w:pPr>
          <w:hyperlink w:anchor="_Toc66434771" w:history="1">
            <w:r w:rsidRPr="003F22AB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</w:rPr>
              <w:t>Business model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_Toc66434771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A3622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26DAFAA" w14:textId="68FB656F" w:rsidR="0072257B" w:rsidRDefault="0072257B">
          <w:pPr>
            <w:pStyle w:val="TOC2"/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66434772" w:history="1">
            <w:r w:rsidRPr="003F22AB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_Toc66434772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62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F8EE02" w14:textId="3CE9F375" w:rsidR="0072257B" w:rsidRDefault="0072257B">
          <w:pPr>
            <w:pStyle w:val="TOC2"/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66434773" w:history="1">
            <w:r w:rsidRPr="003F22AB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  <w:noProof/>
              </w:rPr>
              <w:t>Key partners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_Toc66434773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62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CF8470" w14:textId="4F78F5A4" w:rsidR="0072257B" w:rsidRDefault="0072257B">
          <w:pPr>
            <w:pStyle w:val="TOC2"/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66434774" w:history="1">
            <w:r w:rsidRPr="003F22AB">
              <w:rPr>
                <w:rStyle w:val="Hyperlink"/>
                <w:noProof/>
              </w:rPr>
              <w:t>2.3</w:t>
            </w:r>
            <w:r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  <w:noProof/>
              </w:rPr>
              <w:t>Key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_Toc66434774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62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8A1FE" w14:textId="0657B28B" w:rsidR="0072257B" w:rsidRDefault="0072257B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66434775" w:history="1">
            <w:r w:rsidRPr="003F22AB">
              <w:rPr>
                <w:rStyle w:val="Hyperlink"/>
                <w:noProof/>
              </w:rPr>
              <w:t>2.3.1</w:t>
            </w:r>
            <w:r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  <w:noProof/>
              </w:rPr>
              <w:t>Physical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_Toc66434775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62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B56ED" w14:textId="78166A78" w:rsidR="0072257B" w:rsidRDefault="0072257B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66434776" w:history="1">
            <w:r w:rsidRPr="003F22AB">
              <w:rPr>
                <w:rStyle w:val="Hyperlink"/>
                <w:noProof/>
              </w:rPr>
              <w:t>2.3.2</w:t>
            </w:r>
            <w:r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  <w:noProof/>
              </w:rPr>
              <w:t>Human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_Toc66434776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62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2B125" w14:textId="7B41C493" w:rsidR="0072257B" w:rsidRDefault="0072257B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66434777" w:history="1">
            <w:r w:rsidRPr="003F22AB">
              <w:rPr>
                <w:rStyle w:val="Hyperlink"/>
                <w:noProof/>
              </w:rPr>
              <w:t>2.3.3</w:t>
            </w:r>
            <w:r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  <w:noProof/>
              </w:rPr>
              <w:t>Financial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_Toc66434777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62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2936A" w14:textId="3BF0879A" w:rsidR="0072257B" w:rsidRDefault="0072257B">
          <w:pPr>
            <w:pStyle w:val="TOC2"/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66434778" w:history="1">
            <w:r w:rsidRPr="003F22AB">
              <w:rPr>
                <w:rStyle w:val="Hyperlink"/>
                <w:noProof/>
              </w:rPr>
              <w:t>2.4</w:t>
            </w:r>
            <w:r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  <w:noProof/>
              </w:rPr>
              <w:t>Key activities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_Toc66434778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62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DFB1C" w14:textId="29ABA007" w:rsidR="0072257B" w:rsidRDefault="0072257B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66434779" w:history="1">
            <w:r w:rsidRPr="003F22AB">
              <w:rPr>
                <w:rStyle w:val="Hyperlink"/>
                <w:noProof/>
              </w:rPr>
              <w:t>2.4.1</w:t>
            </w:r>
            <w:r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  <w:noProof/>
              </w:rPr>
              <w:t>Community on-boarding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_Toc66434779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62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174473" w14:textId="4AF91D1C" w:rsidR="0072257B" w:rsidRDefault="0072257B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66434780" w:history="1">
            <w:r w:rsidRPr="003F22AB">
              <w:rPr>
                <w:rStyle w:val="Hyperlink"/>
                <w:noProof/>
              </w:rPr>
              <w:t>2.4.2</w:t>
            </w:r>
            <w:r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  <w:noProof/>
              </w:rPr>
              <w:t>Service operation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_Toc66434780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62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9E38B" w14:textId="65CD65D1" w:rsidR="0072257B" w:rsidRDefault="0072257B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66434781" w:history="1">
            <w:r w:rsidRPr="003F22AB">
              <w:rPr>
                <w:rStyle w:val="Hyperlink"/>
                <w:noProof/>
              </w:rPr>
              <w:t>2.4.3</w:t>
            </w:r>
            <w:r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  <w:noProof/>
              </w:rPr>
              <w:t>Migrations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_Toc66434781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62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B1752" w14:textId="780ADEBD" w:rsidR="0072257B" w:rsidRDefault="0072257B">
          <w:pPr>
            <w:pStyle w:val="TOC2"/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66434782" w:history="1">
            <w:r w:rsidRPr="003F22AB">
              <w:rPr>
                <w:rStyle w:val="Hyperlink"/>
                <w:noProof/>
              </w:rPr>
              <w:t>2.5</w:t>
            </w:r>
            <w:r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  <w:noProof/>
              </w:rPr>
              <w:t>Value proposition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_Toc66434782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62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A9E1A" w14:textId="038EAAD4" w:rsidR="0072257B" w:rsidRDefault="0072257B">
          <w:pPr>
            <w:pStyle w:val="TOC2"/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66434783" w:history="1">
            <w:r w:rsidRPr="003F22AB">
              <w:rPr>
                <w:rStyle w:val="Hyperlink"/>
                <w:noProof/>
              </w:rPr>
              <w:t>2.6</w:t>
            </w:r>
            <w:r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  <w:noProof/>
              </w:rPr>
              <w:t>Customer relationships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_Toc66434783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62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001D8" w14:textId="065AFF72" w:rsidR="0072257B" w:rsidRDefault="0072257B">
          <w:pPr>
            <w:pStyle w:val="TOC2"/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66434784" w:history="1">
            <w:r w:rsidRPr="003F22AB">
              <w:rPr>
                <w:rStyle w:val="Hyperlink"/>
                <w:noProof/>
              </w:rPr>
              <w:t>2.7</w:t>
            </w:r>
            <w:r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  <w:noProof/>
              </w:rPr>
              <w:t>Customer segments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_Toc66434784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62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3905D" w14:textId="4AFBD74E" w:rsidR="0072257B" w:rsidRDefault="0072257B">
          <w:pPr>
            <w:pStyle w:val="TOC2"/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66434785" w:history="1">
            <w:r w:rsidRPr="003F22AB">
              <w:rPr>
                <w:rStyle w:val="Hyperlink"/>
                <w:noProof/>
              </w:rPr>
              <w:t>2.8</w:t>
            </w:r>
            <w:r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  <w:noProof/>
              </w:rPr>
              <w:t>Channels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_Toc66434785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62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611E8" w14:textId="4E6EFB54" w:rsidR="0072257B" w:rsidRDefault="0072257B">
          <w:pPr>
            <w:pStyle w:val="TOC2"/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66434786" w:history="1">
            <w:r w:rsidRPr="003F22AB">
              <w:rPr>
                <w:rStyle w:val="Hyperlink"/>
                <w:noProof/>
              </w:rPr>
              <w:t>2.9</w:t>
            </w:r>
            <w:r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  <w:noProof/>
              </w:rPr>
              <w:t>Cost 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_Toc66434786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62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59CE1E" w14:textId="04EB6668" w:rsidR="0072257B" w:rsidRDefault="0072257B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66434787" w:history="1">
            <w:r w:rsidRPr="003F22AB">
              <w:rPr>
                <w:rStyle w:val="Hyperlink"/>
                <w:noProof/>
              </w:rPr>
              <w:t>2.9.1</w:t>
            </w:r>
            <w:r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  <w:noProof/>
              </w:rPr>
              <w:t>Hardware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_Toc66434787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62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530C2" w14:textId="65FE6B8C" w:rsidR="0072257B" w:rsidRDefault="0072257B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66434788" w:history="1">
            <w:r w:rsidRPr="003F22AB">
              <w:rPr>
                <w:rStyle w:val="Hyperlink"/>
                <w:noProof/>
              </w:rPr>
              <w:t>2.9.2</w:t>
            </w:r>
            <w:r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  <w:noProof/>
              </w:rPr>
              <w:t>Software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_Toc66434788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62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C76D8" w14:textId="3C9355B7" w:rsidR="0072257B" w:rsidRDefault="0072257B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66434789" w:history="1">
            <w:r w:rsidRPr="003F22AB">
              <w:rPr>
                <w:rStyle w:val="Hyperlink"/>
                <w:noProof/>
              </w:rPr>
              <w:t>2.9.3</w:t>
            </w:r>
            <w:r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  <w:noProof/>
              </w:rPr>
              <w:t>Human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_Toc66434789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62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17F364" w14:textId="31FAD891" w:rsidR="0072257B" w:rsidRDefault="0072257B">
          <w:pPr>
            <w:pStyle w:val="TOC2"/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66434790" w:history="1">
            <w:r w:rsidRPr="003F22AB">
              <w:rPr>
                <w:rStyle w:val="Hyperlink"/>
                <w:noProof/>
              </w:rPr>
              <w:t>2.10</w:t>
            </w:r>
            <w:r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  <w:noProof/>
              </w:rPr>
              <w:t>Revenue stream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_Toc66434790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62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122A4" w14:textId="3041F38F" w:rsidR="0072257B" w:rsidRDefault="0072257B">
          <w:pPr>
            <w:pStyle w:val="TOC3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66434791" w:history="1">
            <w:r w:rsidRPr="003F22AB">
              <w:rPr>
                <w:rStyle w:val="Hyperlink"/>
                <w:noProof/>
              </w:rPr>
              <w:t>2.10.1</w:t>
            </w:r>
            <w:r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  <w:noProof/>
              </w:rPr>
              <w:t>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_Toc66434791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62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AA2DB" w14:textId="6A2A5D29" w:rsidR="0072257B" w:rsidRDefault="0072257B">
          <w:pPr>
            <w:pStyle w:val="TOC3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66434792" w:history="1">
            <w:r w:rsidRPr="003F22AB">
              <w:rPr>
                <w:rStyle w:val="Hyperlink"/>
                <w:noProof/>
              </w:rPr>
              <w:t>2.10.2</w:t>
            </w:r>
            <w:r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  <w:noProof/>
              </w:rPr>
              <w:t>Pricing 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_Toc66434792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62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664A8" w14:textId="4D2A09DB" w:rsidR="0072257B" w:rsidRDefault="0072257B">
          <w:pPr>
            <w:pStyle w:val="TOC3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pacing w:val="0"/>
              <w:lang w:eastAsia="en-GB"/>
            </w:rPr>
          </w:pPr>
          <w:hyperlink w:anchor="_Toc66434793" w:history="1">
            <w:r w:rsidRPr="003F22AB">
              <w:rPr>
                <w:rStyle w:val="Hyperlink"/>
                <w:noProof/>
              </w:rPr>
              <w:t>2.10.3</w:t>
            </w:r>
            <w:r>
              <w:rPr>
                <w:rFonts w:asciiTheme="minorHAnsi" w:eastAsiaTheme="minorEastAsia" w:hAnsiTheme="minorHAnsi"/>
                <w:noProof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  <w:noProof/>
              </w:rPr>
              <w:t>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_Toc66434793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62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0443E" w14:textId="1B02A4F7" w:rsidR="0072257B" w:rsidRDefault="0072257B">
          <w:pPr>
            <w:pStyle w:val="TOC1"/>
            <w:rPr>
              <w:rFonts w:asciiTheme="minorHAnsi" w:eastAsiaTheme="minorEastAsia" w:hAnsiTheme="minorHAnsi"/>
              <w:color w:val="auto"/>
              <w:spacing w:val="0"/>
              <w:lang w:eastAsia="en-GB"/>
            </w:rPr>
          </w:pPr>
          <w:hyperlink w:anchor="_Toc66434794" w:history="1">
            <w:r w:rsidRPr="003F22AB">
              <w:rPr>
                <w:rStyle w:val="Hyperlink"/>
              </w:rPr>
              <w:t>3</w:t>
            </w:r>
            <w:r>
              <w:rPr>
                <w:rFonts w:asciiTheme="minorHAnsi" w:eastAsiaTheme="minorEastAsia" w:hAnsiTheme="minorHAnsi"/>
                <w:color w:val="auto"/>
                <w:spacing w:val="0"/>
                <w:lang w:eastAsia="en-GB"/>
              </w:rPr>
              <w:tab/>
            </w:r>
            <w:r w:rsidRPr="003F22AB">
              <w:rPr>
                <w:rStyle w:val="Hyperlink"/>
              </w:rPr>
              <w:t>References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_Toc66434794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A3622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90C3D8D" w14:textId="2696D5BE" w:rsidR="00932BAC" w:rsidRDefault="00932BAC">
          <w:r>
            <w:rPr>
              <w:b/>
              <w:bCs/>
            </w:rPr>
            <w:fldChar w:fldCharType="end"/>
          </w:r>
        </w:p>
      </w:sdtContent>
    </w:sdt>
    <w:p w14:paraId="55A217CF" w14:textId="77777777" w:rsidR="00A30A98" w:rsidRPr="00A070B9" w:rsidRDefault="00A439C7" w:rsidP="005959F1">
      <w:pPr>
        <w:pStyle w:val="Heading1"/>
      </w:pPr>
      <w:bookmarkStart w:id="1" w:name="_Toc66434770"/>
      <w:r>
        <w:lastRenderedPageBreak/>
        <w:t>Business case</w:t>
      </w:r>
      <w:bookmarkEnd w:id="1"/>
      <w:r w:rsidR="00247395">
        <w:t xml:space="preserve"> </w:t>
      </w:r>
    </w:p>
    <w:bookmarkEnd w:id="0"/>
    <w:p w14:paraId="467850A1" w14:textId="77777777" w:rsidR="007D22EA" w:rsidRDefault="00A439C7" w:rsidP="00A439C7">
      <w:r>
        <w:t>R</w:t>
      </w:r>
      <w:r w:rsidRPr="004F5A43">
        <w:t xml:space="preserve">esearchers </w:t>
      </w:r>
      <w:r>
        <w:t xml:space="preserve">are required </w:t>
      </w:r>
      <w:r w:rsidRPr="004F5A43">
        <w:t xml:space="preserve">to keep the data </w:t>
      </w:r>
      <w:r>
        <w:t xml:space="preserve">they generated as part of their work </w:t>
      </w:r>
      <w:r w:rsidRPr="004F5A43">
        <w:t xml:space="preserve">for at least five years after publication and many funders require a minimum of </w:t>
      </w:r>
      <w:r w:rsidR="00F167D5">
        <w:t>ten</w:t>
      </w:r>
      <w:r w:rsidRPr="004F5A43">
        <w:t xml:space="preserve"> years.</w:t>
      </w:r>
      <w:r w:rsidR="00F167D5">
        <w:t xml:space="preserve"> </w:t>
      </w:r>
      <w:r w:rsidR="007D22EA">
        <w:t xml:space="preserve">Data producers </w:t>
      </w:r>
      <w:r w:rsidR="00F167D5">
        <w:t>have</w:t>
      </w:r>
      <w:r>
        <w:t xml:space="preserve"> strong recommendations and incentives to follow the FAIR principles and enable</w:t>
      </w:r>
      <w:r w:rsidR="007D22EA">
        <w:t xml:space="preserve"> findability, accessibility, </w:t>
      </w:r>
      <w:proofErr w:type="gramStart"/>
      <w:r w:rsidR="007D22EA">
        <w:t>interoperability</w:t>
      </w:r>
      <w:proofErr w:type="gramEnd"/>
      <w:r w:rsidR="007D22EA">
        <w:t xml:space="preserve"> and reusability of the data they produced as part of their research activity</w:t>
      </w:r>
      <w:r>
        <w:t>.</w:t>
      </w:r>
    </w:p>
    <w:p w14:paraId="10BA0C5B" w14:textId="77777777" w:rsidR="00F167D5" w:rsidRDefault="00F167D5" w:rsidP="00A439C7">
      <w:r>
        <w:t xml:space="preserve">Institutions can use </w:t>
      </w:r>
      <w:r w:rsidR="001D47EE">
        <w:t xml:space="preserve">a </w:t>
      </w:r>
      <w:r>
        <w:t xml:space="preserve">significant budget to take care of their cultural heritage by digitizing </w:t>
      </w:r>
      <w:r w:rsidRPr="00F167D5">
        <w:t xml:space="preserve">valuable collections owned by </w:t>
      </w:r>
      <w:r>
        <w:t xml:space="preserve">their </w:t>
      </w:r>
      <w:r w:rsidRPr="00F167D5">
        <w:t>libraries</w:t>
      </w:r>
      <w:r>
        <w:t xml:space="preserve">. </w:t>
      </w:r>
      <w:r w:rsidR="003A593E">
        <w:t xml:space="preserve">The materials produced as part of these programs </w:t>
      </w:r>
      <w:proofErr w:type="gramStart"/>
      <w:r w:rsidR="003A593E">
        <w:t>have to</w:t>
      </w:r>
      <w:proofErr w:type="gramEnd"/>
      <w:r w:rsidR="003A593E">
        <w:t xml:space="preserve"> be sustained to justify the </w:t>
      </w:r>
      <w:r>
        <w:t>investments</w:t>
      </w:r>
      <w:r w:rsidR="003A593E">
        <w:t>.</w:t>
      </w:r>
    </w:p>
    <w:p w14:paraId="4C78A6B2" w14:textId="77777777" w:rsidR="0060134C" w:rsidRDefault="00A439C7" w:rsidP="004A4E4D">
      <w:r w:rsidRPr="00582F3F">
        <w:t xml:space="preserve">Digital </w:t>
      </w:r>
      <w:r w:rsidR="003A593E">
        <w:t>object</w:t>
      </w:r>
      <w:r w:rsidRPr="00582F3F">
        <w:t xml:space="preserve">s can be unstable and difficult to access </w:t>
      </w:r>
      <w:r>
        <w:t>or (re)use after decades in storage: i</w:t>
      </w:r>
      <w:r w:rsidRPr="00582F3F">
        <w:t>n addition to a byte</w:t>
      </w:r>
      <w:r w:rsidR="001D47EE">
        <w:t xml:space="preserve"> </w:t>
      </w:r>
      <w:r w:rsidRPr="00582F3F">
        <w:t>stream preservation service</w:t>
      </w:r>
      <w:r w:rsidR="00F167D5">
        <w:t>,</w:t>
      </w:r>
      <w:r w:rsidRPr="00582F3F">
        <w:t xml:space="preserve"> which ensures data integrity from a technical standpoint, </w:t>
      </w:r>
      <w:r>
        <w:t xml:space="preserve">there is a need for </w:t>
      </w:r>
      <w:r w:rsidRPr="00582F3F">
        <w:t>quality services that preserve information over time.</w:t>
      </w:r>
      <w:r>
        <w:t xml:space="preserve"> </w:t>
      </w:r>
      <w:r w:rsidRPr="00582F3F">
        <w:t xml:space="preserve">This requires </w:t>
      </w:r>
      <w:r w:rsidRPr="00F12DFC">
        <w:t>certified</w:t>
      </w:r>
      <w:r w:rsidR="00F12DFC">
        <w:t xml:space="preserve"> (see </w:t>
      </w:r>
      <w:hyperlink w:anchor="_References" w:history="1">
        <w:r w:rsidR="00F12DFC" w:rsidRPr="00F12DFC">
          <w:rPr>
            <w:rStyle w:val="Hyperlink"/>
          </w:rPr>
          <w:t>References</w:t>
        </w:r>
      </w:hyperlink>
      <w:r w:rsidR="00F12DFC">
        <w:t xml:space="preserve"> section)</w:t>
      </w:r>
      <w:r>
        <w:t>, extra</w:t>
      </w:r>
      <w:r w:rsidRPr="00582F3F">
        <w:t xml:space="preserve"> </w:t>
      </w:r>
      <w:r>
        <w:t xml:space="preserve">capabilities </w:t>
      </w:r>
      <w:proofErr w:type="gramStart"/>
      <w:r>
        <w:t>in the area of</w:t>
      </w:r>
      <w:proofErr w:type="gramEnd"/>
      <w:r>
        <w:t xml:space="preserve"> </w:t>
      </w:r>
      <w:r w:rsidRPr="00582F3F">
        <w:t>metadata</w:t>
      </w:r>
      <w:r>
        <w:t>/data</w:t>
      </w:r>
      <w:r w:rsidRPr="00582F3F">
        <w:t xml:space="preserve"> stewardship</w:t>
      </w:r>
      <w:r>
        <w:t>, assessment and</w:t>
      </w:r>
      <w:r w:rsidRPr="00582F3F">
        <w:t xml:space="preserve"> curation</w:t>
      </w:r>
      <w:r>
        <w:t xml:space="preserve"> </w:t>
      </w:r>
      <w:r w:rsidRPr="00582F3F">
        <w:t>that goes beyond simple data management services.</w:t>
      </w:r>
      <w:r>
        <w:t xml:space="preserve"> Such a</w:t>
      </w:r>
      <w:r w:rsidRPr="00B711D9">
        <w:t xml:space="preserve"> long-term preservation strategy will ensure data can be found, understood, </w:t>
      </w:r>
      <w:proofErr w:type="gramStart"/>
      <w:r w:rsidRPr="00B711D9">
        <w:t>accessed</w:t>
      </w:r>
      <w:proofErr w:type="gramEnd"/>
      <w:r w:rsidRPr="00B711D9">
        <w:t xml:space="preserve"> and used in the future.</w:t>
      </w:r>
    </w:p>
    <w:p w14:paraId="4B9FD7E0" w14:textId="77777777" w:rsidR="00A30A98" w:rsidRDefault="00A439C7" w:rsidP="005959F1">
      <w:pPr>
        <w:pStyle w:val="Heading1"/>
      </w:pPr>
      <w:bookmarkStart w:id="2" w:name="_Toc66434771"/>
      <w:r>
        <w:lastRenderedPageBreak/>
        <w:t>Business model</w:t>
      </w:r>
      <w:bookmarkEnd w:id="2"/>
    </w:p>
    <w:p w14:paraId="4E2984B7" w14:textId="77777777" w:rsidR="00F164C5" w:rsidRPr="00F164C5" w:rsidRDefault="00F164C5" w:rsidP="00F164C5">
      <w:pPr>
        <w:pStyle w:val="Heading2"/>
      </w:pPr>
      <w:bookmarkStart w:id="3" w:name="_Toc66434772"/>
      <w:r>
        <w:t>Overview</w:t>
      </w:r>
      <w:bookmarkEnd w:id="3"/>
    </w:p>
    <w:p w14:paraId="29D5403E" w14:textId="77777777" w:rsidR="00A439C7" w:rsidRDefault="00014716" w:rsidP="00014716">
      <w:pPr>
        <w:jc w:val="right"/>
      </w:pPr>
      <w:r>
        <w:rPr>
          <w:noProof/>
          <w:lang w:val="fr-FR" w:eastAsia="fr-FR"/>
        </w:rPr>
        <w:drawing>
          <wp:inline distT="0" distB="0" distL="0" distR="0" wp14:anchorId="4F72428E" wp14:editId="6D7032F3">
            <wp:extent cx="5724525" cy="350520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E433E" w14:textId="77777777" w:rsidR="00A439C7" w:rsidRDefault="00A439C7" w:rsidP="00A439C7">
      <w:pPr>
        <w:jc w:val="center"/>
        <w:rPr>
          <w:i/>
        </w:rPr>
      </w:pPr>
      <w:r w:rsidRPr="004360D4">
        <w:rPr>
          <w:i/>
        </w:rPr>
        <w:t>Figure 1. Business model canvas</w:t>
      </w:r>
    </w:p>
    <w:p w14:paraId="3F368E9F" w14:textId="77777777" w:rsidR="00A439C7" w:rsidRDefault="00A439C7" w:rsidP="00A439C7">
      <w:pPr>
        <w:pStyle w:val="Heading2"/>
      </w:pPr>
      <w:bookmarkStart w:id="4" w:name="_Toc66434773"/>
      <w:r>
        <w:t>Key partners</w:t>
      </w:r>
      <w:bookmarkEnd w:id="4"/>
    </w:p>
    <w:p w14:paraId="2B0A2F39" w14:textId="77777777" w:rsidR="00A439C7" w:rsidRDefault="00A439C7" w:rsidP="00A439C7">
      <w:r>
        <w:t xml:space="preserve">The service relies on mature, “ready-to-use” </w:t>
      </w:r>
      <w:r w:rsidR="00892442">
        <w:t>EOSC-hub/</w:t>
      </w:r>
      <w:r>
        <w:t xml:space="preserve">EUDAT services, which have been in production for several years, and provide data transferring functionalities. These include: </w:t>
      </w:r>
    </w:p>
    <w:p w14:paraId="40C25FCB" w14:textId="77777777" w:rsidR="00A439C7" w:rsidRDefault="00A439C7" w:rsidP="00A439C7">
      <w:pPr>
        <w:pStyle w:val="ListParagraph"/>
        <w:numPr>
          <w:ilvl w:val="0"/>
          <w:numId w:val="23"/>
        </w:numPr>
      </w:pPr>
      <w:r>
        <w:t>B2SAFE to transfer datasets (digital documents, images, videos, etc.</w:t>
      </w:r>
      <w:proofErr w:type="gramStart"/>
      <w:r>
        <w:t>);</w:t>
      </w:r>
      <w:proofErr w:type="gramEnd"/>
    </w:p>
    <w:p w14:paraId="7BE1D086" w14:textId="77777777" w:rsidR="00A439C7" w:rsidRDefault="00A439C7" w:rsidP="00A439C7">
      <w:pPr>
        <w:pStyle w:val="ListParagraph"/>
        <w:numPr>
          <w:ilvl w:val="0"/>
          <w:numId w:val="23"/>
        </w:numPr>
      </w:pPr>
      <w:r>
        <w:t xml:space="preserve">B2HANDLE for PID </w:t>
      </w:r>
      <w:proofErr w:type="gramStart"/>
      <w:r>
        <w:t>allocation;</w:t>
      </w:r>
      <w:proofErr w:type="gramEnd"/>
    </w:p>
    <w:p w14:paraId="2109A675" w14:textId="77777777" w:rsidR="00A439C7" w:rsidRDefault="00A439C7" w:rsidP="00A439C7">
      <w:pPr>
        <w:pStyle w:val="ListParagraph"/>
        <w:numPr>
          <w:ilvl w:val="0"/>
          <w:numId w:val="23"/>
        </w:numPr>
      </w:pPr>
      <w:r>
        <w:t>B2FIND to harvest metadata and publish the catalog</w:t>
      </w:r>
      <w:r w:rsidR="0009026B">
        <w:t>ue</w:t>
      </w:r>
      <w:r>
        <w:t xml:space="preserve"> of archived documents.</w:t>
      </w:r>
    </w:p>
    <w:p w14:paraId="0A43A110" w14:textId="77777777" w:rsidR="00892442" w:rsidRDefault="00892442" w:rsidP="00A439C7">
      <w:r>
        <w:t>It also uses the infrastructure (</w:t>
      </w:r>
      <w:proofErr w:type="spellStart"/>
      <w:r>
        <w:t>Géant</w:t>
      </w:r>
      <w:proofErr w:type="spellEnd"/>
      <w:r>
        <w:t xml:space="preserve">, </w:t>
      </w:r>
      <w:proofErr w:type="spellStart"/>
      <w:r>
        <w:t>Renater</w:t>
      </w:r>
      <w:proofErr w:type="spellEnd"/>
      <w:r>
        <w:t>) which connects the National networks together and enable</w:t>
      </w:r>
      <w:r w:rsidR="00F12DFC">
        <w:t>s</w:t>
      </w:r>
      <w:r>
        <w:t xml:space="preserve"> access, file transfer, etc.</w:t>
      </w:r>
    </w:p>
    <w:p w14:paraId="5F868C05" w14:textId="77777777" w:rsidR="00A439C7" w:rsidRPr="00842554" w:rsidRDefault="00A439C7" w:rsidP="00A439C7">
      <w:r>
        <w:t>Thus</w:t>
      </w:r>
      <w:r w:rsidR="00892442">
        <w:t>, these</w:t>
      </w:r>
      <w:r>
        <w:t xml:space="preserve"> </w:t>
      </w:r>
      <w:r w:rsidR="00892442">
        <w:t>organizations can be considered as key partners to the service.</w:t>
      </w:r>
      <w:r>
        <w:t xml:space="preserve"> </w:t>
      </w:r>
    </w:p>
    <w:p w14:paraId="47B69846" w14:textId="77777777" w:rsidR="00A439C7" w:rsidRDefault="00A439C7" w:rsidP="00A439C7">
      <w:pPr>
        <w:pStyle w:val="Heading2"/>
      </w:pPr>
      <w:bookmarkStart w:id="5" w:name="_Key_resources"/>
      <w:bookmarkStart w:id="6" w:name="_Toc66434774"/>
      <w:bookmarkEnd w:id="5"/>
      <w:r>
        <w:t>Key resources</w:t>
      </w:r>
      <w:bookmarkEnd w:id="6"/>
    </w:p>
    <w:p w14:paraId="42FC83F4" w14:textId="77777777" w:rsidR="005738BC" w:rsidRDefault="005738BC" w:rsidP="005738BC">
      <w:pPr>
        <w:pStyle w:val="Heading3"/>
      </w:pPr>
      <w:bookmarkStart w:id="7" w:name="_Toc66434775"/>
      <w:r>
        <w:t>Physical resources</w:t>
      </w:r>
      <w:bookmarkEnd w:id="7"/>
    </w:p>
    <w:p w14:paraId="6C5F0F44" w14:textId="77777777" w:rsidR="00CC3597" w:rsidRDefault="00CC3597" w:rsidP="00CC3597">
      <w:r>
        <w:t xml:space="preserve">The </w:t>
      </w:r>
      <w:proofErr w:type="spellStart"/>
      <w:r>
        <w:t>eTDR</w:t>
      </w:r>
      <w:proofErr w:type="spellEnd"/>
      <w:r>
        <w:t xml:space="preserve"> is hosted in the CINES premises. Since CINES is a National data</w:t>
      </w:r>
      <w:r w:rsidR="00F12DFC">
        <w:t xml:space="preserve"> </w:t>
      </w:r>
      <w:r>
        <w:t>centre, it takes advantage of the infrastructure which has been deployed for other services (HPC, etc.) and which is now pooled:</w:t>
      </w:r>
    </w:p>
    <w:p w14:paraId="15D98590" w14:textId="77777777" w:rsidR="00CC3597" w:rsidRDefault="005738BC" w:rsidP="00CC3597">
      <w:pPr>
        <w:pStyle w:val="ListParagraph"/>
        <w:numPr>
          <w:ilvl w:val="0"/>
          <w:numId w:val="31"/>
        </w:numPr>
      </w:pPr>
      <w:r>
        <w:lastRenderedPageBreak/>
        <w:t>M</w:t>
      </w:r>
      <w:r w:rsidR="00CC3597">
        <w:t xml:space="preserve">achine </w:t>
      </w:r>
      <w:proofErr w:type="gramStart"/>
      <w:r w:rsidR="00CC3597">
        <w:t>rooms;</w:t>
      </w:r>
      <w:proofErr w:type="gramEnd"/>
    </w:p>
    <w:p w14:paraId="54E5A17B" w14:textId="77777777" w:rsidR="00CC3597" w:rsidRDefault="00CC3597" w:rsidP="00CC3597">
      <w:pPr>
        <w:pStyle w:val="ListParagraph"/>
        <w:numPr>
          <w:ilvl w:val="0"/>
          <w:numId w:val="31"/>
        </w:numPr>
      </w:pPr>
      <w:r>
        <w:t>Power supply/</w:t>
      </w:r>
      <w:proofErr w:type="gramStart"/>
      <w:r>
        <w:t>generators;</w:t>
      </w:r>
      <w:proofErr w:type="gramEnd"/>
    </w:p>
    <w:p w14:paraId="0870C00E" w14:textId="77777777" w:rsidR="00CC3597" w:rsidRDefault="00CC3597" w:rsidP="00CC3597">
      <w:pPr>
        <w:pStyle w:val="ListParagraph"/>
        <w:numPr>
          <w:ilvl w:val="0"/>
          <w:numId w:val="31"/>
        </w:numPr>
      </w:pPr>
      <w:proofErr w:type="gramStart"/>
      <w:r>
        <w:t>Cooling;</w:t>
      </w:r>
      <w:proofErr w:type="gramEnd"/>
    </w:p>
    <w:p w14:paraId="6884A0CA" w14:textId="77777777" w:rsidR="00CC3597" w:rsidRDefault="00CC3597" w:rsidP="00CC3597">
      <w:pPr>
        <w:pStyle w:val="ListParagraph"/>
        <w:numPr>
          <w:ilvl w:val="0"/>
          <w:numId w:val="31"/>
        </w:numPr>
      </w:pPr>
      <w:r>
        <w:t>Tape libraries.</w:t>
      </w:r>
    </w:p>
    <w:p w14:paraId="43195F11" w14:textId="77777777" w:rsidR="005738BC" w:rsidRDefault="005738BC" w:rsidP="005738BC">
      <w:pPr>
        <w:pStyle w:val="Heading3"/>
      </w:pPr>
      <w:bookmarkStart w:id="8" w:name="_Toc66434776"/>
      <w:r>
        <w:t>Human resources</w:t>
      </w:r>
      <w:bookmarkEnd w:id="8"/>
    </w:p>
    <w:p w14:paraId="3F60E86A" w14:textId="77777777" w:rsidR="00CC3597" w:rsidRDefault="00CC3597" w:rsidP="00CC3597">
      <w:r>
        <w:t xml:space="preserve">The Digital Preservation Department </w:t>
      </w:r>
      <w:r w:rsidR="005738BC">
        <w:t xml:space="preserve">is </w:t>
      </w:r>
      <w:r>
        <w:t>staff</w:t>
      </w:r>
      <w:r w:rsidR="005738BC">
        <w:t>ed</w:t>
      </w:r>
      <w:r>
        <w:t xml:space="preserve"> </w:t>
      </w:r>
      <w:r w:rsidR="0009026B">
        <w:t xml:space="preserve">managers, engineers, </w:t>
      </w:r>
      <w:proofErr w:type="gramStart"/>
      <w:r w:rsidR="0009026B">
        <w:t>developers</w:t>
      </w:r>
      <w:proofErr w:type="gramEnd"/>
      <w:r w:rsidR="005738BC">
        <w:t xml:space="preserve"> and </w:t>
      </w:r>
      <w:r w:rsidR="0009026B">
        <w:t>archivists</w:t>
      </w:r>
      <w:r w:rsidR="005738BC">
        <w:t xml:space="preserve"> </w:t>
      </w:r>
      <w:r>
        <w:t>with the following skills</w:t>
      </w:r>
      <w:r w:rsidR="001B4F0B">
        <w:t>:</w:t>
      </w:r>
    </w:p>
    <w:p w14:paraId="03C1112A" w14:textId="77777777" w:rsidR="00CC3597" w:rsidRDefault="00CC3597" w:rsidP="00CC3597">
      <w:pPr>
        <w:pStyle w:val="ListParagraph"/>
        <w:numPr>
          <w:ilvl w:val="0"/>
          <w:numId w:val="32"/>
        </w:numPr>
      </w:pPr>
      <w:r>
        <w:t xml:space="preserve">People and project </w:t>
      </w:r>
      <w:proofErr w:type="gramStart"/>
      <w:r>
        <w:t>management;</w:t>
      </w:r>
      <w:proofErr w:type="gramEnd"/>
    </w:p>
    <w:p w14:paraId="20BC25E4" w14:textId="77777777" w:rsidR="00CC3597" w:rsidRDefault="001B4F0B" w:rsidP="00CC3597">
      <w:pPr>
        <w:pStyle w:val="ListParagraph"/>
        <w:numPr>
          <w:ilvl w:val="0"/>
          <w:numId w:val="32"/>
        </w:numPr>
      </w:pPr>
      <w:r>
        <w:t>Network, s</w:t>
      </w:r>
      <w:r w:rsidR="00CC3597">
        <w:t xml:space="preserve">ystem and application </w:t>
      </w:r>
      <w:proofErr w:type="gramStart"/>
      <w:r w:rsidR="00CC3597">
        <w:t>administration;</w:t>
      </w:r>
      <w:proofErr w:type="gramEnd"/>
    </w:p>
    <w:p w14:paraId="6D06670E" w14:textId="77777777" w:rsidR="0009026B" w:rsidRDefault="0009026B" w:rsidP="00CC3597">
      <w:pPr>
        <w:pStyle w:val="ListParagraph"/>
        <w:numPr>
          <w:ilvl w:val="0"/>
          <w:numId w:val="32"/>
        </w:numPr>
      </w:pPr>
      <w:r>
        <w:t>Software development</w:t>
      </w:r>
      <w:r w:rsidR="00B53927">
        <w:t xml:space="preserve"> and </w:t>
      </w:r>
      <w:proofErr w:type="gramStart"/>
      <w:r w:rsidR="00B53927">
        <w:t>test</w:t>
      </w:r>
      <w:r>
        <w:t>;</w:t>
      </w:r>
      <w:proofErr w:type="gramEnd"/>
    </w:p>
    <w:p w14:paraId="29AC6C03" w14:textId="77777777" w:rsidR="00CC3597" w:rsidRDefault="00CC3597" w:rsidP="00CC3597">
      <w:pPr>
        <w:pStyle w:val="ListParagraph"/>
        <w:numPr>
          <w:ilvl w:val="0"/>
          <w:numId w:val="32"/>
        </w:numPr>
      </w:pPr>
      <w:r>
        <w:t xml:space="preserve">Metadata, file formats, storage media </w:t>
      </w:r>
      <w:proofErr w:type="gramStart"/>
      <w:r>
        <w:t>expertise;</w:t>
      </w:r>
      <w:proofErr w:type="gramEnd"/>
    </w:p>
    <w:p w14:paraId="56B88688" w14:textId="77777777" w:rsidR="001B4F0B" w:rsidRDefault="0009026B" w:rsidP="00CC3597">
      <w:pPr>
        <w:pStyle w:val="ListParagraph"/>
        <w:numPr>
          <w:ilvl w:val="0"/>
          <w:numId w:val="32"/>
        </w:numPr>
      </w:pPr>
      <w:r>
        <w:t xml:space="preserve">Archival </w:t>
      </w:r>
      <w:proofErr w:type="gramStart"/>
      <w:r>
        <w:t>expertise</w:t>
      </w:r>
      <w:r w:rsidR="001B4F0B">
        <w:t>;</w:t>
      </w:r>
      <w:proofErr w:type="gramEnd"/>
    </w:p>
    <w:p w14:paraId="000DE847" w14:textId="77777777" w:rsidR="00CC3597" w:rsidRDefault="001B4F0B" w:rsidP="00CC3597">
      <w:pPr>
        <w:pStyle w:val="ListParagraph"/>
        <w:numPr>
          <w:ilvl w:val="0"/>
          <w:numId w:val="32"/>
        </w:numPr>
      </w:pPr>
      <w:r>
        <w:t>User support</w:t>
      </w:r>
      <w:r w:rsidR="0009026B">
        <w:t>.</w:t>
      </w:r>
    </w:p>
    <w:p w14:paraId="3094893E" w14:textId="77777777" w:rsidR="005738BC" w:rsidRDefault="005738BC" w:rsidP="005738BC">
      <w:pPr>
        <w:pStyle w:val="Heading3"/>
      </w:pPr>
      <w:bookmarkStart w:id="9" w:name="_Toc66434777"/>
      <w:r>
        <w:t>Financial resources</w:t>
      </w:r>
      <w:bookmarkEnd w:id="9"/>
    </w:p>
    <w:p w14:paraId="4D61D1C3" w14:textId="77777777" w:rsidR="0009026B" w:rsidRPr="00CC3597" w:rsidRDefault="0009026B" w:rsidP="0009026B">
      <w:r>
        <w:t xml:space="preserve">CINES is directly funded by the Ministry of Higher Education, </w:t>
      </w:r>
      <w:proofErr w:type="gramStart"/>
      <w:r>
        <w:t>Research</w:t>
      </w:r>
      <w:proofErr w:type="gramEnd"/>
      <w:r>
        <w:t xml:space="preserve"> and Innovation. The budget is allocated on a yearly basis to allow the provision of the three services that are included in the mandate of the data</w:t>
      </w:r>
      <w:r w:rsidR="00F12DFC">
        <w:t xml:space="preserve"> </w:t>
      </w:r>
      <w:r>
        <w:t>centre. In addition, other financial resources include EU grants for the contribution to European projects, and revenues from services provided at National level (hosting, long-term preservation, etc.).</w:t>
      </w:r>
    </w:p>
    <w:p w14:paraId="3CB8FCD5" w14:textId="77777777" w:rsidR="00023AC3" w:rsidRDefault="00023AC3" w:rsidP="00023AC3">
      <w:pPr>
        <w:pStyle w:val="Heading2"/>
      </w:pPr>
      <w:bookmarkStart w:id="10" w:name="_Toc66434778"/>
      <w:r>
        <w:t>Key activities</w:t>
      </w:r>
      <w:bookmarkEnd w:id="10"/>
    </w:p>
    <w:p w14:paraId="1FC84CCD" w14:textId="77777777" w:rsidR="00DA37BD" w:rsidRDefault="00023AC3" w:rsidP="00023AC3">
      <w:proofErr w:type="spellStart"/>
      <w:r>
        <w:t>eTDR</w:t>
      </w:r>
      <w:proofErr w:type="spellEnd"/>
      <w:r>
        <w:t xml:space="preserve"> does not provide an off-the-shelf</w:t>
      </w:r>
      <w:r w:rsidR="00DA37BD">
        <w:t xml:space="preserve"> service, it is tailored based on the community needs. There are three phases when adding new collections to the repository:</w:t>
      </w:r>
    </w:p>
    <w:p w14:paraId="62370AA5" w14:textId="77777777" w:rsidR="00023AC3" w:rsidRDefault="00DA37BD" w:rsidP="00DA37BD">
      <w:pPr>
        <w:pStyle w:val="ListParagraph"/>
        <w:numPr>
          <w:ilvl w:val="0"/>
          <w:numId w:val="35"/>
        </w:numPr>
      </w:pPr>
      <w:r>
        <w:t xml:space="preserve">The negotiation phase during which the community needs will be </w:t>
      </w:r>
      <w:proofErr w:type="gramStart"/>
      <w:r>
        <w:t>evaluated</w:t>
      </w:r>
      <w:proofErr w:type="gramEnd"/>
      <w:r>
        <w:t xml:space="preserve"> and technical agreement will be reached;</w:t>
      </w:r>
    </w:p>
    <w:p w14:paraId="74A0424A" w14:textId="77777777" w:rsidR="00DA37BD" w:rsidRDefault="00DA37BD" w:rsidP="00DA37BD">
      <w:pPr>
        <w:pStyle w:val="ListParagraph"/>
        <w:numPr>
          <w:ilvl w:val="0"/>
          <w:numId w:val="35"/>
        </w:numPr>
      </w:pPr>
      <w:r>
        <w:t xml:space="preserve">The deployment and operation, during which datasets will be transferred to the </w:t>
      </w:r>
      <w:proofErr w:type="spellStart"/>
      <w:r>
        <w:t>eTDR</w:t>
      </w:r>
      <w:proofErr w:type="spellEnd"/>
      <w:r>
        <w:t xml:space="preserve"> for preservation, and made available for the designated </w:t>
      </w:r>
      <w:proofErr w:type="gramStart"/>
      <w:r>
        <w:t>communities;</w:t>
      </w:r>
      <w:proofErr w:type="gramEnd"/>
    </w:p>
    <w:p w14:paraId="431C15BB" w14:textId="77777777" w:rsidR="00DA37BD" w:rsidRDefault="00DA37BD" w:rsidP="00DA37BD">
      <w:pPr>
        <w:pStyle w:val="ListParagraph"/>
        <w:numPr>
          <w:ilvl w:val="0"/>
          <w:numId w:val="35"/>
        </w:numPr>
      </w:pPr>
      <w:r>
        <w:t>The migration, which will be triggered on an ad</w:t>
      </w:r>
      <w:r w:rsidR="009E39F0">
        <w:t xml:space="preserve"> </w:t>
      </w:r>
      <w:r>
        <w:t>hoc basis.</w:t>
      </w:r>
    </w:p>
    <w:p w14:paraId="277A82B9" w14:textId="77777777" w:rsidR="00023AC3" w:rsidRDefault="00023AC3" w:rsidP="00023AC3">
      <w:pPr>
        <w:pStyle w:val="Heading3"/>
      </w:pPr>
      <w:bookmarkStart w:id="11" w:name="_Community_on-boarding"/>
      <w:bookmarkStart w:id="12" w:name="_Toc66434779"/>
      <w:bookmarkEnd w:id="11"/>
      <w:r>
        <w:t>Community on</w:t>
      </w:r>
      <w:r w:rsidR="009A0200">
        <w:t>-</w:t>
      </w:r>
      <w:r>
        <w:t>boarding</w:t>
      </w:r>
      <w:bookmarkEnd w:id="12"/>
    </w:p>
    <w:p w14:paraId="21F5BA3E" w14:textId="77777777" w:rsidR="00023AC3" w:rsidRDefault="00023AC3" w:rsidP="00023AC3">
      <w:pPr>
        <w:pStyle w:val="ListParagraph"/>
        <w:numPr>
          <w:ilvl w:val="0"/>
          <w:numId w:val="34"/>
        </w:numPr>
      </w:pPr>
      <w:r>
        <w:t xml:space="preserve">Appraisal of data </w:t>
      </w:r>
      <w:proofErr w:type="gramStart"/>
      <w:r>
        <w:t>collections;</w:t>
      </w:r>
      <w:proofErr w:type="gramEnd"/>
    </w:p>
    <w:p w14:paraId="6AF6977D" w14:textId="77777777" w:rsidR="00DA37BD" w:rsidRDefault="00023AC3" w:rsidP="00023AC3">
      <w:pPr>
        <w:pStyle w:val="ListParagraph"/>
        <w:numPr>
          <w:ilvl w:val="0"/>
          <w:numId w:val="34"/>
        </w:numPr>
      </w:pPr>
      <w:r>
        <w:t>Contractual agreement: roles, responsibilities</w:t>
      </w:r>
      <w:r w:rsidR="00DA37BD">
        <w:t xml:space="preserve">, service </w:t>
      </w:r>
      <w:proofErr w:type="gramStart"/>
      <w:r w:rsidR="00DA37BD">
        <w:t>level;</w:t>
      </w:r>
      <w:proofErr w:type="gramEnd"/>
    </w:p>
    <w:p w14:paraId="111E94BE" w14:textId="77777777" w:rsidR="00023AC3" w:rsidRDefault="00DA37BD" w:rsidP="00023AC3">
      <w:pPr>
        <w:pStyle w:val="ListParagraph"/>
        <w:numPr>
          <w:ilvl w:val="0"/>
          <w:numId w:val="34"/>
        </w:numPr>
      </w:pPr>
      <w:r>
        <w:t xml:space="preserve">Technical agreement: file formats, </w:t>
      </w:r>
      <w:r w:rsidR="00023AC3">
        <w:t>protocols, etc.</w:t>
      </w:r>
    </w:p>
    <w:p w14:paraId="5D3CFA17" w14:textId="77777777" w:rsidR="00023AC3" w:rsidRDefault="00023AC3" w:rsidP="00023AC3">
      <w:pPr>
        <w:pStyle w:val="Heading3"/>
      </w:pPr>
      <w:bookmarkStart w:id="13" w:name="_Toc66434780"/>
      <w:r>
        <w:t>Service operation</w:t>
      </w:r>
      <w:bookmarkEnd w:id="13"/>
    </w:p>
    <w:p w14:paraId="07531F9F" w14:textId="77777777" w:rsidR="00023AC3" w:rsidRDefault="00023AC3" w:rsidP="00023AC3">
      <w:pPr>
        <w:pStyle w:val="ListParagraph"/>
        <w:numPr>
          <w:ilvl w:val="0"/>
          <w:numId w:val="34"/>
        </w:numPr>
      </w:pPr>
      <w:r>
        <w:t xml:space="preserve">Long-term preservation platform </w:t>
      </w:r>
      <w:proofErr w:type="gramStart"/>
      <w:r>
        <w:t>operation;</w:t>
      </w:r>
      <w:proofErr w:type="gramEnd"/>
    </w:p>
    <w:p w14:paraId="1AF0D362" w14:textId="77777777" w:rsidR="00023AC3" w:rsidRDefault="00023AC3" w:rsidP="00023AC3">
      <w:pPr>
        <w:pStyle w:val="ListParagraph"/>
        <w:numPr>
          <w:ilvl w:val="0"/>
          <w:numId w:val="34"/>
        </w:numPr>
      </w:pPr>
      <w:proofErr w:type="gramStart"/>
      <w:r>
        <w:t>Transactions</w:t>
      </w:r>
      <w:proofErr w:type="gramEnd"/>
      <w:r>
        <w:t xml:space="preserve"> monitoring: deposit, access, etc.;</w:t>
      </w:r>
    </w:p>
    <w:p w14:paraId="23EA080E" w14:textId="77777777" w:rsidR="00023AC3" w:rsidRDefault="00023AC3" w:rsidP="00023AC3">
      <w:pPr>
        <w:pStyle w:val="ListParagraph"/>
        <w:numPr>
          <w:ilvl w:val="0"/>
          <w:numId w:val="34"/>
        </w:numPr>
      </w:pPr>
      <w:r>
        <w:t xml:space="preserve">Community support, </w:t>
      </w:r>
      <w:proofErr w:type="gramStart"/>
      <w:r>
        <w:t>follow-up;</w:t>
      </w:r>
      <w:proofErr w:type="gramEnd"/>
    </w:p>
    <w:p w14:paraId="6443D66D" w14:textId="77777777" w:rsidR="00023AC3" w:rsidRDefault="00023AC3" w:rsidP="00023AC3">
      <w:pPr>
        <w:pStyle w:val="ListParagraph"/>
        <w:numPr>
          <w:ilvl w:val="0"/>
          <w:numId w:val="34"/>
        </w:numPr>
      </w:pPr>
      <w:r>
        <w:t>Technology watching.</w:t>
      </w:r>
    </w:p>
    <w:p w14:paraId="19860F88" w14:textId="77777777" w:rsidR="00023AC3" w:rsidRDefault="00023AC3" w:rsidP="00023AC3">
      <w:pPr>
        <w:pStyle w:val="Heading3"/>
      </w:pPr>
      <w:bookmarkStart w:id="14" w:name="_Toc66434781"/>
      <w:r>
        <w:lastRenderedPageBreak/>
        <w:t>Migrations</w:t>
      </w:r>
      <w:bookmarkEnd w:id="14"/>
    </w:p>
    <w:p w14:paraId="470E9884" w14:textId="77777777" w:rsidR="00023AC3" w:rsidRDefault="00023AC3" w:rsidP="00023AC3">
      <w:pPr>
        <w:pStyle w:val="ListParagraph"/>
        <w:numPr>
          <w:ilvl w:val="0"/>
          <w:numId w:val="34"/>
        </w:numPr>
      </w:pPr>
      <w:r>
        <w:t xml:space="preserve">File format </w:t>
      </w:r>
      <w:proofErr w:type="gramStart"/>
      <w:r>
        <w:t>conversion;</w:t>
      </w:r>
      <w:proofErr w:type="gramEnd"/>
    </w:p>
    <w:p w14:paraId="15FDDE11" w14:textId="77777777" w:rsidR="00023AC3" w:rsidRPr="00892442" w:rsidRDefault="00023AC3" w:rsidP="00023AC3">
      <w:pPr>
        <w:pStyle w:val="ListParagraph"/>
        <w:numPr>
          <w:ilvl w:val="0"/>
          <w:numId w:val="34"/>
        </w:numPr>
      </w:pPr>
      <w:r>
        <w:t>Storage media migration.</w:t>
      </w:r>
    </w:p>
    <w:p w14:paraId="473CEB0C" w14:textId="77777777" w:rsidR="00A439C7" w:rsidRDefault="00A439C7" w:rsidP="00A439C7">
      <w:pPr>
        <w:pStyle w:val="Heading2"/>
      </w:pPr>
      <w:bookmarkStart w:id="15" w:name="_Toc66434782"/>
      <w:r>
        <w:t>Value proposition</w:t>
      </w:r>
      <w:bookmarkEnd w:id="15"/>
    </w:p>
    <w:p w14:paraId="07120008" w14:textId="77777777" w:rsidR="00A439C7" w:rsidRDefault="00937264" w:rsidP="00A439C7">
      <w:r>
        <w:t xml:space="preserve">Long-term preservation implies the use of specific, dedicated resources (see </w:t>
      </w:r>
      <w:hyperlink w:anchor="_Key_resources" w:history="1">
        <w:r w:rsidRPr="00937264">
          <w:rPr>
            <w:rStyle w:val="Hyperlink"/>
          </w:rPr>
          <w:t>Section 2.3</w:t>
        </w:r>
      </w:hyperlink>
      <w:r>
        <w:t xml:space="preserve">) which communities or institutions may see as unaffordable if insourced. </w:t>
      </w:r>
      <w:proofErr w:type="spellStart"/>
      <w:r w:rsidR="00A439C7">
        <w:t>eTDR</w:t>
      </w:r>
      <w:proofErr w:type="spellEnd"/>
      <w:r w:rsidR="00A439C7">
        <w:t xml:space="preserve"> </w:t>
      </w:r>
      <w:r>
        <w:t xml:space="preserve">will allow cost-reduction and economies of scale by providing </w:t>
      </w:r>
      <w:r w:rsidR="009E39F0">
        <w:t xml:space="preserve">a </w:t>
      </w:r>
      <w:r w:rsidR="00A439C7">
        <w:t xml:space="preserve">generic, </w:t>
      </w:r>
      <w:r>
        <w:t xml:space="preserve">shared, </w:t>
      </w:r>
      <w:r w:rsidR="00A439C7" w:rsidRPr="00686378">
        <w:t xml:space="preserve">effective, high-performance, </w:t>
      </w:r>
      <w:proofErr w:type="gramStart"/>
      <w:r w:rsidR="00A439C7" w:rsidRPr="00686378">
        <w:t>scalable</w:t>
      </w:r>
      <w:proofErr w:type="gramEnd"/>
      <w:r w:rsidR="00A439C7">
        <w:t xml:space="preserve"> and</w:t>
      </w:r>
      <w:r w:rsidR="00A439C7" w:rsidRPr="00686378">
        <w:t xml:space="preserve"> secure</w:t>
      </w:r>
      <w:r w:rsidR="00A439C7">
        <w:t xml:space="preserve"> service</w:t>
      </w:r>
      <w:r w:rsidR="003409D9">
        <w:t>,</w:t>
      </w:r>
      <w:r w:rsidR="00A439C7">
        <w:t xml:space="preserve"> </w:t>
      </w:r>
      <w:r w:rsidR="009E39F0">
        <w:t xml:space="preserve">which </w:t>
      </w:r>
      <w:r w:rsidR="00A439C7" w:rsidRPr="003F2B59">
        <w:t>include</w:t>
      </w:r>
      <w:r w:rsidR="009E39F0">
        <w:t>s</w:t>
      </w:r>
      <w:r w:rsidR="00A439C7">
        <w:t>:</w:t>
      </w:r>
    </w:p>
    <w:p w14:paraId="5897F01F" w14:textId="77777777" w:rsidR="00A439C7" w:rsidRDefault="00F51D4C" w:rsidP="00A439C7">
      <w:pPr>
        <w:pStyle w:val="ListParagraph"/>
        <w:numPr>
          <w:ilvl w:val="0"/>
          <w:numId w:val="30"/>
        </w:numPr>
        <w:spacing w:after="160" w:line="259" w:lineRule="auto"/>
      </w:pPr>
      <w:r>
        <w:t>C</w:t>
      </w:r>
      <w:r w:rsidR="00A439C7" w:rsidRPr="003F2B59">
        <w:t>apacity/resource planning</w:t>
      </w:r>
      <w:r w:rsidR="00A439C7">
        <w:t xml:space="preserve"> to gua</w:t>
      </w:r>
      <w:r w:rsidR="0009026B">
        <w:t xml:space="preserve">rantee provision of the </w:t>
      </w:r>
      <w:proofErr w:type="gramStart"/>
      <w:r w:rsidR="0009026B">
        <w:t>service</w:t>
      </w:r>
      <w:r w:rsidR="00A439C7">
        <w:t>;</w:t>
      </w:r>
      <w:proofErr w:type="gramEnd"/>
    </w:p>
    <w:p w14:paraId="57E3BE76" w14:textId="77777777" w:rsidR="00A439C7" w:rsidRDefault="00F51D4C" w:rsidP="00A439C7">
      <w:pPr>
        <w:pStyle w:val="ListParagraph"/>
        <w:numPr>
          <w:ilvl w:val="0"/>
          <w:numId w:val="30"/>
        </w:numPr>
        <w:spacing w:after="160" w:line="259" w:lineRule="auto"/>
      </w:pPr>
      <w:r>
        <w:t>A</w:t>
      </w:r>
      <w:r w:rsidR="00A439C7" w:rsidRPr="003F2B59">
        <w:t>pplication of long-term preservation techniques/technologies</w:t>
      </w:r>
      <w:r w:rsidR="00A439C7">
        <w:t>, quality assurance for metadata, file format</w:t>
      </w:r>
      <w:r w:rsidR="00937264">
        <w:t xml:space="preserve"> and storage</w:t>
      </w:r>
      <w:r w:rsidR="00A439C7">
        <w:t xml:space="preserve"> media to secure comprehension, integrity, exploitation and </w:t>
      </w:r>
      <w:proofErr w:type="gramStart"/>
      <w:r w:rsidR="00892442">
        <w:t>valorisation</w:t>
      </w:r>
      <w:r w:rsidR="00A439C7">
        <w:t>;</w:t>
      </w:r>
      <w:proofErr w:type="gramEnd"/>
    </w:p>
    <w:p w14:paraId="570E8F9B" w14:textId="77777777" w:rsidR="00A439C7" w:rsidRDefault="00F51D4C" w:rsidP="00A439C7">
      <w:pPr>
        <w:pStyle w:val="ListParagraph"/>
        <w:numPr>
          <w:ilvl w:val="0"/>
          <w:numId w:val="30"/>
        </w:numPr>
        <w:spacing w:after="160" w:line="259" w:lineRule="auto"/>
      </w:pPr>
      <w:r>
        <w:t>C</w:t>
      </w:r>
      <w:r w:rsidR="00A439C7" w:rsidRPr="003F2B59">
        <w:t>ombin</w:t>
      </w:r>
      <w:r w:rsidR="00A439C7">
        <w:t>ation of</w:t>
      </w:r>
      <w:r w:rsidR="00A439C7" w:rsidRPr="003F2B59">
        <w:t xml:space="preserve"> policies, </w:t>
      </w:r>
      <w:proofErr w:type="gramStart"/>
      <w:r w:rsidR="00A439C7" w:rsidRPr="003F2B59">
        <w:t>processes</w:t>
      </w:r>
      <w:proofErr w:type="gramEnd"/>
      <w:r w:rsidR="00A439C7" w:rsidRPr="003F2B59">
        <w:t xml:space="preserve"> and actions to ensure access to “born-digital” and reformatted data, regardless of the challenges of technological changes or failures.</w:t>
      </w:r>
    </w:p>
    <w:p w14:paraId="64A805DF" w14:textId="77777777" w:rsidR="00A439C7" w:rsidRDefault="00A439C7" w:rsidP="00A439C7">
      <w:r>
        <w:t>These will mitigate the impact of risks of loss when they occur. They will focus on s</w:t>
      </w:r>
      <w:r w:rsidRPr="006F1D50">
        <w:t xml:space="preserve">cientific data </w:t>
      </w:r>
      <w:r>
        <w:t>(</w:t>
      </w:r>
      <w:r w:rsidRPr="006F1D50">
        <w:t xml:space="preserve">results of observations, measurements, </w:t>
      </w:r>
      <w:r>
        <w:t xml:space="preserve">simulations, </w:t>
      </w:r>
      <w:r w:rsidRPr="006F1D50">
        <w:t>etc.</w:t>
      </w:r>
      <w:r>
        <w:t>) as well as c</w:t>
      </w:r>
      <w:r w:rsidRPr="006F1D50">
        <w:t xml:space="preserve">ultural heritage </w:t>
      </w:r>
      <w:r>
        <w:t>(</w:t>
      </w:r>
      <w:r w:rsidRPr="006F1D50">
        <w:t xml:space="preserve">publications, pedagogics, </w:t>
      </w:r>
      <w:r>
        <w:t xml:space="preserve">digitized documents, </w:t>
      </w:r>
      <w:r w:rsidRPr="006F1D50">
        <w:t>etc</w:t>
      </w:r>
      <w:r>
        <w:t>.) and address the following challenges: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A439C7" w:rsidRPr="00961FD9" w14:paraId="074BBBE6" w14:textId="77777777" w:rsidTr="00961FD9">
        <w:tc>
          <w:tcPr>
            <w:tcW w:w="3114" w:type="dxa"/>
            <w:tcBorders>
              <w:bottom w:val="single" w:sz="4" w:space="0" w:color="BFBFBF" w:themeColor="background1" w:themeShade="BF"/>
            </w:tcBorders>
          </w:tcPr>
          <w:p w14:paraId="1CF630AD" w14:textId="77777777" w:rsidR="00A439C7" w:rsidRPr="00961FD9" w:rsidRDefault="00A439C7" w:rsidP="00312B56">
            <w:pPr>
              <w:rPr>
                <w:b/>
                <w:i/>
              </w:rPr>
            </w:pPr>
            <w:r w:rsidRPr="00961FD9">
              <w:rPr>
                <w:b/>
                <w:i/>
              </w:rPr>
              <w:t>Challenge</w:t>
            </w:r>
          </w:p>
        </w:tc>
        <w:tc>
          <w:tcPr>
            <w:tcW w:w="5902" w:type="dxa"/>
            <w:tcBorders>
              <w:bottom w:val="single" w:sz="4" w:space="0" w:color="BFBFBF" w:themeColor="background1" w:themeShade="BF"/>
            </w:tcBorders>
          </w:tcPr>
          <w:p w14:paraId="2BB62F92" w14:textId="77777777" w:rsidR="00A439C7" w:rsidRPr="00961FD9" w:rsidRDefault="00A439C7" w:rsidP="00312B56">
            <w:pPr>
              <w:rPr>
                <w:b/>
                <w:i/>
              </w:rPr>
            </w:pPr>
            <w:r w:rsidRPr="00961FD9">
              <w:rPr>
                <w:b/>
                <w:i/>
              </w:rPr>
              <w:t>Service</w:t>
            </w:r>
          </w:p>
        </w:tc>
      </w:tr>
      <w:tr w:rsidR="00A439C7" w14:paraId="22E5E1B4" w14:textId="77777777" w:rsidTr="00961FD9">
        <w:tc>
          <w:tcPr>
            <w:tcW w:w="3114" w:type="dxa"/>
            <w:shd w:val="clear" w:color="auto" w:fill="F2F2F2" w:themeFill="background1" w:themeFillShade="F2"/>
          </w:tcPr>
          <w:p w14:paraId="7F742172" w14:textId="77777777" w:rsidR="00A439C7" w:rsidRDefault="00A439C7" w:rsidP="00312B56">
            <w:r w:rsidRPr="002E463E">
              <w:t>Loss of content knowledge</w:t>
            </w:r>
          </w:p>
        </w:tc>
        <w:tc>
          <w:tcPr>
            <w:tcW w:w="5902" w:type="dxa"/>
            <w:shd w:val="clear" w:color="auto" w:fill="F2F2F2" w:themeFill="background1" w:themeFillShade="F2"/>
          </w:tcPr>
          <w:p w14:paraId="253409C7" w14:textId="77777777" w:rsidR="00A439C7" w:rsidRPr="006B3A9B" w:rsidRDefault="00A439C7" w:rsidP="00312B56">
            <w:r>
              <w:t xml:space="preserve">Validation of generic, community-specific </w:t>
            </w:r>
            <w:proofErr w:type="gramStart"/>
            <w:r>
              <w:t>metadata ;</w:t>
            </w:r>
            <w:proofErr w:type="gramEnd"/>
          </w:p>
          <w:p w14:paraId="5867D868" w14:textId="77777777" w:rsidR="00A439C7" w:rsidRDefault="00A439C7" w:rsidP="00312B56">
            <w:r>
              <w:t>Use of p</w:t>
            </w:r>
            <w:r w:rsidRPr="006B3A9B">
              <w:t>ersistent, unique identifiers</w:t>
            </w:r>
            <w:r w:rsidR="00937264">
              <w:t>.</w:t>
            </w:r>
          </w:p>
        </w:tc>
      </w:tr>
      <w:tr w:rsidR="00A439C7" w14:paraId="6EAB8A91" w14:textId="77777777" w:rsidTr="00961FD9">
        <w:tc>
          <w:tcPr>
            <w:tcW w:w="3114" w:type="dxa"/>
            <w:tcBorders>
              <w:bottom w:val="single" w:sz="4" w:space="0" w:color="BFBFBF" w:themeColor="background1" w:themeShade="BF"/>
            </w:tcBorders>
          </w:tcPr>
          <w:p w14:paraId="68107AA6" w14:textId="77777777" w:rsidR="00A439C7" w:rsidRDefault="00A439C7" w:rsidP="00312B56">
            <w:r w:rsidRPr="002E463E">
              <w:t>File format obsolescence</w:t>
            </w:r>
          </w:p>
        </w:tc>
        <w:tc>
          <w:tcPr>
            <w:tcW w:w="5902" w:type="dxa"/>
            <w:tcBorders>
              <w:bottom w:val="single" w:sz="4" w:space="0" w:color="BFBFBF" w:themeColor="background1" w:themeShade="BF"/>
            </w:tcBorders>
          </w:tcPr>
          <w:p w14:paraId="5B3E1E5A" w14:textId="77777777" w:rsidR="00A439C7" w:rsidRPr="002E463E" w:rsidRDefault="00A439C7" w:rsidP="00312B56">
            <w:r w:rsidRPr="002E463E">
              <w:t xml:space="preserve">Handling of a limited set of durable </w:t>
            </w:r>
            <w:proofErr w:type="gramStart"/>
            <w:r w:rsidRPr="002E463E">
              <w:t>formats;</w:t>
            </w:r>
            <w:proofErr w:type="gramEnd"/>
          </w:p>
          <w:p w14:paraId="791F39AF" w14:textId="77777777" w:rsidR="00A439C7" w:rsidRDefault="00A439C7" w:rsidP="00312B56">
            <w:r w:rsidRPr="002E463E">
              <w:t xml:space="preserve">File format identification, </w:t>
            </w:r>
            <w:r>
              <w:t xml:space="preserve">characterization, </w:t>
            </w:r>
            <w:proofErr w:type="gramStart"/>
            <w:r w:rsidRPr="002E463E">
              <w:t>validation;</w:t>
            </w:r>
            <w:proofErr w:type="gramEnd"/>
          </w:p>
          <w:p w14:paraId="3DF4EA5B" w14:textId="77777777" w:rsidR="00A439C7" w:rsidRPr="002E463E" w:rsidRDefault="00A439C7" w:rsidP="00312B56">
            <w:r>
              <w:t xml:space="preserve">Management of information </w:t>
            </w:r>
            <w:proofErr w:type="gramStart"/>
            <w:r>
              <w:t>representation ;</w:t>
            </w:r>
            <w:proofErr w:type="gramEnd"/>
          </w:p>
          <w:p w14:paraId="77CF8198" w14:textId="77777777" w:rsidR="00A439C7" w:rsidRDefault="00A439C7" w:rsidP="00312B56">
            <w:r w:rsidRPr="002E463E">
              <w:t>Logical migration (format conversion).</w:t>
            </w:r>
          </w:p>
        </w:tc>
      </w:tr>
      <w:tr w:rsidR="00A439C7" w14:paraId="7339CADC" w14:textId="77777777" w:rsidTr="00961FD9">
        <w:tc>
          <w:tcPr>
            <w:tcW w:w="3114" w:type="dxa"/>
            <w:shd w:val="clear" w:color="auto" w:fill="F2F2F2" w:themeFill="background1" w:themeFillShade="F2"/>
          </w:tcPr>
          <w:p w14:paraId="45EFE1AC" w14:textId="77777777" w:rsidR="00A439C7" w:rsidRDefault="00A439C7" w:rsidP="00312B56">
            <w:r w:rsidRPr="002E463E">
              <w:rPr>
                <w:lang w:val="en-US"/>
              </w:rPr>
              <w:t>Storage media failure</w:t>
            </w:r>
          </w:p>
        </w:tc>
        <w:tc>
          <w:tcPr>
            <w:tcW w:w="5902" w:type="dxa"/>
            <w:shd w:val="clear" w:color="auto" w:fill="F2F2F2" w:themeFill="background1" w:themeFillShade="F2"/>
          </w:tcPr>
          <w:p w14:paraId="1EB16D36" w14:textId="77777777" w:rsidR="00A439C7" w:rsidRPr="002E463E" w:rsidRDefault="00A439C7" w:rsidP="00312B56">
            <w:r>
              <w:t>Monitoring, m</w:t>
            </w:r>
            <w:r w:rsidRPr="002E463E">
              <w:t xml:space="preserve">anagement of media </w:t>
            </w:r>
            <w:proofErr w:type="gramStart"/>
            <w:r w:rsidRPr="002E463E">
              <w:t>ageing;</w:t>
            </w:r>
            <w:proofErr w:type="gramEnd"/>
          </w:p>
          <w:p w14:paraId="17B76F69" w14:textId="77777777" w:rsidR="00A439C7" w:rsidRDefault="00A439C7" w:rsidP="00312B56">
            <w:r w:rsidRPr="002E463E">
              <w:t>Physical migration.</w:t>
            </w:r>
          </w:p>
        </w:tc>
      </w:tr>
      <w:tr w:rsidR="00A439C7" w14:paraId="7E31B702" w14:textId="77777777" w:rsidTr="00961FD9">
        <w:tc>
          <w:tcPr>
            <w:tcW w:w="3114" w:type="dxa"/>
          </w:tcPr>
          <w:p w14:paraId="0B285136" w14:textId="77777777" w:rsidR="00A439C7" w:rsidRPr="002E463E" w:rsidRDefault="00A439C7" w:rsidP="00892442">
            <w:pPr>
              <w:rPr>
                <w:lang w:val="en-US"/>
              </w:rPr>
            </w:pPr>
            <w:r w:rsidRPr="002E463E">
              <w:rPr>
                <w:lang w:val="en-US"/>
              </w:rPr>
              <w:t xml:space="preserve">Software or hardware </w:t>
            </w:r>
            <w:r w:rsidR="00892442">
              <w:rPr>
                <w:lang w:val="en-US"/>
              </w:rPr>
              <w:t>demise</w:t>
            </w:r>
          </w:p>
        </w:tc>
        <w:tc>
          <w:tcPr>
            <w:tcW w:w="5902" w:type="dxa"/>
          </w:tcPr>
          <w:p w14:paraId="24C03EB0" w14:textId="77777777" w:rsidR="00A439C7" w:rsidRPr="002E463E" w:rsidRDefault="00A439C7" w:rsidP="00312B56">
            <w:r w:rsidRPr="002E463E">
              <w:t xml:space="preserve">Technology watching, anticipation </w:t>
            </w:r>
            <w:r>
              <w:t>of technological changes</w:t>
            </w:r>
            <w:r w:rsidRPr="002E463E">
              <w:t>, proactivity.</w:t>
            </w:r>
          </w:p>
        </w:tc>
      </w:tr>
    </w:tbl>
    <w:p w14:paraId="5446B618" w14:textId="77777777" w:rsidR="00A439C7" w:rsidRDefault="00A439C7" w:rsidP="00A439C7">
      <w:r>
        <w:t xml:space="preserve">These procedures are documented for repeatability and improvement purposes; they can be compared/challenged by peers, but most important of all they can be audited and certified </w:t>
      </w:r>
      <w:proofErr w:type="gramStart"/>
      <w:r>
        <w:t>in order to</w:t>
      </w:r>
      <w:proofErr w:type="gramEnd"/>
      <w:r>
        <w:t xml:space="preserve"> strengthen t</w:t>
      </w:r>
      <w:r w:rsidRPr="009B41D7">
        <w:t>rust from user communities</w:t>
      </w:r>
      <w:r>
        <w:t xml:space="preserve"> and </w:t>
      </w:r>
      <w:r w:rsidRPr="009B41D7">
        <w:t>stakeholders/funding bodies</w:t>
      </w:r>
      <w:r>
        <w:t>.</w:t>
      </w:r>
    </w:p>
    <w:p w14:paraId="37C4A5FD" w14:textId="77777777" w:rsidR="00A439C7" w:rsidRDefault="00A439C7" w:rsidP="00A439C7">
      <w:pPr>
        <w:pStyle w:val="Heading2"/>
      </w:pPr>
      <w:bookmarkStart w:id="16" w:name="_Toc66434783"/>
      <w:r>
        <w:t>Customer relationships</w:t>
      </w:r>
      <w:bookmarkEnd w:id="16"/>
    </w:p>
    <w:p w14:paraId="0E20AAA3" w14:textId="77777777" w:rsidR="00B53927" w:rsidRDefault="009A0200" w:rsidP="00B53927">
      <w:r>
        <w:t>The use of the long-term preservation service is fully automated: users are assigned credentials to log into the platform and upload the digital objects they wish to archive</w:t>
      </w:r>
      <w:r w:rsidR="002F4E7D">
        <w:t xml:space="preserve"> from their own information system</w:t>
      </w:r>
      <w:r>
        <w:t xml:space="preserve">. The ensuing </w:t>
      </w:r>
      <w:r w:rsidR="00F756EB">
        <w:t xml:space="preserve">workflow </w:t>
      </w:r>
      <w:proofErr w:type="gramStart"/>
      <w:r>
        <w:t>doesn’t</w:t>
      </w:r>
      <w:proofErr w:type="gramEnd"/>
      <w:r>
        <w:t xml:space="preserve"> require any manual/human intervention. However, the on-</w:t>
      </w:r>
      <w:r>
        <w:lastRenderedPageBreak/>
        <w:t>boarding phase as well as the user support will be fulfilled with a dedicated, personal assistance</w:t>
      </w:r>
      <w:r w:rsidR="000469A8">
        <w:t xml:space="preserve"> to ensure satisfaction</w:t>
      </w:r>
      <w:r>
        <w:t>.</w:t>
      </w:r>
    </w:p>
    <w:p w14:paraId="163EECE2" w14:textId="77777777" w:rsidR="00961FD9" w:rsidRPr="00B53927" w:rsidRDefault="00961FD9" w:rsidP="00B53927">
      <w:r>
        <w:t xml:space="preserve">All commitments will be agreed in a convention to be signed by the two parties at the beginning of the project (see </w:t>
      </w:r>
      <w:hyperlink w:anchor="_Community_on-boarding" w:history="1">
        <w:r w:rsidRPr="00961FD9">
          <w:rPr>
            <w:rStyle w:val="Hyperlink"/>
          </w:rPr>
          <w:t>section 2.4.1</w:t>
        </w:r>
      </w:hyperlink>
      <w:r>
        <w:t>).</w:t>
      </w:r>
    </w:p>
    <w:p w14:paraId="07126063" w14:textId="77777777" w:rsidR="00A439C7" w:rsidRDefault="00A439C7" w:rsidP="00A439C7">
      <w:pPr>
        <w:pStyle w:val="Heading2"/>
      </w:pPr>
      <w:bookmarkStart w:id="17" w:name="_Toc66434784"/>
      <w:r>
        <w:t>Customer segments</w:t>
      </w:r>
      <w:bookmarkEnd w:id="17"/>
    </w:p>
    <w:p w14:paraId="670877FA" w14:textId="77777777" w:rsidR="000469A8" w:rsidRPr="000469A8" w:rsidRDefault="000469A8" w:rsidP="000469A8">
      <w:r>
        <w:t xml:space="preserve">This is very much a niche market: </w:t>
      </w:r>
      <w:r w:rsidR="00104960">
        <w:t>the service is intended for research communities in Europe that produce digital material they wish to preserve over-time</w:t>
      </w:r>
      <w:r w:rsidR="00961FD9">
        <w:t>.</w:t>
      </w:r>
    </w:p>
    <w:p w14:paraId="4AEF8CA2" w14:textId="77777777" w:rsidR="00A439C7" w:rsidRDefault="00A439C7" w:rsidP="00A439C7">
      <w:pPr>
        <w:pStyle w:val="Heading2"/>
      </w:pPr>
      <w:bookmarkStart w:id="18" w:name="_Toc66434785"/>
      <w:r>
        <w:t>Channels</w:t>
      </w:r>
      <w:bookmarkEnd w:id="18"/>
    </w:p>
    <w:p w14:paraId="62F30262" w14:textId="77777777" w:rsidR="00BF2A2C" w:rsidRDefault="00B02B16" w:rsidP="000469A8">
      <w:r>
        <w:t xml:space="preserve">The service is part of the EUDAT/EOSC-hub portfolio, and as such will be </w:t>
      </w:r>
      <w:r w:rsidR="00BF2A2C">
        <w:t>expos</w:t>
      </w:r>
      <w:r>
        <w:t xml:space="preserve">ed through partner channels: EOSC, EUDAT CDI, </w:t>
      </w:r>
      <w:proofErr w:type="spellStart"/>
      <w:r>
        <w:t>eInfraCentral</w:t>
      </w:r>
      <w:proofErr w:type="spellEnd"/>
      <w:r>
        <w:t xml:space="preserve">, </w:t>
      </w:r>
      <w:proofErr w:type="spellStart"/>
      <w:r>
        <w:t>CatRIS</w:t>
      </w:r>
      <w:proofErr w:type="spellEnd"/>
      <w:r>
        <w:t>, etc.</w:t>
      </w:r>
      <w:r w:rsidR="00BF2A2C">
        <w:t xml:space="preserve"> It will also be promoted through conferences, seminars on the subject matter.</w:t>
      </w:r>
    </w:p>
    <w:p w14:paraId="1FAF5A25" w14:textId="77777777" w:rsidR="00A439C7" w:rsidRDefault="00A439C7" w:rsidP="00A439C7">
      <w:pPr>
        <w:pStyle w:val="Heading2"/>
      </w:pPr>
      <w:bookmarkStart w:id="19" w:name="_Toc66434786"/>
      <w:r>
        <w:t>Cost structure</w:t>
      </w:r>
      <w:bookmarkEnd w:id="19"/>
    </w:p>
    <w:p w14:paraId="2522108A" w14:textId="77777777" w:rsidR="00F51D4C" w:rsidRDefault="00F51D4C" w:rsidP="00A439C7">
      <w:r>
        <w:t>Three different cost items have been identified</w:t>
      </w:r>
      <w:r w:rsidR="00A439C7">
        <w:t>:</w:t>
      </w:r>
      <w:r w:rsidR="00DC65A2">
        <w:t xml:space="preserve"> hardware, </w:t>
      </w:r>
      <w:proofErr w:type="gramStart"/>
      <w:r w:rsidR="00DC65A2">
        <w:t>software</w:t>
      </w:r>
      <w:proofErr w:type="gramEnd"/>
      <w:r w:rsidR="00DC65A2">
        <w:t xml:space="preserve"> and human resources. The fluids (electricity, water, etc.) have been considered marginal</w:t>
      </w:r>
      <w:r w:rsidR="00784835">
        <w:t xml:space="preserve"> and have not been </w:t>
      </w:r>
      <w:proofErr w:type="gramStart"/>
      <w:r w:rsidR="00784835">
        <w:t>taken into account</w:t>
      </w:r>
      <w:proofErr w:type="gramEnd"/>
      <w:r w:rsidR="00DC65A2">
        <w:t>.</w:t>
      </w:r>
      <w:r w:rsidR="005B20B8">
        <w:t xml:space="preserve"> They are all reduced to the platform capacity to </w:t>
      </w:r>
      <w:r w:rsidR="00016F24">
        <w:t>get</w:t>
      </w:r>
      <w:r w:rsidR="005B20B8">
        <w:t xml:space="preserve"> an evaluation at the T</w:t>
      </w:r>
      <w:r w:rsidR="003409D9">
        <w:t>erabyte leve</w:t>
      </w:r>
      <w:r w:rsidR="005B20B8">
        <w:t>l.</w:t>
      </w:r>
    </w:p>
    <w:p w14:paraId="26E14278" w14:textId="77777777" w:rsidR="00DC65A2" w:rsidRDefault="00F51D4C" w:rsidP="00DC65A2">
      <w:pPr>
        <w:pStyle w:val="Heading3"/>
      </w:pPr>
      <w:bookmarkStart w:id="20" w:name="_Toc66434787"/>
      <w:r>
        <w:t>H</w:t>
      </w:r>
      <w:r w:rsidR="00A439C7">
        <w:t>ardware</w:t>
      </w:r>
      <w:bookmarkEnd w:id="20"/>
    </w:p>
    <w:p w14:paraId="2ABFC23F" w14:textId="77777777" w:rsidR="00F51D4C" w:rsidRDefault="00DC65A2" w:rsidP="00DC65A2">
      <w:r>
        <w:t xml:space="preserve">This includes the purchase costs of </w:t>
      </w:r>
      <w:r w:rsidR="009E0A39">
        <w:t xml:space="preserve">application servers, storage servers (spinning disks), and tape </w:t>
      </w:r>
      <w:r w:rsidR="00784835">
        <w:t>libraries</w:t>
      </w:r>
      <w:r w:rsidR="000E0B4E">
        <w:t xml:space="preserve"> (drives, magnetic tapes)</w:t>
      </w:r>
      <w:r w:rsidR="00F51D4C">
        <w:t>;</w:t>
      </w:r>
      <w:r w:rsidR="005B20B8">
        <w:t xml:space="preserve"> it is admitted that these investments are written off after five years for the two formers, and 10 years for the latter – thus, the costs are smoothed over </w:t>
      </w:r>
      <w:proofErr w:type="gramStart"/>
      <w:r w:rsidR="005B20B8">
        <w:t>these period</w:t>
      </w:r>
      <w:proofErr w:type="gramEnd"/>
      <w:r w:rsidR="005B20B8">
        <w:t xml:space="preserve"> to provide an annual amount.</w:t>
      </w:r>
    </w:p>
    <w:p w14:paraId="198BBDC3" w14:textId="77777777" w:rsidR="00DC65A2" w:rsidRDefault="00F51D4C" w:rsidP="00DC65A2">
      <w:pPr>
        <w:pStyle w:val="Heading3"/>
      </w:pPr>
      <w:bookmarkStart w:id="21" w:name="_Toc66434788"/>
      <w:r>
        <w:t>S</w:t>
      </w:r>
      <w:r w:rsidR="00A439C7">
        <w:t>oftware</w:t>
      </w:r>
      <w:bookmarkEnd w:id="21"/>
    </w:p>
    <w:p w14:paraId="20FB9146" w14:textId="77777777" w:rsidR="00F51D4C" w:rsidRDefault="005B20B8" w:rsidP="00DC65A2">
      <w:r>
        <w:t xml:space="preserve">This includes the annual fees for </w:t>
      </w:r>
      <w:r w:rsidR="009E0A39">
        <w:t>licenses</w:t>
      </w:r>
      <w:r>
        <w:t>.</w:t>
      </w:r>
    </w:p>
    <w:p w14:paraId="6E00DD14" w14:textId="77777777" w:rsidR="00DC65A2" w:rsidRDefault="00F51D4C" w:rsidP="00DC65A2">
      <w:pPr>
        <w:pStyle w:val="Heading3"/>
      </w:pPr>
      <w:bookmarkStart w:id="22" w:name="_Toc66434789"/>
      <w:r>
        <w:t>H</w:t>
      </w:r>
      <w:r w:rsidR="00A439C7">
        <w:t>uman resources</w:t>
      </w:r>
      <w:bookmarkEnd w:id="22"/>
    </w:p>
    <w:p w14:paraId="322E4060" w14:textId="77777777" w:rsidR="00A439C7" w:rsidRPr="0084541A" w:rsidRDefault="005B20B8" w:rsidP="00DC65A2">
      <w:r>
        <w:t xml:space="preserve">This includes </w:t>
      </w:r>
      <w:r w:rsidR="00784835">
        <w:t xml:space="preserve">the annual budget for </w:t>
      </w:r>
      <w:r>
        <w:t xml:space="preserve">contractors, as well as </w:t>
      </w:r>
      <w:r w:rsidR="00784835">
        <w:t>third parties</w:t>
      </w:r>
      <w:r>
        <w:t xml:space="preserve"> to which some activities can be outsourced</w:t>
      </w:r>
      <w:r w:rsidR="00F51D4C">
        <w:t>.</w:t>
      </w:r>
      <w:r w:rsidR="00F51196">
        <w:t xml:space="preserve"> Officials/public employees are not </w:t>
      </w:r>
      <w:proofErr w:type="gramStart"/>
      <w:r w:rsidR="00F51196">
        <w:t>taken into account</w:t>
      </w:r>
      <w:proofErr w:type="gramEnd"/>
      <w:r w:rsidR="00F51196">
        <w:t xml:space="preserve"> as the service is intended for the Public sector.</w:t>
      </w:r>
    </w:p>
    <w:p w14:paraId="3368834F" w14:textId="77777777" w:rsidR="00A439C7" w:rsidRDefault="00A439C7" w:rsidP="00A439C7">
      <w:pPr>
        <w:pStyle w:val="Heading2"/>
      </w:pPr>
      <w:bookmarkStart w:id="23" w:name="_Toc66434790"/>
      <w:r>
        <w:t>Revenue stream</w:t>
      </w:r>
      <w:bookmarkEnd w:id="23"/>
    </w:p>
    <w:p w14:paraId="4B823EC5" w14:textId="77777777" w:rsidR="005B20B8" w:rsidRDefault="005B20B8" w:rsidP="005B20B8">
      <w:pPr>
        <w:pStyle w:val="Heading3"/>
      </w:pPr>
      <w:bookmarkStart w:id="24" w:name="_Toc66434791"/>
      <w:r>
        <w:t>Model</w:t>
      </w:r>
      <w:bookmarkEnd w:id="24"/>
    </w:p>
    <w:p w14:paraId="5EAEF9EF" w14:textId="77777777" w:rsidR="00A439C7" w:rsidRDefault="00A439C7" w:rsidP="00A439C7">
      <w:r>
        <w:t>The model is based on an annual fee derived from the cost structure</w:t>
      </w:r>
      <w:r w:rsidR="00DC65A2">
        <w:t>, and includes</w:t>
      </w:r>
      <w:r>
        <w:t xml:space="preserve"> three criteria:</w:t>
      </w:r>
    </w:p>
    <w:p w14:paraId="79B73504" w14:textId="77777777" w:rsidR="00A439C7" w:rsidRDefault="00A439C7" w:rsidP="00A439C7">
      <w:pPr>
        <w:pStyle w:val="ListParagraph"/>
        <w:numPr>
          <w:ilvl w:val="0"/>
          <w:numId w:val="29"/>
        </w:numPr>
        <w:spacing w:after="160" w:line="259" w:lineRule="auto"/>
      </w:pPr>
      <w:r>
        <w:t xml:space="preserve">Data volume (storage space used) as this impacts the overall capacity of the system, requires additional attention during migration phases, </w:t>
      </w:r>
      <w:proofErr w:type="gramStart"/>
      <w:r>
        <w:t>etc.;</w:t>
      </w:r>
      <w:proofErr w:type="gramEnd"/>
    </w:p>
    <w:p w14:paraId="0479C993" w14:textId="77777777" w:rsidR="00A439C7" w:rsidRDefault="00A439C7" w:rsidP="00A439C7">
      <w:pPr>
        <w:pStyle w:val="ListParagraph"/>
        <w:numPr>
          <w:ilvl w:val="0"/>
          <w:numId w:val="29"/>
        </w:numPr>
        <w:spacing w:after="160" w:line="259" w:lineRule="auto"/>
      </w:pPr>
      <w:r>
        <w:lastRenderedPageBreak/>
        <w:t xml:space="preserve">Level of service (type of storage </w:t>
      </w:r>
      <w:proofErr w:type="gramStart"/>
      <w:r>
        <w:t>used :</w:t>
      </w:r>
      <w:proofErr w:type="gramEnd"/>
      <w:r>
        <w:t xml:space="preserve"> spinning disks – SL1, magnetic tape – SL2) as this impacts the cost of media, performance, etc.;</w:t>
      </w:r>
    </w:p>
    <w:p w14:paraId="4F36CE44" w14:textId="77777777" w:rsidR="00A439C7" w:rsidRDefault="00A439C7" w:rsidP="00A439C7">
      <w:pPr>
        <w:pStyle w:val="ListParagraph"/>
        <w:numPr>
          <w:ilvl w:val="0"/>
          <w:numId w:val="29"/>
        </w:numPr>
        <w:spacing w:after="160" w:line="259" w:lineRule="auto"/>
      </w:pPr>
      <w:r>
        <w:t xml:space="preserve">Number of objects (archived packages) as </w:t>
      </w:r>
      <w:r w:rsidR="00F164C5">
        <w:t>it</w:t>
      </w:r>
      <w:r>
        <w:t xml:space="preserve"> impacts the workload during file format conversion phases, etc.</w:t>
      </w:r>
    </w:p>
    <w:p w14:paraId="0493D395" w14:textId="77777777" w:rsidR="005B20B8" w:rsidRDefault="005B20B8" w:rsidP="005B20B8">
      <w:pPr>
        <w:pStyle w:val="Heading3"/>
      </w:pPr>
      <w:bookmarkStart w:id="25" w:name="_Toc66434792"/>
      <w:r>
        <w:t>Pricing strategy</w:t>
      </w:r>
      <w:bookmarkEnd w:id="25"/>
    </w:p>
    <w:p w14:paraId="3628BC8B" w14:textId="77777777" w:rsidR="00A439C7" w:rsidRDefault="00A439C7" w:rsidP="00A439C7">
      <w:r>
        <w:t>The rate is degressive and the sliding scale includes three levels (1-10T</w:t>
      </w:r>
      <w:r w:rsidR="005B3BBE">
        <w:t>B</w:t>
      </w:r>
      <w:r>
        <w:t>, 10-100T</w:t>
      </w:r>
      <w:r w:rsidR="005B3BBE">
        <w:t>B</w:t>
      </w:r>
      <w:r>
        <w:t>, over 100 T</w:t>
      </w:r>
      <w:r w:rsidR="005B3BBE">
        <w:t>B</w:t>
      </w:r>
      <w:r>
        <w:t xml:space="preserve">). A weighting factor is used for collections </w:t>
      </w:r>
      <w:r w:rsidR="008F2D13">
        <w:t xml:space="preserve">that </w:t>
      </w:r>
      <w:r>
        <w:t>have a high number of archived packages per T</w:t>
      </w:r>
      <w:r w:rsidR="005B3BBE">
        <w:t>erabyte</w:t>
      </w:r>
      <w:r>
        <w:t>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A439C7" w:rsidRPr="00961FD9" w14:paraId="2F87B2E0" w14:textId="77777777" w:rsidTr="00D64DC5">
        <w:trPr>
          <w:trHeight w:val="220"/>
        </w:trPr>
        <w:tc>
          <w:tcPr>
            <w:tcW w:w="3020" w:type="dxa"/>
            <w:tcBorders>
              <w:bottom w:val="single" w:sz="4" w:space="0" w:color="BFBFBF" w:themeColor="background1" w:themeShade="BF"/>
            </w:tcBorders>
          </w:tcPr>
          <w:p w14:paraId="53D5E9ED" w14:textId="77777777" w:rsidR="00A439C7" w:rsidRPr="00961FD9" w:rsidRDefault="00A439C7" w:rsidP="00312B56">
            <w:pPr>
              <w:rPr>
                <w:b/>
                <w:i/>
              </w:rPr>
            </w:pPr>
          </w:p>
        </w:tc>
        <w:tc>
          <w:tcPr>
            <w:tcW w:w="3021" w:type="dxa"/>
            <w:tcBorders>
              <w:bottom w:val="single" w:sz="4" w:space="0" w:color="BFBFBF" w:themeColor="background1" w:themeShade="BF"/>
            </w:tcBorders>
          </w:tcPr>
          <w:p w14:paraId="507C033C" w14:textId="77777777" w:rsidR="00A439C7" w:rsidRPr="00961FD9" w:rsidRDefault="00A439C7" w:rsidP="00312B56">
            <w:pPr>
              <w:jc w:val="right"/>
              <w:rPr>
                <w:b/>
                <w:i/>
              </w:rPr>
            </w:pPr>
            <w:r w:rsidRPr="00961FD9">
              <w:rPr>
                <w:rFonts w:eastAsia="Times New Roman" w:cs="Calibri"/>
                <w:b/>
                <w:i/>
                <w:color w:val="000000"/>
                <w:lang w:eastAsia="fr-FR"/>
              </w:rPr>
              <w:t>SL1</w:t>
            </w:r>
          </w:p>
        </w:tc>
        <w:tc>
          <w:tcPr>
            <w:tcW w:w="3021" w:type="dxa"/>
            <w:tcBorders>
              <w:bottom w:val="single" w:sz="4" w:space="0" w:color="BFBFBF" w:themeColor="background1" w:themeShade="BF"/>
            </w:tcBorders>
          </w:tcPr>
          <w:p w14:paraId="40950258" w14:textId="77777777" w:rsidR="00A439C7" w:rsidRPr="00961FD9" w:rsidRDefault="00A439C7" w:rsidP="00312B56">
            <w:pPr>
              <w:jc w:val="right"/>
              <w:rPr>
                <w:b/>
                <w:i/>
              </w:rPr>
            </w:pPr>
            <w:r w:rsidRPr="00961FD9">
              <w:rPr>
                <w:rFonts w:eastAsia="Times New Roman" w:cs="Calibri"/>
                <w:b/>
                <w:i/>
                <w:color w:val="000000"/>
                <w:lang w:eastAsia="fr-FR"/>
              </w:rPr>
              <w:t>SL2</w:t>
            </w:r>
          </w:p>
        </w:tc>
      </w:tr>
      <w:tr w:rsidR="00A439C7" w14:paraId="7D55524C" w14:textId="77777777" w:rsidTr="00961FD9">
        <w:tc>
          <w:tcPr>
            <w:tcW w:w="3020" w:type="dxa"/>
            <w:shd w:val="clear" w:color="auto" w:fill="F2F2F2" w:themeFill="background1" w:themeFillShade="F2"/>
          </w:tcPr>
          <w:p w14:paraId="03E60B1A" w14:textId="77777777" w:rsidR="00A439C7" w:rsidRDefault="00A439C7" w:rsidP="005B3BBE">
            <w:r w:rsidRPr="000438AE">
              <w:rPr>
                <w:rFonts w:eastAsia="Times New Roman" w:cs="Calibri"/>
                <w:color w:val="000000"/>
                <w:lang w:eastAsia="fr-FR"/>
              </w:rPr>
              <w:t>1To-10T</w:t>
            </w:r>
            <w:r w:rsidR="005B3BBE">
              <w:rPr>
                <w:rFonts w:eastAsia="Times New Roman" w:cs="Calibri"/>
                <w:color w:val="000000"/>
                <w:lang w:eastAsia="fr-FR"/>
              </w:rPr>
              <w:t>B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2B44A21D" w14:textId="77777777" w:rsidR="00A439C7" w:rsidRDefault="00A439C7" w:rsidP="00312B56">
            <w:pPr>
              <w:jc w:val="right"/>
            </w:pPr>
            <w:r w:rsidRPr="000438AE">
              <w:rPr>
                <w:rFonts w:eastAsia="Times New Roman" w:cs="Calibri"/>
                <w:color w:val="000000"/>
                <w:lang w:eastAsia="fr-FR"/>
              </w:rPr>
              <w:t>1 043 €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030BF8D2" w14:textId="77777777" w:rsidR="00A439C7" w:rsidRDefault="00A439C7" w:rsidP="00312B56">
            <w:pPr>
              <w:jc w:val="right"/>
            </w:pPr>
            <w:r w:rsidRPr="000438AE">
              <w:rPr>
                <w:rFonts w:eastAsia="Times New Roman" w:cs="Calibri"/>
                <w:color w:val="000000"/>
                <w:lang w:eastAsia="fr-FR"/>
              </w:rPr>
              <w:t>764 €</w:t>
            </w:r>
          </w:p>
        </w:tc>
      </w:tr>
      <w:tr w:rsidR="00A439C7" w14:paraId="2E4F19A0" w14:textId="77777777" w:rsidTr="00961FD9">
        <w:tc>
          <w:tcPr>
            <w:tcW w:w="3020" w:type="dxa"/>
            <w:tcBorders>
              <w:bottom w:val="single" w:sz="4" w:space="0" w:color="BFBFBF" w:themeColor="background1" w:themeShade="BF"/>
            </w:tcBorders>
          </w:tcPr>
          <w:p w14:paraId="4D432ECA" w14:textId="77777777" w:rsidR="00A439C7" w:rsidRDefault="00A439C7" w:rsidP="005B3BBE">
            <w:r w:rsidRPr="000438AE">
              <w:rPr>
                <w:rFonts w:eastAsia="Times New Roman" w:cs="Calibri"/>
                <w:color w:val="000000"/>
                <w:lang w:eastAsia="fr-FR"/>
              </w:rPr>
              <w:t>10To-100T</w:t>
            </w:r>
            <w:r w:rsidR="005B3BBE">
              <w:rPr>
                <w:rFonts w:eastAsia="Times New Roman" w:cs="Calibri"/>
                <w:color w:val="000000"/>
                <w:lang w:eastAsia="fr-FR"/>
              </w:rPr>
              <w:t>B</w:t>
            </w:r>
          </w:p>
        </w:tc>
        <w:tc>
          <w:tcPr>
            <w:tcW w:w="3021" w:type="dxa"/>
            <w:tcBorders>
              <w:bottom w:val="single" w:sz="4" w:space="0" w:color="BFBFBF" w:themeColor="background1" w:themeShade="BF"/>
            </w:tcBorders>
          </w:tcPr>
          <w:p w14:paraId="2566CBA2" w14:textId="77777777" w:rsidR="00A439C7" w:rsidRDefault="00A439C7" w:rsidP="00312B56">
            <w:pPr>
              <w:jc w:val="right"/>
            </w:pPr>
            <w:r w:rsidRPr="000438AE">
              <w:rPr>
                <w:rFonts w:eastAsia="Times New Roman" w:cs="Calibri"/>
                <w:color w:val="000000"/>
                <w:lang w:eastAsia="fr-FR"/>
              </w:rPr>
              <w:t>680 €</w:t>
            </w:r>
          </w:p>
        </w:tc>
        <w:tc>
          <w:tcPr>
            <w:tcW w:w="3021" w:type="dxa"/>
            <w:tcBorders>
              <w:bottom w:val="single" w:sz="4" w:space="0" w:color="BFBFBF" w:themeColor="background1" w:themeShade="BF"/>
            </w:tcBorders>
          </w:tcPr>
          <w:p w14:paraId="739ECDEE" w14:textId="77777777" w:rsidR="00A439C7" w:rsidRDefault="00A439C7" w:rsidP="00312B56">
            <w:pPr>
              <w:jc w:val="right"/>
            </w:pPr>
            <w:r w:rsidRPr="000438AE">
              <w:rPr>
                <w:rFonts w:eastAsia="Times New Roman" w:cs="Calibri"/>
                <w:color w:val="000000"/>
                <w:lang w:eastAsia="fr-FR"/>
              </w:rPr>
              <w:t>493 €</w:t>
            </w:r>
          </w:p>
        </w:tc>
      </w:tr>
      <w:tr w:rsidR="00A439C7" w14:paraId="0BA5673F" w14:textId="77777777" w:rsidTr="00961FD9">
        <w:tc>
          <w:tcPr>
            <w:tcW w:w="3020" w:type="dxa"/>
            <w:shd w:val="clear" w:color="auto" w:fill="F2F2F2" w:themeFill="background1" w:themeFillShade="F2"/>
          </w:tcPr>
          <w:p w14:paraId="2B96D3D6" w14:textId="77777777" w:rsidR="00A439C7" w:rsidRDefault="005B3BBE" w:rsidP="00312B56">
            <w:r>
              <w:rPr>
                <w:rFonts w:eastAsia="Times New Roman" w:cs="Calibri"/>
                <w:color w:val="000000"/>
                <w:lang w:eastAsia="fr-FR"/>
              </w:rPr>
              <w:t>&gt;100TB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544981DF" w14:textId="77777777" w:rsidR="00A439C7" w:rsidRDefault="00A439C7" w:rsidP="00312B56">
            <w:pPr>
              <w:jc w:val="right"/>
            </w:pPr>
            <w:r w:rsidRPr="000438AE">
              <w:rPr>
                <w:rFonts w:eastAsia="Times New Roman" w:cs="Calibri"/>
                <w:color w:val="000000"/>
                <w:lang w:eastAsia="fr-FR"/>
              </w:rPr>
              <w:t>318 €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23082CA4" w14:textId="77777777" w:rsidR="00A439C7" w:rsidRDefault="00A439C7" w:rsidP="00312B56">
            <w:pPr>
              <w:jc w:val="right"/>
            </w:pPr>
            <w:r w:rsidRPr="000438AE">
              <w:rPr>
                <w:rFonts w:eastAsia="Times New Roman" w:cs="Calibri"/>
                <w:color w:val="000000"/>
                <w:lang w:eastAsia="fr-FR"/>
              </w:rPr>
              <w:t>221 €</w:t>
            </w:r>
          </w:p>
        </w:tc>
      </w:tr>
    </w:tbl>
    <w:p w14:paraId="6376A34B" w14:textId="77777777" w:rsidR="00A439C7" w:rsidRDefault="00A439C7" w:rsidP="00A439C7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439C7" w:rsidRPr="00961FD9" w14:paraId="5A71065A" w14:textId="77777777" w:rsidTr="00D64DC5">
        <w:tc>
          <w:tcPr>
            <w:tcW w:w="4531" w:type="dxa"/>
            <w:tcBorders>
              <w:bottom w:val="single" w:sz="4" w:space="0" w:color="BFBFBF" w:themeColor="background1" w:themeShade="BF"/>
            </w:tcBorders>
          </w:tcPr>
          <w:p w14:paraId="5963520E" w14:textId="77777777" w:rsidR="00A439C7" w:rsidRPr="00961FD9" w:rsidRDefault="00A439C7" w:rsidP="005B3BBE">
            <w:pPr>
              <w:rPr>
                <w:b/>
                <w:i/>
              </w:rPr>
            </w:pPr>
            <w:r w:rsidRPr="00961FD9">
              <w:rPr>
                <w:b/>
                <w:i/>
              </w:rPr>
              <w:t>Number of package / T</w:t>
            </w:r>
            <w:r w:rsidR="005B3BBE" w:rsidRPr="00961FD9">
              <w:rPr>
                <w:b/>
                <w:i/>
              </w:rPr>
              <w:t>B</w:t>
            </w:r>
          </w:p>
        </w:tc>
        <w:tc>
          <w:tcPr>
            <w:tcW w:w="4531" w:type="dxa"/>
            <w:tcBorders>
              <w:bottom w:val="single" w:sz="4" w:space="0" w:color="BFBFBF" w:themeColor="background1" w:themeShade="BF"/>
            </w:tcBorders>
          </w:tcPr>
          <w:p w14:paraId="524FCCCF" w14:textId="77777777" w:rsidR="00A439C7" w:rsidRPr="00961FD9" w:rsidRDefault="00A439C7" w:rsidP="00312B56">
            <w:pPr>
              <w:jc w:val="right"/>
              <w:rPr>
                <w:b/>
                <w:i/>
              </w:rPr>
            </w:pPr>
            <w:r w:rsidRPr="00961FD9">
              <w:rPr>
                <w:b/>
                <w:i/>
              </w:rPr>
              <w:t>Markup</w:t>
            </w:r>
          </w:p>
        </w:tc>
      </w:tr>
      <w:tr w:rsidR="00A439C7" w14:paraId="31C3416A" w14:textId="77777777" w:rsidTr="00D64DC5">
        <w:tc>
          <w:tcPr>
            <w:tcW w:w="4531" w:type="dxa"/>
            <w:shd w:val="clear" w:color="auto" w:fill="F2F2F2" w:themeFill="background1" w:themeFillShade="F2"/>
          </w:tcPr>
          <w:p w14:paraId="3D0D8CC7" w14:textId="77777777" w:rsidR="00A439C7" w:rsidRPr="00DC1EBF" w:rsidRDefault="00A439C7" w:rsidP="00312B56">
            <w:r>
              <w:t>&lt;250 000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4BDE7F37" w14:textId="77777777" w:rsidR="00A439C7" w:rsidRDefault="00A439C7" w:rsidP="00312B56">
            <w:pPr>
              <w:jc w:val="right"/>
            </w:pPr>
            <w:r>
              <w:t>0%</w:t>
            </w:r>
          </w:p>
        </w:tc>
      </w:tr>
      <w:tr w:rsidR="00A439C7" w14:paraId="4A43038B" w14:textId="77777777" w:rsidTr="00D64DC5">
        <w:tc>
          <w:tcPr>
            <w:tcW w:w="4531" w:type="dxa"/>
            <w:tcBorders>
              <w:bottom w:val="single" w:sz="4" w:space="0" w:color="BFBFBF" w:themeColor="background1" w:themeShade="BF"/>
            </w:tcBorders>
          </w:tcPr>
          <w:p w14:paraId="2AB15095" w14:textId="77777777" w:rsidR="00A439C7" w:rsidRDefault="00A439C7" w:rsidP="00312B56">
            <w:r w:rsidRPr="00DC1EBF">
              <w:t>250 – 500 000</w:t>
            </w:r>
          </w:p>
        </w:tc>
        <w:tc>
          <w:tcPr>
            <w:tcW w:w="4531" w:type="dxa"/>
            <w:tcBorders>
              <w:bottom w:val="single" w:sz="4" w:space="0" w:color="BFBFBF" w:themeColor="background1" w:themeShade="BF"/>
            </w:tcBorders>
          </w:tcPr>
          <w:p w14:paraId="6F6D2C22" w14:textId="77777777" w:rsidR="00A439C7" w:rsidRDefault="00A439C7" w:rsidP="00312B56">
            <w:pPr>
              <w:jc w:val="right"/>
            </w:pPr>
            <w:r>
              <w:t>10%</w:t>
            </w:r>
          </w:p>
        </w:tc>
      </w:tr>
      <w:tr w:rsidR="00A439C7" w14:paraId="5DEA7458" w14:textId="77777777" w:rsidTr="00D64DC5">
        <w:tc>
          <w:tcPr>
            <w:tcW w:w="4531" w:type="dxa"/>
            <w:shd w:val="clear" w:color="auto" w:fill="F2F2F2" w:themeFill="background1" w:themeFillShade="F2"/>
          </w:tcPr>
          <w:p w14:paraId="07EBDA9E" w14:textId="77777777" w:rsidR="00A439C7" w:rsidRDefault="00A439C7" w:rsidP="00312B56">
            <w:r w:rsidRPr="00DC1EBF">
              <w:t>500 – 750 000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7E2EA12F" w14:textId="77777777" w:rsidR="00A439C7" w:rsidRDefault="00A439C7" w:rsidP="00312B56">
            <w:pPr>
              <w:jc w:val="right"/>
            </w:pPr>
            <w:r>
              <w:t>15%</w:t>
            </w:r>
          </w:p>
        </w:tc>
      </w:tr>
      <w:tr w:rsidR="00A439C7" w14:paraId="0DB970F2" w14:textId="77777777" w:rsidTr="00D64DC5">
        <w:tc>
          <w:tcPr>
            <w:tcW w:w="4531" w:type="dxa"/>
            <w:tcBorders>
              <w:bottom w:val="single" w:sz="4" w:space="0" w:color="BFBFBF" w:themeColor="background1" w:themeShade="BF"/>
            </w:tcBorders>
          </w:tcPr>
          <w:p w14:paraId="067E3FF2" w14:textId="77777777" w:rsidR="00A439C7" w:rsidRDefault="00A439C7" w:rsidP="00312B56">
            <w:r w:rsidRPr="00DC1EBF">
              <w:t>750 – 1 000 000</w:t>
            </w:r>
          </w:p>
        </w:tc>
        <w:tc>
          <w:tcPr>
            <w:tcW w:w="4531" w:type="dxa"/>
            <w:tcBorders>
              <w:bottom w:val="single" w:sz="4" w:space="0" w:color="BFBFBF" w:themeColor="background1" w:themeShade="BF"/>
            </w:tcBorders>
          </w:tcPr>
          <w:p w14:paraId="3467D093" w14:textId="77777777" w:rsidR="00A439C7" w:rsidRDefault="00A439C7" w:rsidP="00312B56">
            <w:pPr>
              <w:jc w:val="right"/>
            </w:pPr>
            <w:r>
              <w:t>20%</w:t>
            </w:r>
          </w:p>
        </w:tc>
      </w:tr>
      <w:tr w:rsidR="00A439C7" w14:paraId="2C2DA100" w14:textId="77777777" w:rsidTr="00D64DC5">
        <w:tc>
          <w:tcPr>
            <w:tcW w:w="4531" w:type="dxa"/>
            <w:shd w:val="clear" w:color="auto" w:fill="F2F2F2" w:themeFill="background1" w:themeFillShade="F2"/>
          </w:tcPr>
          <w:p w14:paraId="1E2EA9B7" w14:textId="77777777" w:rsidR="00A439C7" w:rsidRPr="00DC1EBF" w:rsidRDefault="00A439C7" w:rsidP="00312B56">
            <w:r>
              <w:t>&gt;</w:t>
            </w:r>
            <w:r w:rsidRPr="00DC1EBF">
              <w:t>1 000 000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7F3194FD" w14:textId="77777777" w:rsidR="00A439C7" w:rsidRDefault="00A439C7" w:rsidP="00312B56">
            <w:pPr>
              <w:jc w:val="right"/>
            </w:pPr>
            <w:r>
              <w:t>25%</w:t>
            </w:r>
          </w:p>
        </w:tc>
      </w:tr>
    </w:tbl>
    <w:p w14:paraId="6D8656D6" w14:textId="77777777" w:rsidR="00A439C7" w:rsidRDefault="00A439C7" w:rsidP="00A84AA9">
      <w:pPr>
        <w:pStyle w:val="Heading3"/>
      </w:pPr>
      <w:bookmarkStart w:id="26" w:name="_Toc66434793"/>
      <w:r>
        <w:t>Example</w:t>
      </w:r>
      <w:bookmarkEnd w:id="26"/>
    </w:p>
    <w:p w14:paraId="55BE47C7" w14:textId="77777777" w:rsidR="00A439C7" w:rsidRDefault="00A439C7" w:rsidP="00A439C7">
      <w:r>
        <w:t xml:space="preserve">For a collection of </w:t>
      </w:r>
      <w:r w:rsidR="000469A8">
        <w:t>2</w:t>
      </w:r>
      <w:r>
        <w:t>7 T</w:t>
      </w:r>
      <w:r w:rsidR="005B3BBE">
        <w:t>B</w:t>
      </w:r>
      <w:r>
        <w:t xml:space="preserve"> to be preserved on disks, the fee is calculated as follows:</w:t>
      </w:r>
    </w:p>
    <w:p w14:paraId="7FD476D4" w14:textId="77777777" w:rsidR="0046776A" w:rsidRPr="0046776A" w:rsidRDefault="00A439C7" w:rsidP="00016F24">
      <w:pPr>
        <w:ind w:left="708"/>
      </w:pPr>
      <w:r>
        <w:t>(10 x 1043) + (</w:t>
      </w:r>
      <w:r w:rsidR="000469A8">
        <w:t>1</w:t>
      </w:r>
      <w:r>
        <w:t xml:space="preserve">7 x 680) = </w:t>
      </w:r>
      <w:r w:rsidR="000469A8">
        <w:t>21</w:t>
      </w:r>
      <w:r>
        <w:t> </w:t>
      </w:r>
      <w:r w:rsidR="000469A8">
        <w:t>9</w:t>
      </w:r>
      <w:r>
        <w:t xml:space="preserve">90 </w:t>
      </w:r>
      <w:r w:rsidRPr="000438AE">
        <w:rPr>
          <w:rFonts w:eastAsia="Times New Roman" w:cs="Calibri"/>
          <w:color w:val="000000"/>
          <w:lang w:eastAsia="fr-FR"/>
        </w:rPr>
        <w:t>€</w:t>
      </w:r>
      <w:r>
        <w:rPr>
          <w:rFonts w:eastAsia="Times New Roman" w:cs="Calibri"/>
          <w:color w:val="000000"/>
          <w:lang w:eastAsia="fr-FR"/>
        </w:rPr>
        <w:t xml:space="preserve"> per year</w:t>
      </w:r>
      <w:r w:rsidR="00E929E7">
        <w:t>.</w:t>
      </w:r>
      <w:r w:rsidR="00395FF4">
        <w:t xml:space="preserve"> </w:t>
      </w:r>
    </w:p>
    <w:p w14:paraId="14DFA58B" w14:textId="77777777" w:rsidR="00A30A98" w:rsidRDefault="00A30A98" w:rsidP="005959F1">
      <w:pPr>
        <w:pStyle w:val="Heading1"/>
      </w:pPr>
      <w:bookmarkStart w:id="27" w:name="_References"/>
      <w:bookmarkStart w:id="28" w:name="_Toc66434794"/>
      <w:bookmarkEnd w:id="27"/>
      <w:r>
        <w:lastRenderedPageBreak/>
        <w:t>References</w:t>
      </w:r>
      <w:bookmarkEnd w:id="28"/>
    </w:p>
    <w:tbl>
      <w:tblPr>
        <w:tblStyle w:val="TableSimple1"/>
        <w:tblW w:w="0" w:type="auto"/>
        <w:tblLook w:val="04A0" w:firstRow="1" w:lastRow="0" w:firstColumn="1" w:lastColumn="0" w:noHBand="0" w:noVBand="1"/>
      </w:tblPr>
      <w:tblGrid>
        <w:gridCol w:w="669"/>
        <w:gridCol w:w="8347"/>
      </w:tblGrid>
      <w:tr w:rsidR="00A30A98" w14:paraId="6001B5C2" w14:textId="77777777" w:rsidTr="00595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14:paraId="62DE8928" w14:textId="77777777" w:rsidR="00A30A98" w:rsidRPr="005D14DF" w:rsidRDefault="00A30A98" w:rsidP="00C14129">
            <w:pPr>
              <w:pStyle w:val="NoSpacing"/>
              <w:rPr>
                <w:b w:val="0"/>
                <w:i/>
              </w:rPr>
            </w:pPr>
            <w:r w:rsidRPr="005D14DF">
              <w:rPr>
                <w:i/>
              </w:rPr>
              <w:t>No</w:t>
            </w:r>
          </w:p>
        </w:tc>
        <w:tc>
          <w:tcPr>
            <w:tcW w:w="8347" w:type="dxa"/>
          </w:tcPr>
          <w:p w14:paraId="0E409E33" w14:textId="77777777" w:rsidR="00A30A98" w:rsidRPr="005D14DF" w:rsidRDefault="00A30A98" w:rsidP="00C1412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5D14DF">
              <w:rPr>
                <w:i/>
              </w:rPr>
              <w:t>Description/Link</w:t>
            </w:r>
          </w:p>
        </w:tc>
      </w:tr>
      <w:tr w:rsidR="00A30A98" w14:paraId="4EAF4351" w14:textId="77777777" w:rsidTr="0059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14:paraId="3CA6CC43" w14:textId="77777777" w:rsidR="00A30A98" w:rsidRDefault="00A30A98" w:rsidP="00C14129">
            <w:r>
              <w:t>R1</w:t>
            </w:r>
          </w:p>
        </w:tc>
        <w:tc>
          <w:tcPr>
            <w:tcW w:w="8347" w:type="dxa"/>
          </w:tcPr>
          <w:p w14:paraId="65F6F8AF" w14:textId="77777777" w:rsidR="00A30A98" w:rsidRDefault="00A30A98" w:rsidP="00C14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hyperlink r:id="rId15" w:history="1">
              <w:r w:rsidR="00F12DFC" w:rsidRPr="003F7A42">
                <w:rPr>
                  <w:rStyle w:val="Hyperlink"/>
                </w:rPr>
                <w:t>https://www.dpconline.org/handbook/institutional-strategies/audit-and-certification</w:t>
              </w:r>
            </w:hyperlink>
            <w:r w:rsidR="00F12DFC">
              <w:t xml:space="preserve"> </w:t>
            </w:r>
          </w:p>
        </w:tc>
      </w:tr>
    </w:tbl>
    <w:p w14:paraId="13BF4ECB" w14:textId="77777777" w:rsidR="00A30A98" w:rsidRPr="001C68FD" w:rsidRDefault="00A30A98" w:rsidP="00A30A98"/>
    <w:p w14:paraId="2D3E7E37" w14:textId="77777777" w:rsidR="00A30A98" w:rsidRPr="002A7241" w:rsidRDefault="00A30A98" w:rsidP="00A30A98"/>
    <w:p w14:paraId="517CCDDC" w14:textId="77777777" w:rsidR="00A30A98" w:rsidRPr="00D95F48" w:rsidRDefault="00A30A98" w:rsidP="00A30A98"/>
    <w:p w14:paraId="3BF24E82" w14:textId="77777777" w:rsidR="004338C6" w:rsidRPr="00A30A98" w:rsidRDefault="004338C6" w:rsidP="00A30A98"/>
    <w:sectPr w:rsidR="004338C6" w:rsidRPr="00A30A98" w:rsidSect="00247395">
      <w:headerReference w:type="even" r:id="rId16"/>
      <w:headerReference w:type="default" r:id="rId17"/>
      <w:footerReference w:type="first" r:id="rId18"/>
      <w:pgSz w:w="11906" w:h="16838"/>
      <w:pgMar w:top="1985" w:right="1440" w:bottom="1440" w:left="1440" w:header="993" w:footer="6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F127A" w14:textId="77777777" w:rsidR="006D737B" w:rsidRDefault="006D737B" w:rsidP="00835E24">
      <w:pPr>
        <w:spacing w:after="0" w:line="240" w:lineRule="auto"/>
      </w:pPr>
      <w:r>
        <w:separator/>
      </w:r>
    </w:p>
  </w:endnote>
  <w:endnote w:type="continuationSeparator" w:id="0">
    <w:p w14:paraId="2190C02A" w14:textId="77777777" w:rsidR="006D737B" w:rsidRDefault="006D737B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40" w:type="pct"/>
      <w:tblLook w:val="04A0" w:firstRow="1" w:lastRow="0" w:firstColumn="1" w:lastColumn="0" w:noHBand="0" w:noVBand="1"/>
    </w:tblPr>
    <w:tblGrid>
      <w:gridCol w:w="8930"/>
      <w:gridCol w:w="710"/>
    </w:tblGrid>
    <w:tr w:rsidR="0046776A" w:rsidRPr="00980A57" w14:paraId="6E8F75AE" w14:textId="77777777" w:rsidTr="00247395">
      <w:trPr>
        <w:trHeight w:val="475"/>
      </w:trPr>
      <w:tc>
        <w:tcPr>
          <w:tcW w:w="4632" w:type="pct"/>
          <w:shd w:val="clear" w:color="auto" w:fill="7DA9DF"/>
          <w:vAlign w:val="center"/>
        </w:tcPr>
        <w:p w14:paraId="1E528E6B" w14:textId="77777777" w:rsidR="0046776A" w:rsidRPr="00980A57" w:rsidRDefault="0046776A" w:rsidP="00247395">
          <w:pPr>
            <w:pStyle w:val="Header"/>
            <w:jc w:val="left"/>
            <w:rPr>
              <w:caps/>
              <w:color w:val="FFFFFF"/>
              <w:sz w:val="16"/>
            </w:rPr>
          </w:pPr>
          <w:r w:rsidRPr="00980A57">
            <w:rPr>
              <w:caps/>
              <w:color w:val="FFFFFF"/>
              <w:sz w:val="16"/>
            </w:rPr>
            <w:t>EOSC-hub receives funding from the European Union’s Horizon 2020 research and innovation programme under grant agreement No. 777536.</w:t>
          </w:r>
        </w:p>
      </w:tc>
      <w:tc>
        <w:tcPr>
          <w:tcW w:w="368" w:type="pct"/>
          <w:shd w:val="clear" w:color="auto" w:fill="1E2F46"/>
          <w:vAlign w:val="center"/>
        </w:tcPr>
        <w:p w14:paraId="602E62C1" w14:textId="77777777" w:rsidR="0046776A" w:rsidRPr="00EE208C" w:rsidRDefault="0046776A" w:rsidP="00247395">
          <w:pPr>
            <w:pStyle w:val="Header"/>
            <w:jc w:val="right"/>
            <w:rPr>
              <w:color w:val="002060"/>
              <w:sz w:val="18"/>
            </w:rPr>
          </w:pPr>
        </w:p>
      </w:tc>
    </w:tr>
  </w:tbl>
  <w:p w14:paraId="10A27FD0" w14:textId="77777777" w:rsidR="0046776A" w:rsidRDefault="0046776A">
    <w:pPr>
      <w:pStyle w:val="Footer"/>
    </w:pPr>
    <w:r w:rsidRPr="00980A57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DB0C9E8" wp14:editId="323EC4C4">
          <wp:simplePos x="0" y="0"/>
          <wp:positionH relativeFrom="leftMargin">
            <wp:posOffset>537210</wp:posOffset>
          </wp:positionH>
          <wp:positionV relativeFrom="paragraph">
            <wp:posOffset>-304536</wp:posOffset>
          </wp:positionV>
          <wp:extent cx="445770" cy="301494"/>
          <wp:effectExtent l="0" t="0" r="0" b="3810"/>
          <wp:wrapNone/>
          <wp:docPr id="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770" cy="301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C218B" w14:textId="77777777" w:rsidR="006D737B" w:rsidRDefault="006D737B" w:rsidP="00835E24">
      <w:pPr>
        <w:spacing w:after="0" w:line="240" w:lineRule="auto"/>
      </w:pPr>
      <w:r>
        <w:separator/>
      </w:r>
    </w:p>
  </w:footnote>
  <w:footnote w:type="continuationSeparator" w:id="0">
    <w:p w14:paraId="28631C57" w14:textId="77777777" w:rsidR="006D737B" w:rsidRDefault="006D737B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C3E2E" w14:textId="77777777" w:rsidR="0046776A" w:rsidRDefault="0046776A" w:rsidP="00C1412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5A2D78" w14:textId="77777777" w:rsidR="0046776A" w:rsidRDefault="0046776A" w:rsidP="007A21E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C1267" w14:textId="77777777" w:rsidR="0046776A" w:rsidRDefault="0046776A" w:rsidP="00C1412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2DFC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3"/>
    </w:tblGrid>
    <w:tr w:rsidR="0046776A" w14:paraId="55B0D880" w14:textId="77777777" w:rsidTr="00D065EF">
      <w:tc>
        <w:tcPr>
          <w:tcW w:w="4621" w:type="dxa"/>
        </w:tcPr>
        <w:p w14:paraId="3BEAFBA5" w14:textId="77777777" w:rsidR="0046776A" w:rsidRDefault="0046776A" w:rsidP="007A21E4">
          <w:pPr>
            <w:ind w:right="360"/>
          </w:pPr>
        </w:p>
      </w:tc>
      <w:tc>
        <w:tcPr>
          <w:tcW w:w="4621" w:type="dxa"/>
        </w:tcPr>
        <w:p w14:paraId="40C4B718" w14:textId="77777777" w:rsidR="0046776A" w:rsidRDefault="0046776A" w:rsidP="00D065EF">
          <w:pPr>
            <w:jc w:val="right"/>
          </w:pPr>
        </w:p>
      </w:tc>
    </w:tr>
  </w:tbl>
  <w:p w14:paraId="7C6E9CF5" w14:textId="77777777" w:rsidR="0046776A" w:rsidRDefault="004677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0A6A"/>
    <w:multiLevelType w:val="hybridMultilevel"/>
    <w:tmpl w:val="68121154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A86CCC"/>
    <w:multiLevelType w:val="hybridMultilevel"/>
    <w:tmpl w:val="4EAC894E"/>
    <w:lvl w:ilvl="0" w:tplc="040C000F">
      <w:start w:val="1"/>
      <w:numFmt w:val="decimal"/>
      <w:lvlText w:val="%1."/>
      <w:lvlJc w:val="left"/>
      <w:pPr>
        <w:ind w:left="775" w:hanging="360"/>
      </w:pPr>
    </w:lvl>
    <w:lvl w:ilvl="1" w:tplc="040C0019" w:tentative="1">
      <w:start w:val="1"/>
      <w:numFmt w:val="lowerLetter"/>
      <w:lvlText w:val="%2."/>
      <w:lvlJc w:val="left"/>
      <w:pPr>
        <w:ind w:left="1495" w:hanging="360"/>
      </w:pPr>
    </w:lvl>
    <w:lvl w:ilvl="2" w:tplc="040C001B" w:tentative="1">
      <w:start w:val="1"/>
      <w:numFmt w:val="lowerRoman"/>
      <w:lvlText w:val="%3."/>
      <w:lvlJc w:val="right"/>
      <w:pPr>
        <w:ind w:left="2215" w:hanging="180"/>
      </w:pPr>
    </w:lvl>
    <w:lvl w:ilvl="3" w:tplc="040C000F" w:tentative="1">
      <w:start w:val="1"/>
      <w:numFmt w:val="decimal"/>
      <w:lvlText w:val="%4."/>
      <w:lvlJc w:val="left"/>
      <w:pPr>
        <w:ind w:left="2935" w:hanging="360"/>
      </w:pPr>
    </w:lvl>
    <w:lvl w:ilvl="4" w:tplc="040C0019" w:tentative="1">
      <w:start w:val="1"/>
      <w:numFmt w:val="lowerLetter"/>
      <w:lvlText w:val="%5."/>
      <w:lvlJc w:val="left"/>
      <w:pPr>
        <w:ind w:left="3655" w:hanging="360"/>
      </w:pPr>
    </w:lvl>
    <w:lvl w:ilvl="5" w:tplc="040C001B" w:tentative="1">
      <w:start w:val="1"/>
      <w:numFmt w:val="lowerRoman"/>
      <w:lvlText w:val="%6."/>
      <w:lvlJc w:val="right"/>
      <w:pPr>
        <w:ind w:left="4375" w:hanging="180"/>
      </w:pPr>
    </w:lvl>
    <w:lvl w:ilvl="6" w:tplc="040C000F" w:tentative="1">
      <w:start w:val="1"/>
      <w:numFmt w:val="decimal"/>
      <w:lvlText w:val="%7."/>
      <w:lvlJc w:val="left"/>
      <w:pPr>
        <w:ind w:left="5095" w:hanging="360"/>
      </w:pPr>
    </w:lvl>
    <w:lvl w:ilvl="7" w:tplc="040C0019" w:tentative="1">
      <w:start w:val="1"/>
      <w:numFmt w:val="lowerLetter"/>
      <w:lvlText w:val="%8."/>
      <w:lvlJc w:val="left"/>
      <w:pPr>
        <w:ind w:left="5815" w:hanging="360"/>
      </w:pPr>
    </w:lvl>
    <w:lvl w:ilvl="8" w:tplc="040C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" w15:restartNumberingAfterBreak="0">
    <w:nsid w:val="0BFE533B"/>
    <w:multiLevelType w:val="hybridMultilevel"/>
    <w:tmpl w:val="56766136"/>
    <w:lvl w:ilvl="0" w:tplc="BACEE20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63F5B"/>
    <w:multiLevelType w:val="hybridMultilevel"/>
    <w:tmpl w:val="8A148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0083D"/>
    <w:multiLevelType w:val="hybridMultilevel"/>
    <w:tmpl w:val="6B587D80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98378D1"/>
    <w:multiLevelType w:val="multilevel"/>
    <w:tmpl w:val="E6364C8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E5C6D45"/>
    <w:multiLevelType w:val="hybridMultilevel"/>
    <w:tmpl w:val="593CC7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75F8D"/>
    <w:multiLevelType w:val="hybridMultilevel"/>
    <w:tmpl w:val="1446260A"/>
    <w:lvl w:ilvl="0" w:tplc="9D7418DA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AD1441"/>
    <w:multiLevelType w:val="hybridMultilevel"/>
    <w:tmpl w:val="7B8ADE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B563B"/>
    <w:multiLevelType w:val="hybridMultilevel"/>
    <w:tmpl w:val="CFCE8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32703E5C"/>
    <w:multiLevelType w:val="hybridMultilevel"/>
    <w:tmpl w:val="206C3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1216B"/>
    <w:multiLevelType w:val="hybridMultilevel"/>
    <w:tmpl w:val="1370ECE8"/>
    <w:lvl w:ilvl="0" w:tplc="384E8FA2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F4B12"/>
    <w:multiLevelType w:val="hybridMultilevel"/>
    <w:tmpl w:val="82DEE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14BBD"/>
    <w:multiLevelType w:val="hybridMultilevel"/>
    <w:tmpl w:val="95FC7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51682"/>
    <w:multiLevelType w:val="hybridMultilevel"/>
    <w:tmpl w:val="6FB29128"/>
    <w:lvl w:ilvl="0" w:tplc="1B40B90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B5CDE"/>
    <w:multiLevelType w:val="hybridMultilevel"/>
    <w:tmpl w:val="DE5E72DC"/>
    <w:lvl w:ilvl="0" w:tplc="C08A2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06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48A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09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2B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E9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E24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FE5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A45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3BA35D3"/>
    <w:multiLevelType w:val="hybridMultilevel"/>
    <w:tmpl w:val="48D8E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D1812AE"/>
    <w:multiLevelType w:val="hybridMultilevel"/>
    <w:tmpl w:val="AE86DD42"/>
    <w:lvl w:ilvl="0" w:tplc="BACEE20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744B9"/>
    <w:multiLevelType w:val="hybridMultilevel"/>
    <w:tmpl w:val="EA52C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F6B49"/>
    <w:multiLevelType w:val="hybridMultilevel"/>
    <w:tmpl w:val="22A21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8"/>
  </w:num>
  <w:num w:numId="4">
    <w:abstractNumId w:val="1"/>
  </w:num>
  <w:num w:numId="5">
    <w:abstractNumId w:val="5"/>
  </w:num>
  <w:num w:numId="6">
    <w:abstractNumId w:val="17"/>
  </w:num>
  <w:num w:numId="7">
    <w:abstractNumId w:val="17"/>
    <w:lvlOverride w:ilvl="0">
      <w:startOverride w:val="1"/>
    </w:lvlOverride>
  </w:num>
  <w:num w:numId="8">
    <w:abstractNumId w:val="14"/>
  </w:num>
  <w:num w:numId="9">
    <w:abstractNumId w:val="8"/>
  </w:num>
  <w:num w:numId="10">
    <w:abstractNumId w:val="12"/>
  </w:num>
  <w:num w:numId="11">
    <w:abstractNumId w:val="4"/>
  </w:num>
  <w:num w:numId="12">
    <w:abstractNumId w:val="30"/>
  </w:num>
  <w:num w:numId="13">
    <w:abstractNumId w:val="26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2"/>
  </w:num>
  <w:num w:numId="18">
    <w:abstractNumId w:val="23"/>
  </w:num>
  <w:num w:numId="19">
    <w:abstractNumId w:val="10"/>
  </w:num>
  <w:num w:numId="20">
    <w:abstractNumId w:val="16"/>
  </w:num>
  <w:num w:numId="21">
    <w:abstractNumId w:val="15"/>
  </w:num>
  <w:num w:numId="22">
    <w:abstractNumId w:val="13"/>
  </w:num>
  <w:num w:numId="23">
    <w:abstractNumId w:val="3"/>
  </w:num>
  <w:num w:numId="24">
    <w:abstractNumId w:val="21"/>
  </w:num>
  <w:num w:numId="25">
    <w:abstractNumId w:val="27"/>
  </w:num>
  <w:num w:numId="26">
    <w:abstractNumId w:val="31"/>
  </w:num>
  <w:num w:numId="27">
    <w:abstractNumId w:val="6"/>
  </w:num>
  <w:num w:numId="28">
    <w:abstractNumId w:val="11"/>
  </w:num>
  <w:num w:numId="29">
    <w:abstractNumId w:val="20"/>
  </w:num>
  <w:num w:numId="30">
    <w:abstractNumId w:val="0"/>
  </w:num>
  <w:num w:numId="31">
    <w:abstractNumId w:val="9"/>
  </w:num>
  <w:num w:numId="32">
    <w:abstractNumId w:val="25"/>
  </w:num>
  <w:num w:numId="33">
    <w:abstractNumId w:val="7"/>
  </w:num>
  <w:num w:numId="34">
    <w:abstractNumId w:val="29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4D"/>
    <w:rsid w:val="00014716"/>
    <w:rsid w:val="00016F24"/>
    <w:rsid w:val="00022F78"/>
    <w:rsid w:val="00023AC3"/>
    <w:rsid w:val="000469A8"/>
    <w:rsid w:val="000502D5"/>
    <w:rsid w:val="00062C7D"/>
    <w:rsid w:val="00065734"/>
    <w:rsid w:val="000852E1"/>
    <w:rsid w:val="000870E1"/>
    <w:rsid w:val="0009026B"/>
    <w:rsid w:val="000C55D6"/>
    <w:rsid w:val="000E00D2"/>
    <w:rsid w:val="000E0B4E"/>
    <w:rsid w:val="000E17FC"/>
    <w:rsid w:val="001013F4"/>
    <w:rsid w:val="00104960"/>
    <w:rsid w:val="0010672E"/>
    <w:rsid w:val="00111EF2"/>
    <w:rsid w:val="00130F8B"/>
    <w:rsid w:val="00152518"/>
    <w:rsid w:val="001624FB"/>
    <w:rsid w:val="00163455"/>
    <w:rsid w:val="00180B8D"/>
    <w:rsid w:val="001A0CA3"/>
    <w:rsid w:val="001B4F0B"/>
    <w:rsid w:val="001C5A49"/>
    <w:rsid w:val="001C5D2E"/>
    <w:rsid w:val="001C68FD"/>
    <w:rsid w:val="001D1FF5"/>
    <w:rsid w:val="001D47EE"/>
    <w:rsid w:val="001F4463"/>
    <w:rsid w:val="002212FA"/>
    <w:rsid w:val="00221D0C"/>
    <w:rsid w:val="00221F36"/>
    <w:rsid w:val="002241F1"/>
    <w:rsid w:val="00227F47"/>
    <w:rsid w:val="00243304"/>
    <w:rsid w:val="00247395"/>
    <w:rsid w:val="002539A4"/>
    <w:rsid w:val="0026140F"/>
    <w:rsid w:val="00264900"/>
    <w:rsid w:val="002803A7"/>
    <w:rsid w:val="00283160"/>
    <w:rsid w:val="002A3C5A"/>
    <w:rsid w:val="002A7241"/>
    <w:rsid w:val="002C4B0F"/>
    <w:rsid w:val="002E5F1F"/>
    <w:rsid w:val="002F4E7D"/>
    <w:rsid w:val="00337DFA"/>
    <w:rsid w:val="003409D9"/>
    <w:rsid w:val="0035124F"/>
    <w:rsid w:val="0035647B"/>
    <w:rsid w:val="00361FCF"/>
    <w:rsid w:val="00380288"/>
    <w:rsid w:val="00395FF4"/>
    <w:rsid w:val="003A593E"/>
    <w:rsid w:val="003B503F"/>
    <w:rsid w:val="003C4B0E"/>
    <w:rsid w:val="00401C6C"/>
    <w:rsid w:val="004161FD"/>
    <w:rsid w:val="004338C6"/>
    <w:rsid w:val="00435324"/>
    <w:rsid w:val="0044622F"/>
    <w:rsid w:val="00454D75"/>
    <w:rsid w:val="0046776A"/>
    <w:rsid w:val="0049232C"/>
    <w:rsid w:val="004A3ECF"/>
    <w:rsid w:val="004A44E7"/>
    <w:rsid w:val="004A4E4D"/>
    <w:rsid w:val="004B04FF"/>
    <w:rsid w:val="004C54DA"/>
    <w:rsid w:val="004D040E"/>
    <w:rsid w:val="004D249B"/>
    <w:rsid w:val="004D6DFA"/>
    <w:rsid w:val="004E24E2"/>
    <w:rsid w:val="004F5ED2"/>
    <w:rsid w:val="00501E2A"/>
    <w:rsid w:val="00551BFA"/>
    <w:rsid w:val="0056751B"/>
    <w:rsid w:val="005738BC"/>
    <w:rsid w:val="00577B6C"/>
    <w:rsid w:val="005927C3"/>
    <w:rsid w:val="005959F1"/>
    <w:rsid w:val="005962E0"/>
    <w:rsid w:val="005A339C"/>
    <w:rsid w:val="005A5BE8"/>
    <w:rsid w:val="005B05AC"/>
    <w:rsid w:val="005B1E71"/>
    <w:rsid w:val="005B20B8"/>
    <w:rsid w:val="005B3BBE"/>
    <w:rsid w:val="005B5622"/>
    <w:rsid w:val="005B78D7"/>
    <w:rsid w:val="005D14DF"/>
    <w:rsid w:val="005D18AA"/>
    <w:rsid w:val="005E5D31"/>
    <w:rsid w:val="0060134C"/>
    <w:rsid w:val="006014D2"/>
    <w:rsid w:val="00652687"/>
    <w:rsid w:val="006575A7"/>
    <w:rsid w:val="0066656C"/>
    <w:rsid w:val="006669E7"/>
    <w:rsid w:val="006971E0"/>
    <w:rsid w:val="006C5298"/>
    <w:rsid w:val="006D3CEF"/>
    <w:rsid w:val="006D527C"/>
    <w:rsid w:val="006D737B"/>
    <w:rsid w:val="006F5AEC"/>
    <w:rsid w:val="006F7556"/>
    <w:rsid w:val="0071241B"/>
    <w:rsid w:val="0072045A"/>
    <w:rsid w:val="0072257B"/>
    <w:rsid w:val="00733386"/>
    <w:rsid w:val="00782A92"/>
    <w:rsid w:val="00784835"/>
    <w:rsid w:val="00797721"/>
    <w:rsid w:val="007A21E4"/>
    <w:rsid w:val="007A3622"/>
    <w:rsid w:val="007B6A25"/>
    <w:rsid w:val="007C78CA"/>
    <w:rsid w:val="007D1D57"/>
    <w:rsid w:val="007D22EA"/>
    <w:rsid w:val="00807121"/>
    <w:rsid w:val="00813ED4"/>
    <w:rsid w:val="00814ED6"/>
    <w:rsid w:val="00826B23"/>
    <w:rsid w:val="008343FC"/>
    <w:rsid w:val="00835E24"/>
    <w:rsid w:val="00840515"/>
    <w:rsid w:val="00865DFF"/>
    <w:rsid w:val="00873234"/>
    <w:rsid w:val="00892442"/>
    <w:rsid w:val="0089521B"/>
    <w:rsid w:val="0089665B"/>
    <w:rsid w:val="008B1E35"/>
    <w:rsid w:val="008B2F11"/>
    <w:rsid w:val="008D1EC3"/>
    <w:rsid w:val="008E2AA9"/>
    <w:rsid w:val="008F0C5D"/>
    <w:rsid w:val="008F1C8E"/>
    <w:rsid w:val="008F2D13"/>
    <w:rsid w:val="008F6E93"/>
    <w:rsid w:val="009138D4"/>
    <w:rsid w:val="00931656"/>
    <w:rsid w:val="00932BAC"/>
    <w:rsid w:val="009362AF"/>
    <w:rsid w:val="00937264"/>
    <w:rsid w:val="00947A45"/>
    <w:rsid w:val="00961FD9"/>
    <w:rsid w:val="00976A73"/>
    <w:rsid w:val="00980A57"/>
    <w:rsid w:val="009925ED"/>
    <w:rsid w:val="009A0200"/>
    <w:rsid w:val="009C7E88"/>
    <w:rsid w:val="009E0A39"/>
    <w:rsid w:val="009E39F0"/>
    <w:rsid w:val="009F1D83"/>
    <w:rsid w:val="009F1E23"/>
    <w:rsid w:val="009F2ED9"/>
    <w:rsid w:val="00A070B9"/>
    <w:rsid w:val="00A236EB"/>
    <w:rsid w:val="00A30A98"/>
    <w:rsid w:val="00A312B2"/>
    <w:rsid w:val="00A439C7"/>
    <w:rsid w:val="00A47D95"/>
    <w:rsid w:val="00A5267D"/>
    <w:rsid w:val="00A53F7F"/>
    <w:rsid w:val="00A56645"/>
    <w:rsid w:val="00A67816"/>
    <w:rsid w:val="00A8233F"/>
    <w:rsid w:val="00A84AA9"/>
    <w:rsid w:val="00A8783E"/>
    <w:rsid w:val="00AA1FC1"/>
    <w:rsid w:val="00AB042E"/>
    <w:rsid w:val="00AD3190"/>
    <w:rsid w:val="00AF7E31"/>
    <w:rsid w:val="00B02B16"/>
    <w:rsid w:val="00B107DD"/>
    <w:rsid w:val="00B35ABE"/>
    <w:rsid w:val="00B453BC"/>
    <w:rsid w:val="00B46C00"/>
    <w:rsid w:val="00B53927"/>
    <w:rsid w:val="00B60F00"/>
    <w:rsid w:val="00B731F9"/>
    <w:rsid w:val="00B735D1"/>
    <w:rsid w:val="00B75013"/>
    <w:rsid w:val="00B80FB4"/>
    <w:rsid w:val="00B85B70"/>
    <w:rsid w:val="00B90C0A"/>
    <w:rsid w:val="00B9637E"/>
    <w:rsid w:val="00B964AE"/>
    <w:rsid w:val="00B96E8A"/>
    <w:rsid w:val="00BA7349"/>
    <w:rsid w:val="00BC2CDD"/>
    <w:rsid w:val="00BF2A2C"/>
    <w:rsid w:val="00C07FA1"/>
    <w:rsid w:val="00C14129"/>
    <w:rsid w:val="00C21D0D"/>
    <w:rsid w:val="00C253DB"/>
    <w:rsid w:val="00C40D39"/>
    <w:rsid w:val="00C55EFB"/>
    <w:rsid w:val="00C63D9F"/>
    <w:rsid w:val="00C74729"/>
    <w:rsid w:val="00C82428"/>
    <w:rsid w:val="00C84033"/>
    <w:rsid w:val="00C96C8F"/>
    <w:rsid w:val="00CA25C8"/>
    <w:rsid w:val="00CB19EC"/>
    <w:rsid w:val="00CB1D9E"/>
    <w:rsid w:val="00CC3597"/>
    <w:rsid w:val="00CD57DB"/>
    <w:rsid w:val="00CE0301"/>
    <w:rsid w:val="00CE56EE"/>
    <w:rsid w:val="00CF1E31"/>
    <w:rsid w:val="00D04EA5"/>
    <w:rsid w:val="00D065EF"/>
    <w:rsid w:val="00D075E1"/>
    <w:rsid w:val="00D26F29"/>
    <w:rsid w:val="00D42568"/>
    <w:rsid w:val="00D64DC5"/>
    <w:rsid w:val="00D6727A"/>
    <w:rsid w:val="00D75EB4"/>
    <w:rsid w:val="00D859A3"/>
    <w:rsid w:val="00D85E33"/>
    <w:rsid w:val="00D9315C"/>
    <w:rsid w:val="00D93ACD"/>
    <w:rsid w:val="00D95F48"/>
    <w:rsid w:val="00DA32F9"/>
    <w:rsid w:val="00DA37BD"/>
    <w:rsid w:val="00DC65A2"/>
    <w:rsid w:val="00DD11D5"/>
    <w:rsid w:val="00DD422B"/>
    <w:rsid w:val="00E04C11"/>
    <w:rsid w:val="00E06D2A"/>
    <w:rsid w:val="00E120DF"/>
    <w:rsid w:val="00E13CE0"/>
    <w:rsid w:val="00E208DA"/>
    <w:rsid w:val="00E25FE4"/>
    <w:rsid w:val="00E5536E"/>
    <w:rsid w:val="00E56EBE"/>
    <w:rsid w:val="00E57F0F"/>
    <w:rsid w:val="00E62B0B"/>
    <w:rsid w:val="00E74090"/>
    <w:rsid w:val="00E750D7"/>
    <w:rsid w:val="00E8128D"/>
    <w:rsid w:val="00E82AF4"/>
    <w:rsid w:val="00E929E7"/>
    <w:rsid w:val="00EA0C52"/>
    <w:rsid w:val="00EA697D"/>
    <w:rsid w:val="00EA73F8"/>
    <w:rsid w:val="00EB31FA"/>
    <w:rsid w:val="00EC504F"/>
    <w:rsid w:val="00EC75A5"/>
    <w:rsid w:val="00EE208C"/>
    <w:rsid w:val="00F048F2"/>
    <w:rsid w:val="00F06E24"/>
    <w:rsid w:val="00F12DFC"/>
    <w:rsid w:val="00F13A51"/>
    <w:rsid w:val="00F164C5"/>
    <w:rsid w:val="00F167D5"/>
    <w:rsid w:val="00F204C4"/>
    <w:rsid w:val="00F31F08"/>
    <w:rsid w:val="00F325FE"/>
    <w:rsid w:val="00F337DD"/>
    <w:rsid w:val="00F42F91"/>
    <w:rsid w:val="00F51196"/>
    <w:rsid w:val="00F51D4C"/>
    <w:rsid w:val="00F5363A"/>
    <w:rsid w:val="00F7162A"/>
    <w:rsid w:val="00F756EB"/>
    <w:rsid w:val="00F81A6C"/>
    <w:rsid w:val="00FA3312"/>
    <w:rsid w:val="00FA3CFE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113C1F"/>
  <w15:docId w15:val="{15F565DF-3857-4CF5-BBAA-9A016B1E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4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959F1"/>
    <w:pPr>
      <w:keepNext/>
      <w:keepLines/>
      <w:pageBreakBefore/>
      <w:numPr>
        <w:numId w:val="9"/>
      </w:numPr>
      <w:spacing w:before="480"/>
      <w:ind w:left="567" w:hanging="567"/>
      <w:outlineLvl w:val="0"/>
    </w:pPr>
    <w:rPr>
      <w:rFonts w:eastAsiaTheme="majorEastAsia" w:cstheme="majorBidi"/>
      <w:b/>
      <w:bCs/>
      <w:color w:val="1C3046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14129"/>
    <w:pPr>
      <w:keepNext/>
      <w:keepLines/>
      <w:numPr>
        <w:ilvl w:val="1"/>
        <w:numId w:val="9"/>
      </w:numPr>
      <w:spacing w:before="200"/>
      <w:ind w:left="578" w:hanging="578"/>
      <w:outlineLvl w:val="1"/>
    </w:pPr>
    <w:rPr>
      <w:rFonts w:eastAsiaTheme="majorEastAsia" w:cstheme="majorBidi"/>
      <w:bCs/>
      <w:color w:val="1C3046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070B9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1C3046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70B9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1C3046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70B9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1C3046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A070B9"/>
    <w:pPr>
      <w:numPr>
        <w:ilvl w:val="5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070B9"/>
    <w:rPr>
      <w:rFonts w:ascii="Calibri" w:eastAsiaTheme="majorEastAsia" w:hAnsi="Calibri" w:cstheme="majorBidi"/>
      <w:b/>
      <w:bCs/>
      <w:color w:val="1C3046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959F1"/>
    <w:rPr>
      <w:rFonts w:ascii="Calibri" w:eastAsiaTheme="majorEastAsia" w:hAnsi="Calibri" w:cstheme="majorBidi"/>
      <w:b/>
      <w:bCs/>
      <w:color w:val="1C3046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14129"/>
    <w:rPr>
      <w:rFonts w:ascii="Calibri" w:eastAsiaTheme="majorEastAsia" w:hAnsi="Calibri" w:cstheme="majorBidi"/>
      <w:bCs/>
      <w:color w:val="1C3046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070B9"/>
    <w:rPr>
      <w:rFonts w:ascii="Calibri" w:eastAsiaTheme="majorEastAsia" w:hAnsi="Calibri" w:cstheme="majorBidi"/>
      <w:bCs/>
      <w:i/>
      <w:iCs/>
      <w:color w:val="1C3046"/>
    </w:rPr>
  </w:style>
  <w:style w:type="character" w:customStyle="1" w:styleId="Heading5Char">
    <w:name w:val="Heading 5 Char"/>
    <w:basedOn w:val="DefaultParagraphFont"/>
    <w:link w:val="Heading5"/>
    <w:uiPriority w:val="9"/>
    <w:rsid w:val="00A070B9"/>
    <w:rPr>
      <w:rFonts w:ascii="Calibri" w:eastAsiaTheme="majorEastAsia" w:hAnsi="Calibri" w:cstheme="majorBidi"/>
      <w:color w:val="1C3046"/>
    </w:rPr>
  </w:style>
  <w:style w:type="character" w:customStyle="1" w:styleId="Heading6Char">
    <w:name w:val="Heading 6 Char"/>
    <w:basedOn w:val="DefaultParagraphFont"/>
    <w:link w:val="Heading6"/>
    <w:uiPriority w:val="9"/>
    <w:rsid w:val="00A070B9"/>
    <w:rPr>
      <w:rFonts w:ascii="Calibri" w:eastAsiaTheme="majorEastAsia" w:hAnsi="Calibri" w:cstheme="majorBidi"/>
      <w:color w:val="1C304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5A5BE8"/>
    <w:pPr>
      <w:keepNext/>
      <w:spacing w:after="240"/>
      <w:jc w:val="center"/>
    </w:pPr>
    <w:rPr>
      <w:b/>
      <w:i/>
      <w:color w:val="17365D" w:themeColor="text2" w:themeShade="BF"/>
    </w:rPr>
  </w:style>
  <w:style w:type="character" w:customStyle="1" w:styleId="captionChar">
    <w:name w:val="caption Char"/>
    <w:basedOn w:val="SubtitleChar"/>
    <w:link w:val="Caption1"/>
    <w:rsid w:val="005A5BE8"/>
    <w:rPr>
      <w:rFonts w:ascii="Calibri" w:hAnsi="Calibri"/>
      <w:b/>
      <w:i/>
      <w:color w:val="17365D" w:themeColor="text2" w:themeShade="BF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3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247395"/>
    <w:pPr>
      <w:tabs>
        <w:tab w:val="left" w:pos="567"/>
        <w:tab w:val="left" w:pos="1320"/>
        <w:tab w:val="right" w:leader="dot" w:pos="9016"/>
      </w:tabs>
      <w:spacing w:after="100"/>
    </w:pPr>
    <w:rPr>
      <w:noProof/>
      <w:color w:val="1C3046"/>
    </w:rPr>
  </w:style>
  <w:style w:type="paragraph" w:styleId="TOC2">
    <w:name w:val="toc 2"/>
    <w:basedOn w:val="Normal"/>
    <w:next w:val="Normal"/>
    <w:autoRedefine/>
    <w:uiPriority w:val="39"/>
    <w:unhideWhenUsed/>
    <w:rsid w:val="00A070B9"/>
    <w:pPr>
      <w:tabs>
        <w:tab w:val="left" w:pos="880"/>
        <w:tab w:val="right" w:leader="dot" w:pos="9016"/>
      </w:tabs>
      <w:spacing w:after="100"/>
      <w:ind w:left="200"/>
    </w:pPr>
    <w:rPr>
      <w:color w:val="17365D" w:themeColor="text2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A070B9"/>
    <w:pPr>
      <w:spacing w:after="100"/>
      <w:ind w:left="400"/>
    </w:pPr>
    <w:rPr>
      <w:color w:val="17365D" w:themeColor="text2" w:themeShade="BF"/>
    </w:r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5A5BE8"/>
    <w:pPr>
      <w:numPr>
        <w:numId w:val="16"/>
      </w:numPr>
    </w:pPr>
    <w:rPr>
      <w:szCs w:val="40"/>
    </w:rPr>
  </w:style>
  <w:style w:type="character" w:customStyle="1" w:styleId="AppendixChar">
    <w:name w:val="Appendix Char"/>
    <w:basedOn w:val="ListParagraphChar"/>
    <w:link w:val="Appendix"/>
    <w:rsid w:val="005A5BE8"/>
    <w:rPr>
      <w:rFonts w:ascii="Calibri" w:eastAsiaTheme="majorEastAsia" w:hAnsi="Calibri" w:cstheme="majorBidi"/>
      <w:b/>
      <w:bCs/>
      <w:color w:val="17365D" w:themeColor="text2" w:themeShade="BF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customStyle="1" w:styleId="DocDate">
    <w:name w:val="DocDate"/>
    <w:basedOn w:val="Normal"/>
    <w:rsid w:val="00D859A3"/>
    <w:pPr>
      <w:keepLines/>
      <w:widowControl w:val="0"/>
      <w:suppressAutoHyphens/>
      <w:spacing w:before="120" w:line="240" w:lineRule="auto"/>
    </w:pPr>
    <w:rPr>
      <w:rFonts w:ascii="Arial" w:eastAsia="Times New Roman" w:hAnsi="Arial" w:cs="Arial"/>
      <w:b/>
      <w:spacing w:val="0"/>
    </w:rPr>
  </w:style>
  <w:style w:type="character" w:customStyle="1" w:styleId="WW8Num33z0">
    <w:name w:val="WW8Num33z0"/>
    <w:rsid w:val="00D859A3"/>
    <w:rPr>
      <w:rFonts w:ascii="Symbol" w:hAnsi="Symbol" w:cs="Symbo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46C00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6C00"/>
    <w:rPr>
      <w:rFonts w:ascii="Lucida Grande" w:hAnsi="Lucida Grande" w:cs="Lucida Grande"/>
      <w:spacing w:val="2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5A5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51">
    <w:name w:val="Plain Table 51"/>
    <w:basedOn w:val="TableNormal"/>
    <w:uiPriority w:val="45"/>
    <w:rsid w:val="005A5BE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imple1">
    <w:name w:val="Table Simple 1"/>
    <w:basedOn w:val="TableNormal"/>
    <w:uiPriority w:val="41"/>
    <w:rsid w:val="005A5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7A21E4"/>
  </w:style>
  <w:style w:type="table" w:styleId="TableGridLight">
    <w:name w:val="Grid Table Light"/>
    <w:basedOn w:val="TableNormal"/>
    <w:uiPriority w:val="40"/>
    <w:rsid w:val="00A30A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xecutiveSummary">
    <w:name w:val="Executive Summary"/>
    <w:basedOn w:val="Normal"/>
    <w:link w:val="ExecutiveSummaryChar"/>
    <w:qFormat/>
    <w:rsid w:val="006C5298"/>
    <w:rPr>
      <w:b/>
      <w:sz w:val="4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070B9"/>
    <w:pPr>
      <w:spacing w:after="100"/>
      <w:ind w:left="660"/>
    </w:pPr>
    <w:rPr>
      <w:color w:val="17365D" w:themeColor="text2" w:themeShade="BF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070B9"/>
    <w:pPr>
      <w:spacing w:after="100"/>
      <w:ind w:left="880"/>
    </w:pPr>
    <w:rPr>
      <w:color w:val="17365D" w:themeColor="text2" w:themeShade="BF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070B9"/>
    <w:pPr>
      <w:spacing w:after="100"/>
      <w:ind w:left="1100"/>
    </w:pPr>
    <w:rPr>
      <w:color w:val="17365D" w:themeColor="text2" w:themeShade="BF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070B9"/>
    <w:pPr>
      <w:spacing w:after="100"/>
      <w:ind w:left="1320"/>
    </w:pPr>
    <w:rPr>
      <w:color w:val="17365D" w:themeColor="text2" w:themeShade="BF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070B9"/>
    <w:pPr>
      <w:spacing w:after="100"/>
      <w:ind w:left="1540"/>
    </w:pPr>
    <w:rPr>
      <w:color w:val="17365D" w:themeColor="text2" w:themeShade="BF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070B9"/>
    <w:pPr>
      <w:spacing w:after="100"/>
      <w:ind w:left="1760"/>
    </w:pPr>
    <w:rPr>
      <w:color w:val="17365D" w:themeColor="text2" w:themeShade="BF"/>
    </w:rPr>
  </w:style>
  <w:style w:type="character" w:customStyle="1" w:styleId="ExecutiveSummaryChar">
    <w:name w:val="Executive Summary Char"/>
    <w:basedOn w:val="DefaultParagraphFont"/>
    <w:link w:val="ExecutiveSummary"/>
    <w:rsid w:val="006C5298"/>
    <w:rPr>
      <w:rFonts w:ascii="Calibri" w:hAnsi="Calibri"/>
      <w:b/>
      <w:spacing w:val="2"/>
      <w:sz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41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4129"/>
    <w:rPr>
      <w:rFonts w:ascii="Calibri" w:hAnsi="Calibri"/>
      <w:spacing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412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22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0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0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iki.eosc-hub.eu/display/EOSC/EOSC-hub+Glossar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reativecommons.org/licenses/by/4.0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dpconline.org/handbook/institutional-strategies/audit-and-certification" TargetMode="External"/><Relationship Id="rId10" Type="http://schemas.openxmlformats.org/officeDocument/2006/relationships/hyperlink" Target="https://documents.egi.eu/document/370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uchon\Roaming\Microsoft\Templates\EOSC-hub%20Deliverable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84A44-BEFD-4677-A03E-12936DE5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EOSC-hub Deliverable Template v1</Template>
  <TotalTime>729</TotalTime>
  <Pages>1</Pages>
  <Words>1843</Words>
  <Characters>10511</Characters>
  <Application>Microsoft Office Word</Application>
  <DocSecurity>0</DocSecurity>
  <Lines>87</Lines>
  <Paragraphs>24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M6.7 Ingest points of two TDRs integrated with EOSC-hub data transfer services</vt:lpstr>
      <vt:lpstr>Title of the Document / Number if required</vt:lpstr>
      <vt:lpstr>Title of the Document / Number if required</vt:lpstr>
    </vt:vector>
  </TitlesOfParts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M6.7 Ingest points of two TDRs integrated with EOSC-hub data transfer services</dc:title>
  <dc:subject>M6.7</dc:subject>
  <dc:creator>Olivier Rouchon</dc:creator>
  <cp:lastModifiedBy>Malgorzata Krakowian</cp:lastModifiedBy>
  <cp:revision>37</cp:revision>
  <cp:lastPrinted>2021-03-12T08:46:00Z</cp:lastPrinted>
  <dcterms:created xsi:type="dcterms:W3CDTF">2020-10-22T12:13:00Z</dcterms:created>
  <dcterms:modified xsi:type="dcterms:W3CDTF">2021-03-12T08:46:00Z</dcterms:modified>
</cp:coreProperties>
</file>