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725A548F" w:rsidR="00D21B39" w:rsidRPr="00FD25AE" w:rsidRDefault="006C71FE" w:rsidP="006C71FE">
      <w:pPr>
        <w:pStyle w:val="Title"/>
      </w:pPr>
      <w:r>
        <w:t xml:space="preserve">D2.7 Technical specifications for compute common services </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1DE14047" w:rsidR="00D21B39" w:rsidRPr="00FD25AE" w:rsidRDefault="006C71FE"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656BB790" w:rsidR="00D21B39" w:rsidRPr="00FD25AE" w:rsidRDefault="006C71FE"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500B2477" w:rsidR="00D21B39" w:rsidRPr="00FD25AE" w:rsidRDefault="006131E4" w:rsidP="00FC003F">
            <w:pPr>
              <w:jc w:val="left"/>
            </w:pPr>
            <w:r>
              <w:t>Under E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304F6FFE" w:rsidR="00D21B39" w:rsidRPr="00FD25AE" w:rsidRDefault="006C71FE" w:rsidP="00FC003F">
            <w:pPr>
              <w:jc w:val="left"/>
            </w:pPr>
            <w:r>
              <w:t>P</w:t>
            </w:r>
            <w:r w:rsidR="00325915">
              <w:t>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39882AE7" w:rsidR="00FC003F" w:rsidRPr="00FD25AE" w:rsidRDefault="006059B4" w:rsidP="00FC003F">
            <w:pPr>
              <w:jc w:val="left"/>
            </w:pPr>
            <w:r>
              <w:t>Technical Architecture, Compute Services</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16C76A13" w:rsidR="00D21B39" w:rsidRPr="00FD25AE" w:rsidRDefault="00000000" w:rsidP="00FC003F">
            <w:pPr>
              <w:jc w:val="left"/>
            </w:pPr>
            <w:hyperlink r:id="rId9">
              <w:r w:rsidR="00DF7CC1">
                <w:rPr>
                  <w:color w:val="1155CC"/>
                  <w:u w:val="single"/>
                </w:rPr>
                <w:t>https://documents.egi.eu/document/3802</w:t>
              </w:r>
            </w:hyperlink>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D16CD8">
        <w:trPr>
          <w:trHeight w:val="3775"/>
          <w:jc w:val="center"/>
        </w:trPr>
        <w:tc>
          <w:tcPr>
            <w:tcW w:w="7933" w:type="dxa"/>
          </w:tcPr>
          <w:p w14:paraId="292FB74F" w14:textId="77777777" w:rsidR="002A4E15" w:rsidRDefault="002A4E15" w:rsidP="002A4E15">
            <w:pPr>
              <w:spacing w:before="200"/>
              <w:rPr>
                <w:sz w:val="20"/>
                <w:szCs w:val="20"/>
              </w:rPr>
            </w:pPr>
            <w:r>
              <w:rPr>
                <w:sz w:val="20"/>
                <w:szCs w:val="20"/>
              </w:rPr>
              <w:t xml:space="preserve">EGI-ACE builds on the computing e-Infrastructure of the EGI Federation to deliver the EOSC Compute Platform: an open, data-centric, distributed, hybrid and secure infrastructure consisting of computing and storage providers and platform services to support research and open science via data spaces. </w:t>
            </w:r>
          </w:p>
          <w:p w14:paraId="26981A28" w14:textId="77777777" w:rsidR="002A4E15" w:rsidRDefault="002A4E15" w:rsidP="002A4E15">
            <w:pPr>
              <w:spacing w:before="200"/>
              <w:rPr>
                <w:sz w:val="20"/>
                <w:szCs w:val="20"/>
              </w:rPr>
            </w:pPr>
            <w:r>
              <w:rPr>
                <w:sz w:val="20"/>
                <w:szCs w:val="20"/>
              </w:rPr>
              <w:t xml:space="preserve">The technical architecture of EGI-ACE provides a platform to build and deploy Thematic Services that can exploit baseline compute and storage resources from Cloud, HTC and HPC providers via a set of Federated Compute and Data services that facilitate running the workloads near the data to be analysed. Alongside with user-oriented services, the Core EGI Services cover the operational aspects of the federation (authentication and authorization, accounting, monitoring, helpdesk) and bridge the EGI-ACE services with EOSC Core functionalities. </w:t>
            </w:r>
          </w:p>
          <w:p w14:paraId="34303CCF" w14:textId="77777777" w:rsidR="002A4E15" w:rsidRDefault="002A4E15" w:rsidP="002A4E15">
            <w:pPr>
              <w:rPr>
                <w:sz w:val="20"/>
                <w:szCs w:val="20"/>
              </w:rPr>
            </w:pPr>
          </w:p>
          <w:p w14:paraId="5E4CA03B" w14:textId="3999A798" w:rsidR="00D21B39" w:rsidRPr="00FD25AE" w:rsidRDefault="002A4E15" w:rsidP="002A4E15">
            <w:pPr>
              <w:jc w:val="left"/>
            </w:pPr>
            <w:r>
              <w:rPr>
                <w:sz w:val="20"/>
                <w:szCs w:val="20"/>
              </w:rPr>
              <w:t>This document presents the technical specifications of the EOSC Compute Platform services and components.</w:t>
            </w:r>
          </w:p>
        </w:tc>
      </w:tr>
    </w:tbl>
    <w:p w14:paraId="69AC94FA" w14:textId="77777777" w:rsidR="00B35E47" w:rsidRDefault="00B35E47" w:rsidP="00C82525">
      <w:pPr>
        <w:rPr>
          <w:b/>
          <w:bCs/>
        </w:rPr>
      </w:pPr>
    </w:p>
    <w:p w14:paraId="4794C991" w14:textId="77777777" w:rsidR="00B35E47" w:rsidRDefault="00B35E47" w:rsidP="00C82525">
      <w:pPr>
        <w:rPr>
          <w:b/>
          <w:bCs/>
        </w:rPr>
      </w:pPr>
    </w:p>
    <w:p w14:paraId="2BB5E342" w14:textId="1CDC3974"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698E5020"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74F248C4" w:rsidR="00FC003F" w:rsidRPr="00FD25AE" w:rsidRDefault="00FC003F" w:rsidP="00C82525"/>
        </w:tc>
        <w:tc>
          <w:tcPr>
            <w:tcW w:w="4308"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FC003F" w:rsidRPr="00FD25AE" w:rsidRDefault="00FC003F" w:rsidP="00C82525">
            <w:r w:rsidRPr="00FD25AE">
              <w:t>From:</w:t>
            </w:r>
          </w:p>
        </w:tc>
        <w:tc>
          <w:tcPr>
            <w:tcW w:w="4308" w:type="dxa"/>
          </w:tcPr>
          <w:p w14:paraId="366427C2" w14:textId="3DF5F1F4" w:rsidR="00FC003F" w:rsidRPr="00FD25AE" w:rsidRDefault="0010699F" w:rsidP="00C82525">
            <w:pPr>
              <w:cnfStyle w:val="000000100000" w:firstRow="0" w:lastRow="0" w:firstColumn="0" w:lastColumn="0" w:oddVBand="0" w:evenVBand="0" w:oddHBand="1" w:evenHBand="0" w:firstRowFirstColumn="0" w:firstRowLastColumn="0" w:lastRowFirstColumn="0" w:lastRowLastColumn="0"/>
            </w:pPr>
            <w:r>
              <w:t>Enol Fernández</w:t>
            </w:r>
          </w:p>
        </w:tc>
        <w:tc>
          <w:tcPr>
            <w:tcW w:w="2693" w:type="dxa"/>
          </w:tcPr>
          <w:p w14:paraId="3B560C14" w14:textId="5D29C193" w:rsidR="00FC003F" w:rsidRPr="00FD25AE" w:rsidRDefault="0010699F" w:rsidP="00C82525">
            <w:pPr>
              <w:cnfStyle w:val="000000100000" w:firstRow="0" w:lastRow="0" w:firstColumn="0" w:lastColumn="0" w:oddVBand="0" w:evenVBand="0" w:oddHBand="1" w:evenHBand="0" w:firstRowFirstColumn="0" w:firstRowLastColumn="0" w:lastRowFirstColumn="0" w:lastRowLastColumn="0"/>
            </w:pPr>
            <w:r>
              <w:t>EGI Foundation / WP2</w:t>
            </w:r>
          </w:p>
        </w:tc>
      </w:tr>
      <w:tr w:rsidR="00FC003F" w:rsidRPr="00FD25AE" w14:paraId="71983CEA" w14:textId="77777777" w:rsidTr="00E5382A">
        <w:trPr>
          <w:trHeight w:val="284"/>
        </w:trPr>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FC003F" w:rsidRPr="00FD25AE" w:rsidRDefault="00FC003F" w:rsidP="00C82525">
            <w:r w:rsidRPr="00FD25AE">
              <w:t>Moderated by:</w:t>
            </w:r>
          </w:p>
        </w:tc>
        <w:tc>
          <w:tcPr>
            <w:tcW w:w="4308" w:type="dxa"/>
          </w:tcPr>
          <w:p w14:paraId="561EF9D7" w14:textId="181CB26D" w:rsidR="00FC003F" w:rsidRPr="00FD25AE" w:rsidRDefault="00AE75D5"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7D639D58" w14:textId="14DB4E45" w:rsidR="00FC003F" w:rsidRPr="00FD25AE" w:rsidRDefault="00E5382A" w:rsidP="00C82525">
            <w:pPr>
              <w:cnfStyle w:val="000000000000" w:firstRow="0" w:lastRow="0" w:firstColumn="0" w:lastColumn="0" w:oddVBand="0" w:evenVBand="0" w:oddHBand="0" w:evenHBand="0" w:firstRowFirstColumn="0" w:firstRowLastColumn="0" w:lastRowFirstColumn="0" w:lastRowLastColumn="0"/>
            </w:pPr>
            <w:r>
              <w:t xml:space="preserve">EGI Foundation </w:t>
            </w:r>
          </w:p>
        </w:tc>
      </w:tr>
      <w:tr w:rsidR="00FC003F" w:rsidRPr="00FD25AE" w14:paraId="351B5A1C"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FC003F" w:rsidRPr="00FD25AE" w:rsidRDefault="00FC003F" w:rsidP="00C82525">
            <w:r w:rsidRPr="00FD25AE">
              <w:t>Reviewed by:</w:t>
            </w:r>
          </w:p>
        </w:tc>
        <w:tc>
          <w:tcPr>
            <w:tcW w:w="4308" w:type="dxa"/>
          </w:tcPr>
          <w:p w14:paraId="76267AE6" w14:textId="2F07C426" w:rsidR="00FC003F" w:rsidRPr="00FD25AE" w:rsidRDefault="00AE75D5" w:rsidP="00C82525">
            <w:pPr>
              <w:cnfStyle w:val="000000100000" w:firstRow="0" w:lastRow="0" w:firstColumn="0" w:lastColumn="0" w:oddVBand="0" w:evenVBand="0" w:oddHBand="1" w:evenHBand="0" w:firstRowFirstColumn="0" w:firstRowLastColumn="0" w:lastRowFirstColumn="0" w:lastRowLastColumn="0"/>
            </w:pPr>
            <w:r>
              <w:t>Ignacio Lamata Martinez</w:t>
            </w:r>
          </w:p>
        </w:tc>
        <w:tc>
          <w:tcPr>
            <w:tcW w:w="2693" w:type="dxa"/>
          </w:tcPr>
          <w:p w14:paraId="3D45AD6F" w14:textId="0120E5A2" w:rsidR="00FC003F" w:rsidRPr="00FD25AE" w:rsidRDefault="00AE75D5" w:rsidP="00C82525">
            <w:pPr>
              <w:cnfStyle w:val="000000100000" w:firstRow="0" w:lastRow="0" w:firstColumn="0" w:lastColumn="0" w:oddVBand="0" w:evenVBand="0" w:oddHBand="1" w:evenHBand="0" w:firstRowFirstColumn="0" w:firstRowLastColumn="0" w:lastRowFirstColumn="0" w:lastRowLastColumn="0"/>
            </w:pPr>
            <w:r>
              <w:t>EGI Foundation</w:t>
            </w:r>
          </w:p>
        </w:tc>
      </w:tr>
      <w:tr w:rsidR="00FC003F" w:rsidRPr="00FD25AE" w14:paraId="5AA32236" w14:textId="77777777" w:rsidTr="00E5382A">
        <w:trPr>
          <w:trHeight w:val="279"/>
        </w:trPr>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FC003F" w:rsidRPr="00FD25AE" w:rsidRDefault="00FC003F" w:rsidP="00C82525">
            <w:r w:rsidRPr="00FD25AE">
              <w:t>Approved by:</w:t>
            </w:r>
          </w:p>
        </w:tc>
        <w:tc>
          <w:tcPr>
            <w:tcW w:w="4308" w:type="dxa"/>
          </w:tcPr>
          <w:p w14:paraId="00A7B9A3" w14:textId="2E602773" w:rsidR="00FC003F" w:rsidRPr="00FD25AE" w:rsidRDefault="006D7207" w:rsidP="00C82525">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3D8962E1"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3969"/>
        <w:gridCol w:w="3544"/>
      </w:tblGrid>
      <w:tr w:rsidR="00D21B39" w:rsidRPr="00FD25AE" w14:paraId="0A84D4CB" w14:textId="77777777" w:rsidTr="00EA62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3969" w:type="dxa"/>
          </w:tcPr>
          <w:p w14:paraId="6936092B" w14:textId="77777777" w:rsidR="00D21B39" w:rsidRPr="00FD25AE" w:rsidRDefault="0026623E" w:rsidP="00EA6261">
            <w:pPr>
              <w:jc w:val="left"/>
              <w:cnfStyle w:val="100000000000" w:firstRow="1" w:lastRow="0" w:firstColumn="0" w:lastColumn="0" w:oddVBand="0" w:evenVBand="0" w:oddHBand="0" w:evenHBand="0" w:firstRowFirstColumn="0" w:firstRowLastColumn="0" w:lastRowFirstColumn="0" w:lastRowLastColumn="0"/>
            </w:pPr>
            <w:r w:rsidRPr="00FD25AE">
              <w:t>Comment</w:t>
            </w:r>
          </w:p>
        </w:tc>
        <w:tc>
          <w:tcPr>
            <w:tcW w:w="3544" w:type="dxa"/>
          </w:tcPr>
          <w:p w14:paraId="590AB313" w14:textId="77777777" w:rsidR="00D21B39" w:rsidRPr="00FD25AE" w:rsidRDefault="0026623E" w:rsidP="00EA6261">
            <w:pPr>
              <w:jc w:val="left"/>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EA6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04619B8B" w:rsidR="00D21B39" w:rsidRPr="00FD25AE" w:rsidRDefault="0026623E" w:rsidP="00C82525">
            <w:r w:rsidRPr="00FD25AE">
              <w:t>v.</w:t>
            </w:r>
            <w:r w:rsidR="001B4D65">
              <w:t>0.</w:t>
            </w:r>
            <w:r w:rsidRPr="00FD25AE">
              <w:t>1</w:t>
            </w:r>
          </w:p>
        </w:tc>
        <w:tc>
          <w:tcPr>
            <w:tcW w:w="1451" w:type="dxa"/>
          </w:tcPr>
          <w:p w14:paraId="6138FB95" w14:textId="6CFFF575" w:rsidR="00D21B39" w:rsidRPr="00FD25AE" w:rsidRDefault="008D7FFA" w:rsidP="00C82525">
            <w:pPr>
              <w:cnfStyle w:val="000000100000" w:firstRow="0" w:lastRow="0" w:firstColumn="0" w:lastColumn="0" w:oddVBand="0" w:evenVBand="0" w:oddHBand="1" w:evenHBand="0" w:firstRowFirstColumn="0" w:firstRowLastColumn="0" w:lastRowFirstColumn="0" w:lastRowLastColumn="0"/>
            </w:pPr>
            <w:r>
              <w:t>0</w:t>
            </w:r>
            <w:r w:rsidR="003A782A">
              <w:t>9/6/2022</w:t>
            </w:r>
          </w:p>
        </w:tc>
        <w:tc>
          <w:tcPr>
            <w:tcW w:w="3969" w:type="dxa"/>
          </w:tcPr>
          <w:p w14:paraId="62186582" w14:textId="3AE96ED6" w:rsidR="00D21B39" w:rsidRPr="00FD25AE" w:rsidRDefault="00C62A71" w:rsidP="00EA6261">
            <w:pPr>
              <w:jc w:val="left"/>
              <w:cnfStyle w:val="000000100000" w:firstRow="0" w:lastRow="0" w:firstColumn="0" w:lastColumn="0" w:oddVBand="0" w:evenVBand="0" w:oddHBand="1" w:evenHBand="0" w:firstRowFirstColumn="0" w:firstRowLastColumn="0" w:lastRowFirstColumn="0" w:lastRowLastColumn="0"/>
            </w:pPr>
            <w:r>
              <w:t>Initial ToC proposal</w:t>
            </w:r>
          </w:p>
        </w:tc>
        <w:tc>
          <w:tcPr>
            <w:tcW w:w="3544" w:type="dxa"/>
          </w:tcPr>
          <w:p w14:paraId="4B561CA4" w14:textId="123DCE50" w:rsidR="00AE7A26" w:rsidRDefault="00AE7A26" w:rsidP="00EA6261">
            <w:pPr>
              <w:jc w:val="left"/>
              <w:cnfStyle w:val="000000100000" w:firstRow="0" w:lastRow="0" w:firstColumn="0" w:lastColumn="0" w:oddVBand="0" w:evenVBand="0" w:oddHBand="1" w:evenHBand="0" w:firstRowFirstColumn="0" w:firstRowLastColumn="0" w:lastRowFirstColumn="0" w:lastRowLastColumn="0"/>
            </w:pPr>
            <w:r>
              <w:t>E</w:t>
            </w:r>
            <w:r w:rsidR="003A782A">
              <w:t xml:space="preserve">. </w:t>
            </w:r>
            <w:r>
              <w:t>Fernández</w:t>
            </w:r>
            <w:r w:rsidR="007D1244">
              <w:t xml:space="preserve"> (EGI Foundation)</w:t>
            </w:r>
          </w:p>
          <w:p w14:paraId="5CFB1905" w14:textId="63642DDB" w:rsidR="00D21B39" w:rsidRPr="00FD25AE" w:rsidRDefault="00AE7A26" w:rsidP="00EA6261">
            <w:pPr>
              <w:jc w:val="left"/>
              <w:cnfStyle w:val="000000100000" w:firstRow="0" w:lastRow="0" w:firstColumn="0" w:lastColumn="0" w:oddVBand="0" w:evenVBand="0" w:oddHBand="1" w:evenHBand="0" w:firstRowFirstColumn="0" w:firstRowLastColumn="0" w:lastRowFirstColumn="0" w:lastRowLastColumn="0"/>
            </w:pPr>
            <w:r>
              <w:t>G</w:t>
            </w:r>
            <w:r w:rsidR="00771F04">
              <w:t xml:space="preserve">. </w:t>
            </w:r>
            <w:r>
              <w:t>Sipos</w:t>
            </w:r>
            <w:r w:rsidR="008D7FFA">
              <w:t xml:space="preserve"> (EGI Foundation)</w:t>
            </w:r>
          </w:p>
        </w:tc>
      </w:tr>
      <w:tr w:rsidR="00325915" w:rsidRPr="00325915" w14:paraId="0F0DCF6F" w14:textId="77777777" w:rsidTr="00EA6261">
        <w:tc>
          <w:tcPr>
            <w:cnfStyle w:val="001000000000" w:firstRow="0" w:lastRow="0" w:firstColumn="1" w:lastColumn="0" w:oddVBand="0" w:evenVBand="0" w:oddHBand="0" w:evenHBand="0" w:firstRowFirstColumn="0" w:firstRowLastColumn="0" w:lastRowFirstColumn="0" w:lastRowLastColumn="0"/>
            <w:tcW w:w="812" w:type="dxa"/>
          </w:tcPr>
          <w:p w14:paraId="01AC8390" w14:textId="1526EA9A" w:rsidR="00325915" w:rsidRPr="00FD25AE" w:rsidRDefault="00325915" w:rsidP="00325915">
            <w:r>
              <w:t>v.0.2</w:t>
            </w:r>
          </w:p>
        </w:tc>
        <w:tc>
          <w:tcPr>
            <w:tcW w:w="1451" w:type="dxa"/>
          </w:tcPr>
          <w:p w14:paraId="523FE53B" w14:textId="73053D73" w:rsidR="00325915" w:rsidRPr="00FD25AE" w:rsidRDefault="00325915" w:rsidP="00325915">
            <w:pPr>
              <w:cnfStyle w:val="000000000000" w:firstRow="0" w:lastRow="0" w:firstColumn="0" w:lastColumn="0" w:oddVBand="0" w:evenVBand="0" w:oddHBand="0" w:evenHBand="0" w:firstRowFirstColumn="0" w:firstRowLastColumn="0" w:lastRowFirstColumn="0" w:lastRowLastColumn="0"/>
            </w:pPr>
            <w:r>
              <w:t>01/08/2022</w:t>
            </w:r>
          </w:p>
        </w:tc>
        <w:tc>
          <w:tcPr>
            <w:tcW w:w="3969" w:type="dxa"/>
          </w:tcPr>
          <w:p w14:paraId="7849F1EF" w14:textId="73E15C2B" w:rsidR="00325915" w:rsidRPr="00FD25AE" w:rsidRDefault="00325915" w:rsidP="00EA6261">
            <w:pPr>
              <w:jc w:val="left"/>
              <w:cnfStyle w:val="000000000000" w:firstRow="0" w:lastRow="0" w:firstColumn="0" w:lastColumn="0" w:oddVBand="0" w:evenVBand="0" w:oddHBand="0" w:evenHBand="0" w:firstRowFirstColumn="0" w:firstRowLastColumn="0" w:lastRowFirstColumn="0" w:lastRowLastColumn="0"/>
            </w:pPr>
            <w:r>
              <w:t>Reviewed specifications for services</w:t>
            </w:r>
          </w:p>
        </w:tc>
        <w:tc>
          <w:tcPr>
            <w:tcW w:w="3544" w:type="dxa"/>
          </w:tcPr>
          <w:p w14:paraId="4FDCEAB5" w14:textId="5167345D"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M</w:t>
            </w:r>
            <w:r w:rsidR="00EA6261">
              <w:rPr>
                <w:color w:val="1D1C1D"/>
                <w:sz w:val="23"/>
                <w:szCs w:val="23"/>
                <w:highlight w:val="white"/>
              </w:rPr>
              <w:t xml:space="preserve">. </w:t>
            </w:r>
            <w:r>
              <w:rPr>
                <w:color w:val="1D1C1D"/>
                <w:sz w:val="23"/>
                <w:szCs w:val="23"/>
                <w:highlight w:val="white"/>
              </w:rPr>
              <w:t>Antonacci (INFN),</w:t>
            </w:r>
          </w:p>
          <w:p w14:paraId="6924FBE4" w14:textId="7F857710"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V</w:t>
            </w:r>
            <w:r w:rsidR="00EA6261">
              <w:t xml:space="preserve">. </w:t>
            </w:r>
            <w:r>
              <w:t>Ardizzone (</w:t>
            </w:r>
            <w:r w:rsidR="00EA6261">
              <w:t>(EGI Foundation)</w:t>
            </w:r>
            <w:r>
              <w:t>,</w:t>
            </w:r>
          </w:p>
          <w:p w14:paraId="4AE0475F" w14:textId="404C207D"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P</w:t>
            </w:r>
            <w:r w:rsidR="00EA6261">
              <w:t xml:space="preserve">. </w:t>
            </w:r>
            <w:r>
              <w:t>Bhoumik (ETH Zurich),</w:t>
            </w:r>
          </w:p>
          <w:p w14:paraId="191EF6C8" w14:textId="1C7F1E26"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J</w:t>
            </w:r>
            <w:r w:rsidR="00EA6261">
              <w:t xml:space="preserve">. </w:t>
            </w:r>
            <w:r>
              <w:t xml:space="preserve">Caballero (STFC), </w:t>
            </w:r>
          </w:p>
          <w:p w14:paraId="53EE2661" w14:textId="383FB8F2"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M</w:t>
            </w:r>
            <w:r w:rsidR="00EA6261">
              <w:t xml:space="preserve">. </w:t>
            </w:r>
            <w:r>
              <w:t xml:space="preserve">Caballer (UPV), </w:t>
            </w:r>
          </w:p>
          <w:p w14:paraId="72433B44" w14:textId="227E68C3"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A</w:t>
            </w:r>
            <w:r w:rsidR="00EA6261">
              <w:rPr>
                <w:color w:val="1D1C1D"/>
                <w:sz w:val="23"/>
                <w:szCs w:val="23"/>
                <w:highlight w:val="white"/>
              </w:rPr>
              <w:t xml:space="preserve">. </w:t>
            </w:r>
            <w:r>
              <w:rPr>
                <w:color w:val="1D1C1D"/>
                <w:sz w:val="23"/>
                <w:szCs w:val="23"/>
                <w:highlight w:val="white"/>
              </w:rPr>
              <w:t>Calatrava (UPV),</w:t>
            </w:r>
          </w:p>
          <w:p w14:paraId="18458C5A" w14:textId="54AAD49A" w:rsidR="00325915" w:rsidRDefault="00325915" w:rsidP="00EA6261">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I</w:t>
            </w:r>
            <w:r w:rsidR="00EA6261">
              <w:rPr>
                <w:color w:val="1D1C1D"/>
                <w:sz w:val="23"/>
                <w:szCs w:val="23"/>
                <w:highlight w:val="white"/>
              </w:rPr>
              <w:t xml:space="preserve">. </w:t>
            </w:r>
            <w:r>
              <w:rPr>
                <w:color w:val="1D1C1D"/>
                <w:sz w:val="23"/>
                <w:szCs w:val="23"/>
                <w:highlight w:val="white"/>
              </w:rPr>
              <w:t>Collier</w:t>
            </w:r>
            <w:r w:rsidR="00EA6261">
              <w:rPr>
                <w:color w:val="1D1C1D"/>
                <w:sz w:val="23"/>
                <w:szCs w:val="23"/>
                <w:highlight w:val="white"/>
              </w:rPr>
              <w:t xml:space="preserve"> </w:t>
            </w:r>
            <w:r>
              <w:rPr>
                <w:color w:val="1D1C1D"/>
                <w:sz w:val="23"/>
                <w:szCs w:val="23"/>
                <w:highlight w:val="white"/>
              </w:rPr>
              <w:t>(STFC),</w:t>
            </w:r>
          </w:p>
          <w:p w14:paraId="3F261ADB" w14:textId="16BA1365" w:rsidR="00325915" w:rsidRDefault="00325915" w:rsidP="00EA6261">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R</w:t>
            </w:r>
            <w:r w:rsidR="00EA6261">
              <w:rPr>
                <w:color w:val="1D1C1D"/>
                <w:sz w:val="23"/>
                <w:szCs w:val="23"/>
                <w:highlight w:val="white"/>
              </w:rPr>
              <w:t xml:space="preserve">. </w:t>
            </w:r>
            <w:r>
              <w:rPr>
                <w:color w:val="1D1C1D"/>
                <w:sz w:val="23"/>
                <w:szCs w:val="23"/>
                <w:highlight w:val="white"/>
              </w:rPr>
              <w:t>Cooper (STFC),</w:t>
            </w:r>
          </w:p>
          <w:p w14:paraId="33E12C4F" w14:textId="5E1CA674" w:rsidR="00325915" w:rsidRDefault="00CB2A90" w:rsidP="00CB2A90">
            <w:pPr>
              <w:cnfStyle w:val="000000000000" w:firstRow="0" w:lastRow="0" w:firstColumn="0" w:lastColumn="0" w:oddVBand="0" w:evenVBand="0" w:oddHBand="0" w:evenHBand="0" w:firstRowFirstColumn="0" w:firstRowLastColumn="0" w:lastRowFirstColumn="0" w:lastRowLastColumn="0"/>
            </w:pPr>
            <w:r>
              <w:t xml:space="preserve">E. </w:t>
            </w:r>
            <w:r w:rsidR="00325915">
              <w:t>Fernández (</w:t>
            </w:r>
            <w:r w:rsidR="00EA6261">
              <w:t>EGI Foundation)</w:t>
            </w:r>
          </w:p>
          <w:p w14:paraId="606DA9FD" w14:textId="70F0EFA4"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W</w:t>
            </w:r>
            <w:r w:rsidR="00CB2A90">
              <w:rPr>
                <w:color w:val="1D1C1D"/>
                <w:sz w:val="23"/>
                <w:szCs w:val="23"/>
                <w:highlight w:val="white"/>
              </w:rPr>
              <w:t xml:space="preserve">. </w:t>
            </w:r>
            <w:r>
              <w:rPr>
                <w:color w:val="1D1C1D"/>
                <w:sz w:val="23"/>
                <w:szCs w:val="23"/>
                <w:highlight w:val="white"/>
              </w:rPr>
              <w:t>Karageorgos (IASA),</w:t>
            </w:r>
          </w:p>
          <w:p w14:paraId="6A1F4033" w14:textId="16C03CF1"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B</w:t>
            </w:r>
            <w:r w:rsidR="00CB2A90">
              <w:t xml:space="preserve">. </w:t>
            </w:r>
            <w:r>
              <w:t>Kryza (CYFRONET),</w:t>
            </w:r>
          </w:p>
          <w:p w14:paraId="4BEED6F1" w14:textId="58F8FCF7"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N</w:t>
            </w:r>
            <w:r w:rsidR="00CB2A90">
              <w:t xml:space="preserve">. </w:t>
            </w:r>
            <w:r>
              <w:t>Liampotis (GRNET),</w:t>
            </w:r>
          </w:p>
          <w:p w14:paraId="24B8C367" w14:textId="555EF02A"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S</w:t>
            </w:r>
            <w:r w:rsidR="00CB2A90">
              <w:rPr>
                <w:color w:val="1D1C1D"/>
                <w:sz w:val="23"/>
                <w:szCs w:val="23"/>
                <w:highlight w:val="white"/>
              </w:rPr>
              <w:t xml:space="preserve">. </w:t>
            </w:r>
            <w:r>
              <w:rPr>
                <w:color w:val="1D1C1D"/>
                <w:sz w:val="23"/>
                <w:szCs w:val="23"/>
                <w:highlight w:val="white"/>
              </w:rPr>
              <w:t>Licehammer (CESNET),</w:t>
            </w:r>
          </w:p>
          <w:p w14:paraId="5F2D16D0" w14:textId="4CD9A568"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A</w:t>
            </w:r>
            <w:r w:rsidR="00CB2A90">
              <w:t xml:space="preserve">. </w:t>
            </w:r>
            <w:r>
              <w:t xml:space="preserve">López (CSIC), </w:t>
            </w:r>
          </w:p>
          <w:p w14:paraId="5FD125F1" w14:textId="140C923A"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t>A</w:t>
            </w:r>
            <w:r w:rsidR="00CB2A90">
              <w:t xml:space="preserve">. </w:t>
            </w:r>
            <w:r>
              <w:t xml:space="preserve">Manzi (EGI.eu), </w:t>
            </w:r>
          </w:p>
          <w:p w14:paraId="75A97C78" w14:textId="703E3718" w:rsidR="00325915" w:rsidRDefault="00325915" w:rsidP="00EA6261">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G</w:t>
            </w:r>
            <w:r w:rsidR="00CB2A90">
              <w:rPr>
                <w:color w:val="1D1C1D"/>
                <w:sz w:val="23"/>
                <w:szCs w:val="23"/>
                <w:highlight w:val="white"/>
              </w:rPr>
              <w:t xml:space="preserve">. </w:t>
            </w:r>
            <w:r>
              <w:rPr>
                <w:color w:val="1D1C1D"/>
                <w:sz w:val="23"/>
                <w:szCs w:val="23"/>
                <w:highlight w:val="white"/>
              </w:rPr>
              <w:t xml:space="preserve">Marchetti (CNRS), </w:t>
            </w:r>
          </w:p>
          <w:p w14:paraId="0218F358" w14:textId="310B76FD" w:rsidR="00325915" w:rsidRDefault="00325915" w:rsidP="00EA6261">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G</w:t>
            </w:r>
            <w:r w:rsidR="00CB2A90">
              <w:rPr>
                <w:color w:val="1D1C1D"/>
                <w:sz w:val="23"/>
                <w:szCs w:val="23"/>
                <w:highlight w:val="white"/>
              </w:rPr>
              <w:t xml:space="preserve">. </w:t>
            </w:r>
            <w:r>
              <w:rPr>
                <w:color w:val="1D1C1D"/>
                <w:sz w:val="23"/>
                <w:szCs w:val="23"/>
                <w:highlight w:val="white"/>
              </w:rPr>
              <w:t xml:space="preserve">Moltó (UPV), </w:t>
            </w:r>
          </w:p>
          <w:p w14:paraId="123C323D" w14:textId="6EA400DC" w:rsidR="00325915" w:rsidRDefault="00325915" w:rsidP="00EA6261">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T</w:t>
            </w:r>
            <w:r w:rsidR="00CB2A90">
              <w:rPr>
                <w:color w:val="1D1C1D"/>
                <w:sz w:val="23"/>
                <w:szCs w:val="23"/>
                <w:highlight w:val="white"/>
              </w:rPr>
              <w:t xml:space="preserve">. </w:t>
            </w:r>
            <w:r>
              <w:rPr>
                <w:color w:val="1D1C1D"/>
                <w:sz w:val="23"/>
                <w:szCs w:val="23"/>
                <w:highlight w:val="white"/>
              </w:rPr>
              <w:t xml:space="preserve">Noble (STFC), </w:t>
            </w:r>
          </w:p>
          <w:p w14:paraId="2A601BA4" w14:textId="196A7B69" w:rsidR="00325915" w:rsidRDefault="00CB2A90" w:rsidP="00EA6261">
            <w:pPr>
              <w:jc w:val="left"/>
              <w:cnfStyle w:val="000000000000" w:firstRow="0" w:lastRow="0" w:firstColumn="0" w:lastColumn="0" w:oddVBand="0" w:evenVBand="0" w:oddHBand="0" w:evenHBand="0" w:firstRowFirstColumn="0" w:firstRowLastColumn="0" w:lastRowFirstColumn="0" w:lastRowLastColumn="0"/>
            </w:pPr>
            <w:r>
              <w:t xml:space="preserve">V. </w:t>
            </w:r>
            <w:r w:rsidR="00325915">
              <w:t xml:space="preserve">Tran (IISAS), </w:t>
            </w:r>
          </w:p>
          <w:p w14:paraId="44112603" w14:textId="1EA6E481" w:rsidR="00325915" w:rsidRPr="0034007C" w:rsidRDefault="00325915" w:rsidP="00EA6261">
            <w:pPr>
              <w:jc w:val="left"/>
              <w:cnfStyle w:val="000000000000" w:firstRow="0" w:lastRow="0" w:firstColumn="0" w:lastColumn="0" w:oddVBand="0" w:evenVBand="0" w:oddHBand="0" w:evenHBand="0" w:firstRowFirstColumn="0" w:firstRowLastColumn="0" w:lastRowFirstColumn="0" w:lastRowLastColumn="0"/>
              <w:rPr>
                <w:lang w:val="en-US"/>
              </w:rPr>
            </w:pPr>
            <w:r w:rsidRPr="0034007C">
              <w:rPr>
                <w:lang w:val="en-US"/>
              </w:rPr>
              <w:t>P</w:t>
            </w:r>
            <w:r w:rsidR="0034007C" w:rsidRPr="0034007C">
              <w:rPr>
                <w:lang w:val="en-US"/>
              </w:rPr>
              <w:t xml:space="preserve">. </w:t>
            </w:r>
            <w:r w:rsidRPr="0034007C">
              <w:rPr>
                <w:lang w:val="en-US"/>
              </w:rPr>
              <w:t>Pospíšil (CESNET),</w:t>
            </w:r>
          </w:p>
          <w:p w14:paraId="60EC2D36" w14:textId="411220E5" w:rsidR="00325915" w:rsidRPr="00AE5894" w:rsidRDefault="00325915" w:rsidP="00EA6261">
            <w:pPr>
              <w:jc w:val="left"/>
              <w:cnfStyle w:val="000000000000" w:firstRow="0" w:lastRow="0" w:firstColumn="0" w:lastColumn="0" w:oddVBand="0" w:evenVBand="0" w:oddHBand="0" w:evenHBand="0" w:firstRowFirstColumn="0" w:firstRowLastColumn="0" w:lastRowFirstColumn="0" w:lastRowLastColumn="0"/>
              <w:rPr>
                <w:lang w:val="nl-NL"/>
              </w:rPr>
            </w:pPr>
            <w:r w:rsidRPr="00AE5894">
              <w:rPr>
                <w:color w:val="1D1C1D"/>
                <w:sz w:val="23"/>
                <w:szCs w:val="23"/>
                <w:highlight w:val="white"/>
                <w:lang w:val="nl-NL"/>
              </w:rPr>
              <w:t>D</w:t>
            </w:r>
            <w:r w:rsidR="0034007C">
              <w:rPr>
                <w:color w:val="1D1C1D"/>
                <w:sz w:val="23"/>
                <w:szCs w:val="23"/>
                <w:highlight w:val="white"/>
                <w:lang w:val="nl-NL"/>
              </w:rPr>
              <w:t xml:space="preserve">. </w:t>
            </w:r>
            <w:r w:rsidRPr="00AE5894">
              <w:rPr>
                <w:color w:val="1D1C1D"/>
                <w:sz w:val="23"/>
                <w:szCs w:val="23"/>
                <w:highlight w:val="white"/>
                <w:lang w:val="nl-NL"/>
              </w:rPr>
              <w:t xml:space="preserve">Spiga (INFN), </w:t>
            </w:r>
          </w:p>
          <w:p w14:paraId="5F8F4E93" w14:textId="487A6BAA" w:rsidR="00325915" w:rsidRPr="00AE5894" w:rsidRDefault="00325915" w:rsidP="00EA6261">
            <w:pPr>
              <w:jc w:val="left"/>
              <w:cnfStyle w:val="000000000000" w:firstRow="0" w:lastRow="0" w:firstColumn="0" w:lastColumn="0" w:oddVBand="0" w:evenVBand="0" w:oddHBand="0" w:evenHBand="0" w:firstRowFirstColumn="0" w:firstRowLastColumn="0" w:lastRowFirstColumn="0" w:lastRowLastColumn="0"/>
              <w:rPr>
                <w:lang w:val="nl-NL"/>
              </w:rPr>
            </w:pPr>
            <w:r w:rsidRPr="00AE5894">
              <w:rPr>
                <w:color w:val="1D1C1D"/>
                <w:sz w:val="23"/>
                <w:szCs w:val="23"/>
                <w:highlight w:val="white"/>
                <w:lang w:val="nl-NL"/>
              </w:rPr>
              <w:t>Z</w:t>
            </w:r>
            <w:r w:rsidR="0034007C">
              <w:rPr>
                <w:color w:val="1D1C1D"/>
                <w:sz w:val="23"/>
                <w:szCs w:val="23"/>
                <w:highlight w:val="white"/>
                <w:lang w:val="nl-NL"/>
              </w:rPr>
              <w:t xml:space="preserve">. </w:t>
            </w:r>
            <w:r w:rsidRPr="00AE5894">
              <w:rPr>
                <w:color w:val="1D1C1D"/>
                <w:sz w:val="23"/>
                <w:szCs w:val="23"/>
                <w:highlight w:val="white"/>
                <w:lang w:val="nl-NL"/>
              </w:rPr>
              <w:t xml:space="preserve">Šustr (CESNET), </w:t>
            </w:r>
          </w:p>
          <w:p w14:paraId="47D34513" w14:textId="69866EE5" w:rsidR="00325915" w:rsidRPr="00325915" w:rsidRDefault="00325915" w:rsidP="00EA6261">
            <w:pPr>
              <w:jc w:val="left"/>
              <w:cnfStyle w:val="000000000000" w:firstRow="0" w:lastRow="0" w:firstColumn="0" w:lastColumn="0" w:oddVBand="0" w:evenVBand="0" w:oddHBand="0" w:evenHBand="0" w:firstRowFirstColumn="0" w:firstRowLastColumn="0" w:lastRowFirstColumn="0" w:lastRowLastColumn="0"/>
              <w:rPr>
                <w:lang w:val="nl-NL"/>
              </w:rPr>
            </w:pPr>
            <w:r w:rsidRPr="00AE5894">
              <w:rPr>
                <w:color w:val="1D1C1D"/>
                <w:sz w:val="23"/>
                <w:szCs w:val="23"/>
                <w:highlight w:val="white"/>
                <w:lang w:val="nl-NL"/>
              </w:rPr>
              <w:t>R</w:t>
            </w:r>
            <w:r w:rsidR="0034007C">
              <w:rPr>
                <w:color w:val="1D1C1D"/>
                <w:sz w:val="23"/>
                <w:szCs w:val="23"/>
                <w:highlight w:val="white"/>
                <w:lang w:val="nl-NL"/>
              </w:rPr>
              <w:t xml:space="preserve">. </w:t>
            </w:r>
            <w:r w:rsidRPr="00AE5894">
              <w:rPr>
                <w:color w:val="1D1C1D"/>
                <w:sz w:val="23"/>
                <w:szCs w:val="23"/>
                <w:highlight w:val="white"/>
                <w:lang w:val="nl-NL"/>
              </w:rPr>
              <w:t>Wartenburger (ETH Zurich)</w:t>
            </w:r>
          </w:p>
        </w:tc>
      </w:tr>
      <w:tr w:rsidR="00325915" w:rsidRPr="00FD25AE" w14:paraId="08302ABA" w14:textId="77777777" w:rsidTr="00EA6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D909DE5" w14:textId="42D0AF3A" w:rsidR="00325915" w:rsidRPr="00FD25AE" w:rsidRDefault="00325915" w:rsidP="00325915">
            <w:r w:rsidRPr="00FD25AE">
              <w:t>v.</w:t>
            </w:r>
            <w:r>
              <w:t>0.3</w:t>
            </w:r>
          </w:p>
        </w:tc>
        <w:tc>
          <w:tcPr>
            <w:tcW w:w="1451" w:type="dxa"/>
          </w:tcPr>
          <w:p w14:paraId="60063DFF" w14:textId="4DFF547C" w:rsidR="00325915" w:rsidRPr="00FD25AE" w:rsidRDefault="00325915" w:rsidP="00325915">
            <w:pPr>
              <w:cnfStyle w:val="000000100000" w:firstRow="0" w:lastRow="0" w:firstColumn="0" w:lastColumn="0" w:oddVBand="0" w:evenVBand="0" w:oddHBand="1" w:evenHBand="0" w:firstRowFirstColumn="0" w:firstRowLastColumn="0" w:lastRowFirstColumn="0" w:lastRowLastColumn="0"/>
            </w:pPr>
            <w:r>
              <w:t>02/09/2022</w:t>
            </w:r>
          </w:p>
        </w:tc>
        <w:tc>
          <w:tcPr>
            <w:tcW w:w="3969" w:type="dxa"/>
          </w:tcPr>
          <w:p w14:paraId="6A853760" w14:textId="1C2E7CE5" w:rsidR="00325915" w:rsidRPr="00FD25AE" w:rsidRDefault="00325915" w:rsidP="00EA6261">
            <w:pPr>
              <w:jc w:val="left"/>
              <w:cnfStyle w:val="000000100000" w:firstRow="0" w:lastRow="0" w:firstColumn="0" w:lastColumn="0" w:oddVBand="0" w:evenVBand="0" w:oddHBand="1" w:evenHBand="0" w:firstRowFirstColumn="0" w:firstRowLastColumn="0" w:lastRowFirstColumn="0" w:lastRowLastColumn="0"/>
            </w:pPr>
            <w:r>
              <w:t>Handle reviewers comments</w:t>
            </w:r>
          </w:p>
        </w:tc>
        <w:tc>
          <w:tcPr>
            <w:tcW w:w="3544" w:type="dxa"/>
          </w:tcPr>
          <w:p w14:paraId="0EFFAF82" w14:textId="4AD852AD" w:rsidR="00A933CD" w:rsidRPr="0034007C" w:rsidRDefault="00A933CD" w:rsidP="0034007C">
            <w:pPr>
              <w:cnfStyle w:val="000000100000" w:firstRow="0" w:lastRow="0" w:firstColumn="0" w:lastColumn="0" w:oddVBand="0" w:evenVBand="0" w:oddHBand="1" w:evenHBand="0" w:firstRowFirstColumn="0" w:firstRowLastColumn="0" w:lastRowFirstColumn="0" w:lastRowLastColumn="0"/>
            </w:pPr>
            <w:r w:rsidRPr="0034007C">
              <w:rPr>
                <w:color w:val="1D1C1D"/>
                <w:sz w:val="23"/>
                <w:szCs w:val="23"/>
              </w:rPr>
              <w:t>A</w:t>
            </w:r>
            <w:r w:rsidR="00791159" w:rsidRPr="0034007C">
              <w:rPr>
                <w:color w:val="1D1C1D"/>
                <w:sz w:val="23"/>
                <w:szCs w:val="23"/>
              </w:rPr>
              <w:t>.</w:t>
            </w:r>
            <w:r w:rsidRPr="0034007C">
              <w:rPr>
                <w:color w:val="1D1C1D"/>
                <w:sz w:val="23"/>
                <w:szCs w:val="23"/>
              </w:rPr>
              <w:t>Manzi</w:t>
            </w:r>
            <w:r w:rsidR="0034007C" w:rsidRPr="0034007C">
              <w:rPr>
                <w:color w:val="1D1C1D"/>
                <w:sz w:val="23"/>
                <w:szCs w:val="23"/>
              </w:rPr>
              <w:t xml:space="preserve"> </w:t>
            </w:r>
            <w:r w:rsidR="0034007C">
              <w:t>(EGI Foundation),</w:t>
            </w:r>
          </w:p>
          <w:p w14:paraId="13AA529E" w14:textId="670F23AB" w:rsidR="00325915" w:rsidRPr="00FD25AE" w:rsidRDefault="00A933CD" w:rsidP="0034007C">
            <w:pPr>
              <w:cnfStyle w:val="000000100000" w:firstRow="0" w:lastRow="0" w:firstColumn="0" w:lastColumn="0" w:oddVBand="0" w:evenVBand="0" w:oddHBand="1" w:evenHBand="0" w:firstRowFirstColumn="0" w:firstRowLastColumn="0" w:lastRowFirstColumn="0" w:lastRowLastColumn="0"/>
            </w:pPr>
            <w:r w:rsidRPr="0034007C">
              <w:rPr>
                <w:color w:val="1D1C1D"/>
                <w:sz w:val="23"/>
                <w:szCs w:val="23"/>
              </w:rPr>
              <w:t>E</w:t>
            </w:r>
            <w:r w:rsidR="00791159" w:rsidRPr="0034007C">
              <w:rPr>
                <w:color w:val="1D1C1D"/>
                <w:sz w:val="23"/>
                <w:szCs w:val="23"/>
              </w:rPr>
              <w:t>.</w:t>
            </w:r>
            <w:r w:rsidRPr="0034007C">
              <w:rPr>
                <w:color w:val="1D1C1D"/>
                <w:sz w:val="23"/>
                <w:szCs w:val="23"/>
              </w:rPr>
              <w:t>Fernández</w:t>
            </w:r>
            <w:r w:rsidR="0034007C">
              <w:rPr>
                <w:color w:val="1D1C1D"/>
                <w:sz w:val="23"/>
                <w:szCs w:val="23"/>
              </w:rPr>
              <w:t xml:space="preserve"> </w:t>
            </w:r>
            <w:r w:rsidR="0034007C">
              <w:t>(EGI Foundation)</w:t>
            </w:r>
          </w:p>
        </w:tc>
      </w:tr>
      <w:tr w:rsidR="00600001" w:rsidRPr="00FD25AE" w14:paraId="2A17EA06" w14:textId="77777777" w:rsidTr="00EA6261">
        <w:tc>
          <w:tcPr>
            <w:cnfStyle w:val="001000000000" w:firstRow="0" w:lastRow="0" w:firstColumn="1" w:lastColumn="0" w:oddVBand="0" w:evenVBand="0" w:oddHBand="0" w:evenHBand="0" w:firstRowFirstColumn="0" w:firstRowLastColumn="0" w:lastRowFirstColumn="0" w:lastRowLastColumn="0"/>
            <w:tcW w:w="812" w:type="dxa"/>
          </w:tcPr>
          <w:p w14:paraId="7021C916" w14:textId="268C6DF5" w:rsidR="00600001" w:rsidRPr="00FD25AE" w:rsidRDefault="00600001" w:rsidP="00325915">
            <w:r>
              <w:t>v.0.4</w:t>
            </w:r>
          </w:p>
        </w:tc>
        <w:tc>
          <w:tcPr>
            <w:tcW w:w="1451" w:type="dxa"/>
          </w:tcPr>
          <w:p w14:paraId="5B2C52EB" w14:textId="1007D9B0" w:rsidR="00600001" w:rsidRDefault="00DE5E5C" w:rsidP="00325915">
            <w:pPr>
              <w:cnfStyle w:val="000000000000" w:firstRow="0" w:lastRow="0" w:firstColumn="0" w:lastColumn="0" w:oddVBand="0" w:evenVBand="0" w:oddHBand="0" w:evenHBand="0" w:firstRowFirstColumn="0" w:firstRowLastColumn="0" w:lastRowFirstColumn="0" w:lastRowLastColumn="0"/>
            </w:pPr>
            <w:r>
              <w:t>27/09/2022</w:t>
            </w:r>
          </w:p>
        </w:tc>
        <w:tc>
          <w:tcPr>
            <w:tcW w:w="3969" w:type="dxa"/>
          </w:tcPr>
          <w:p w14:paraId="4E75DA03" w14:textId="4C6E4A9F" w:rsidR="00600001" w:rsidRDefault="00DE5E5C" w:rsidP="00EA6261">
            <w:pPr>
              <w:jc w:val="left"/>
              <w:cnfStyle w:val="000000000000" w:firstRow="0" w:lastRow="0" w:firstColumn="0" w:lastColumn="0" w:oddVBand="0" w:evenVBand="0" w:oddHBand="0" w:evenHBand="0" w:firstRowFirstColumn="0" w:firstRowLastColumn="0" w:lastRowFirstColumn="0" w:lastRowLastColumn="0"/>
            </w:pPr>
            <w:r>
              <w:t>Send to SDS</w:t>
            </w:r>
          </w:p>
        </w:tc>
        <w:tc>
          <w:tcPr>
            <w:tcW w:w="3544" w:type="dxa"/>
          </w:tcPr>
          <w:p w14:paraId="1A397A5C" w14:textId="77777777" w:rsidR="00600001" w:rsidRPr="0034007C" w:rsidRDefault="00600001" w:rsidP="0034007C">
            <w:pPr>
              <w:cnfStyle w:val="000000000000" w:firstRow="0" w:lastRow="0" w:firstColumn="0" w:lastColumn="0" w:oddVBand="0" w:evenVBand="0" w:oddHBand="0" w:evenHBand="0" w:firstRowFirstColumn="0" w:firstRowLastColumn="0" w:lastRowFirstColumn="0" w:lastRowLastColumn="0"/>
              <w:rPr>
                <w:color w:val="1D1C1D"/>
                <w:sz w:val="23"/>
                <w:szCs w:val="23"/>
              </w:rPr>
            </w:pPr>
          </w:p>
        </w:tc>
      </w:tr>
      <w:tr w:rsidR="00325915" w:rsidRPr="00FD25AE" w14:paraId="586B68AE" w14:textId="77777777" w:rsidTr="00EA6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811FC0E" w14:textId="53DADBCC" w:rsidR="00325915" w:rsidRPr="00FD25AE" w:rsidRDefault="00325915" w:rsidP="00325915">
            <w:r>
              <w:lastRenderedPageBreak/>
              <w:t>v.1</w:t>
            </w:r>
          </w:p>
        </w:tc>
        <w:tc>
          <w:tcPr>
            <w:tcW w:w="1451" w:type="dxa"/>
          </w:tcPr>
          <w:p w14:paraId="04FF653A" w14:textId="646514BE" w:rsidR="00325915" w:rsidRPr="00FD25AE" w:rsidRDefault="008F0215" w:rsidP="00325915">
            <w:pPr>
              <w:cnfStyle w:val="000000100000" w:firstRow="0" w:lastRow="0" w:firstColumn="0" w:lastColumn="0" w:oddVBand="0" w:evenVBand="0" w:oddHBand="1" w:evenHBand="0" w:firstRowFirstColumn="0" w:firstRowLastColumn="0" w:lastRowFirstColumn="0" w:lastRowLastColumn="0"/>
            </w:pPr>
            <w:r>
              <w:t>12</w:t>
            </w:r>
            <w:r w:rsidR="00325915">
              <w:t>/</w:t>
            </w:r>
            <w:r w:rsidR="00A55586">
              <w:t>1</w:t>
            </w:r>
            <w:r w:rsidR="00325915">
              <w:t>0/2022</w:t>
            </w:r>
          </w:p>
        </w:tc>
        <w:tc>
          <w:tcPr>
            <w:tcW w:w="3969" w:type="dxa"/>
          </w:tcPr>
          <w:p w14:paraId="54DB2821" w14:textId="5B5F8230" w:rsidR="00325915" w:rsidRDefault="00325915" w:rsidP="00EA6261">
            <w:pPr>
              <w:jc w:val="left"/>
              <w:cnfStyle w:val="000000100000" w:firstRow="0" w:lastRow="0" w:firstColumn="0" w:lastColumn="0" w:oddVBand="0" w:evenVBand="0" w:oddHBand="1" w:evenHBand="0" w:firstRowFirstColumn="0" w:firstRowLastColumn="0" w:lastRowFirstColumn="0" w:lastRowLastColumn="0"/>
            </w:pPr>
            <w:r>
              <w:t>Final</w:t>
            </w:r>
          </w:p>
        </w:tc>
        <w:tc>
          <w:tcPr>
            <w:tcW w:w="3544" w:type="dxa"/>
          </w:tcPr>
          <w:p w14:paraId="769F4D75" w14:textId="77777777" w:rsidR="00325915" w:rsidRPr="00FD25AE" w:rsidRDefault="00325915" w:rsidP="00EA6261">
            <w:pPr>
              <w:jc w:val="left"/>
              <w:cnfStyle w:val="000000100000" w:firstRow="0" w:lastRow="0" w:firstColumn="0" w:lastColumn="0" w:oddVBand="0" w:evenVBand="0" w:oddHBand="1" w:evenHBand="0" w:firstRowFirstColumn="0" w:firstRowLastColumn="0" w:lastRowFirstColumn="0" w:lastRowLastColumn="0"/>
            </w:pPr>
          </w:p>
        </w:tc>
      </w:tr>
    </w:tbl>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000000"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6B9697C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FA5C0D5" w14:textId="77777777" w:rsidR="00D21B39" w:rsidRPr="00FD25AE" w:rsidRDefault="0026623E" w:rsidP="00C82525">
            <w:r w:rsidRPr="00FD25AE">
              <w:t>Terminology/Acronym</w:t>
            </w:r>
          </w:p>
        </w:tc>
        <w:tc>
          <w:tcPr>
            <w:tcW w:w="6427" w:type="dxa"/>
          </w:tcPr>
          <w:p w14:paraId="44E3A0A4"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E10C86" w:rsidRPr="00FD25AE" w14:paraId="68EDD2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B48C1B3" w14:textId="4EC0AECB" w:rsidR="00E10C86" w:rsidRPr="00FD25AE" w:rsidRDefault="00E10C86" w:rsidP="00E10C86">
            <w:r>
              <w:t>AAI</w:t>
            </w:r>
          </w:p>
        </w:tc>
        <w:tc>
          <w:tcPr>
            <w:tcW w:w="6427" w:type="dxa"/>
          </w:tcPr>
          <w:p w14:paraId="013BA9CD" w14:textId="50FE7B36" w:rsidR="00E10C86" w:rsidRPr="00FD25AE" w:rsidRDefault="00E10C86" w:rsidP="00E10C86">
            <w:pPr>
              <w:cnfStyle w:val="000000100000" w:firstRow="0" w:lastRow="0" w:firstColumn="0" w:lastColumn="0" w:oddVBand="0" w:evenVBand="0" w:oddHBand="1" w:evenHBand="0" w:firstRowFirstColumn="0" w:firstRowLastColumn="0" w:lastRowFirstColumn="0" w:lastRowLastColumn="0"/>
            </w:pPr>
            <w:r>
              <w:t>Authentication and Authorisation Infrastructure</w:t>
            </w:r>
          </w:p>
        </w:tc>
      </w:tr>
      <w:tr w:rsidR="00E10C86" w:rsidRPr="00FD25AE" w14:paraId="17EC293A" w14:textId="77777777">
        <w:tc>
          <w:tcPr>
            <w:cnfStyle w:val="001000000000" w:firstRow="0" w:lastRow="0" w:firstColumn="1" w:lastColumn="0" w:oddVBand="0" w:evenVBand="0" w:oddHBand="0" w:evenHBand="0" w:firstRowFirstColumn="0" w:firstRowLastColumn="0" w:lastRowFirstColumn="0" w:lastRowLastColumn="0"/>
            <w:tcW w:w="2589" w:type="dxa"/>
          </w:tcPr>
          <w:p w14:paraId="06B7E8FB" w14:textId="4DC99BCF" w:rsidR="00E10C86" w:rsidRPr="00FD25AE" w:rsidRDefault="00E10C86" w:rsidP="00E10C86">
            <w:r>
              <w:t>AI/ML</w:t>
            </w:r>
          </w:p>
        </w:tc>
        <w:tc>
          <w:tcPr>
            <w:tcW w:w="6427" w:type="dxa"/>
          </w:tcPr>
          <w:p w14:paraId="5871919D" w14:textId="4A6B4232" w:rsidR="00E10C86" w:rsidRPr="00FD25AE" w:rsidRDefault="00E10C86" w:rsidP="00E10C86">
            <w:pPr>
              <w:cnfStyle w:val="000000000000" w:firstRow="0" w:lastRow="0" w:firstColumn="0" w:lastColumn="0" w:oddVBand="0" w:evenVBand="0" w:oddHBand="0" w:evenHBand="0" w:firstRowFirstColumn="0" w:firstRowLastColumn="0" w:lastRowFirstColumn="0" w:lastRowLastColumn="0"/>
            </w:pPr>
            <w:r>
              <w:t>Artificial Intelligence / Machine Learning</w:t>
            </w:r>
          </w:p>
        </w:tc>
      </w:tr>
      <w:tr w:rsidR="00E10C86" w:rsidRPr="00FD25AE" w14:paraId="5C0EDA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9F64CD7" w14:textId="0FD74485" w:rsidR="00E10C86" w:rsidRPr="00FD25AE" w:rsidRDefault="00E10C86" w:rsidP="00E10C86">
            <w:r>
              <w:t>API</w:t>
            </w:r>
          </w:p>
        </w:tc>
        <w:tc>
          <w:tcPr>
            <w:tcW w:w="6427" w:type="dxa"/>
          </w:tcPr>
          <w:p w14:paraId="58EECBD7" w14:textId="506C5950" w:rsidR="00E10C86" w:rsidRPr="00FD25AE" w:rsidRDefault="00E10C86" w:rsidP="00E10C86">
            <w:pPr>
              <w:cnfStyle w:val="000000100000" w:firstRow="0" w:lastRow="0" w:firstColumn="0" w:lastColumn="0" w:oddVBand="0" w:evenVBand="0" w:oddHBand="1" w:evenHBand="0" w:firstRowFirstColumn="0" w:firstRowLastColumn="0" w:lastRowFirstColumn="0" w:lastRowLastColumn="0"/>
            </w:pPr>
            <w:r>
              <w:t>Application Programming Interface</w:t>
            </w:r>
          </w:p>
        </w:tc>
      </w:tr>
      <w:tr w:rsidR="00E10C86" w:rsidRPr="00FD25AE" w14:paraId="7F1C5B7E" w14:textId="77777777">
        <w:tc>
          <w:tcPr>
            <w:cnfStyle w:val="001000000000" w:firstRow="0" w:lastRow="0" w:firstColumn="1" w:lastColumn="0" w:oddVBand="0" w:evenVBand="0" w:oddHBand="0" w:evenHBand="0" w:firstRowFirstColumn="0" w:firstRowLastColumn="0" w:lastRowFirstColumn="0" w:lastRowLastColumn="0"/>
            <w:tcW w:w="2589" w:type="dxa"/>
          </w:tcPr>
          <w:p w14:paraId="40F3D442" w14:textId="67AB3856" w:rsidR="00E10C86" w:rsidRPr="00FD25AE" w:rsidRDefault="00E10C86" w:rsidP="00E10C86">
            <w:r>
              <w:t>AWS</w:t>
            </w:r>
          </w:p>
        </w:tc>
        <w:tc>
          <w:tcPr>
            <w:tcW w:w="6427" w:type="dxa"/>
          </w:tcPr>
          <w:p w14:paraId="6522B23B" w14:textId="2E9D3920" w:rsidR="00E10C86" w:rsidRPr="00FD25AE" w:rsidRDefault="00E10C86" w:rsidP="00E10C86">
            <w:pPr>
              <w:cnfStyle w:val="000000000000" w:firstRow="0" w:lastRow="0" w:firstColumn="0" w:lastColumn="0" w:oddVBand="0" w:evenVBand="0" w:oddHBand="0" w:evenHBand="0" w:firstRowFirstColumn="0" w:firstRowLastColumn="0" w:lastRowFirstColumn="0" w:lastRowLastColumn="0"/>
            </w:pPr>
            <w:r>
              <w:t>Amazon Web Services</w:t>
            </w:r>
          </w:p>
        </w:tc>
      </w:tr>
      <w:tr w:rsidR="00E10C86" w:rsidRPr="00FD25AE" w14:paraId="11AD9B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668BE8B" w14:textId="4C3131AA" w:rsidR="00E10C86" w:rsidRDefault="00E10C86" w:rsidP="00E10C86">
            <w:r>
              <w:t>CDMI</w:t>
            </w:r>
          </w:p>
        </w:tc>
        <w:tc>
          <w:tcPr>
            <w:tcW w:w="6427" w:type="dxa"/>
          </w:tcPr>
          <w:p w14:paraId="7B62A053" w14:textId="164B2B04" w:rsidR="00E10C86" w:rsidRDefault="00E10C86" w:rsidP="00E10C86">
            <w:pPr>
              <w:cnfStyle w:val="000000100000" w:firstRow="0" w:lastRow="0" w:firstColumn="0" w:lastColumn="0" w:oddVBand="0" w:evenVBand="0" w:oddHBand="1" w:evenHBand="0" w:firstRowFirstColumn="0" w:firstRowLastColumn="0" w:lastRowFirstColumn="0" w:lastRowLastColumn="0"/>
            </w:pPr>
            <w:r>
              <w:t>Cloud Data Management Interface</w:t>
            </w:r>
          </w:p>
        </w:tc>
      </w:tr>
      <w:tr w:rsidR="00E10C86" w:rsidRPr="00FD25AE" w14:paraId="7D60B283" w14:textId="77777777">
        <w:tc>
          <w:tcPr>
            <w:cnfStyle w:val="001000000000" w:firstRow="0" w:lastRow="0" w:firstColumn="1" w:lastColumn="0" w:oddVBand="0" w:evenVBand="0" w:oddHBand="0" w:evenHBand="0" w:firstRowFirstColumn="0" w:firstRowLastColumn="0" w:lastRowFirstColumn="0" w:lastRowLastColumn="0"/>
            <w:tcW w:w="2589" w:type="dxa"/>
          </w:tcPr>
          <w:p w14:paraId="4BA6F2C6" w14:textId="01AD468D" w:rsidR="00E10C86" w:rsidRDefault="00E10C86" w:rsidP="00E10C86">
            <w:r>
              <w:t>CI/CD</w:t>
            </w:r>
          </w:p>
        </w:tc>
        <w:tc>
          <w:tcPr>
            <w:tcW w:w="6427" w:type="dxa"/>
          </w:tcPr>
          <w:p w14:paraId="5EBC6AF9" w14:textId="6F78458B" w:rsidR="00E10C86" w:rsidRDefault="00E10C86" w:rsidP="00E10C86">
            <w:pPr>
              <w:cnfStyle w:val="000000000000" w:firstRow="0" w:lastRow="0" w:firstColumn="0" w:lastColumn="0" w:oddVBand="0" w:evenVBand="0" w:oddHBand="0" w:evenHBand="0" w:firstRowFirstColumn="0" w:firstRowLastColumn="0" w:lastRowFirstColumn="0" w:lastRowLastColumn="0"/>
            </w:pPr>
            <w:r>
              <w:t>Continuous Integration and Continuous Delivery</w:t>
            </w:r>
          </w:p>
        </w:tc>
      </w:tr>
      <w:tr w:rsidR="00E10C86" w:rsidRPr="00FD25AE" w14:paraId="4E9BFF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5F4A10B" w14:textId="51A5EF73" w:rsidR="00E10C86" w:rsidRDefault="00E10C86" w:rsidP="00E10C86">
            <w:r>
              <w:t>CLI</w:t>
            </w:r>
          </w:p>
        </w:tc>
        <w:tc>
          <w:tcPr>
            <w:tcW w:w="6427" w:type="dxa"/>
          </w:tcPr>
          <w:p w14:paraId="24D3060E" w14:textId="65DFE4B8" w:rsidR="00E10C86" w:rsidRDefault="00E10C86" w:rsidP="00E10C86">
            <w:pPr>
              <w:cnfStyle w:val="000000100000" w:firstRow="0" w:lastRow="0" w:firstColumn="0" w:lastColumn="0" w:oddVBand="0" w:evenVBand="0" w:oddHBand="1" w:evenHBand="0" w:firstRowFirstColumn="0" w:firstRowLastColumn="0" w:lastRowFirstColumn="0" w:lastRowLastColumn="0"/>
            </w:pPr>
            <w:r>
              <w:t>Command-Line Interface</w:t>
            </w:r>
          </w:p>
        </w:tc>
      </w:tr>
      <w:tr w:rsidR="00E10C86" w:rsidRPr="00FD25AE" w14:paraId="2118C025" w14:textId="77777777">
        <w:tc>
          <w:tcPr>
            <w:cnfStyle w:val="001000000000" w:firstRow="0" w:lastRow="0" w:firstColumn="1" w:lastColumn="0" w:oddVBand="0" w:evenVBand="0" w:oddHBand="0" w:evenHBand="0" w:firstRowFirstColumn="0" w:firstRowLastColumn="0" w:lastRowFirstColumn="0" w:lastRowLastColumn="0"/>
            <w:tcW w:w="2589" w:type="dxa"/>
          </w:tcPr>
          <w:p w14:paraId="3801EC25" w14:textId="4D9017A5" w:rsidR="00E10C86" w:rsidRDefault="00E10C86" w:rsidP="00E10C86">
            <w:r>
              <w:t>DOI</w:t>
            </w:r>
          </w:p>
        </w:tc>
        <w:tc>
          <w:tcPr>
            <w:tcW w:w="6427" w:type="dxa"/>
          </w:tcPr>
          <w:p w14:paraId="3CCD0A81" w14:textId="2BE7E45E" w:rsidR="00E10C86" w:rsidRDefault="00E10C86" w:rsidP="00E10C86">
            <w:pPr>
              <w:cnfStyle w:val="000000000000" w:firstRow="0" w:lastRow="0" w:firstColumn="0" w:lastColumn="0" w:oddVBand="0" w:evenVBand="0" w:oddHBand="0" w:evenHBand="0" w:firstRowFirstColumn="0" w:firstRowLastColumn="0" w:lastRowFirstColumn="0" w:lastRowLastColumn="0"/>
            </w:pPr>
            <w:r>
              <w:t xml:space="preserve">Digital Object Identifier </w:t>
            </w:r>
          </w:p>
        </w:tc>
      </w:tr>
      <w:tr w:rsidR="00E10C86" w:rsidRPr="00FD25AE" w14:paraId="776563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8A99979" w14:textId="07B824B7" w:rsidR="00E10C86" w:rsidRDefault="00E10C86" w:rsidP="00E10C86">
            <w:r>
              <w:t>EOSC</w:t>
            </w:r>
          </w:p>
        </w:tc>
        <w:tc>
          <w:tcPr>
            <w:tcW w:w="6427" w:type="dxa"/>
          </w:tcPr>
          <w:p w14:paraId="2D71876E" w14:textId="3E65463D" w:rsidR="00E10C86" w:rsidRDefault="00E10C86" w:rsidP="00E10C86">
            <w:pPr>
              <w:cnfStyle w:val="000000100000" w:firstRow="0" w:lastRow="0" w:firstColumn="0" w:lastColumn="0" w:oddVBand="0" w:evenVBand="0" w:oddHBand="1" w:evenHBand="0" w:firstRowFirstColumn="0" w:firstRowLastColumn="0" w:lastRowFirstColumn="0" w:lastRowLastColumn="0"/>
            </w:pPr>
            <w:r>
              <w:t>European Open Science Cloud</w:t>
            </w:r>
          </w:p>
        </w:tc>
      </w:tr>
      <w:tr w:rsidR="00E10C86" w:rsidRPr="00FD25AE" w14:paraId="7A32BFFD" w14:textId="77777777">
        <w:tc>
          <w:tcPr>
            <w:cnfStyle w:val="001000000000" w:firstRow="0" w:lastRow="0" w:firstColumn="1" w:lastColumn="0" w:oddVBand="0" w:evenVBand="0" w:oddHBand="0" w:evenHBand="0" w:firstRowFirstColumn="0" w:firstRowLastColumn="0" w:lastRowFirstColumn="0" w:lastRowLastColumn="0"/>
            <w:tcW w:w="2589" w:type="dxa"/>
          </w:tcPr>
          <w:p w14:paraId="126A18DD" w14:textId="07FC50DD" w:rsidR="00E10C86" w:rsidRDefault="00E10C86" w:rsidP="00E10C86">
            <w:r>
              <w:t>GCP</w:t>
            </w:r>
          </w:p>
        </w:tc>
        <w:tc>
          <w:tcPr>
            <w:tcW w:w="6427" w:type="dxa"/>
          </w:tcPr>
          <w:p w14:paraId="0B4892C1" w14:textId="75B6DCD0" w:rsidR="00E10C86" w:rsidRDefault="00E10C86" w:rsidP="00E10C86">
            <w:pPr>
              <w:cnfStyle w:val="000000000000" w:firstRow="0" w:lastRow="0" w:firstColumn="0" w:lastColumn="0" w:oddVBand="0" w:evenVBand="0" w:oddHBand="0" w:evenHBand="0" w:firstRowFirstColumn="0" w:firstRowLastColumn="0" w:lastRowFirstColumn="0" w:lastRowLastColumn="0"/>
            </w:pPr>
            <w:r>
              <w:t>Google Cloud Platform</w:t>
            </w:r>
          </w:p>
        </w:tc>
      </w:tr>
      <w:tr w:rsidR="00E10C86" w:rsidRPr="00FD25AE" w14:paraId="741563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12C4F07" w14:textId="7383F69A" w:rsidR="00E10C86" w:rsidRDefault="00E10C86" w:rsidP="00E10C86">
            <w:r>
              <w:t>GUI</w:t>
            </w:r>
          </w:p>
        </w:tc>
        <w:tc>
          <w:tcPr>
            <w:tcW w:w="6427" w:type="dxa"/>
          </w:tcPr>
          <w:p w14:paraId="7BE0A48B" w14:textId="289858AC" w:rsidR="00E10C86" w:rsidRDefault="00E10C86" w:rsidP="00E10C86">
            <w:pPr>
              <w:cnfStyle w:val="000000100000" w:firstRow="0" w:lastRow="0" w:firstColumn="0" w:lastColumn="0" w:oddVBand="0" w:evenVBand="0" w:oddHBand="1" w:evenHBand="0" w:firstRowFirstColumn="0" w:firstRowLastColumn="0" w:lastRowFirstColumn="0" w:lastRowLastColumn="0"/>
            </w:pPr>
            <w:r>
              <w:t>Graphical User Interface</w:t>
            </w:r>
          </w:p>
        </w:tc>
      </w:tr>
      <w:tr w:rsidR="00E10C86" w:rsidRPr="00FD25AE" w14:paraId="5D825925" w14:textId="77777777">
        <w:tc>
          <w:tcPr>
            <w:cnfStyle w:val="001000000000" w:firstRow="0" w:lastRow="0" w:firstColumn="1" w:lastColumn="0" w:oddVBand="0" w:evenVBand="0" w:oddHBand="0" w:evenHBand="0" w:firstRowFirstColumn="0" w:firstRowLastColumn="0" w:lastRowFirstColumn="0" w:lastRowLastColumn="0"/>
            <w:tcW w:w="2589" w:type="dxa"/>
          </w:tcPr>
          <w:p w14:paraId="24930B72" w14:textId="6CA2BCC0" w:rsidR="00E10C86" w:rsidRDefault="00E10C86" w:rsidP="00E10C86">
            <w:r>
              <w:t>HPC</w:t>
            </w:r>
          </w:p>
        </w:tc>
        <w:tc>
          <w:tcPr>
            <w:tcW w:w="6427" w:type="dxa"/>
          </w:tcPr>
          <w:p w14:paraId="382AD035" w14:textId="3A300990" w:rsidR="00E10C86" w:rsidRDefault="00E10C86" w:rsidP="00E10C86">
            <w:pPr>
              <w:cnfStyle w:val="000000000000" w:firstRow="0" w:lastRow="0" w:firstColumn="0" w:lastColumn="0" w:oddVBand="0" w:evenVBand="0" w:oddHBand="0" w:evenHBand="0" w:firstRowFirstColumn="0" w:firstRowLastColumn="0" w:lastRowFirstColumn="0" w:lastRowLastColumn="0"/>
            </w:pPr>
            <w:r>
              <w:t>High Performance Computing</w:t>
            </w:r>
          </w:p>
        </w:tc>
      </w:tr>
      <w:tr w:rsidR="00E10C86" w:rsidRPr="00FD25AE" w14:paraId="0ACA35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023888C" w14:textId="0A77A493" w:rsidR="00E10C86" w:rsidRDefault="00E10C86" w:rsidP="00E10C86">
            <w:r>
              <w:t>HTC</w:t>
            </w:r>
          </w:p>
        </w:tc>
        <w:tc>
          <w:tcPr>
            <w:tcW w:w="6427" w:type="dxa"/>
          </w:tcPr>
          <w:p w14:paraId="2E3A39DA" w14:textId="2AF15B65" w:rsidR="00E10C86" w:rsidRDefault="00E10C86" w:rsidP="00E10C86">
            <w:pPr>
              <w:cnfStyle w:val="000000100000" w:firstRow="0" w:lastRow="0" w:firstColumn="0" w:lastColumn="0" w:oddVBand="0" w:evenVBand="0" w:oddHBand="1" w:evenHBand="0" w:firstRowFirstColumn="0" w:firstRowLastColumn="0" w:lastRowFirstColumn="0" w:lastRowLastColumn="0"/>
            </w:pPr>
            <w:r>
              <w:t>High-throughput Computing</w:t>
            </w:r>
          </w:p>
        </w:tc>
      </w:tr>
      <w:tr w:rsidR="00E10C86" w:rsidRPr="00FD25AE" w14:paraId="4D52DCAE" w14:textId="77777777">
        <w:tc>
          <w:tcPr>
            <w:cnfStyle w:val="001000000000" w:firstRow="0" w:lastRow="0" w:firstColumn="1" w:lastColumn="0" w:oddVBand="0" w:evenVBand="0" w:oddHBand="0" w:evenHBand="0" w:firstRowFirstColumn="0" w:firstRowLastColumn="0" w:lastRowFirstColumn="0" w:lastRowLastColumn="0"/>
            <w:tcW w:w="2589" w:type="dxa"/>
          </w:tcPr>
          <w:p w14:paraId="68BEDFDB" w14:textId="7EE8E615" w:rsidR="00E10C86" w:rsidRDefault="00E10C86" w:rsidP="00E10C86">
            <w:r>
              <w:t>IaaS</w:t>
            </w:r>
          </w:p>
        </w:tc>
        <w:tc>
          <w:tcPr>
            <w:tcW w:w="6427" w:type="dxa"/>
          </w:tcPr>
          <w:p w14:paraId="7D9EBA02" w14:textId="47CFC2E4" w:rsidR="00E10C86" w:rsidRDefault="00E10C86" w:rsidP="00E10C86">
            <w:pPr>
              <w:cnfStyle w:val="000000000000" w:firstRow="0" w:lastRow="0" w:firstColumn="0" w:lastColumn="0" w:oddVBand="0" w:evenVBand="0" w:oddHBand="0" w:evenHBand="0" w:firstRowFirstColumn="0" w:firstRowLastColumn="0" w:lastRowFirstColumn="0" w:lastRowLastColumn="0"/>
            </w:pPr>
            <w:r>
              <w:t>Infrastructure as a Service</w:t>
            </w:r>
          </w:p>
        </w:tc>
      </w:tr>
      <w:tr w:rsidR="00E10C86" w:rsidRPr="00FD25AE" w14:paraId="08C945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D341F84" w14:textId="2C72F0FC" w:rsidR="00E10C86" w:rsidRDefault="00E10C86" w:rsidP="00E10C86">
            <w:r>
              <w:t>IaC</w:t>
            </w:r>
          </w:p>
        </w:tc>
        <w:tc>
          <w:tcPr>
            <w:tcW w:w="6427" w:type="dxa"/>
          </w:tcPr>
          <w:p w14:paraId="63A9EBD5" w14:textId="5093BEA0" w:rsidR="00E10C86" w:rsidRDefault="00E10C86" w:rsidP="00E10C86">
            <w:pPr>
              <w:cnfStyle w:val="000000100000" w:firstRow="0" w:lastRow="0" w:firstColumn="0" w:lastColumn="0" w:oddVBand="0" w:evenVBand="0" w:oddHBand="1" w:evenHBand="0" w:firstRowFirstColumn="0" w:firstRowLastColumn="0" w:lastRowFirstColumn="0" w:lastRowLastColumn="0"/>
            </w:pPr>
            <w:r>
              <w:t>Infrastructure as Code</w:t>
            </w:r>
          </w:p>
        </w:tc>
      </w:tr>
      <w:tr w:rsidR="00E10C86" w:rsidRPr="00FD25AE" w14:paraId="069E5118" w14:textId="77777777">
        <w:tc>
          <w:tcPr>
            <w:cnfStyle w:val="001000000000" w:firstRow="0" w:lastRow="0" w:firstColumn="1" w:lastColumn="0" w:oddVBand="0" w:evenVBand="0" w:oddHBand="0" w:evenHBand="0" w:firstRowFirstColumn="0" w:firstRowLastColumn="0" w:lastRowFirstColumn="0" w:lastRowLastColumn="0"/>
            <w:tcW w:w="2589" w:type="dxa"/>
          </w:tcPr>
          <w:p w14:paraId="4464DE97" w14:textId="0299A891" w:rsidR="00E10C86" w:rsidRDefault="00E10C86" w:rsidP="00E10C86">
            <w:r>
              <w:t>IdP</w:t>
            </w:r>
          </w:p>
        </w:tc>
        <w:tc>
          <w:tcPr>
            <w:tcW w:w="6427" w:type="dxa"/>
          </w:tcPr>
          <w:p w14:paraId="6CBC15D4" w14:textId="5BE4618B" w:rsidR="00E10C86" w:rsidRDefault="00E10C86" w:rsidP="00E10C86">
            <w:pPr>
              <w:cnfStyle w:val="000000000000" w:firstRow="0" w:lastRow="0" w:firstColumn="0" w:lastColumn="0" w:oddVBand="0" w:evenVBand="0" w:oddHBand="0" w:evenHBand="0" w:firstRowFirstColumn="0" w:firstRowLastColumn="0" w:lastRowFirstColumn="0" w:lastRowLastColumn="0"/>
            </w:pPr>
            <w:r>
              <w:t>Identity Provider</w:t>
            </w:r>
          </w:p>
        </w:tc>
      </w:tr>
      <w:tr w:rsidR="00E10C86" w:rsidRPr="00FD25AE" w14:paraId="1ACE4A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C8F52E6" w14:textId="76FD1DDB" w:rsidR="00E10C86" w:rsidRDefault="00E10C86" w:rsidP="00E10C86">
            <w:r>
              <w:t>IM</w:t>
            </w:r>
          </w:p>
        </w:tc>
        <w:tc>
          <w:tcPr>
            <w:tcW w:w="6427" w:type="dxa"/>
          </w:tcPr>
          <w:p w14:paraId="316C1780" w14:textId="676F6207" w:rsidR="00E10C86" w:rsidRDefault="00E10C86" w:rsidP="00E10C86">
            <w:pPr>
              <w:cnfStyle w:val="000000100000" w:firstRow="0" w:lastRow="0" w:firstColumn="0" w:lastColumn="0" w:oddVBand="0" w:evenVBand="0" w:oddHBand="1" w:evenHBand="0" w:firstRowFirstColumn="0" w:firstRowLastColumn="0" w:lastRowFirstColumn="0" w:lastRowLastColumn="0"/>
            </w:pPr>
            <w:r>
              <w:t>Infrastructure Manager</w:t>
            </w:r>
          </w:p>
        </w:tc>
      </w:tr>
      <w:tr w:rsidR="00E10C86" w:rsidRPr="00FD25AE" w14:paraId="08638976" w14:textId="77777777">
        <w:tc>
          <w:tcPr>
            <w:cnfStyle w:val="001000000000" w:firstRow="0" w:lastRow="0" w:firstColumn="1" w:lastColumn="0" w:oddVBand="0" w:evenVBand="0" w:oddHBand="0" w:evenHBand="0" w:firstRowFirstColumn="0" w:firstRowLastColumn="0" w:lastRowFirstColumn="0" w:lastRowLastColumn="0"/>
            <w:tcW w:w="2589" w:type="dxa"/>
          </w:tcPr>
          <w:p w14:paraId="0CE5BD15" w14:textId="6D9D2445" w:rsidR="00E10C86" w:rsidRDefault="00E10C86" w:rsidP="00E10C86">
            <w:r>
              <w:t>JSON</w:t>
            </w:r>
          </w:p>
        </w:tc>
        <w:tc>
          <w:tcPr>
            <w:tcW w:w="6427" w:type="dxa"/>
          </w:tcPr>
          <w:p w14:paraId="649377B0" w14:textId="408551F1" w:rsidR="00E10C86" w:rsidRDefault="00E10C86" w:rsidP="00E10C86">
            <w:pPr>
              <w:cnfStyle w:val="000000000000" w:firstRow="0" w:lastRow="0" w:firstColumn="0" w:lastColumn="0" w:oddVBand="0" w:evenVBand="0" w:oddHBand="0" w:evenHBand="0" w:firstRowFirstColumn="0" w:firstRowLastColumn="0" w:lastRowFirstColumn="0" w:lastRowLastColumn="0"/>
            </w:pPr>
            <w:r>
              <w:t>JavaScript Object Notation</w:t>
            </w:r>
          </w:p>
        </w:tc>
      </w:tr>
      <w:tr w:rsidR="00E10C86" w:rsidRPr="00FD25AE" w14:paraId="712970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DF9C14F" w14:textId="5DDC20AF" w:rsidR="00E10C86" w:rsidRDefault="00E10C86" w:rsidP="00E10C86">
            <w:r>
              <w:t>LDAP</w:t>
            </w:r>
          </w:p>
        </w:tc>
        <w:tc>
          <w:tcPr>
            <w:tcW w:w="6427" w:type="dxa"/>
          </w:tcPr>
          <w:p w14:paraId="41799A83" w14:textId="60DEB536" w:rsidR="00E10C86" w:rsidRDefault="00E10C86" w:rsidP="00E10C86">
            <w:pPr>
              <w:cnfStyle w:val="000000100000" w:firstRow="0" w:lastRow="0" w:firstColumn="0" w:lastColumn="0" w:oddVBand="0" w:evenVBand="0" w:oddHBand="1" w:evenHBand="0" w:firstRowFirstColumn="0" w:firstRowLastColumn="0" w:lastRowFirstColumn="0" w:lastRowLastColumn="0"/>
            </w:pPr>
            <w:r>
              <w:t>Lightweight Directory Access Protocol</w:t>
            </w:r>
          </w:p>
        </w:tc>
      </w:tr>
      <w:tr w:rsidR="00DB6A68" w:rsidRPr="00FD25AE" w14:paraId="058ADC97" w14:textId="77777777">
        <w:tc>
          <w:tcPr>
            <w:cnfStyle w:val="001000000000" w:firstRow="0" w:lastRow="0" w:firstColumn="1" w:lastColumn="0" w:oddVBand="0" w:evenVBand="0" w:oddHBand="0" w:evenHBand="0" w:firstRowFirstColumn="0" w:firstRowLastColumn="0" w:lastRowFirstColumn="0" w:lastRowLastColumn="0"/>
            <w:tcW w:w="2589" w:type="dxa"/>
          </w:tcPr>
          <w:p w14:paraId="0794D1B0" w14:textId="0043FD49" w:rsidR="00DB6A68" w:rsidRDefault="00DB6A68" w:rsidP="00DB6A68">
            <w:r>
              <w:t>OIDC</w:t>
            </w:r>
          </w:p>
        </w:tc>
        <w:tc>
          <w:tcPr>
            <w:tcW w:w="6427" w:type="dxa"/>
          </w:tcPr>
          <w:p w14:paraId="733CFB8A" w14:textId="4B589A1B" w:rsidR="00DB6A68" w:rsidRDefault="00DB6A68" w:rsidP="00DB6A68">
            <w:pPr>
              <w:cnfStyle w:val="000000000000" w:firstRow="0" w:lastRow="0" w:firstColumn="0" w:lastColumn="0" w:oddVBand="0" w:evenVBand="0" w:oddHBand="0" w:evenHBand="0" w:firstRowFirstColumn="0" w:firstRowLastColumn="0" w:lastRowFirstColumn="0" w:lastRowLastColumn="0"/>
            </w:pPr>
            <w:r>
              <w:t>OpenID Connect</w:t>
            </w:r>
          </w:p>
        </w:tc>
      </w:tr>
      <w:tr w:rsidR="00DB6A68" w:rsidRPr="00FD25AE" w14:paraId="315A84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A8EEF3B" w14:textId="789A48EA" w:rsidR="00DB6A68" w:rsidRDefault="00DB6A68" w:rsidP="00DB6A68">
            <w:r>
              <w:t>OLA</w:t>
            </w:r>
          </w:p>
        </w:tc>
        <w:tc>
          <w:tcPr>
            <w:tcW w:w="6427" w:type="dxa"/>
          </w:tcPr>
          <w:p w14:paraId="087CA88B" w14:textId="51EC231B" w:rsidR="00DB6A68" w:rsidRDefault="00DB6A68" w:rsidP="00DB6A68">
            <w:pPr>
              <w:cnfStyle w:val="000000100000" w:firstRow="0" w:lastRow="0" w:firstColumn="0" w:lastColumn="0" w:oddVBand="0" w:evenVBand="0" w:oddHBand="1" w:evenHBand="0" w:firstRowFirstColumn="0" w:firstRowLastColumn="0" w:lastRowFirstColumn="0" w:lastRowLastColumn="0"/>
            </w:pPr>
            <w:r>
              <w:t>Operational Level Agreement</w:t>
            </w:r>
          </w:p>
        </w:tc>
      </w:tr>
      <w:tr w:rsidR="00DB6A68" w:rsidRPr="00FD25AE" w14:paraId="367A4E61" w14:textId="77777777">
        <w:tc>
          <w:tcPr>
            <w:cnfStyle w:val="001000000000" w:firstRow="0" w:lastRow="0" w:firstColumn="1" w:lastColumn="0" w:oddVBand="0" w:evenVBand="0" w:oddHBand="0" w:evenHBand="0" w:firstRowFirstColumn="0" w:firstRowLastColumn="0" w:lastRowFirstColumn="0" w:lastRowLastColumn="0"/>
            <w:tcW w:w="2589" w:type="dxa"/>
          </w:tcPr>
          <w:p w14:paraId="5F0E1DFD" w14:textId="0D1DB15D" w:rsidR="00DB6A68" w:rsidRDefault="00DB6A68" w:rsidP="00DB6A68">
            <w:r>
              <w:t>PaaS</w:t>
            </w:r>
          </w:p>
        </w:tc>
        <w:tc>
          <w:tcPr>
            <w:tcW w:w="6427" w:type="dxa"/>
          </w:tcPr>
          <w:p w14:paraId="3BA14FAC" w14:textId="4729F342" w:rsidR="00DB6A68" w:rsidRDefault="00DB6A68" w:rsidP="00DB6A68">
            <w:pPr>
              <w:cnfStyle w:val="000000000000" w:firstRow="0" w:lastRow="0" w:firstColumn="0" w:lastColumn="0" w:oddVBand="0" w:evenVBand="0" w:oddHBand="0" w:evenHBand="0" w:firstRowFirstColumn="0" w:firstRowLastColumn="0" w:lastRowFirstColumn="0" w:lastRowLastColumn="0"/>
            </w:pPr>
            <w:r>
              <w:t>Platform as a Service</w:t>
            </w:r>
          </w:p>
        </w:tc>
      </w:tr>
      <w:tr w:rsidR="00DB6A68" w:rsidRPr="00FD25AE" w14:paraId="2C250B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CD8CD05" w14:textId="242EF4F8" w:rsidR="00DB6A68" w:rsidRDefault="00DB6A68" w:rsidP="00DB6A68">
            <w:r>
              <w:t>PID</w:t>
            </w:r>
          </w:p>
        </w:tc>
        <w:tc>
          <w:tcPr>
            <w:tcW w:w="6427" w:type="dxa"/>
          </w:tcPr>
          <w:p w14:paraId="143E1129" w14:textId="387894D4" w:rsidR="00DB6A68" w:rsidRDefault="00DB6A68" w:rsidP="00DB6A68">
            <w:pPr>
              <w:cnfStyle w:val="000000100000" w:firstRow="0" w:lastRow="0" w:firstColumn="0" w:lastColumn="0" w:oddVBand="0" w:evenVBand="0" w:oddHBand="1" w:evenHBand="0" w:firstRowFirstColumn="0" w:firstRowLastColumn="0" w:lastRowFirstColumn="0" w:lastRowLastColumn="0"/>
            </w:pPr>
            <w:r>
              <w:t>Persistent Identifier</w:t>
            </w:r>
          </w:p>
        </w:tc>
      </w:tr>
      <w:tr w:rsidR="00DB6A68" w:rsidRPr="00FD25AE" w14:paraId="75F84C1F" w14:textId="77777777">
        <w:tc>
          <w:tcPr>
            <w:cnfStyle w:val="001000000000" w:firstRow="0" w:lastRow="0" w:firstColumn="1" w:lastColumn="0" w:oddVBand="0" w:evenVBand="0" w:oddHBand="0" w:evenHBand="0" w:firstRowFirstColumn="0" w:firstRowLastColumn="0" w:lastRowFirstColumn="0" w:lastRowLastColumn="0"/>
            <w:tcW w:w="2589" w:type="dxa"/>
          </w:tcPr>
          <w:p w14:paraId="08B45791" w14:textId="518D3733" w:rsidR="00DB6A68" w:rsidRDefault="00DB6A68" w:rsidP="00DB6A68">
            <w:r>
              <w:t>RDF</w:t>
            </w:r>
          </w:p>
        </w:tc>
        <w:tc>
          <w:tcPr>
            <w:tcW w:w="6427" w:type="dxa"/>
          </w:tcPr>
          <w:p w14:paraId="09900ABB" w14:textId="318B75C5" w:rsidR="00DB6A68" w:rsidRDefault="00DB6A68" w:rsidP="00DB6A68">
            <w:pPr>
              <w:cnfStyle w:val="000000000000" w:firstRow="0" w:lastRow="0" w:firstColumn="0" w:lastColumn="0" w:oddVBand="0" w:evenVBand="0" w:oddHBand="0" w:evenHBand="0" w:firstRowFirstColumn="0" w:firstRowLastColumn="0" w:lastRowFirstColumn="0" w:lastRowLastColumn="0"/>
            </w:pPr>
            <w:r>
              <w:t>Resource Description Framework</w:t>
            </w:r>
          </w:p>
        </w:tc>
      </w:tr>
      <w:tr w:rsidR="00DB6A68" w:rsidRPr="00FD25AE" w14:paraId="7153CD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6E300B5" w14:textId="37003B03" w:rsidR="00DB6A68" w:rsidRDefault="00DB6A68" w:rsidP="00DB6A68">
            <w:r>
              <w:t>REST</w:t>
            </w:r>
          </w:p>
        </w:tc>
        <w:tc>
          <w:tcPr>
            <w:tcW w:w="6427" w:type="dxa"/>
          </w:tcPr>
          <w:p w14:paraId="1D9ED4BB" w14:textId="1EE4B7E3" w:rsidR="00DB6A68" w:rsidRDefault="00DB6A68" w:rsidP="00DB6A68">
            <w:pPr>
              <w:cnfStyle w:val="000000100000" w:firstRow="0" w:lastRow="0" w:firstColumn="0" w:lastColumn="0" w:oddVBand="0" w:evenVBand="0" w:oddHBand="1" w:evenHBand="0" w:firstRowFirstColumn="0" w:firstRowLastColumn="0" w:lastRowFirstColumn="0" w:lastRowLastColumn="0"/>
            </w:pPr>
            <w:r>
              <w:t>Representational State Transfer</w:t>
            </w:r>
          </w:p>
        </w:tc>
      </w:tr>
      <w:tr w:rsidR="00DB6A68" w:rsidRPr="00FD25AE" w14:paraId="55529B77" w14:textId="77777777">
        <w:tc>
          <w:tcPr>
            <w:cnfStyle w:val="001000000000" w:firstRow="0" w:lastRow="0" w:firstColumn="1" w:lastColumn="0" w:oddVBand="0" w:evenVBand="0" w:oddHBand="0" w:evenHBand="0" w:firstRowFirstColumn="0" w:firstRowLastColumn="0" w:lastRowFirstColumn="0" w:lastRowLastColumn="0"/>
            <w:tcW w:w="2589" w:type="dxa"/>
          </w:tcPr>
          <w:p w14:paraId="7E87EC4C" w14:textId="5D231A04" w:rsidR="00DB6A68" w:rsidRDefault="00DB6A68" w:rsidP="00DB6A68">
            <w:r>
              <w:t>SLA</w:t>
            </w:r>
          </w:p>
        </w:tc>
        <w:tc>
          <w:tcPr>
            <w:tcW w:w="6427" w:type="dxa"/>
          </w:tcPr>
          <w:p w14:paraId="3F811014" w14:textId="26A9F9F9" w:rsidR="00DB6A68" w:rsidRDefault="00DB6A68" w:rsidP="00DB6A68">
            <w:pPr>
              <w:cnfStyle w:val="000000000000" w:firstRow="0" w:lastRow="0" w:firstColumn="0" w:lastColumn="0" w:oddVBand="0" w:evenVBand="0" w:oddHBand="0" w:evenHBand="0" w:firstRowFirstColumn="0" w:firstRowLastColumn="0" w:lastRowFirstColumn="0" w:lastRowLastColumn="0"/>
            </w:pPr>
            <w:r>
              <w:t>Service Level Agreement</w:t>
            </w:r>
          </w:p>
        </w:tc>
      </w:tr>
      <w:tr w:rsidR="00DB6A68" w:rsidRPr="00FD25AE" w14:paraId="5F4271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1B8C607" w14:textId="130D8734" w:rsidR="00DB6A68" w:rsidRDefault="00DB6A68" w:rsidP="00DB6A68">
            <w:r>
              <w:t>SP</w:t>
            </w:r>
          </w:p>
        </w:tc>
        <w:tc>
          <w:tcPr>
            <w:tcW w:w="6427" w:type="dxa"/>
          </w:tcPr>
          <w:p w14:paraId="0891DFC6" w14:textId="09089057" w:rsidR="00DB6A68" w:rsidRDefault="00DB6A68" w:rsidP="00DB6A68">
            <w:pPr>
              <w:cnfStyle w:val="000000100000" w:firstRow="0" w:lastRow="0" w:firstColumn="0" w:lastColumn="0" w:oddVBand="0" w:evenVBand="0" w:oddHBand="1" w:evenHBand="0" w:firstRowFirstColumn="0" w:firstRowLastColumn="0" w:lastRowFirstColumn="0" w:lastRowLastColumn="0"/>
            </w:pPr>
            <w:r>
              <w:t>Service Provider</w:t>
            </w:r>
          </w:p>
        </w:tc>
      </w:tr>
      <w:tr w:rsidR="00DB6A68" w:rsidRPr="00FD25AE" w14:paraId="082E7755" w14:textId="77777777">
        <w:tc>
          <w:tcPr>
            <w:cnfStyle w:val="001000000000" w:firstRow="0" w:lastRow="0" w:firstColumn="1" w:lastColumn="0" w:oddVBand="0" w:evenVBand="0" w:oddHBand="0" w:evenHBand="0" w:firstRowFirstColumn="0" w:firstRowLastColumn="0" w:lastRowFirstColumn="0" w:lastRowLastColumn="0"/>
            <w:tcW w:w="2589" w:type="dxa"/>
          </w:tcPr>
          <w:p w14:paraId="01DC7D4C" w14:textId="79A4B7C9" w:rsidR="00DB6A68" w:rsidRDefault="00DB6A68" w:rsidP="00DB6A68">
            <w:r>
              <w:t>SSH</w:t>
            </w:r>
          </w:p>
        </w:tc>
        <w:tc>
          <w:tcPr>
            <w:tcW w:w="6427" w:type="dxa"/>
          </w:tcPr>
          <w:p w14:paraId="02BF83C3" w14:textId="3F2B9047" w:rsidR="00DB6A68" w:rsidRDefault="00DB6A68" w:rsidP="00DB6A68">
            <w:pPr>
              <w:cnfStyle w:val="000000000000" w:firstRow="0" w:lastRow="0" w:firstColumn="0" w:lastColumn="0" w:oddVBand="0" w:evenVBand="0" w:oddHBand="0" w:evenHBand="0" w:firstRowFirstColumn="0" w:firstRowLastColumn="0" w:lastRowFirstColumn="0" w:lastRowLastColumn="0"/>
            </w:pPr>
            <w:r>
              <w:t>Secure Shell Protocol</w:t>
            </w:r>
          </w:p>
        </w:tc>
      </w:tr>
      <w:tr w:rsidR="00DB6A68" w:rsidRPr="00FD25AE" w14:paraId="23AB07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860FF37" w14:textId="734A757C" w:rsidR="00DB6A68" w:rsidRDefault="00DB6A68" w:rsidP="00DB6A68">
            <w:r>
              <w:t>TLS</w:t>
            </w:r>
          </w:p>
        </w:tc>
        <w:tc>
          <w:tcPr>
            <w:tcW w:w="6427" w:type="dxa"/>
          </w:tcPr>
          <w:p w14:paraId="2C2BB427" w14:textId="0A8A0FA9" w:rsidR="00DB6A68" w:rsidRDefault="00DB6A68" w:rsidP="00DB6A68">
            <w:pPr>
              <w:cnfStyle w:val="000000100000" w:firstRow="0" w:lastRow="0" w:firstColumn="0" w:lastColumn="0" w:oddVBand="0" w:evenVBand="0" w:oddHBand="1" w:evenHBand="0" w:firstRowFirstColumn="0" w:firstRowLastColumn="0" w:lastRowFirstColumn="0" w:lastRowLastColumn="0"/>
            </w:pPr>
            <w:r>
              <w:t>Transport Layer Security</w:t>
            </w:r>
          </w:p>
        </w:tc>
      </w:tr>
      <w:tr w:rsidR="00DB6A68" w:rsidRPr="00FD25AE" w14:paraId="67104801" w14:textId="77777777">
        <w:tc>
          <w:tcPr>
            <w:cnfStyle w:val="001000000000" w:firstRow="0" w:lastRow="0" w:firstColumn="1" w:lastColumn="0" w:oddVBand="0" w:evenVBand="0" w:oddHBand="0" w:evenHBand="0" w:firstRowFirstColumn="0" w:firstRowLastColumn="0" w:lastRowFirstColumn="0" w:lastRowLastColumn="0"/>
            <w:tcW w:w="2589" w:type="dxa"/>
          </w:tcPr>
          <w:p w14:paraId="0F0C830D" w14:textId="76A7396F" w:rsidR="00DB6A68" w:rsidRDefault="00DB6A68" w:rsidP="00DB6A68">
            <w:r>
              <w:t>VM</w:t>
            </w:r>
          </w:p>
        </w:tc>
        <w:tc>
          <w:tcPr>
            <w:tcW w:w="6427" w:type="dxa"/>
          </w:tcPr>
          <w:p w14:paraId="6E0C406B" w14:textId="085346D2" w:rsidR="00DB6A68" w:rsidRDefault="00DB6A68" w:rsidP="00DB6A68">
            <w:pPr>
              <w:cnfStyle w:val="000000000000" w:firstRow="0" w:lastRow="0" w:firstColumn="0" w:lastColumn="0" w:oddVBand="0" w:evenVBand="0" w:oddHBand="0" w:evenHBand="0" w:firstRowFirstColumn="0" w:firstRowLastColumn="0" w:lastRowFirstColumn="0" w:lastRowLastColumn="0"/>
            </w:pPr>
            <w:r>
              <w:t>Virtual Machine</w:t>
            </w:r>
          </w:p>
        </w:tc>
      </w:tr>
      <w:tr w:rsidR="00DB6A68" w:rsidRPr="00FD25AE" w14:paraId="5705AC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4FA8C2C" w14:textId="0FBC8265" w:rsidR="00DB6A68" w:rsidRDefault="00DB6A68" w:rsidP="00DB6A68">
            <w:r>
              <w:t>VMI</w:t>
            </w:r>
          </w:p>
        </w:tc>
        <w:tc>
          <w:tcPr>
            <w:tcW w:w="6427" w:type="dxa"/>
          </w:tcPr>
          <w:p w14:paraId="0AE0395F" w14:textId="4DE3115E" w:rsidR="00DB6A68" w:rsidRDefault="00DB6A68" w:rsidP="00DB6A68">
            <w:pPr>
              <w:cnfStyle w:val="000000100000" w:firstRow="0" w:lastRow="0" w:firstColumn="0" w:lastColumn="0" w:oddVBand="0" w:evenVBand="0" w:oddHBand="1" w:evenHBand="0" w:firstRowFirstColumn="0" w:firstRowLastColumn="0" w:lastRowFirstColumn="0" w:lastRowLastColumn="0"/>
            </w:pPr>
            <w:r>
              <w:t>Virtual Machine Image</w:t>
            </w:r>
          </w:p>
        </w:tc>
      </w:tr>
      <w:tr w:rsidR="00DB6A68" w:rsidRPr="00FD25AE" w14:paraId="270FAF51" w14:textId="77777777">
        <w:tc>
          <w:tcPr>
            <w:cnfStyle w:val="001000000000" w:firstRow="0" w:lastRow="0" w:firstColumn="1" w:lastColumn="0" w:oddVBand="0" w:evenVBand="0" w:oddHBand="0" w:evenHBand="0" w:firstRowFirstColumn="0" w:firstRowLastColumn="0" w:lastRowFirstColumn="0" w:lastRowLastColumn="0"/>
            <w:tcW w:w="2589" w:type="dxa"/>
          </w:tcPr>
          <w:p w14:paraId="4C7427AF" w14:textId="1FC58EEB" w:rsidR="00DB6A68" w:rsidRDefault="00DB6A68" w:rsidP="00DB6A68">
            <w:r>
              <w:t>VO</w:t>
            </w:r>
          </w:p>
        </w:tc>
        <w:tc>
          <w:tcPr>
            <w:tcW w:w="6427" w:type="dxa"/>
          </w:tcPr>
          <w:p w14:paraId="1F2344B6" w14:textId="790894B3" w:rsidR="00DB6A68" w:rsidRDefault="00DB6A68" w:rsidP="00DB6A68">
            <w:pPr>
              <w:cnfStyle w:val="000000000000" w:firstRow="0" w:lastRow="0" w:firstColumn="0" w:lastColumn="0" w:oddVBand="0" w:evenVBand="0" w:oddHBand="0" w:evenHBand="0" w:firstRowFirstColumn="0" w:firstRowLastColumn="0" w:lastRowFirstColumn="0" w:lastRowLastColumn="0"/>
            </w:pPr>
            <w:r>
              <w:t>Virtual Organisation</w:t>
            </w:r>
          </w:p>
        </w:tc>
      </w:tr>
      <w:tr w:rsidR="00DB6A68" w:rsidRPr="00FD25AE" w14:paraId="4A802C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0DE2D72" w14:textId="3230ADBD" w:rsidR="00DB6A68" w:rsidRDefault="00DB6A68" w:rsidP="00DB6A68">
            <w:r>
              <w:t>VPN</w:t>
            </w:r>
          </w:p>
        </w:tc>
        <w:tc>
          <w:tcPr>
            <w:tcW w:w="6427" w:type="dxa"/>
          </w:tcPr>
          <w:p w14:paraId="06822989" w14:textId="1085F9BD" w:rsidR="00DB6A68" w:rsidRDefault="00DB6A68" w:rsidP="00DB6A68">
            <w:pPr>
              <w:cnfStyle w:val="000000100000" w:firstRow="0" w:lastRow="0" w:firstColumn="0" w:lastColumn="0" w:oddVBand="0" w:evenVBand="0" w:oddHBand="1" w:evenHBand="0" w:firstRowFirstColumn="0" w:firstRowLastColumn="0" w:lastRowFirstColumn="0" w:lastRowLastColumn="0"/>
            </w:pPr>
            <w:r>
              <w:t>Virtual Private Network</w:t>
            </w:r>
          </w:p>
        </w:tc>
      </w:tr>
      <w:tr w:rsidR="00DB6A68" w:rsidRPr="00FD25AE" w14:paraId="6BC20431" w14:textId="77777777">
        <w:tc>
          <w:tcPr>
            <w:cnfStyle w:val="001000000000" w:firstRow="0" w:lastRow="0" w:firstColumn="1" w:lastColumn="0" w:oddVBand="0" w:evenVBand="0" w:oddHBand="0" w:evenHBand="0" w:firstRowFirstColumn="0" w:firstRowLastColumn="0" w:lastRowFirstColumn="0" w:lastRowLastColumn="0"/>
            <w:tcW w:w="2589" w:type="dxa"/>
          </w:tcPr>
          <w:p w14:paraId="5FCA2744" w14:textId="0D27B980" w:rsidR="00DB6A68" w:rsidRDefault="00DB6A68" w:rsidP="00DB6A68">
            <w:r>
              <w:t>WMS</w:t>
            </w:r>
          </w:p>
        </w:tc>
        <w:tc>
          <w:tcPr>
            <w:tcW w:w="6427" w:type="dxa"/>
          </w:tcPr>
          <w:p w14:paraId="69513743" w14:textId="480413FA" w:rsidR="00DB6A68" w:rsidRDefault="00DB6A68" w:rsidP="00DB6A68">
            <w:pPr>
              <w:cnfStyle w:val="000000000000" w:firstRow="0" w:lastRow="0" w:firstColumn="0" w:lastColumn="0" w:oddVBand="0" w:evenVBand="0" w:oddHBand="0" w:evenHBand="0" w:firstRowFirstColumn="0" w:firstRowLastColumn="0" w:lastRowFirstColumn="0" w:lastRowLastColumn="0"/>
            </w:pPr>
            <w:r>
              <w:t>Workload Manager Service</w:t>
            </w:r>
          </w:p>
        </w:tc>
      </w:tr>
      <w:tr w:rsidR="00DB6A68" w:rsidRPr="00FD25AE" w14:paraId="51F65E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4567660" w14:textId="7388607B" w:rsidR="00DB6A68" w:rsidRDefault="00DB6A68" w:rsidP="00DB6A68">
            <w:r>
              <w:t>XML</w:t>
            </w:r>
          </w:p>
        </w:tc>
        <w:tc>
          <w:tcPr>
            <w:tcW w:w="6427" w:type="dxa"/>
          </w:tcPr>
          <w:p w14:paraId="5408000A" w14:textId="51EA30FD" w:rsidR="00DB6A68" w:rsidRDefault="00DB6A68" w:rsidP="00DB6A68">
            <w:pPr>
              <w:cnfStyle w:val="000000100000" w:firstRow="0" w:lastRow="0" w:firstColumn="0" w:lastColumn="0" w:oddVBand="0" w:evenVBand="0" w:oddHBand="1" w:evenHBand="0" w:firstRowFirstColumn="0" w:firstRowLastColumn="0" w:lastRowFirstColumn="0" w:lastRowLastColumn="0"/>
            </w:pPr>
            <w:r>
              <w:t>Extensible Markup Language</w:t>
            </w:r>
          </w:p>
        </w:tc>
      </w:tr>
    </w:tbl>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76174C4B" w14:textId="52777159" w:rsidR="008B13ED" w:rsidRDefault="0026623E">
          <w:pPr>
            <w:pStyle w:val="TOC1"/>
            <w:rPr>
              <w:rFonts w:asciiTheme="minorHAnsi" w:eastAsiaTheme="minorEastAsia" w:hAnsiTheme="minorHAnsi" w:cstheme="minorBidi"/>
              <w:color w:val="auto"/>
              <w:spacing w:val="0"/>
              <w:sz w:val="24"/>
              <w:szCs w:val="24"/>
              <w:lang w:val="en-NL" w:eastAsia="en-GB"/>
            </w:rPr>
          </w:pPr>
          <w:r w:rsidRPr="00FD25AE">
            <w:fldChar w:fldCharType="begin"/>
          </w:r>
          <w:r w:rsidRPr="00FD25AE">
            <w:instrText xml:space="preserve"> TOC \h \u \z </w:instrText>
          </w:r>
          <w:r w:rsidRPr="00FD25AE">
            <w:fldChar w:fldCharType="separate"/>
          </w:r>
          <w:hyperlink w:anchor="_Toc116449102" w:history="1">
            <w:r w:rsidR="008B13ED" w:rsidRPr="00D52E4C">
              <w:rPr>
                <w:rStyle w:val="Hyperlink"/>
              </w:rPr>
              <w:t>Executive summary</w:t>
            </w:r>
            <w:r w:rsidR="008B13ED">
              <w:rPr>
                <w:webHidden/>
              </w:rPr>
              <w:tab/>
            </w:r>
            <w:r w:rsidR="008B13ED">
              <w:rPr>
                <w:webHidden/>
              </w:rPr>
              <w:fldChar w:fldCharType="begin"/>
            </w:r>
            <w:r w:rsidR="008B13ED">
              <w:rPr>
                <w:webHidden/>
              </w:rPr>
              <w:instrText xml:space="preserve"> PAGEREF _Toc116449102 \h </w:instrText>
            </w:r>
            <w:r w:rsidR="008B13ED">
              <w:rPr>
                <w:webHidden/>
              </w:rPr>
            </w:r>
            <w:r w:rsidR="008B13ED">
              <w:rPr>
                <w:webHidden/>
              </w:rPr>
              <w:fldChar w:fldCharType="separate"/>
            </w:r>
            <w:r w:rsidR="008B13ED">
              <w:rPr>
                <w:webHidden/>
              </w:rPr>
              <w:t>6</w:t>
            </w:r>
            <w:r w:rsidR="008B13ED">
              <w:rPr>
                <w:webHidden/>
              </w:rPr>
              <w:fldChar w:fldCharType="end"/>
            </w:r>
          </w:hyperlink>
        </w:p>
        <w:p w14:paraId="76D6DC4B" w14:textId="615DE0BE"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03" w:history="1">
            <w:r w:rsidR="008B13ED" w:rsidRPr="00D52E4C">
              <w:rPr>
                <w:rStyle w:val="Hyperlink"/>
              </w:rPr>
              <w:t>1</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Introduction</w:t>
            </w:r>
            <w:r w:rsidR="008B13ED">
              <w:rPr>
                <w:webHidden/>
              </w:rPr>
              <w:tab/>
            </w:r>
            <w:r w:rsidR="008B13ED">
              <w:rPr>
                <w:webHidden/>
              </w:rPr>
              <w:fldChar w:fldCharType="begin"/>
            </w:r>
            <w:r w:rsidR="008B13ED">
              <w:rPr>
                <w:webHidden/>
              </w:rPr>
              <w:instrText xml:space="preserve"> PAGEREF _Toc116449103 \h </w:instrText>
            </w:r>
            <w:r w:rsidR="008B13ED">
              <w:rPr>
                <w:webHidden/>
              </w:rPr>
            </w:r>
            <w:r w:rsidR="008B13ED">
              <w:rPr>
                <w:webHidden/>
              </w:rPr>
              <w:fldChar w:fldCharType="separate"/>
            </w:r>
            <w:r w:rsidR="008B13ED">
              <w:rPr>
                <w:webHidden/>
              </w:rPr>
              <w:t>7</w:t>
            </w:r>
            <w:r w:rsidR="008B13ED">
              <w:rPr>
                <w:webHidden/>
              </w:rPr>
              <w:fldChar w:fldCharType="end"/>
            </w:r>
          </w:hyperlink>
        </w:p>
        <w:p w14:paraId="2BCE1D9C" w14:textId="5C08A9FE"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04" w:history="1">
            <w:r w:rsidR="008B13ED" w:rsidRPr="00D52E4C">
              <w:rPr>
                <w:rStyle w:val="Hyperlink"/>
                <w:noProof/>
              </w:rPr>
              <w:t>1.1.</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Integration Modes for Resource Providers</w:t>
            </w:r>
            <w:r w:rsidR="008B13ED">
              <w:rPr>
                <w:noProof/>
                <w:webHidden/>
              </w:rPr>
              <w:tab/>
            </w:r>
            <w:r w:rsidR="008B13ED">
              <w:rPr>
                <w:noProof/>
                <w:webHidden/>
              </w:rPr>
              <w:fldChar w:fldCharType="begin"/>
            </w:r>
            <w:r w:rsidR="008B13ED">
              <w:rPr>
                <w:noProof/>
                <w:webHidden/>
              </w:rPr>
              <w:instrText xml:space="preserve"> PAGEREF _Toc116449104 \h </w:instrText>
            </w:r>
            <w:r w:rsidR="008B13ED">
              <w:rPr>
                <w:noProof/>
                <w:webHidden/>
              </w:rPr>
            </w:r>
            <w:r w:rsidR="008B13ED">
              <w:rPr>
                <w:noProof/>
                <w:webHidden/>
              </w:rPr>
              <w:fldChar w:fldCharType="separate"/>
            </w:r>
            <w:r w:rsidR="008B13ED">
              <w:rPr>
                <w:noProof/>
                <w:webHidden/>
              </w:rPr>
              <w:t>9</w:t>
            </w:r>
            <w:r w:rsidR="008B13ED">
              <w:rPr>
                <w:noProof/>
                <w:webHidden/>
              </w:rPr>
              <w:fldChar w:fldCharType="end"/>
            </w:r>
          </w:hyperlink>
        </w:p>
        <w:p w14:paraId="1D52C6F6" w14:textId="669B2F78"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05" w:history="1">
            <w:r w:rsidR="008B13ED" w:rsidRPr="00D52E4C">
              <w:rPr>
                <w:rStyle w:val="Hyperlink"/>
                <w:noProof/>
              </w:rPr>
              <w:t>1.2.</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Document organisation</w:t>
            </w:r>
            <w:r w:rsidR="008B13ED">
              <w:rPr>
                <w:noProof/>
                <w:webHidden/>
              </w:rPr>
              <w:tab/>
            </w:r>
            <w:r w:rsidR="008B13ED">
              <w:rPr>
                <w:noProof/>
                <w:webHidden/>
              </w:rPr>
              <w:fldChar w:fldCharType="begin"/>
            </w:r>
            <w:r w:rsidR="008B13ED">
              <w:rPr>
                <w:noProof/>
                <w:webHidden/>
              </w:rPr>
              <w:instrText xml:space="preserve"> PAGEREF _Toc116449105 \h </w:instrText>
            </w:r>
            <w:r w:rsidR="008B13ED">
              <w:rPr>
                <w:noProof/>
                <w:webHidden/>
              </w:rPr>
            </w:r>
            <w:r w:rsidR="008B13ED">
              <w:rPr>
                <w:noProof/>
                <w:webHidden/>
              </w:rPr>
              <w:fldChar w:fldCharType="separate"/>
            </w:r>
            <w:r w:rsidR="008B13ED">
              <w:rPr>
                <w:noProof/>
                <w:webHidden/>
              </w:rPr>
              <w:t>10</w:t>
            </w:r>
            <w:r w:rsidR="008B13ED">
              <w:rPr>
                <w:noProof/>
                <w:webHidden/>
              </w:rPr>
              <w:fldChar w:fldCharType="end"/>
            </w:r>
          </w:hyperlink>
        </w:p>
        <w:p w14:paraId="0BA78451" w14:textId="00AC150F"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06" w:history="1">
            <w:r w:rsidR="008B13ED" w:rsidRPr="00D52E4C">
              <w:rPr>
                <w:rStyle w:val="Hyperlink"/>
              </w:rPr>
              <w:t>2.</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Core Services</w:t>
            </w:r>
            <w:r w:rsidR="008B13ED">
              <w:rPr>
                <w:webHidden/>
              </w:rPr>
              <w:tab/>
            </w:r>
            <w:r w:rsidR="008B13ED">
              <w:rPr>
                <w:webHidden/>
              </w:rPr>
              <w:fldChar w:fldCharType="begin"/>
            </w:r>
            <w:r w:rsidR="008B13ED">
              <w:rPr>
                <w:webHidden/>
              </w:rPr>
              <w:instrText xml:space="preserve"> PAGEREF _Toc116449106 \h </w:instrText>
            </w:r>
            <w:r w:rsidR="008B13ED">
              <w:rPr>
                <w:webHidden/>
              </w:rPr>
            </w:r>
            <w:r w:rsidR="008B13ED">
              <w:rPr>
                <w:webHidden/>
              </w:rPr>
              <w:fldChar w:fldCharType="separate"/>
            </w:r>
            <w:r w:rsidR="008B13ED">
              <w:rPr>
                <w:webHidden/>
              </w:rPr>
              <w:t>12</w:t>
            </w:r>
            <w:r w:rsidR="008B13ED">
              <w:rPr>
                <w:webHidden/>
              </w:rPr>
              <w:fldChar w:fldCharType="end"/>
            </w:r>
          </w:hyperlink>
        </w:p>
        <w:p w14:paraId="348BCCB3" w14:textId="6FDAAF72"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07" w:history="1">
            <w:r w:rsidR="008B13ED" w:rsidRPr="00D52E4C">
              <w:rPr>
                <w:rStyle w:val="Hyperlink"/>
                <w:noProof/>
              </w:rPr>
              <w:t>2.1.</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EGI Check-in: Authentication and Authorisation</w:t>
            </w:r>
            <w:r w:rsidR="008B13ED">
              <w:rPr>
                <w:noProof/>
                <w:webHidden/>
              </w:rPr>
              <w:tab/>
            </w:r>
            <w:r w:rsidR="008B13ED">
              <w:rPr>
                <w:noProof/>
                <w:webHidden/>
              </w:rPr>
              <w:fldChar w:fldCharType="begin"/>
            </w:r>
            <w:r w:rsidR="008B13ED">
              <w:rPr>
                <w:noProof/>
                <w:webHidden/>
              </w:rPr>
              <w:instrText xml:space="preserve"> PAGEREF _Toc116449107 \h </w:instrText>
            </w:r>
            <w:r w:rsidR="008B13ED">
              <w:rPr>
                <w:noProof/>
                <w:webHidden/>
              </w:rPr>
            </w:r>
            <w:r w:rsidR="008B13ED">
              <w:rPr>
                <w:noProof/>
                <w:webHidden/>
              </w:rPr>
              <w:fldChar w:fldCharType="separate"/>
            </w:r>
            <w:r w:rsidR="008B13ED">
              <w:rPr>
                <w:noProof/>
                <w:webHidden/>
              </w:rPr>
              <w:t>12</w:t>
            </w:r>
            <w:r w:rsidR="008B13ED">
              <w:rPr>
                <w:noProof/>
                <w:webHidden/>
              </w:rPr>
              <w:fldChar w:fldCharType="end"/>
            </w:r>
          </w:hyperlink>
        </w:p>
        <w:p w14:paraId="7238CE7C" w14:textId="6FCBBC9C"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08" w:history="1">
            <w:r w:rsidR="008B13ED" w:rsidRPr="00D52E4C">
              <w:rPr>
                <w:rStyle w:val="Hyperlink"/>
                <w:noProof/>
              </w:rPr>
              <w:t>2.2.</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Configuration Database</w:t>
            </w:r>
            <w:r w:rsidR="008B13ED">
              <w:rPr>
                <w:noProof/>
                <w:webHidden/>
              </w:rPr>
              <w:tab/>
            </w:r>
            <w:r w:rsidR="008B13ED">
              <w:rPr>
                <w:noProof/>
                <w:webHidden/>
              </w:rPr>
              <w:fldChar w:fldCharType="begin"/>
            </w:r>
            <w:r w:rsidR="008B13ED">
              <w:rPr>
                <w:noProof/>
                <w:webHidden/>
              </w:rPr>
              <w:instrText xml:space="preserve"> PAGEREF _Toc116449108 \h </w:instrText>
            </w:r>
            <w:r w:rsidR="008B13ED">
              <w:rPr>
                <w:noProof/>
                <w:webHidden/>
              </w:rPr>
            </w:r>
            <w:r w:rsidR="008B13ED">
              <w:rPr>
                <w:noProof/>
                <w:webHidden/>
              </w:rPr>
              <w:fldChar w:fldCharType="separate"/>
            </w:r>
            <w:r w:rsidR="008B13ED">
              <w:rPr>
                <w:noProof/>
                <w:webHidden/>
              </w:rPr>
              <w:t>15</w:t>
            </w:r>
            <w:r w:rsidR="008B13ED">
              <w:rPr>
                <w:noProof/>
                <w:webHidden/>
              </w:rPr>
              <w:fldChar w:fldCharType="end"/>
            </w:r>
          </w:hyperlink>
        </w:p>
        <w:p w14:paraId="085654A0" w14:textId="13A608B9"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09" w:history="1">
            <w:r w:rsidR="008B13ED" w:rsidRPr="00D52E4C">
              <w:rPr>
                <w:rStyle w:val="Hyperlink"/>
                <w:noProof/>
              </w:rPr>
              <w:t>2.3.</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Accounting</w:t>
            </w:r>
            <w:r w:rsidR="008B13ED">
              <w:rPr>
                <w:noProof/>
                <w:webHidden/>
              </w:rPr>
              <w:tab/>
            </w:r>
            <w:r w:rsidR="008B13ED">
              <w:rPr>
                <w:noProof/>
                <w:webHidden/>
              </w:rPr>
              <w:fldChar w:fldCharType="begin"/>
            </w:r>
            <w:r w:rsidR="008B13ED">
              <w:rPr>
                <w:noProof/>
                <w:webHidden/>
              </w:rPr>
              <w:instrText xml:space="preserve"> PAGEREF _Toc116449109 \h </w:instrText>
            </w:r>
            <w:r w:rsidR="008B13ED">
              <w:rPr>
                <w:noProof/>
                <w:webHidden/>
              </w:rPr>
            </w:r>
            <w:r w:rsidR="008B13ED">
              <w:rPr>
                <w:noProof/>
                <w:webHidden/>
              </w:rPr>
              <w:fldChar w:fldCharType="separate"/>
            </w:r>
            <w:r w:rsidR="008B13ED">
              <w:rPr>
                <w:noProof/>
                <w:webHidden/>
              </w:rPr>
              <w:t>17</w:t>
            </w:r>
            <w:r w:rsidR="008B13ED">
              <w:rPr>
                <w:noProof/>
                <w:webHidden/>
              </w:rPr>
              <w:fldChar w:fldCharType="end"/>
            </w:r>
          </w:hyperlink>
        </w:p>
        <w:p w14:paraId="72F92F0D" w14:textId="7B0FE83D"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10" w:history="1">
            <w:r w:rsidR="008B13ED" w:rsidRPr="00D52E4C">
              <w:rPr>
                <w:rStyle w:val="Hyperlink"/>
                <w:noProof/>
              </w:rPr>
              <w:t>2.4.</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Monitoring</w:t>
            </w:r>
            <w:r w:rsidR="008B13ED">
              <w:rPr>
                <w:noProof/>
                <w:webHidden/>
              </w:rPr>
              <w:tab/>
            </w:r>
            <w:r w:rsidR="008B13ED">
              <w:rPr>
                <w:noProof/>
                <w:webHidden/>
              </w:rPr>
              <w:fldChar w:fldCharType="begin"/>
            </w:r>
            <w:r w:rsidR="008B13ED">
              <w:rPr>
                <w:noProof/>
                <w:webHidden/>
              </w:rPr>
              <w:instrText xml:space="preserve"> PAGEREF _Toc116449110 \h </w:instrText>
            </w:r>
            <w:r w:rsidR="008B13ED">
              <w:rPr>
                <w:noProof/>
                <w:webHidden/>
              </w:rPr>
            </w:r>
            <w:r w:rsidR="008B13ED">
              <w:rPr>
                <w:noProof/>
                <w:webHidden/>
              </w:rPr>
              <w:fldChar w:fldCharType="separate"/>
            </w:r>
            <w:r w:rsidR="008B13ED">
              <w:rPr>
                <w:noProof/>
                <w:webHidden/>
              </w:rPr>
              <w:t>18</w:t>
            </w:r>
            <w:r w:rsidR="008B13ED">
              <w:rPr>
                <w:noProof/>
                <w:webHidden/>
              </w:rPr>
              <w:fldChar w:fldCharType="end"/>
            </w:r>
          </w:hyperlink>
        </w:p>
        <w:p w14:paraId="5C8EF703" w14:textId="4C6CE044"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11" w:history="1">
            <w:r w:rsidR="008B13ED" w:rsidRPr="00D52E4C">
              <w:rPr>
                <w:rStyle w:val="Hyperlink"/>
                <w:noProof/>
              </w:rPr>
              <w:t>2.5.</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Helpdesk</w:t>
            </w:r>
            <w:r w:rsidR="008B13ED">
              <w:rPr>
                <w:noProof/>
                <w:webHidden/>
              </w:rPr>
              <w:tab/>
            </w:r>
            <w:r w:rsidR="008B13ED">
              <w:rPr>
                <w:noProof/>
                <w:webHidden/>
              </w:rPr>
              <w:fldChar w:fldCharType="begin"/>
            </w:r>
            <w:r w:rsidR="008B13ED">
              <w:rPr>
                <w:noProof/>
                <w:webHidden/>
              </w:rPr>
              <w:instrText xml:space="preserve"> PAGEREF _Toc116449111 \h </w:instrText>
            </w:r>
            <w:r w:rsidR="008B13ED">
              <w:rPr>
                <w:noProof/>
                <w:webHidden/>
              </w:rPr>
            </w:r>
            <w:r w:rsidR="008B13ED">
              <w:rPr>
                <w:noProof/>
                <w:webHidden/>
              </w:rPr>
              <w:fldChar w:fldCharType="separate"/>
            </w:r>
            <w:r w:rsidR="008B13ED">
              <w:rPr>
                <w:noProof/>
                <w:webHidden/>
              </w:rPr>
              <w:t>20</w:t>
            </w:r>
            <w:r w:rsidR="008B13ED">
              <w:rPr>
                <w:noProof/>
                <w:webHidden/>
              </w:rPr>
              <w:fldChar w:fldCharType="end"/>
            </w:r>
          </w:hyperlink>
        </w:p>
        <w:p w14:paraId="73A72081" w14:textId="2DCD817E"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12" w:history="1">
            <w:r w:rsidR="008B13ED" w:rsidRPr="00D52E4C">
              <w:rPr>
                <w:rStyle w:val="Hyperlink"/>
              </w:rPr>
              <w:t>3.</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Federated Resource providers</w:t>
            </w:r>
            <w:r w:rsidR="008B13ED">
              <w:rPr>
                <w:webHidden/>
              </w:rPr>
              <w:tab/>
            </w:r>
            <w:r w:rsidR="008B13ED">
              <w:rPr>
                <w:webHidden/>
              </w:rPr>
              <w:fldChar w:fldCharType="begin"/>
            </w:r>
            <w:r w:rsidR="008B13ED">
              <w:rPr>
                <w:webHidden/>
              </w:rPr>
              <w:instrText xml:space="preserve"> PAGEREF _Toc116449112 \h </w:instrText>
            </w:r>
            <w:r w:rsidR="008B13ED">
              <w:rPr>
                <w:webHidden/>
              </w:rPr>
            </w:r>
            <w:r w:rsidR="008B13ED">
              <w:rPr>
                <w:webHidden/>
              </w:rPr>
              <w:fldChar w:fldCharType="separate"/>
            </w:r>
            <w:r w:rsidR="008B13ED">
              <w:rPr>
                <w:webHidden/>
              </w:rPr>
              <w:t>22</w:t>
            </w:r>
            <w:r w:rsidR="008B13ED">
              <w:rPr>
                <w:webHidden/>
              </w:rPr>
              <w:fldChar w:fldCharType="end"/>
            </w:r>
          </w:hyperlink>
        </w:p>
        <w:p w14:paraId="6D96DCB6" w14:textId="7B653C6D"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13" w:history="1">
            <w:r w:rsidR="008B13ED" w:rsidRPr="00D52E4C">
              <w:rPr>
                <w:rStyle w:val="Hyperlink"/>
                <w:noProof/>
              </w:rPr>
              <w:t>3.1.</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Cloud IaaS</w:t>
            </w:r>
            <w:r w:rsidR="008B13ED">
              <w:rPr>
                <w:noProof/>
                <w:webHidden/>
              </w:rPr>
              <w:tab/>
            </w:r>
            <w:r w:rsidR="008B13ED">
              <w:rPr>
                <w:noProof/>
                <w:webHidden/>
              </w:rPr>
              <w:fldChar w:fldCharType="begin"/>
            </w:r>
            <w:r w:rsidR="008B13ED">
              <w:rPr>
                <w:noProof/>
                <w:webHidden/>
              </w:rPr>
              <w:instrText xml:space="preserve"> PAGEREF _Toc116449113 \h </w:instrText>
            </w:r>
            <w:r w:rsidR="008B13ED">
              <w:rPr>
                <w:noProof/>
                <w:webHidden/>
              </w:rPr>
            </w:r>
            <w:r w:rsidR="008B13ED">
              <w:rPr>
                <w:noProof/>
                <w:webHidden/>
              </w:rPr>
              <w:fldChar w:fldCharType="separate"/>
            </w:r>
            <w:r w:rsidR="008B13ED">
              <w:rPr>
                <w:noProof/>
                <w:webHidden/>
              </w:rPr>
              <w:t>22</w:t>
            </w:r>
            <w:r w:rsidR="008B13ED">
              <w:rPr>
                <w:noProof/>
                <w:webHidden/>
              </w:rPr>
              <w:fldChar w:fldCharType="end"/>
            </w:r>
          </w:hyperlink>
        </w:p>
        <w:p w14:paraId="4F9E2907" w14:textId="2FE74B34" w:rsidR="008B13ED" w:rsidRDefault="0000000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6449114" w:history="1">
            <w:r w:rsidR="008B13ED" w:rsidRPr="00D52E4C">
              <w:rPr>
                <w:rStyle w:val="Hyperlink"/>
                <w:noProof/>
              </w:rPr>
              <w:t>3.1.1.</w:t>
            </w:r>
            <w:r w:rsidR="008B13ED">
              <w:rPr>
                <w:rFonts w:asciiTheme="minorHAnsi" w:eastAsiaTheme="minorEastAsia" w:hAnsiTheme="minorHAnsi" w:cstheme="minorBidi"/>
                <w:noProof/>
                <w:spacing w:val="0"/>
                <w:sz w:val="24"/>
                <w:szCs w:val="24"/>
                <w:lang w:val="en-NL" w:eastAsia="en-GB"/>
              </w:rPr>
              <w:tab/>
            </w:r>
            <w:r w:rsidR="008B13ED" w:rsidRPr="00D52E4C">
              <w:rPr>
                <w:rStyle w:val="Hyperlink"/>
                <w:noProof/>
              </w:rPr>
              <w:t>AAI integration</w:t>
            </w:r>
            <w:r w:rsidR="008B13ED">
              <w:rPr>
                <w:noProof/>
                <w:webHidden/>
              </w:rPr>
              <w:tab/>
            </w:r>
            <w:r w:rsidR="008B13ED">
              <w:rPr>
                <w:noProof/>
                <w:webHidden/>
              </w:rPr>
              <w:fldChar w:fldCharType="begin"/>
            </w:r>
            <w:r w:rsidR="008B13ED">
              <w:rPr>
                <w:noProof/>
                <w:webHidden/>
              </w:rPr>
              <w:instrText xml:space="preserve"> PAGEREF _Toc116449114 \h </w:instrText>
            </w:r>
            <w:r w:rsidR="008B13ED">
              <w:rPr>
                <w:noProof/>
                <w:webHidden/>
              </w:rPr>
            </w:r>
            <w:r w:rsidR="008B13ED">
              <w:rPr>
                <w:noProof/>
                <w:webHidden/>
              </w:rPr>
              <w:fldChar w:fldCharType="separate"/>
            </w:r>
            <w:r w:rsidR="008B13ED">
              <w:rPr>
                <w:noProof/>
                <w:webHidden/>
              </w:rPr>
              <w:t>23</w:t>
            </w:r>
            <w:r w:rsidR="008B13ED">
              <w:rPr>
                <w:noProof/>
                <w:webHidden/>
              </w:rPr>
              <w:fldChar w:fldCharType="end"/>
            </w:r>
          </w:hyperlink>
        </w:p>
        <w:p w14:paraId="0198D594" w14:textId="430045AD" w:rsidR="008B13ED" w:rsidRDefault="0000000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6449115" w:history="1">
            <w:r w:rsidR="008B13ED" w:rsidRPr="00D52E4C">
              <w:rPr>
                <w:rStyle w:val="Hyperlink"/>
                <w:noProof/>
              </w:rPr>
              <w:t>3.1.2.</w:t>
            </w:r>
            <w:r w:rsidR="008B13ED">
              <w:rPr>
                <w:rFonts w:asciiTheme="minorHAnsi" w:eastAsiaTheme="minorEastAsia" w:hAnsiTheme="minorHAnsi" w:cstheme="minorBidi"/>
                <w:noProof/>
                <w:spacing w:val="0"/>
                <w:sz w:val="24"/>
                <w:szCs w:val="24"/>
                <w:lang w:val="en-NL" w:eastAsia="en-GB"/>
              </w:rPr>
              <w:tab/>
            </w:r>
            <w:r w:rsidR="008B13ED" w:rsidRPr="00D52E4C">
              <w:rPr>
                <w:rStyle w:val="Hyperlink"/>
                <w:noProof/>
              </w:rPr>
              <w:t>Application Sharing</w:t>
            </w:r>
            <w:r w:rsidR="008B13ED">
              <w:rPr>
                <w:noProof/>
                <w:webHidden/>
              </w:rPr>
              <w:tab/>
            </w:r>
            <w:r w:rsidR="008B13ED">
              <w:rPr>
                <w:noProof/>
                <w:webHidden/>
              </w:rPr>
              <w:fldChar w:fldCharType="begin"/>
            </w:r>
            <w:r w:rsidR="008B13ED">
              <w:rPr>
                <w:noProof/>
                <w:webHidden/>
              </w:rPr>
              <w:instrText xml:space="preserve"> PAGEREF _Toc116449115 \h </w:instrText>
            </w:r>
            <w:r w:rsidR="008B13ED">
              <w:rPr>
                <w:noProof/>
                <w:webHidden/>
              </w:rPr>
            </w:r>
            <w:r w:rsidR="008B13ED">
              <w:rPr>
                <w:noProof/>
                <w:webHidden/>
              </w:rPr>
              <w:fldChar w:fldCharType="separate"/>
            </w:r>
            <w:r w:rsidR="008B13ED">
              <w:rPr>
                <w:noProof/>
                <w:webHidden/>
              </w:rPr>
              <w:t>23</w:t>
            </w:r>
            <w:r w:rsidR="008B13ED">
              <w:rPr>
                <w:noProof/>
                <w:webHidden/>
              </w:rPr>
              <w:fldChar w:fldCharType="end"/>
            </w:r>
          </w:hyperlink>
        </w:p>
        <w:p w14:paraId="5F462EAF" w14:textId="43C79515" w:rsidR="008B13ED" w:rsidRDefault="0000000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6449116" w:history="1">
            <w:r w:rsidR="008B13ED" w:rsidRPr="00D52E4C">
              <w:rPr>
                <w:rStyle w:val="Hyperlink"/>
                <w:noProof/>
              </w:rPr>
              <w:t>3.1.3.</w:t>
            </w:r>
            <w:r w:rsidR="008B13ED">
              <w:rPr>
                <w:rFonts w:asciiTheme="minorHAnsi" w:eastAsiaTheme="minorEastAsia" w:hAnsiTheme="minorHAnsi" w:cstheme="minorBidi"/>
                <w:noProof/>
                <w:spacing w:val="0"/>
                <w:sz w:val="24"/>
                <w:szCs w:val="24"/>
                <w:lang w:val="en-NL" w:eastAsia="en-GB"/>
              </w:rPr>
              <w:tab/>
            </w:r>
            <w:r w:rsidR="008B13ED" w:rsidRPr="00D52E4C">
              <w:rPr>
                <w:rStyle w:val="Hyperlink"/>
                <w:noProof/>
              </w:rPr>
              <w:t>Compute and Data Federation</w:t>
            </w:r>
            <w:r w:rsidR="008B13ED">
              <w:rPr>
                <w:noProof/>
                <w:webHidden/>
              </w:rPr>
              <w:tab/>
            </w:r>
            <w:r w:rsidR="008B13ED">
              <w:rPr>
                <w:noProof/>
                <w:webHidden/>
              </w:rPr>
              <w:fldChar w:fldCharType="begin"/>
            </w:r>
            <w:r w:rsidR="008B13ED">
              <w:rPr>
                <w:noProof/>
                <w:webHidden/>
              </w:rPr>
              <w:instrText xml:space="preserve"> PAGEREF _Toc116449116 \h </w:instrText>
            </w:r>
            <w:r w:rsidR="008B13ED">
              <w:rPr>
                <w:noProof/>
                <w:webHidden/>
              </w:rPr>
            </w:r>
            <w:r w:rsidR="008B13ED">
              <w:rPr>
                <w:noProof/>
                <w:webHidden/>
              </w:rPr>
              <w:fldChar w:fldCharType="separate"/>
            </w:r>
            <w:r w:rsidR="008B13ED">
              <w:rPr>
                <w:noProof/>
                <w:webHidden/>
              </w:rPr>
              <w:t>23</w:t>
            </w:r>
            <w:r w:rsidR="008B13ED">
              <w:rPr>
                <w:noProof/>
                <w:webHidden/>
              </w:rPr>
              <w:fldChar w:fldCharType="end"/>
            </w:r>
          </w:hyperlink>
        </w:p>
        <w:p w14:paraId="2279D7F4" w14:textId="63DEC448" w:rsidR="008B13ED" w:rsidRDefault="0000000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6449117" w:history="1">
            <w:r w:rsidR="008B13ED" w:rsidRPr="00D52E4C">
              <w:rPr>
                <w:rStyle w:val="Hyperlink"/>
                <w:noProof/>
              </w:rPr>
              <w:t>3.1.4.</w:t>
            </w:r>
            <w:r w:rsidR="008B13ED">
              <w:rPr>
                <w:rFonts w:asciiTheme="minorHAnsi" w:eastAsiaTheme="minorEastAsia" w:hAnsiTheme="minorHAnsi" w:cstheme="minorBidi"/>
                <w:noProof/>
                <w:spacing w:val="0"/>
                <w:sz w:val="24"/>
                <w:szCs w:val="24"/>
                <w:lang w:val="en-NL" w:eastAsia="en-GB"/>
              </w:rPr>
              <w:tab/>
            </w:r>
            <w:r w:rsidR="008B13ED" w:rsidRPr="00D52E4C">
              <w:rPr>
                <w:rStyle w:val="Hyperlink"/>
                <w:noProof/>
              </w:rPr>
              <w:t>Integration with other core services</w:t>
            </w:r>
            <w:r w:rsidR="008B13ED">
              <w:rPr>
                <w:noProof/>
                <w:webHidden/>
              </w:rPr>
              <w:tab/>
            </w:r>
            <w:r w:rsidR="008B13ED">
              <w:rPr>
                <w:noProof/>
                <w:webHidden/>
              </w:rPr>
              <w:fldChar w:fldCharType="begin"/>
            </w:r>
            <w:r w:rsidR="008B13ED">
              <w:rPr>
                <w:noProof/>
                <w:webHidden/>
              </w:rPr>
              <w:instrText xml:space="preserve"> PAGEREF _Toc116449117 \h </w:instrText>
            </w:r>
            <w:r w:rsidR="008B13ED">
              <w:rPr>
                <w:noProof/>
                <w:webHidden/>
              </w:rPr>
            </w:r>
            <w:r w:rsidR="008B13ED">
              <w:rPr>
                <w:noProof/>
                <w:webHidden/>
              </w:rPr>
              <w:fldChar w:fldCharType="separate"/>
            </w:r>
            <w:r w:rsidR="008B13ED">
              <w:rPr>
                <w:noProof/>
                <w:webHidden/>
              </w:rPr>
              <w:t>23</w:t>
            </w:r>
            <w:r w:rsidR="008B13ED">
              <w:rPr>
                <w:noProof/>
                <w:webHidden/>
              </w:rPr>
              <w:fldChar w:fldCharType="end"/>
            </w:r>
          </w:hyperlink>
        </w:p>
        <w:p w14:paraId="375E6B8E" w14:textId="2E4C0D73"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18" w:history="1">
            <w:r w:rsidR="008B13ED" w:rsidRPr="00D52E4C">
              <w:rPr>
                <w:rStyle w:val="Hyperlink"/>
                <w:noProof/>
              </w:rPr>
              <w:t>3.2.</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High Throughput Computing</w:t>
            </w:r>
            <w:r w:rsidR="008B13ED">
              <w:rPr>
                <w:noProof/>
                <w:webHidden/>
              </w:rPr>
              <w:tab/>
            </w:r>
            <w:r w:rsidR="008B13ED">
              <w:rPr>
                <w:noProof/>
                <w:webHidden/>
              </w:rPr>
              <w:fldChar w:fldCharType="begin"/>
            </w:r>
            <w:r w:rsidR="008B13ED">
              <w:rPr>
                <w:noProof/>
                <w:webHidden/>
              </w:rPr>
              <w:instrText xml:space="preserve"> PAGEREF _Toc116449118 \h </w:instrText>
            </w:r>
            <w:r w:rsidR="008B13ED">
              <w:rPr>
                <w:noProof/>
                <w:webHidden/>
              </w:rPr>
            </w:r>
            <w:r w:rsidR="008B13ED">
              <w:rPr>
                <w:noProof/>
                <w:webHidden/>
              </w:rPr>
              <w:fldChar w:fldCharType="separate"/>
            </w:r>
            <w:r w:rsidR="008B13ED">
              <w:rPr>
                <w:noProof/>
                <w:webHidden/>
              </w:rPr>
              <w:t>24</w:t>
            </w:r>
            <w:r w:rsidR="008B13ED">
              <w:rPr>
                <w:noProof/>
                <w:webHidden/>
              </w:rPr>
              <w:fldChar w:fldCharType="end"/>
            </w:r>
          </w:hyperlink>
        </w:p>
        <w:p w14:paraId="3C50FE1A" w14:textId="613F1F07" w:rsidR="008B13ED" w:rsidRDefault="0000000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6449119" w:history="1">
            <w:r w:rsidR="008B13ED" w:rsidRPr="00D52E4C">
              <w:rPr>
                <w:rStyle w:val="Hyperlink"/>
                <w:noProof/>
              </w:rPr>
              <w:t>3.2.1.</w:t>
            </w:r>
            <w:r w:rsidR="008B13ED">
              <w:rPr>
                <w:rFonts w:asciiTheme="minorHAnsi" w:eastAsiaTheme="minorEastAsia" w:hAnsiTheme="minorHAnsi" w:cstheme="minorBidi"/>
                <w:noProof/>
                <w:spacing w:val="0"/>
                <w:sz w:val="24"/>
                <w:szCs w:val="24"/>
                <w:lang w:val="en-NL" w:eastAsia="en-GB"/>
              </w:rPr>
              <w:tab/>
            </w:r>
            <w:r w:rsidR="008B13ED" w:rsidRPr="00D52E4C">
              <w:rPr>
                <w:rStyle w:val="Hyperlink"/>
                <w:noProof/>
              </w:rPr>
              <w:t>Grid providers</w:t>
            </w:r>
            <w:r w:rsidR="008B13ED">
              <w:rPr>
                <w:noProof/>
                <w:webHidden/>
              </w:rPr>
              <w:tab/>
            </w:r>
            <w:r w:rsidR="008B13ED">
              <w:rPr>
                <w:noProof/>
                <w:webHidden/>
              </w:rPr>
              <w:fldChar w:fldCharType="begin"/>
            </w:r>
            <w:r w:rsidR="008B13ED">
              <w:rPr>
                <w:noProof/>
                <w:webHidden/>
              </w:rPr>
              <w:instrText xml:space="preserve"> PAGEREF _Toc116449119 \h </w:instrText>
            </w:r>
            <w:r w:rsidR="008B13ED">
              <w:rPr>
                <w:noProof/>
                <w:webHidden/>
              </w:rPr>
            </w:r>
            <w:r w:rsidR="008B13ED">
              <w:rPr>
                <w:noProof/>
                <w:webHidden/>
              </w:rPr>
              <w:fldChar w:fldCharType="separate"/>
            </w:r>
            <w:r w:rsidR="008B13ED">
              <w:rPr>
                <w:noProof/>
                <w:webHidden/>
              </w:rPr>
              <w:t>24</w:t>
            </w:r>
            <w:r w:rsidR="008B13ED">
              <w:rPr>
                <w:noProof/>
                <w:webHidden/>
              </w:rPr>
              <w:fldChar w:fldCharType="end"/>
            </w:r>
          </w:hyperlink>
        </w:p>
        <w:p w14:paraId="0A310B48" w14:textId="41CE1A53" w:rsidR="008B13ED" w:rsidRDefault="0000000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6449120" w:history="1">
            <w:r w:rsidR="008B13ED" w:rsidRPr="00D52E4C">
              <w:rPr>
                <w:rStyle w:val="Hyperlink"/>
                <w:noProof/>
              </w:rPr>
              <w:t>3.2.2.</w:t>
            </w:r>
            <w:r w:rsidR="008B13ED">
              <w:rPr>
                <w:rFonts w:asciiTheme="minorHAnsi" w:eastAsiaTheme="minorEastAsia" w:hAnsiTheme="minorHAnsi" w:cstheme="minorBidi"/>
                <w:noProof/>
                <w:spacing w:val="0"/>
                <w:sz w:val="24"/>
                <w:szCs w:val="24"/>
                <w:lang w:val="en-NL" w:eastAsia="en-GB"/>
              </w:rPr>
              <w:tab/>
            </w:r>
            <w:r w:rsidR="008B13ED" w:rsidRPr="00D52E4C">
              <w:rPr>
                <w:rStyle w:val="Hyperlink"/>
                <w:noProof/>
              </w:rPr>
              <w:t>Spider</w:t>
            </w:r>
            <w:r w:rsidR="008B13ED">
              <w:rPr>
                <w:noProof/>
                <w:webHidden/>
              </w:rPr>
              <w:tab/>
            </w:r>
            <w:r w:rsidR="008B13ED">
              <w:rPr>
                <w:noProof/>
                <w:webHidden/>
              </w:rPr>
              <w:fldChar w:fldCharType="begin"/>
            </w:r>
            <w:r w:rsidR="008B13ED">
              <w:rPr>
                <w:noProof/>
                <w:webHidden/>
              </w:rPr>
              <w:instrText xml:space="preserve"> PAGEREF _Toc116449120 \h </w:instrText>
            </w:r>
            <w:r w:rsidR="008B13ED">
              <w:rPr>
                <w:noProof/>
                <w:webHidden/>
              </w:rPr>
            </w:r>
            <w:r w:rsidR="008B13ED">
              <w:rPr>
                <w:noProof/>
                <w:webHidden/>
              </w:rPr>
              <w:fldChar w:fldCharType="separate"/>
            </w:r>
            <w:r w:rsidR="008B13ED">
              <w:rPr>
                <w:noProof/>
                <w:webHidden/>
              </w:rPr>
              <w:t>25</w:t>
            </w:r>
            <w:r w:rsidR="008B13ED">
              <w:rPr>
                <w:noProof/>
                <w:webHidden/>
              </w:rPr>
              <w:fldChar w:fldCharType="end"/>
            </w:r>
          </w:hyperlink>
        </w:p>
        <w:p w14:paraId="168A88D9" w14:textId="20B953C0"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21" w:history="1">
            <w:r w:rsidR="008B13ED" w:rsidRPr="00D52E4C">
              <w:rPr>
                <w:rStyle w:val="Hyperlink"/>
                <w:noProof/>
              </w:rPr>
              <w:t>3.3.</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High Performance Computing</w:t>
            </w:r>
            <w:r w:rsidR="008B13ED">
              <w:rPr>
                <w:noProof/>
                <w:webHidden/>
              </w:rPr>
              <w:tab/>
            </w:r>
            <w:r w:rsidR="008B13ED">
              <w:rPr>
                <w:noProof/>
                <w:webHidden/>
              </w:rPr>
              <w:fldChar w:fldCharType="begin"/>
            </w:r>
            <w:r w:rsidR="008B13ED">
              <w:rPr>
                <w:noProof/>
                <w:webHidden/>
              </w:rPr>
              <w:instrText xml:space="preserve"> PAGEREF _Toc116449121 \h </w:instrText>
            </w:r>
            <w:r w:rsidR="008B13ED">
              <w:rPr>
                <w:noProof/>
                <w:webHidden/>
              </w:rPr>
            </w:r>
            <w:r w:rsidR="008B13ED">
              <w:rPr>
                <w:noProof/>
                <w:webHidden/>
              </w:rPr>
              <w:fldChar w:fldCharType="separate"/>
            </w:r>
            <w:r w:rsidR="008B13ED">
              <w:rPr>
                <w:noProof/>
                <w:webHidden/>
              </w:rPr>
              <w:t>25</w:t>
            </w:r>
            <w:r w:rsidR="008B13ED">
              <w:rPr>
                <w:noProof/>
                <w:webHidden/>
              </w:rPr>
              <w:fldChar w:fldCharType="end"/>
            </w:r>
          </w:hyperlink>
        </w:p>
        <w:p w14:paraId="5BB0AF71" w14:textId="2CDA7B6F"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22" w:history="1">
            <w:r w:rsidR="008B13ED" w:rsidRPr="00D52E4C">
              <w:rPr>
                <w:rStyle w:val="Hyperlink"/>
              </w:rPr>
              <w:t>4.</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Federated Compute</w:t>
            </w:r>
            <w:r w:rsidR="008B13ED">
              <w:rPr>
                <w:webHidden/>
              </w:rPr>
              <w:tab/>
            </w:r>
            <w:r w:rsidR="008B13ED">
              <w:rPr>
                <w:webHidden/>
              </w:rPr>
              <w:fldChar w:fldCharType="begin"/>
            </w:r>
            <w:r w:rsidR="008B13ED">
              <w:rPr>
                <w:webHidden/>
              </w:rPr>
              <w:instrText xml:space="preserve"> PAGEREF _Toc116449122 \h </w:instrText>
            </w:r>
            <w:r w:rsidR="008B13ED">
              <w:rPr>
                <w:webHidden/>
              </w:rPr>
            </w:r>
            <w:r w:rsidR="008B13ED">
              <w:rPr>
                <w:webHidden/>
              </w:rPr>
              <w:fldChar w:fldCharType="separate"/>
            </w:r>
            <w:r w:rsidR="008B13ED">
              <w:rPr>
                <w:webHidden/>
              </w:rPr>
              <w:t>27</w:t>
            </w:r>
            <w:r w:rsidR="008B13ED">
              <w:rPr>
                <w:webHidden/>
              </w:rPr>
              <w:fldChar w:fldCharType="end"/>
            </w:r>
          </w:hyperlink>
        </w:p>
        <w:p w14:paraId="24476E40" w14:textId="4DEA770A"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23" w:history="1">
            <w:r w:rsidR="008B13ED" w:rsidRPr="00D52E4C">
              <w:rPr>
                <w:rStyle w:val="Hyperlink"/>
                <w:noProof/>
              </w:rPr>
              <w:t>4.1.</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Workload Manager</w:t>
            </w:r>
            <w:r w:rsidR="008B13ED">
              <w:rPr>
                <w:noProof/>
                <w:webHidden/>
              </w:rPr>
              <w:tab/>
            </w:r>
            <w:r w:rsidR="008B13ED">
              <w:rPr>
                <w:noProof/>
                <w:webHidden/>
              </w:rPr>
              <w:fldChar w:fldCharType="begin"/>
            </w:r>
            <w:r w:rsidR="008B13ED">
              <w:rPr>
                <w:noProof/>
                <w:webHidden/>
              </w:rPr>
              <w:instrText xml:space="preserve"> PAGEREF _Toc116449123 \h </w:instrText>
            </w:r>
            <w:r w:rsidR="008B13ED">
              <w:rPr>
                <w:noProof/>
                <w:webHidden/>
              </w:rPr>
            </w:r>
            <w:r w:rsidR="008B13ED">
              <w:rPr>
                <w:noProof/>
                <w:webHidden/>
              </w:rPr>
              <w:fldChar w:fldCharType="separate"/>
            </w:r>
            <w:r w:rsidR="008B13ED">
              <w:rPr>
                <w:noProof/>
                <w:webHidden/>
              </w:rPr>
              <w:t>27</w:t>
            </w:r>
            <w:r w:rsidR="008B13ED">
              <w:rPr>
                <w:noProof/>
                <w:webHidden/>
              </w:rPr>
              <w:fldChar w:fldCharType="end"/>
            </w:r>
          </w:hyperlink>
        </w:p>
        <w:p w14:paraId="635D4BD0" w14:textId="4EE1E491"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24" w:history="1">
            <w:r w:rsidR="008B13ED" w:rsidRPr="00D52E4C">
              <w:rPr>
                <w:rStyle w:val="Hyperlink"/>
                <w:noProof/>
              </w:rPr>
              <w:t>4.2.</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Infrastructure Manager</w:t>
            </w:r>
            <w:r w:rsidR="008B13ED">
              <w:rPr>
                <w:noProof/>
                <w:webHidden/>
              </w:rPr>
              <w:tab/>
            </w:r>
            <w:r w:rsidR="008B13ED">
              <w:rPr>
                <w:noProof/>
                <w:webHidden/>
              </w:rPr>
              <w:fldChar w:fldCharType="begin"/>
            </w:r>
            <w:r w:rsidR="008B13ED">
              <w:rPr>
                <w:noProof/>
                <w:webHidden/>
              </w:rPr>
              <w:instrText xml:space="preserve"> PAGEREF _Toc116449124 \h </w:instrText>
            </w:r>
            <w:r w:rsidR="008B13ED">
              <w:rPr>
                <w:noProof/>
                <w:webHidden/>
              </w:rPr>
            </w:r>
            <w:r w:rsidR="008B13ED">
              <w:rPr>
                <w:noProof/>
                <w:webHidden/>
              </w:rPr>
              <w:fldChar w:fldCharType="separate"/>
            </w:r>
            <w:r w:rsidR="008B13ED">
              <w:rPr>
                <w:noProof/>
                <w:webHidden/>
              </w:rPr>
              <w:t>29</w:t>
            </w:r>
            <w:r w:rsidR="008B13ED">
              <w:rPr>
                <w:noProof/>
                <w:webHidden/>
              </w:rPr>
              <w:fldChar w:fldCharType="end"/>
            </w:r>
          </w:hyperlink>
        </w:p>
        <w:p w14:paraId="0D325E1B" w14:textId="6A8921E9"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25" w:history="1">
            <w:r w:rsidR="008B13ED" w:rsidRPr="00D52E4C">
              <w:rPr>
                <w:rStyle w:val="Hyperlink"/>
                <w:noProof/>
              </w:rPr>
              <w:t>4.3.</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CernVM-FS</w:t>
            </w:r>
            <w:r w:rsidR="008B13ED">
              <w:rPr>
                <w:noProof/>
                <w:webHidden/>
              </w:rPr>
              <w:tab/>
            </w:r>
            <w:r w:rsidR="008B13ED">
              <w:rPr>
                <w:noProof/>
                <w:webHidden/>
              </w:rPr>
              <w:fldChar w:fldCharType="begin"/>
            </w:r>
            <w:r w:rsidR="008B13ED">
              <w:rPr>
                <w:noProof/>
                <w:webHidden/>
              </w:rPr>
              <w:instrText xml:space="preserve"> PAGEREF _Toc116449125 \h </w:instrText>
            </w:r>
            <w:r w:rsidR="008B13ED">
              <w:rPr>
                <w:noProof/>
                <w:webHidden/>
              </w:rPr>
            </w:r>
            <w:r w:rsidR="008B13ED">
              <w:rPr>
                <w:noProof/>
                <w:webHidden/>
              </w:rPr>
              <w:fldChar w:fldCharType="separate"/>
            </w:r>
            <w:r w:rsidR="008B13ED">
              <w:rPr>
                <w:noProof/>
                <w:webHidden/>
              </w:rPr>
              <w:t>31</w:t>
            </w:r>
            <w:r w:rsidR="008B13ED">
              <w:rPr>
                <w:noProof/>
                <w:webHidden/>
              </w:rPr>
              <w:fldChar w:fldCharType="end"/>
            </w:r>
          </w:hyperlink>
        </w:p>
        <w:p w14:paraId="6050E8BB" w14:textId="06E548F1"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26" w:history="1">
            <w:r w:rsidR="008B13ED" w:rsidRPr="00D52E4C">
              <w:rPr>
                <w:rStyle w:val="Hyperlink"/>
                <w:noProof/>
              </w:rPr>
              <w:t>4.4.</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AppDB</w:t>
            </w:r>
            <w:r w:rsidR="008B13ED">
              <w:rPr>
                <w:noProof/>
                <w:webHidden/>
              </w:rPr>
              <w:tab/>
            </w:r>
            <w:r w:rsidR="008B13ED">
              <w:rPr>
                <w:noProof/>
                <w:webHidden/>
              </w:rPr>
              <w:fldChar w:fldCharType="begin"/>
            </w:r>
            <w:r w:rsidR="008B13ED">
              <w:rPr>
                <w:noProof/>
                <w:webHidden/>
              </w:rPr>
              <w:instrText xml:space="preserve"> PAGEREF _Toc116449126 \h </w:instrText>
            </w:r>
            <w:r w:rsidR="008B13ED">
              <w:rPr>
                <w:noProof/>
                <w:webHidden/>
              </w:rPr>
            </w:r>
            <w:r w:rsidR="008B13ED">
              <w:rPr>
                <w:noProof/>
                <w:webHidden/>
              </w:rPr>
              <w:fldChar w:fldCharType="separate"/>
            </w:r>
            <w:r w:rsidR="008B13ED">
              <w:rPr>
                <w:noProof/>
                <w:webHidden/>
              </w:rPr>
              <w:t>32</w:t>
            </w:r>
            <w:r w:rsidR="008B13ED">
              <w:rPr>
                <w:noProof/>
                <w:webHidden/>
              </w:rPr>
              <w:fldChar w:fldCharType="end"/>
            </w:r>
          </w:hyperlink>
        </w:p>
        <w:p w14:paraId="1AFD2D3F" w14:textId="341C5DC4"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27" w:history="1">
            <w:r w:rsidR="008B13ED" w:rsidRPr="00D52E4C">
              <w:rPr>
                <w:rStyle w:val="Hyperlink"/>
                <w:noProof/>
              </w:rPr>
              <w:t>4.5.</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Dynamic DNS</w:t>
            </w:r>
            <w:r w:rsidR="008B13ED">
              <w:rPr>
                <w:noProof/>
                <w:webHidden/>
              </w:rPr>
              <w:tab/>
            </w:r>
            <w:r w:rsidR="008B13ED">
              <w:rPr>
                <w:noProof/>
                <w:webHidden/>
              </w:rPr>
              <w:fldChar w:fldCharType="begin"/>
            </w:r>
            <w:r w:rsidR="008B13ED">
              <w:rPr>
                <w:noProof/>
                <w:webHidden/>
              </w:rPr>
              <w:instrText xml:space="preserve"> PAGEREF _Toc116449127 \h </w:instrText>
            </w:r>
            <w:r w:rsidR="008B13ED">
              <w:rPr>
                <w:noProof/>
                <w:webHidden/>
              </w:rPr>
            </w:r>
            <w:r w:rsidR="008B13ED">
              <w:rPr>
                <w:noProof/>
                <w:webHidden/>
              </w:rPr>
              <w:fldChar w:fldCharType="separate"/>
            </w:r>
            <w:r w:rsidR="008B13ED">
              <w:rPr>
                <w:noProof/>
                <w:webHidden/>
              </w:rPr>
              <w:t>33</w:t>
            </w:r>
            <w:r w:rsidR="008B13ED">
              <w:rPr>
                <w:noProof/>
                <w:webHidden/>
              </w:rPr>
              <w:fldChar w:fldCharType="end"/>
            </w:r>
          </w:hyperlink>
        </w:p>
        <w:p w14:paraId="7DBD7F28" w14:textId="0A73FE6A"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28" w:history="1">
            <w:r w:rsidR="008B13ED" w:rsidRPr="00D52E4C">
              <w:rPr>
                <w:rStyle w:val="Hyperlink"/>
              </w:rPr>
              <w:t>5.</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Federated Data</w:t>
            </w:r>
            <w:r w:rsidR="008B13ED">
              <w:rPr>
                <w:webHidden/>
              </w:rPr>
              <w:tab/>
            </w:r>
            <w:r w:rsidR="008B13ED">
              <w:rPr>
                <w:webHidden/>
              </w:rPr>
              <w:fldChar w:fldCharType="begin"/>
            </w:r>
            <w:r w:rsidR="008B13ED">
              <w:rPr>
                <w:webHidden/>
              </w:rPr>
              <w:instrText xml:space="preserve"> PAGEREF _Toc116449128 \h </w:instrText>
            </w:r>
            <w:r w:rsidR="008B13ED">
              <w:rPr>
                <w:webHidden/>
              </w:rPr>
            </w:r>
            <w:r w:rsidR="008B13ED">
              <w:rPr>
                <w:webHidden/>
              </w:rPr>
              <w:fldChar w:fldCharType="separate"/>
            </w:r>
            <w:r w:rsidR="008B13ED">
              <w:rPr>
                <w:webHidden/>
              </w:rPr>
              <w:t>36</w:t>
            </w:r>
            <w:r w:rsidR="008B13ED">
              <w:rPr>
                <w:webHidden/>
              </w:rPr>
              <w:fldChar w:fldCharType="end"/>
            </w:r>
          </w:hyperlink>
        </w:p>
        <w:p w14:paraId="69C4275A" w14:textId="7EB8C61A"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29" w:history="1">
            <w:r w:rsidR="008B13ED" w:rsidRPr="00D52E4C">
              <w:rPr>
                <w:rStyle w:val="Hyperlink"/>
                <w:noProof/>
              </w:rPr>
              <w:t>5.1.</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DataHub</w:t>
            </w:r>
            <w:r w:rsidR="008B13ED">
              <w:rPr>
                <w:noProof/>
                <w:webHidden/>
              </w:rPr>
              <w:tab/>
            </w:r>
            <w:r w:rsidR="008B13ED">
              <w:rPr>
                <w:noProof/>
                <w:webHidden/>
              </w:rPr>
              <w:fldChar w:fldCharType="begin"/>
            </w:r>
            <w:r w:rsidR="008B13ED">
              <w:rPr>
                <w:noProof/>
                <w:webHidden/>
              </w:rPr>
              <w:instrText xml:space="preserve"> PAGEREF _Toc116449129 \h </w:instrText>
            </w:r>
            <w:r w:rsidR="008B13ED">
              <w:rPr>
                <w:noProof/>
                <w:webHidden/>
              </w:rPr>
            </w:r>
            <w:r w:rsidR="008B13ED">
              <w:rPr>
                <w:noProof/>
                <w:webHidden/>
              </w:rPr>
              <w:fldChar w:fldCharType="separate"/>
            </w:r>
            <w:r w:rsidR="008B13ED">
              <w:rPr>
                <w:noProof/>
                <w:webHidden/>
              </w:rPr>
              <w:t>36</w:t>
            </w:r>
            <w:r w:rsidR="008B13ED">
              <w:rPr>
                <w:noProof/>
                <w:webHidden/>
              </w:rPr>
              <w:fldChar w:fldCharType="end"/>
            </w:r>
          </w:hyperlink>
        </w:p>
        <w:p w14:paraId="2526916C" w14:textId="4BF9390B"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0" w:history="1">
            <w:r w:rsidR="008B13ED" w:rsidRPr="00D52E4C">
              <w:rPr>
                <w:rStyle w:val="Hyperlink"/>
                <w:noProof/>
              </w:rPr>
              <w:t>5.2.</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FTS</w:t>
            </w:r>
            <w:r w:rsidR="008B13ED">
              <w:rPr>
                <w:noProof/>
                <w:webHidden/>
              </w:rPr>
              <w:tab/>
            </w:r>
            <w:r w:rsidR="008B13ED">
              <w:rPr>
                <w:noProof/>
                <w:webHidden/>
              </w:rPr>
              <w:fldChar w:fldCharType="begin"/>
            </w:r>
            <w:r w:rsidR="008B13ED">
              <w:rPr>
                <w:noProof/>
                <w:webHidden/>
              </w:rPr>
              <w:instrText xml:space="preserve"> PAGEREF _Toc116449130 \h </w:instrText>
            </w:r>
            <w:r w:rsidR="008B13ED">
              <w:rPr>
                <w:noProof/>
                <w:webHidden/>
              </w:rPr>
            </w:r>
            <w:r w:rsidR="008B13ED">
              <w:rPr>
                <w:noProof/>
                <w:webHidden/>
              </w:rPr>
              <w:fldChar w:fldCharType="separate"/>
            </w:r>
            <w:r w:rsidR="008B13ED">
              <w:rPr>
                <w:noProof/>
                <w:webHidden/>
              </w:rPr>
              <w:t>38</w:t>
            </w:r>
            <w:r w:rsidR="008B13ED">
              <w:rPr>
                <w:noProof/>
                <w:webHidden/>
              </w:rPr>
              <w:fldChar w:fldCharType="end"/>
            </w:r>
          </w:hyperlink>
        </w:p>
        <w:p w14:paraId="53A59B06" w14:textId="571CD5FF"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1" w:history="1">
            <w:r w:rsidR="008B13ED" w:rsidRPr="00D52E4C">
              <w:rPr>
                <w:rStyle w:val="Hyperlink"/>
                <w:noProof/>
              </w:rPr>
              <w:t>5.3.</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Rucio</w:t>
            </w:r>
            <w:r w:rsidR="008B13ED">
              <w:rPr>
                <w:noProof/>
                <w:webHidden/>
              </w:rPr>
              <w:tab/>
            </w:r>
            <w:r w:rsidR="008B13ED">
              <w:rPr>
                <w:noProof/>
                <w:webHidden/>
              </w:rPr>
              <w:fldChar w:fldCharType="begin"/>
            </w:r>
            <w:r w:rsidR="008B13ED">
              <w:rPr>
                <w:noProof/>
                <w:webHidden/>
              </w:rPr>
              <w:instrText xml:space="preserve"> PAGEREF _Toc116449131 \h </w:instrText>
            </w:r>
            <w:r w:rsidR="008B13ED">
              <w:rPr>
                <w:noProof/>
                <w:webHidden/>
              </w:rPr>
            </w:r>
            <w:r w:rsidR="008B13ED">
              <w:rPr>
                <w:noProof/>
                <w:webHidden/>
              </w:rPr>
              <w:fldChar w:fldCharType="separate"/>
            </w:r>
            <w:r w:rsidR="008B13ED">
              <w:rPr>
                <w:noProof/>
                <w:webHidden/>
              </w:rPr>
              <w:t>40</w:t>
            </w:r>
            <w:r w:rsidR="008B13ED">
              <w:rPr>
                <w:noProof/>
                <w:webHidden/>
              </w:rPr>
              <w:fldChar w:fldCharType="end"/>
            </w:r>
          </w:hyperlink>
        </w:p>
        <w:p w14:paraId="13391744" w14:textId="2EE6DE15"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2" w:history="1">
            <w:r w:rsidR="008B13ED" w:rsidRPr="00D52E4C">
              <w:rPr>
                <w:rStyle w:val="Hyperlink"/>
                <w:noProof/>
              </w:rPr>
              <w:t>5.4.</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openRDM</w:t>
            </w:r>
            <w:r w:rsidR="008B13ED">
              <w:rPr>
                <w:noProof/>
                <w:webHidden/>
              </w:rPr>
              <w:tab/>
            </w:r>
            <w:r w:rsidR="008B13ED">
              <w:rPr>
                <w:noProof/>
                <w:webHidden/>
              </w:rPr>
              <w:fldChar w:fldCharType="begin"/>
            </w:r>
            <w:r w:rsidR="008B13ED">
              <w:rPr>
                <w:noProof/>
                <w:webHidden/>
              </w:rPr>
              <w:instrText xml:space="preserve"> PAGEREF _Toc116449132 \h </w:instrText>
            </w:r>
            <w:r w:rsidR="008B13ED">
              <w:rPr>
                <w:noProof/>
                <w:webHidden/>
              </w:rPr>
            </w:r>
            <w:r w:rsidR="008B13ED">
              <w:rPr>
                <w:noProof/>
                <w:webHidden/>
              </w:rPr>
              <w:fldChar w:fldCharType="separate"/>
            </w:r>
            <w:r w:rsidR="008B13ED">
              <w:rPr>
                <w:noProof/>
                <w:webHidden/>
              </w:rPr>
              <w:t>42</w:t>
            </w:r>
            <w:r w:rsidR="008B13ED">
              <w:rPr>
                <w:noProof/>
                <w:webHidden/>
              </w:rPr>
              <w:fldChar w:fldCharType="end"/>
            </w:r>
          </w:hyperlink>
        </w:p>
        <w:p w14:paraId="103E3644" w14:textId="09C67B28"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33" w:history="1">
            <w:r w:rsidR="008B13ED" w:rsidRPr="00D52E4C">
              <w:rPr>
                <w:rStyle w:val="Hyperlink"/>
              </w:rPr>
              <w:t>6.</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Platforms</w:t>
            </w:r>
            <w:r w:rsidR="008B13ED">
              <w:rPr>
                <w:webHidden/>
              </w:rPr>
              <w:tab/>
            </w:r>
            <w:r w:rsidR="008B13ED">
              <w:rPr>
                <w:webHidden/>
              </w:rPr>
              <w:fldChar w:fldCharType="begin"/>
            </w:r>
            <w:r w:rsidR="008B13ED">
              <w:rPr>
                <w:webHidden/>
              </w:rPr>
              <w:instrText xml:space="preserve"> PAGEREF _Toc116449133 \h </w:instrText>
            </w:r>
            <w:r w:rsidR="008B13ED">
              <w:rPr>
                <w:webHidden/>
              </w:rPr>
            </w:r>
            <w:r w:rsidR="008B13ED">
              <w:rPr>
                <w:webHidden/>
              </w:rPr>
              <w:fldChar w:fldCharType="separate"/>
            </w:r>
            <w:r w:rsidR="008B13ED">
              <w:rPr>
                <w:webHidden/>
              </w:rPr>
              <w:t>44</w:t>
            </w:r>
            <w:r w:rsidR="008B13ED">
              <w:rPr>
                <w:webHidden/>
              </w:rPr>
              <w:fldChar w:fldCharType="end"/>
            </w:r>
          </w:hyperlink>
        </w:p>
        <w:p w14:paraId="3DB488C6" w14:textId="5A13F3B7"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4" w:history="1">
            <w:r w:rsidR="008B13ED" w:rsidRPr="00D52E4C">
              <w:rPr>
                <w:rStyle w:val="Hyperlink"/>
                <w:noProof/>
              </w:rPr>
              <w:t>6.1.</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Notebooks</w:t>
            </w:r>
            <w:r w:rsidR="008B13ED">
              <w:rPr>
                <w:noProof/>
                <w:webHidden/>
              </w:rPr>
              <w:tab/>
            </w:r>
            <w:r w:rsidR="008B13ED">
              <w:rPr>
                <w:noProof/>
                <w:webHidden/>
              </w:rPr>
              <w:fldChar w:fldCharType="begin"/>
            </w:r>
            <w:r w:rsidR="008B13ED">
              <w:rPr>
                <w:noProof/>
                <w:webHidden/>
              </w:rPr>
              <w:instrText xml:space="preserve"> PAGEREF _Toc116449134 \h </w:instrText>
            </w:r>
            <w:r w:rsidR="008B13ED">
              <w:rPr>
                <w:noProof/>
                <w:webHidden/>
              </w:rPr>
            </w:r>
            <w:r w:rsidR="008B13ED">
              <w:rPr>
                <w:noProof/>
                <w:webHidden/>
              </w:rPr>
              <w:fldChar w:fldCharType="separate"/>
            </w:r>
            <w:r w:rsidR="008B13ED">
              <w:rPr>
                <w:noProof/>
                <w:webHidden/>
              </w:rPr>
              <w:t>44</w:t>
            </w:r>
            <w:r w:rsidR="008B13ED">
              <w:rPr>
                <w:noProof/>
                <w:webHidden/>
              </w:rPr>
              <w:fldChar w:fldCharType="end"/>
            </w:r>
          </w:hyperlink>
        </w:p>
        <w:p w14:paraId="51EFE500" w14:textId="25C0F28E"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5" w:history="1">
            <w:r w:rsidR="008B13ED" w:rsidRPr="00D52E4C">
              <w:rPr>
                <w:rStyle w:val="Hyperlink"/>
                <w:noProof/>
              </w:rPr>
              <w:t>6.2.</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EC3</w:t>
            </w:r>
            <w:r w:rsidR="008B13ED">
              <w:rPr>
                <w:noProof/>
                <w:webHidden/>
              </w:rPr>
              <w:tab/>
            </w:r>
            <w:r w:rsidR="008B13ED">
              <w:rPr>
                <w:noProof/>
                <w:webHidden/>
              </w:rPr>
              <w:fldChar w:fldCharType="begin"/>
            </w:r>
            <w:r w:rsidR="008B13ED">
              <w:rPr>
                <w:noProof/>
                <w:webHidden/>
              </w:rPr>
              <w:instrText xml:space="preserve"> PAGEREF _Toc116449135 \h </w:instrText>
            </w:r>
            <w:r w:rsidR="008B13ED">
              <w:rPr>
                <w:noProof/>
                <w:webHidden/>
              </w:rPr>
            </w:r>
            <w:r w:rsidR="008B13ED">
              <w:rPr>
                <w:noProof/>
                <w:webHidden/>
              </w:rPr>
              <w:fldChar w:fldCharType="separate"/>
            </w:r>
            <w:r w:rsidR="008B13ED">
              <w:rPr>
                <w:noProof/>
                <w:webHidden/>
              </w:rPr>
              <w:t>46</w:t>
            </w:r>
            <w:r w:rsidR="008B13ED">
              <w:rPr>
                <w:noProof/>
                <w:webHidden/>
              </w:rPr>
              <w:fldChar w:fldCharType="end"/>
            </w:r>
          </w:hyperlink>
        </w:p>
        <w:p w14:paraId="7B311F5E" w14:textId="2A6140E3"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6" w:history="1">
            <w:r w:rsidR="008B13ED" w:rsidRPr="00D52E4C">
              <w:rPr>
                <w:rStyle w:val="Hyperlink"/>
                <w:noProof/>
              </w:rPr>
              <w:t>6.3.</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PaaS Orchestrator</w:t>
            </w:r>
            <w:r w:rsidR="008B13ED">
              <w:rPr>
                <w:noProof/>
                <w:webHidden/>
              </w:rPr>
              <w:tab/>
            </w:r>
            <w:r w:rsidR="008B13ED">
              <w:rPr>
                <w:noProof/>
                <w:webHidden/>
              </w:rPr>
              <w:fldChar w:fldCharType="begin"/>
            </w:r>
            <w:r w:rsidR="008B13ED">
              <w:rPr>
                <w:noProof/>
                <w:webHidden/>
              </w:rPr>
              <w:instrText xml:space="preserve"> PAGEREF _Toc116449136 \h </w:instrText>
            </w:r>
            <w:r w:rsidR="008B13ED">
              <w:rPr>
                <w:noProof/>
                <w:webHidden/>
              </w:rPr>
            </w:r>
            <w:r w:rsidR="008B13ED">
              <w:rPr>
                <w:noProof/>
                <w:webHidden/>
              </w:rPr>
              <w:fldChar w:fldCharType="separate"/>
            </w:r>
            <w:r w:rsidR="008B13ED">
              <w:rPr>
                <w:noProof/>
                <w:webHidden/>
              </w:rPr>
              <w:t>49</w:t>
            </w:r>
            <w:r w:rsidR="008B13ED">
              <w:rPr>
                <w:noProof/>
                <w:webHidden/>
              </w:rPr>
              <w:fldChar w:fldCharType="end"/>
            </w:r>
          </w:hyperlink>
        </w:p>
        <w:p w14:paraId="268D4858" w14:textId="2E375CC4"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7" w:history="1">
            <w:r w:rsidR="008B13ED" w:rsidRPr="00D52E4C">
              <w:rPr>
                <w:rStyle w:val="Hyperlink"/>
                <w:noProof/>
              </w:rPr>
              <w:t>6.4.</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DODAS</w:t>
            </w:r>
            <w:r w:rsidR="008B13ED">
              <w:rPr>
                <w:noProof/>
                <w:webHidden/>
              </w:rPr>
              <w:tab/>
            </w:r>
            <w:r w:rsidR="008B13ED">
              <w:rPr>
                <w:noProof/>
                <w:webHidden/>
              </w:rPr>
              <w:fldChar w:fldCharType="begin"/>
            </w:r>
            <w:r w:rsidR="008B13ED">
              <w:rPr>
                <w:noProof/>
                <w:webHidden/>
              </w:rPr>
              <w:instrText xml:space="preserve"> PAGEREF _Toc116449137 \h </w:instrText>
            </w:r>
            <w:r w:rsidR="008B13ED">
              <w:rPr>
                <w:noProof/>
                <w:webHidden/>
              </w:rPr>
            </w:r>
            <w:r w:rsidR="008B13ED">
              <w:rPr>
                <w:noProof/>
                <w:webHidden/>
              </w:rPr>
              <w:fldChar w:fldCharType="separate"/>
            </w:r>
            <w:r w:rsidR="008B13ED">
              <w:rPr>
                <w:noProof/>
                <w:webHidden/>
              </w:rPr>
              <w:t>51</w:t>
            </w:r>
            <w:r w:rsidR="008B13ED">
              <w:rPr>
                <w:noProof/>
                <w:webHidden/>
              </w:rPr>
              <w:fldChar w:fldCharType="end"/>
            </w:r>
          </w:hyperlink>
        </w:p>
        <w:p w14:paraId="151D20BA" w14:textId="3EE08D2E" w:rsidR="008B13ED" w:rsidRDefault="00000000">
          <w:pPr>
            <w:pStyle w:val="TOC2"/>
            <w:rPr>
              <w:rFonts w:asciiTheme="minorHAnsi" w:eastAsiaTheme="minorEastAsia" w:hAnsiTheme="minorHAnsi" w:cstheme="minorBidi"/>
              <w:noProof/>
              <w:color w:val="auto"/>
              <w:spacing w:val="0"/>
              <w:sz w:val="24"/>
              <w:szCs w:val="24"/>
              <w:lang w:val="en-NL" w:eastAsia="en-GB"/>
            </w:rPr>
          </w:pPr>
          <w:hyperlink w:anchor="_Toc116449138" w:history="1">
            <w:r w:rsidR="008B13ED" w:rsidRPr="00D52E4C">
              <w:rPr>
                <w:rStyle w:val="Hyperlink"/>
                <w:noProof/>
              </w:rPr>
              <w:t>6.5.</w:t>
            </w:r>
            <w:r w:rsidR="008B13ED">
              <w:rPr>
                <w:rFonts w:asciiTheme="minorHAnsi" w:eastAsiaTheme="minorEastAsia" w:hAnsiTheme="minorHAnsi" w:cstheme="minorBidi"/>
                <w:noProof/>
                <w:color w:val="auto"/>
                <w:spacing w:val="0"/>
                <w:sz w:val="24"/>
                <w:szCs w:val="24"/>
                <w:lang w:val="en-NL" w:eastAsia="en-GB"/>
              </w:rPr>
              <w:tab/>
            </w:r>
            <w:r w:rsidR="008B13ED" w:rsidRPr="00D52E4C">
              <w:rPr>
                <w:rStyle w:val="Hyperlink"/>
                <w:noProof/>
              </w:rPr>
              <w:t>DEEP training facility</w:t>
            </w:r>
            <w:r w:rsidR="008B13ED">
              <w:rPr>
                <w:noProof/>
                <w:webHidden/>
              </w:rPr>
              <w:tab/>
            </w:r>
            <w:r w:rsidR="008B13ED">
              <w:rPr>
                <w:noProof/>
                <w:webHidden/>
              </w:rPr>
              <w:fldChar w:fldCharType="begin"/>
            </w:r>
            <w:r w:rsidR="008B13ED">
              <w:rPr>
                <w:noProof/>
                <w:webHidden/>
              </w:rPr>
              <w:instrText xml:space="preserve"> PAGEREF _Toc116449138 \h </w:instrText>
            </w:r>
            <w:r w:rsidR="008B13ED">
              <w:rPr>
                <w:noProof/>
                <w:webHidden/>
              </w:rPr>
            </w:r>
            <w:r w:rsidR="008B13ED">
              <w:rPr>
                <w:noProof/>
                <w:webHidden/>
              </w:rPr>
              <w:fldChar w:fldCharType="separate"/>
            </w:r>
            <w:r w:rsidR="008B13ED">
              <w:rPr>
                <w:noProof/>
                <w:webHidden/>
              </w:rPr>
              <w:t>53</w:t>
            </w:r>
            <w:r w:rsidR="008B13ED">
              <w:rPr>
                <w:noProof/>
                <w:webHidden/>
              </w:rPr>
              <w:fldChar w:fldCharType="end"/>
            </w:r>
          </w:hyperlink>
        </w:p>
        <w:p w14:paraId="197D415C" w14:textId="060A28E3"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39" w:history="1">
            <w:r w:rsidR="008B13ED" w:rsidRPr="00D52E4C">
              <w:rPr>
                <w:rStyle w:val="Hyperlink"/>
              </w:rPr>
              <w:t>7.</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Conclusions</w:t>
            </w:r>
            <w:r w:rsidR="008B13ED">
              <w:rPr>
                <w:webHidden/>
              </w:rPr>
              <w:tab/>
            </w:r>
            <w:r w:rsidR="008B13ED">
              <w:rPr>
                <w:webHidden/>
              </w:rPr>
              <w:fldChar w:fldCharType="begin"/>
            </w:r>
            <w:r w:rsidR="008B13ED">
              <w:rPr>
                <w:webHidden/>
              </w:rPr>
              <w:instrText xml:space="preserve"> PAGEREF _Toc116449139 \h </w:instrText>
            </w:r>
            <w:r w:rsidR="008B13ED">
              <w:rPr>
                <w:webHidden/>
              </w:rPr>
            </w:r>
            <w:r w:rsidR="008B13ED">
              <w:rPr>
                <w:webHidden/>
              </w:rPr>
              <w:fldChar w:fldCharType="separate"/>
            </w:r>
            <w:r w:rsidR="008B13ED">
              <w:rPr>
                <w:webHidden/>
              </w:rPr>
              <w:t>55</w:t>
            </w:r>
            <w:r w:rsidR="008B13ED">
              <w:rPr>
                <w:webHidden/>
              </w:rPr>
              <w:fldChar w:fldCharType="end"/>
            </w:r>
          </w:hyperlink>
        </w:p>
        <w:p w14:paraId="75412C54" w14:textId="4BD8A39D" w:rsidR="008B13ED" w:rsidRDefault="00000000">
          <w:pPr>
            <w:pStyle w:val="TOC1"/>
            <w:rPr>
              <w:rFonts w:asciiTheme="minorHAnsi" w:eastAsiaTheme="minorEastAsia" w:hAnsiTheme="minorHAnsi" w:cstheme="minorBidi"/>
              <w:color w:val="auto"/>
              <w:spacing w:val="0"/>
              <w:sz w:val="24"/>
              <w:szCs w:val="24"/>
              <w:lang w:val="en-NL" w:eastAsia="en-GB"/>
            </w:rPr>
          </w:pPr>
          <w:hyperlink w:anchor="_Toc116449140" w:history="1">
            <w:r w:rsidR="008B13ED" w:rsidRPr="00D52E4C">
              <w:rPr>
                <w:rStyle w:val="Hyperlink"/>
              </w:rPr>
              <w:t>8.</w:t>
            </w:r>
            <w:r w:rsidR="008B13ED">
              <w:rPr>
                <w:rFonts w:asciiTheme="minorHAnsi" w:eastAsiaTheme="minorEastAsia" w:hAnsiTheme="minorHAnsi" w:cstheme="minorBidi"/>
                <w:color w:val="auto"/>
                <w:spacing w:val="0"/>
                <w:sz w:val="24"/>
                <w:szCs w:val="24"/>
                <w:lang w:val="en-NL" w:eastAsia="en-GB"/>
              </w:rPr>
              <w:tab/>
            </w:r>
            <w:r w:rsidR="008B13ED" w:rsidRPr="00D52E4C">
              <w:rPr>
                <w:rStyle w:val="Hyperlink"/>
              </w:rPr>
              <w:t>References</w:t>
            </w:r>
            <w:r w:rsidR="008B13ED">
              <w:rPr>
                <w:webHidden/>
              </w:rPr>
              <w:tab/>
            </w:r>
            <w:r w:rsidR="008B13ED">
              <w:rPr>
                <w:webHidden/>
              </w:rPr>
              <w:fldChar w:fldCharType="begin"/>
            </w:r>
            <w:r w:rsidR="008B13ED">
              <w:rPr>
                <w:webHidden/>
              </w:rPr>
              <w:instrText xml:space="preserve"> PAGEREF _Toc116449140 \h </w:instrText>
            </w:r>
            <w:r w:rsidR="008B13ED">
              <w:rPr>
                <w:webHidden/>
              </w:rPr>
            </w:r>
            <w:r w:rsidR="008B13ED">
              <w:rPr>
                <w:webHidden/>
              </w:rPr>
              <w:fldChar w:fldCharType="separate"/>
            </w:r>
            <w:r w:rsidR="008B13ED">
              <w:rPr>
                <w:webHidden/>
              </w:rPr>
              <w:t>57</w:t>
            </w:r>
            <w:r w:rsidR="008B13ED">
              <w:rPr>
                <w:webHidden/>
              </w:rPr>
              <w:fldChar w:fldCharType="end"/>
            </w:r>
          </w:hyperlink>
        </w:p>
        <w:p w14:paraId="009BA975" w14:textId="604E7E69"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16449102"/>
      <w:bookmarkEnd w:id="0"/>
      <w:r w:rsidRPr="00C82525">
        <w:lastRenderedPageBreak/>
        <w:t>Executive summary</w:t>
      </w:r>
      <w:bookmarkEnd w:id="1"/>
      <w:r w:rsidRPr="00C82525">
        <w:t xml:space="preserve">  </w:t>
      </w:r>
    </w:p>
    <w:p w14:paraId="66E2FE9F" w14:textId="77777777" w:rsidR="00E479EC" w:rsidRDefault="00E479EC" w:rsidP="00E479EC">
      <w:r>
        <w:t>EGI-ACE builds on the computing e-Infrastructure of the EGI Federation to deliver the EOSC</w:t>
      </w:r>
      <w:r>
        <w:rPr>
          <w:vertAlign w:val="superscript"/>
        </w:rPr>
        <w:footnoteReference w:id="1"/>
      </w:r>
      <w:r>
        <w:t xml:space="preserve"> Compute Platform: an open, data-centric, distributed, hybrid and secure infrastructure consisting of computing and storage providers and platform services to support research and open science via data spaces. </w:t>
      </w:r>
    </w:p>
    <w:p w14:paraId="2D4EFF71" w14:textId="77777777" w:rsidR="00E479EC" w:rsidRDefault="00E479EC" w:rsidP="00E479EC">
      <w:r>
        <w:t xml:space="preserve">The EGI-ACE technical architecture provides a platform to deploy Thematic Services that can exploit baseline compute and storage resources from Cloud, HTC and HPC providers via Federated Compute and Data services that facilitate the execution of workloads close to the data to be analysed. Together with user-oriented services, the Core EGI Services cover the operational aspects of the Federation (authentication and authorisation, accounting, monitoring, helpdesk) and </w:t>
      </w:r>
      <w:r>
        <w:rPr>
          <w:rFonts w:ascii="Roboto" w:eastAsia="Roboto" w:hAnsi="Roboto" w:cs="Roboto"/>
          <w:sz w:val="21"/>
          <w:szCs w:val="21"/>
          <w:highlight w:val="white"/>
        </w:rPr>
        <w:t>bridge the gap between EGI-ACE services and the Core EOSC functionalities</w:t>
      </w:r>
      <w:r>
        <w:t xml:space="preserve">. </w:t>
      </w:r>
    </w:p>
    <w:p w14:paraId="4AAA582F" w14:textId="77777777" w:rsidR="00E479EC" w:rsidRDefault="00E479EC" w:rsidP="00E479EC">
      <w:r>
        <w:t xml:space="preserve">This document describes the different layers of the EGI-ACE technical architecture and details each of the services that compose these layers. It is an updated version of Deliverable 2.3 [R1], including updated integration modes for providers, details on the integration of HPC providers and an updated description of the different components as they have evolved during the project lifetime. </w:t>
      </w:r>
    </w:p>
    <w:p w14:paraId="59B97BD0" w14:textId="77777777" w:rsidR="00D675CE" w:rsidRDefault="00D675CE" w:rsidP="00FC003F"/>
    <w:p w14:paraId="3BCFBAC5" w14:textId="77777777" w:rsidR="00D675CE" w:rsidRDefault="0026623E" w:rsidP="00D675CE">
      <w:pPr>
        <w:pStyle w:val="Heading1"/>
      </w:pPr>
      <w:bookmarkStart w:id="2" w:name="_Toc116449103"/>
      <w:r w:rsidRPr="00D675CE">
        <w:lastRenderedPageBreak/>
        <w:t>Introductio</w:t>
      </w:r>
      <w:r w:rsidR="00D675CE">
        <w:t>n</w:t>
      </w:r>
      <w:bookmarkEnd w:id="2"/>
    </w:p>
    <w:p w14:paraId="3AD52684" w14:textId="77777777" w:rsidR="00271E47" w:rsidRDefault="00271E47" w:rsidP="00271E47">
      <w:r>
        <w:t>EGI-ACE delivers the EOSC Compute Platform as a fully integrated compute environment that federates distributed hybrid compute and storage facilities to support processing and analytics via a set of services for distributed data and compute access.</w:t>
      </w:r>
    </w:p>
    <w:p w14:paraId="1E3358F1" w14:textId="77777777" w:rsidR="00271E47" w:rsidRDefault="00271E47" w:rsidP="00271E47">
      <w:r>
        <w:t xml:space="preserve">The EOSC Compute Platform architecture is organised in functional blocks, as shown in Figure 1. </w:t>
      </w:r>
    </w:p>
    <w:p w14:paraId="32E7D7DD" w14:textId="77777777" w:rsidR="00271E47" w:rsidRDefault="00271E47" w:rsidP="00271E47">
      <w:pPr>
        <w:keepNext/>
        <w:jc w:val="center"/>
      </w:pPr>
    </w:p>
    <w:p w14:paraId="0351099D" w14:textId="77777777" w:rsidR="00271E47" w:rsidRDefault="00271E47" w:rsidP="00271E47">
      <w:pPr>
        <w:keepNext/>
        <w:jc w:val="center"/>
      </w:pPr>
      <w:r>
        <w:rPr>
          <w:noProof/>
        </w:rPr>
        <w:drawing>
          <wp:inline distT="114300" distB="114300" distL="114300" distR="114300" wp14:anchorId="73042F00" wp14:editId="5F330E66">
            <wp:extent cx="4725825" cy="3592437"/>
            <wp:effectExtent l="0" t="0" r="0" b="0"/>
            <wp:docPr id="169" name="image9.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169" name="image9.png" descr="EOSC Compute Platform functional block diagram."/>
                    <pic:cNvPicPr preferRelativeResize="0"/>
                  </pic:nvPicPr>
                  <pic:blipFill>
                    <a:blip r:embed="rId14"/>
                    <a:srcRect/>
                    <a:stretch>
                      <a:fillRect/>
                    </a:stretch>
                  </pic:blipFill>
                  <pic:spPr>
                    <a:xfrm>
                      <a:off x="0" y="0"/>
                      <a:ext cx="4725825" cy="3592437"/>
                    </a:xfrm>
                    <a:prstGeom prst="rect">
                      <a:avLst/>
                    </a:prstGeom>
                    <a:ln/>
                  </pic:spPr>
                </pic:pic>
              </a:graphicData>
            </a:graphic>
          </wp:inline>
        </w:drawing>
      </w:r>
    </w:p>
    <w:p w14:paraId="56EA74B8" w14:textId="77777777" w:rsidR="00271E47" w:rsidRPr="00BC1F79" w:rsidRDefault="00271E47" w:rsidP="00271E47">
      <w:pPr>
        <w:pBdr>
          <w:top w:val="nil"/>
          <w:left w:val="nil"/>
          <w:bottom w:val="nil"/>
          <w:right w:val="nil"/>
          <w:between w:val="nil"/>
        </w:pBdr>
        <w:spacing w:after="200" w:line="240" w:lineRule="auto"/>
        <w:jc w:val="center"/>
        <w:rPr>
          <w:i/>
          <w:iCs/>
          <w:color w:val="000000"/>
          <w:sz w:val="18"/>
          <w:szCs w:val="18"/>
        </w:rPr>
      </w:pPr>
      <w:bookmarkStart w:id="3" w:name="_heading=h.30j0zll" w:colFirst="0" w:colLast="0"/>
      <w:bookmarkEnd w:id="3"/>
      <w:r w:rsidRPr="00BC1F79">
        <w:rPr>
          <w:i/>
          <w:iCs/>
          <w:color w:val="000000"/>
          <w:sz w:val="18"/>
          <w:szCs w:val="18"/>
        </w:rPr>
        <w:t>Figure 1. EOSC Compute Platform functional block diagram.</w:t>
      </w:r>
    </w:p>
    <w:p w14:paraId="7B8CA8E2" w14:textId="77777777" w:rsidR="00271E47" w:rsidRDefault="00271E47" w:rsidP="00271E47">
      <w:r>
        <w:t xml:space="preserve">At the bottom of the architecture, the </w:t>
      </w:r>
      <w:r>
        <w:rPr>
          <w:b/>
          <w:i/>
        </w:rPr>
        <w:t>Federated Resource Providers</w:t>
      </w:r>
      <w:r>
        <w:t xml:space="preserve"> deliver a hybrid infrastructure for hosting research applications and data. Different types of providers are considered in the EGI-ACE technical architecture:</w:t>
      </w:r>
    </w:p>
    <w:p w14:paraId="5E37E87A" w14:textId="77777777" w:rsidR="00271E47" w:rsidRDefault="00271E47" w:rsidP="00271E47">
      <w:pPr>
        <w:numPr>
          <w:ilvl w:val="0"/>
          <w:numId w:val="17"/>
        </w:numPr>
        <w:spacing w:after="0"/>
      </w:pPr>
      <w:r>
        <w:rPr>
          <w:b/>
        </w:rPr>
        <w:t>IaaS Cloud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 </w:t>
      </w:r>
    </w:p>
    <w:p w14:paraId="21DE6C42" w14:textId="77777777" w:rsidR="00271E47" w:rsidRDefault="00271E47" w:rsidP="00271E47">
      <w:pPr>
        <w:numPr>
          <w:ilvl w:val="0"/>
          <w:numId w:val="17"/>
        </w:numPr>
      </w:pPr>
      <w:r>
        <w:rPr>
          <w:b/>
        </w:rPr>
        <w:t>HTC</w:t>
      </w:r>
      <w:r>
        <w:t xml:space="preserve"> and </w:t>
      </w:r>
      <w:r>
        <w:rPr>
          <w:b/>
        </w:rPr>
        <w:t>HPC</w:t>
      </w:r>
      <w:r>
        <w:t xml:space="preserve"> provide access to large, shared computing systems for running computational jobs at scale. These allow researchers to analyse large datasets and execute thousands of parallel computing tasks without managing the underlying infrastructure. HTC is typically oriented towards the execution of many independent tasks over long times, whereas HPC supports highly optimised applications with </w:t>
      </w:r>
      <w:r>
        <w:lastRenderedPageBreak/>
        <w:t xml:space="preserve">many dependent tasks requiring large amounts of parallel computation together with a low-latency and high-bandwidth interconnection network. </w:t>
      </w:r>
    </w:p>
    <w:p w14:paraId="6CEBF4F1" w14:textId="77777777" w:rsidR="00271E47" w:rsidRDefault="00271E47" w:rsidP="00271E47">
      <w:r>
        <w:t xml:space="preserve">The </w:t>
      </w:r>
      <w:r>
        <w:rPr>
          <w:b/>
          <w:i/>
        </w:rPr>
        <w:t>Core Services</w:t>
      </w:r>
      <w:r>
        <w:t xml:space="preserve"> pillar provides the necessary functionality to assist services of all other areas with the integration into the Federation. These services support the operation of the EOSC Compute platform and integrate and interoperate with the EOSC Core as it is developed in EOSC Future</w:t>
      </w:r>
      <w:r>
        <w:rPr>
          <w:vertAlign w:val="superscript"/>
        </w:rPr>
        <w:footnoteReference w:id="2"/>
      </w:r>
      <w:r>
        <w:t>. Examples of Core Services are:</w:t>
      </w:r>
    </w:p>
    <w:p w14:paraId="3320C101" w14:textId="77777777" w:rsidR="00271E47" w:rsidRDefault="00271E47" w:rsidP="00271E47">
      <w:pPr>
        <w:numPr>
          <w:ilvl w:val="0"/>
          <w:numId w:val="24"/>
        </w:numPr>
        <w:spacing w:after="0"/>
      </w:pPr>
      <w:r>
        <w:rPr>
          <w:b/>
        </w:rPr>
        <w:t>Configuration Database</w:t>
      </w:r>
      <w:r>
        <w:t>, which contains detailed information about the whole infrastructure of the Federation.</w:t>
      </w:r>
    </w:p>
    <w:p w14:paraId="0A991C28" w14:textId="77777777" w:rsidR="00271E47" w:rsidRDefault="00271E47" w:rsidP="00271E47">
      <w:pPr>
        <w:numPr>
          <w:ilvl w:val="0"/>
          <w:numId w:val="24"/>
        </w:numPr>
        <w:spacing w:after="0"/>
      </w:pPr>
      <w:r>
        <w:rPr>
          <w:b/>
        </w:rPr>
        <w:t xml:space="preserve">Accounting, </w:t>
      </w:r>
      <w:r>
        <w:t>which tracks the use of resources over time.</w:t>
      </w:r>
    </w:p>
    <w:p w14:paraId="2ED9E760" w14:textId="77777777" w:rsidR="00271E47" w:rsidRDefault="00271E47" w:rsidP="00271E47">
      <w:pPr>
        <w:numPr>
          <w:ilvl w:val="0"/>
          <w:numId w:val="24"/>
        </w:numPr>
        <w:spacing w:after="0"/>
      </w:pPr>
      <w:r>
        <w:rPr>
          <w:b/>
        </w:rPr>
        <w:t>Monitoring</w:t>
      </w:r>
      <w:r>
        <w:t>, which oversees the status of resources and provides an insight on their availability.</w:t>
      </w:r>
    </w:p>
    <w:p w14:paraId="788E143B" w14:textId="77777777" w:rsidR="00271E47" w:rsidRDefault="00271E47" w:rsidP="00271E47">
      <w:pPr>
        <w:numPr>
          <w:ilvl w:val="0"/>
          <w:numId w:val="24"/>
        </w:numPr>
        <w:spacing w:after="0"/>
      </w:pPr>
      <w:r>
        <w:rPr>
          <w:b/>
        </w:rPr>
        <w:t>AAI</w:t>
      </w:r>
      <w:r>
        <w:t>, which is implemented via</w:t>
      </w:r>
      <w:r>
        <w:rPr>
          <w:b/>
        </w:rPr>
        <w:t xml:space="preserve"> EGI Check-in</w:t>
      </w:r>
      <w:r>
        <w:rPr>
          <w:b/>
          <w:vertAlign w:val="superscript"/>
        </w:rPr>
        <w:footnoteReference w:id="3"/>
      </w:r>
      <w:r>
        <w:t xml:space="preserve">, EGI’s Authentication and Authorisation service, is a key component of the architecture that enables a single identity manager to be used across all the layers and services of the EOSC Compute platform. This effectively ensures a unified mechanism for controlling access permissions to resources. </w:t>
      </w:r>
    </w:p>
    <w:p w14:paraId="7DAB0AC6" w14:textId="77777777" w:rsidR="00271E47" w:rsidRDefault="00271E47" w:rsidP="00271E47">
      <w:pPr>
        <w:numPr>
          <w:ilvl w:val="0"/>
          <w:numId w:val="24"/>
        </w:numPr>
      </w:pPr>
      <w:r>
        <w:rPr>
          <w:b/>
        </w:rPr>
        <w:t>Helpdesk</w:t>
      </w:r>
      <w:r>
        <w:t xml:space="preserve">, which provides human support to end-users. </w:t>
      </w:r>
    </w:p>
    <w:p w14:paraId="25C94B23" w14:textId="77777777" w:rsidR="00271E47" w:rsidRDefault="00271E47" w:rsidP="00271E47">
      <w:r>
        <w:t>These services are described in more detail in Section 2. Other services are also included in this area, ranging from other non-technical services, coordination activities such asOperations Management, and Security and Incident Response.</w:t>
      </w:r>
    </w:p>
    <w:p w14:paraId="36544546" w14:textId="77777777" w:rsidR="00271E47" w:rsidRDefault="00271E47" w:rsidP="00271E47"/>
    <w:p w14:paraId="59F253D0" w14:textId="417E7B1E" w:rsidR="00271E47" w:rsidRDefault="00271E47" w:rsidP="00271E47">
      <w:r>
        <w:t xml:space="preserve">The </w:t>
      </w:r>
      <w:r>
        <w:rPr>
          <w:b/>
          <w:i/>
        </w:rPr>
        <w:t>Compute Federation</w:t>
      </w:r>
      <w:r>
        <w:t xml:space="preserve"> services orchestrate the execution of user workloads in the Federated Resource Providers. These support the exploitation of data locality by moving computation close to the </w:t>
      </w:r>
      <w:r w:rsidR="00F34FF7">
        <w:t>data and</w:t>
      </w:r>
      <w:r>
        <w:t xml:space="preserve"> facilitate application portability with the support for a diverse range of computing platforms (Cloud IaaS, HTC, HPC) and the interaction with software distribution tools (such as VM images, container images or plain binaries). There are three services considered in the architecture:</w:t>
      </w:r>
    </w:p>
    <w:p w14:paraId="4086340B" w14:textId="77777777" w:rsidR="00271E47" w:rsidRDefault="00271E47" w:rsidP="00271E47">
      <w:pPr>
        <w:numPr>
          <w:ilvl w:val="0"/>
          <w:numId w:val="40"/>
        </w:numPr>
        <w:spacing w:after="0"/>
      </w:pPr>
      <w:r>
        <w:rPr>
          <w:b/>
        </w:rPr>
        <w:t>Hybrid cloud orchestration</w:t>
      </w:r>
      <w:r>
        <w:t xml:space="preserve">, for the deployment of custom virtual infrastructure over multiple IaaS cloud backends; </w:t>
      </w:r>
    </w:p>
    <w:p w14:paraId="77876FE5" w14:textId="77777777" w:rsidR="00271E47" w:rsidRDefault="00271E47" w:rsidP="00271E47">
      <w:pPr>
        <w:numPr>
          <w:ilvl w:val="0"/>
          <w:numId w:val="40"/>
        </w:numPr>
        <w:spacing w:after="0"/>
      </w:pPr>
      <w:r>
        <w:rPr>
          <w:b/>
        </w:rPr>
        <w:t>Workload Manager</w:t>
      </w:r>
      <w:r>
        <w:t>, for the scheduling and execution of jobs in the federated resource providers (both cloud and HTC/HPC); and a</w:t>
      </w:r>
    </w:p>
    <w:p w14:paraId="21DCA598" w14:textId="77777777" w:rsidR="00271E47" w:rsidRDefault="00271E47" w:rsidP="00271E47">
      <w:pPr>
        <w:numPr>
          <w:ilvl w:val="0"/>
          <w:numId w:val="40"/>
        </w:numPr>
        <w:rPr>
          <w:b/>
        </w:rPr>
      </w:pPr>
      <w:r>
        <w:rPr>
          <w:b/>
        </w:rPr>
        <w:t>Software distribution</w:t>
      </w:r>
      <w:r>
        <w:t>, for making software available at the Federated Resource Providers (</w:t>
      </w:r>
      <w:r>
        <w:rPr>
          <w:i/>
        </w:rPr>
        <w:t>e.g.</w:t>
      </w:r>
      <w:r>
        <w:t>, as VM images).</w:t>
      </w:r>
    </w:p>
    <w:p w14:paraId="28C9865F" w14:textId="77777777" w:rsidR="00271E47" w:rsidRDefault="00271E47" w:rsidP="00271E47"/>
    <w:p w14:paraId="5634AF4B" w14:textId="77777777" w:rsidR="00271E47" w:rsidRDefault="00271E47" w:rsidP="00271E47">
      <w:r>
        <w:t xml:space="preserve">The </w:t>
      </w:r>
      <w:r>
        <w:rPr>
          <w:b/>
          <w:i/>
        </w:rPr>
        <w:t>Data Federation</w:t>
      </w:r>
      <w:r>
        <w:t xml:space="preserve"> services support the exposure of discoverable datasets and the staging of data in and out of the EOSC Compute Platform Cloud. The </w:t>
      </w:r>
      <w:r>
        <w:rPr>
          <w:b/>
        </w:rPr>
        <w:t>Federated Data Management</w:t>
      </w:r>
      <w:r>
        <w:t xml:space="preserve"> services control the raw storage capacity offered by the Federated Resource Providers to deliver data products that, by using the </w:t>
      </w:r>
      <w:r>
        <w:rPr>
          <w:b/>
        </w:rPr>
        <w:t>Data Transfer</w:t>
      </w:r>
      <w:r>
        <w:t xml:space="preserve"> service, can be </w:t>
      </w:r>
      <w:r>
        <w:lastRenderedPageBreak/>
        <w:t>transferred between the different EGI-ACE providers and potentially to external data repositories.</w:t>
      </w:r>
    </w:p>
    <w:p w14:paraId="3E35C6B5" w14:textId="77777777" w:rsidR="00271E47" w:rsidRDefault="00271E47" w:rsidP="00271E47">
      <w:r>
        <w:t xml:space="preserve">The </w:t>
      </w:r>
      <w:r>
        <w:rPr>
          <w:b/>
          <w:i/>
        </w:rPr>
        <w:t xml:space="preserve">Platforms </w:t>
      </w:r>
      <w:r>
        <w:t xml:space="preserve">service layer provides generic added-value services to exploit the compute and storage resources of EGI-ACE, which can be easily reused by different communities to build thematic end-user services. These platforms rely on the existing Compute Federation and Data Federation services to access the Federated Resource Providers and deliver </w:t>
      </w:r>
      <w:r>
        <w:rPr>
          <w:b/>
        </w:rPr>
        <w:t>Interactive Notebooks</w:t>
      </w:r>
      <w:r>
        <w:t xml:space="preserve"> as a tool for interactive analysis of data, </w:t>
      </w:r>
      <w:r>
        <w:rPr>
          <w:b/>
        </w:rPr>
        <w:t xml:space="preserve">PaaS Orchestration </w:t>
      </w:r>
      <w:r>
        <w:t xml:space="preserve">to facilitate the deployment of complex applications, </w:t>
      </w:r>
      <w:r>
        <w:rPr>
          <w:b/>
        </w:rPr>
        <w:t>AI/ML</w:t>
      </w:r>
      <w:r>
        <w:t xml:space="preserve"> to support the models and algorithms required by some scientific fields, and </w:t>
      </w:r>
      <w:r>
        <w:rPr>
          <w:b/>
        </w:rPr>
        <w:t>Scalable Big Data Tools</w:t>
      </w:r>
      <w:r>
        <w:t xml:space="preserve"> that can be reused in several research disciplines.</w:t>
      </w:r>
    </w:p>
    <w:p w14:paraId="3014EE43" w14:textId="2128B789" w:rsidR="00271E47" w:rsidRDefault="00271E47" w:rsidP="00271E47">
      <w:r>
        <w:t xml:space="preserve">Finally, </w:t>
      </w:r>
      <w:r>
        <w:rPr>
          <w:b/>
          <w:i/>
        </w:rPr>
        <w:t>Thematic Services</w:t>
      </w:r>
      <w:r>
        <w:t xml:space="preserve"> </w:t>
      </w:r>
      <w:r w:rsidR="00C85B09">
        <w:t>is</w:t>
      </w:r>
      <w:r>
        <w:t xml:space="preserve"> built on top by combining services from all these areas to </w:t>
      </w:r>
      <w:r w:rsidR="00F34FF7">
        <w:t>bring simulation</w:t>
      </w:r>
      <w:r>
        <w:t>, machine learning and data analytics capabilities that are tailored to the needs of a specific research domain. These data spaces and tools focus on data exploitation. Each thematic service will have tools adapted</w:t>
      </w:r>
      <w:r w:rsidR="00C85B09">
        <w:t xml:space="preserve"> </w:t>
      </w:r>
      <w:r>
        <w:t>to the disciplines they target, under disparate arbitrary architectures, so they are not covered in this deliverable.</w:t>
      </w:r>
    </w:p>
    <w:p w14:paraId="2E055862" w14:textId="77777777" w:rsidR="00271E47" w:rsidRDefault="00271E47" w:rsidP="00271E47">
      <w:r>
        <w:t>These function blocks depicted in Figure 1 will be discussed in the different sections of this document.</w:t>
      </w:r>
    </w:p>
    <w:p w14:paraId="1E1C6B7D" w14:textId="77777777" w:rsidR="00271E47" w:rsidRDefault="00271E47" w:rsidP="00271E47">
      <w:pPr>
        <w:pStyle w:val="Heading2"/>
        <w:numPr>
          <w:ilvl w:val="1"/>
          <w:numId w:val="13"/>
        </w:numPr>
        <w:ind w:left="576" w:hanging="576"/>
        <w:rPr>
          <w:szCs w:val="32"/>
        </w:rPr>
      </w:pPr>
      <w:bookmarkStart w:id="4" w:name="_heading=h.1lwuq484gx67" w:colFirst="0" w:colLast="0"/>
      <w:bookmarkStart w:id="5" w:name="_Toc116449104"/>
      <w:bookmarkEnd w:id="4"/>
      <w:r>
        <w:t>Integration Modes for Resource Providers</w:t>
      </w:r>
      <w:bookmarkEnd w:id="5"/>
    </w:p>
    <w:p w14:paraId="4354639D" w14:textId="07FD098B" w:rsidR="00271E47" w:rsidRDefault="00271E47" w:rsidP="00271E47">
      <w:r>
        <w:t xml:space="preserve">The EOSC Compute Platform offers a flexible approach to </w:t>
      </w:r>
      <w:r w:rsidR="00C85B09">
        <w:t>bringing</w:t>
      </w:r>
      <w:r>
        <w:t xml:space="preserve"> new providers into the Federation to deliver compute and storage resources:</w:t>
      </w:r>
    </w:p>
    <w:p w14:paraId="177E69A3" w14:textId="66061A42" w:rsidR="00271E47" w:rsidRDefault="00271E47" w:rsidP="00271E47">
      <w:pPr>
        <w:numPr>
          <w:ilvl w:val="0"/>
          <w:numId w:val="41"/>
        </w:numPr>
      </w:pPr>
      <w:r>
        <w:rPr>
          <w:b/>
        </w:rPr>
        <w:t xml:space="preserve">Full integration. </w:t>
      </w:r>
      <w:r>
        <w:t xml:space="preserve">These providers are fully integrated into the EGI Federation through the Core Services. It enables the seamless use of multiple clouds for international communities and empowers EGI to establish and monitor Service Level Agreements (SLAs) between users and providers. This integration is a </w:t>
      </w:r>
      <w:r w:rsidR="00C85B09">
        <w:t>well-documented</w:t>
      </w:r>
      <w:r>
        <w:t xml:space="preserve"> procedure [R2] that ensures that providers meet all policy and operational </w:t>
      </w:r>
      <w:r w:rsidR="008C5638">
        <w:t>requirements,</w:t>
      </w:r>
      <w:r>
        <w:t xml:space="preserve"> and that the technical integration is in place.</w:t>
      </w:r>
    </w:p>
    <w:p w14:paraId="67A73F65" w14:textId="105BCDE4" w:rsidR="00271E47" w:rsidRDefault="00271E47" w:rsidP="00271E47">
      <w:pPr>
        <w:numPr>
          <w:ilvl w:val="0"/>
          <w:numId w:val="41"/>
        </w:numPr>
      </w:pPr>
      <w:r>
        <w:rPr>
          <w:b/>
        </w:rPr>
        <w:t>AAI Integration</w:t>
      </w:r>
      <w:r>
        <w:t xml:space="preserve">. These providers use EGI Check-in for the authentication and authorisation of federated users, but do not necessarily integrate with the rest of the Core Services. While these services are not part of the EGI Federation, the hosting organisation must comply with EGI security requirements to ensure that it will operate the service in good faith, without deliberately exposing the user to security risks, without claiming intellectual property on the data owned by the user, and protecting sensitive data generated by the user’s interaction with the service. EGI Check-in integration enables use from the compute and data federation </w:t>
      </w:r>
      <w:r w:rsidR="00C85B09">
        <w:t>layers,</w:t>
      </w:r>
      <w:r>
        <w:t xml:space="preserve"> but it requires individual and manual configuration, as these providers cannot be easily discovered. The lack of certification, monitoring and accounting also prevents the inclusion of services to support SLAs/OLAs, since the availability and reliability of the providers cannot be monitored by EGI.</w:t>
      </w:r>
    </w:p>
    <w:p w14:paraId="1637F3D7" w14:textId="77777777" w:rsidR="00271E47" w:rsidRDefault="00271E47" w:rsidP="00271E47">
      <w:pPr>
        <w:numPr>
          <w:ilvl w:val="0"/>
          <w:numId w:val="41"/>
        </w:numPr>
      </w:pPr>
      <w:r>
        <w:rPr>
          <w:b/>
        </w:rPr>
        <w:t>Application Sharing</w:t>
      </w:r>
      <w:r>
        <w:t>. Providers joining the application sharing integration mode make virtualised applications and software packages from EGI available to local users. These providers integrate with the Software distribution components of the EOSC Compute Platform.</w:t>
      </w:r>
    </w:p>
    <w:p w14:paraId="7B923307" w14:textId="5CD0DF25" w:rsidR="00271E47" w:rsidRDefault="00271E47" w:rsidP="00271E47">
      <w:pPr>
        <w:numPr>
          <w:ilvl w:val="0"/>
          <w:numId w:val="37"/>
        </w:numPr>
      </w:pPr>
      <w:r>
        <w:rPr>
          <w:b/>
        </w:rPr>
        <w:lastRenderedPageBreak/>
        <w:t>Data Sharing</w:t>
      </w:r>
      <w:r>
        <w:t xml:space="preserve">. EGI DataHub (see Section 5.1) allows providers to replicate scientific datasets and expose existing data to the local cloud provider. This integration mode consists of the deployment of the DataHub components that expose the storage available locally to the Federation, in logical namespaces where datasets are available. </w:t>
      </w:r>
      <w:r w:rsidR="008C5638">
        <w:t>Similarly,</w:t>
      </w:r>
      <w:r>
        <w:t xml:space="preserve"> to other providers that are not fully integrated, these providers cannot be included in the SLAs/OLAs. </w:t>
      </w:r>
    </w:p>
    <w:p w14:paraId="06C7C036" w14:textId="1C7486B0" w:rsidR="00271E47" w:rsidRDefault="00271E47" w:rsidP="00271E47">
      <w:r>
        <w:t>Table 1 presents a summary of the different integration options and its features.</w:t>
      </w:r>
    </w:p>
    <w:p w14:paraId="382581BA" w14:textId="77777777" w:rsidR="00271E47" w:rsidRPr="00BC1F79" w:rsidRDefault="00271E47" w:rsidP="007E2EF5">
      <w:pPr>
        <w:jc w:val="left"/>
        <w:rPr>
          <w:i/>
          <w:iCs/>
          <w:sz w:val="18"/>
          <w:szCs w:val="18"/>
        </w:rPr>
      </w:pPr>
      <w:r w:rsidRPr="00BC1F79">
        <w:rPr>
          <w:i/>
          <w:iCs/>
          <w:sz w:val="18"/>
          <w:szCs w:val="18"/>
        </w:rPr>
        <w:t>Table 1 – Integration modes summary</w:t>
      </w:r>
    </w:p>
    <w:tbl>
      <w:tblPr>
        <w:tblStyle w:val="PlainTable1"/>
        <w:tblW w:w="9209" w:type="dxa"/>
        <w:tblLayout w:type="fixed"/>
        <w:tblLook w:val="04A0" w:firstRow="1" w:lastRow="0" w:firstColumn="1" w:lastColumn="0" w:noHBand="0" w:noVBand="1"/>
      </w:tblPr>
      <w:tblGrid>
        <w:gridCol w:w="1980"/>
        <w:gridCol w:w="1559"/>
        <w:gridCol w:w="1701"/>
        <w:gridCol w:w="2268"/>
        <w:gridCol w:w="1701"/>
      </w:tblGrid>
      <w:tr w:rsidR="00271E47" w14:paraId="72DD0A05" w14:textId="77777777" w:rsidTr="00EF1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1EE998F" w14:textId="77777777" w:rsidR="00271E47" w:rsidRDefault="00271E47" w:rsidP="00DA495D">
            <w:pPr>
              <w:rPr>
                <w:sz w:val="20"/>
                <w:szCs w:val="20"/>
              </w:rPr>
            </w:pPr>
          </w:p>
        </w:tc>
        <w:tc>
          <w:tcPr>
            <w:tcW w:w="1559" w:type="dxa"/>
          </w:tcPr>
          <w:p w14:paraId="0985C663" w14:textId="77777777" w:rsidR="00271E47" w:rsidRDefault="00271E47" w:rsidP="00DA495D">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Full Integration</w:t>
            </w:r>
          </w:p>
        </w:tc>
        <w:tc>
          <w:tcPr>
            <w:tcW w:w="1701" w:type="dxa"/>
          </w:tcPr>
          <w:p w14:paraId="6C1889B9" w14:textId="77777777" w:rsidR="00271E47" w:rsidRDefault="00271E47" w:rsidP="00DA495D">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AAI integration</w:t>
            </w:r>
          </w:p>
        </w:tc>
        <w:tc>
          <w:tcPr>
            <w:tcW w:w="2268" w:type="dxa"/>
          </w:tcPr>
          <w:p w14:paraId="04685C2C" w14:textId="77777777" w:rsidR="00271E47" w:rsidRDefault="00271E47" w:rsidP="00DA495D">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Application Sharing</w:t>
            </w:r>
          </w:p>
        </w:tc>
        <w:tc>
          <w:tcPr>
            <w:tcW w:w="1701" w:type="dxa"/>
          </w:tcPr>
          <w:p w14:paraId="32A4AF12" w14:textId="77777777" w:rsidR="00271E47" w:rsidRDefault="00271E47" w:rsidP="00DA495D">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Data Sharing</w:t>
            </w:r>
          </w:p>
        </w:tc>
      </w:tr>
      <w:tr w:rsidR="00271E47" w14:paraId="26D5D412" w14:textId="77777777" w:rsidTr="00EF1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4D662C5" w14:textId="77777777" w:rsidR="00271E47" w:rsidRDefault="00271E47" w:rsidP="00DA495D">
            <w:pPr>
              <w:rPr>
                <w:sz w:val="20"/>
                <w:szCs w:val="20"/>
              </w:rPr>
            </w:pPr>
            <w:r>
              <w:rPr>
                <w:sz w:val="20"/>
                <w:szCs w:val="20"/>
              </w:rPr>
              <w:t>EGI Check-in</w:t>
            </w:r>
          </w:p>
        </w:tc>
        <w:tc>
          <w:tcPr>
            <w:tcW w:w="1559" w:type="dxa"/>
          </w:tcPr>
          <w:p w14:paraId="4F97EA45"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Yes</w:t>
            </w:r>
          </w:p>
        </w:tc>
        <w:tc>
          <w:tcPr>
            <w:tcW w:w="1701" w:type="dxa"/>
          </w:tcPr>
          <w:p w14:paraId="12033694"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Yes</w:t>
            </w:r>
          </w:p>
        </w:tc>
        <w:tc>
          <w:tcPr>
            <w:tcW w:w="2268" w:type="dxa"/>
          </w:tcPr>
          <w:p w14:paraId="2051999E"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Optional</w:t>
            </w:r>
          </w:p>
        </w:tc>
        <w:tc>
          <w:tcPr>
            <w:tcW w:w="1701" w:type="dxa"/>
          </w:tcPr>
          <w:p w14:paraId="757F11AB"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Optional</w:t>
            </w:r>
          </w:p>
        </w:tc>
      </w:tr>
      <w:tr w:rsidR="00271E47" w14:paraId="0B58562A" w14:textId="77777777" w:rsidTr="00EF1611">
        <w:tc>
          <w:tcPr>
            <w:cnfStyle w:val="001000000000" w:firstRow="0" w:lastRow="0" w:firstColumn="1" w:lastColumn="0" w:oddVBand="0" w:evenVBand="0" w:oddHBand="0" w:evenHBand="0" w:firstRowFirstColumn="0" w:firstRowLastColumn="0" w:lastRowFirstColumn="0" w:lastRowLastColumn="0"/>
            <w:tcW w:w="1980" w:type="dxa"/>
          </w:tcPr>
          <w:p w14:paraId="74356F42" w14:textId="77777777" w:rsidR="00271E47" w:rsidRDefault="00271E47" w:rsidP="00DA495D">
            <w:pPr>
              <w:rPr>
                <w:sz w:val="20"/>
                <w:szCs w:val="20"/>
              </w:rPr>
            </w:pPr>
            <w:r>
              <w:rPr>
                <w:sz w:val="20"/>
                <w:szCs w:val="20"/>
              </w:rPr>
              <w:t>Monitoring/ Accounting/ Helpdesk</w:t>
            </w:r>
          </w:p>
        </w:tc>
        <w:tc>
          <w:tcPr>
            <w:tcW w:w="1559" w:type="dxa"/>
          </w:tcPr>
          <w:p w14:paraId="40FA2413"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701" w:type="dxa"/>
          </w:tcPr>
          <w:p w14:paraId="5746B25C"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2268" w:type="dxa"/>
          </w:tcPr>
          <w:p w14:paraId="4E355BDF"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1701" w:type="dxa"/>
          </w:tcPr>
          <w:p w14:paraId="70125BCA"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r w:rsidR="00271E47" w14:paraId="1ECEEE24" w14:textId="77777777" w:rsidTr="00EF1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6EE2D72" w14:textId="77777777" w:rsidR="00271E47" w:rsidRDefault="00271E47" w:rsidP="00DA495D">
            <w:pPr>
              <w:rPr>
                <w:sz w:val="20"/>
                <w:szCs w:val="20"/>
              </w:rPr>
            </w:pPr>
            <w:r>
              <w:rPr>
                <w:sz w:val="20"/>
                <w:szCs w:val="20"/>
              </w:rPr>
              <w:t>AppDB/ CernVM-FS</w:t>
            </w:r>
          </w:p>
        </w:tc>
        <w:tc>
          <w:tcPr>
            <w:tcW w:w="1559" w:type="dxa"/>
          </w:tcPr>
          <w:p w14:paraId="0A52645B"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1701" w:type="dxa"/>
          </w:tcPr>
          <w:p w14:paraId="15E0A6CA"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Optional</w:t>
            </w:r>
          </w:p>
        </w:tc>
        <w:tc>
          <w:tcPr>
            <w:tcW w:w="2268" w:type="dxa"/>
          </w:tcPr>
          <w:p w14:paraId="666B61E8"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1701" w:type="dxa"/>
          </w:tcPr>
          <w:p w14:paraId="4097E8E8"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Optional</w:t>
            </w:r>
          </w:p>
        </w:tc>
      </w:tr>
      <w:tr w:rsidR="00271E47" w14:paraId="7CC801CC" w14:textId="77777777" w:rsidTr="00EF1611">
        <w:tc>
          <w:tcPr>
            <w:cnfStyle w:val="001000000000" w:firstRow="0" w:lastRow="0" w:firstColumn="1" w:lastColumn="0" w:oddVBand="0" w:evenVBand="0" w:oddHBand="0" w:evenHBand="0" w:firstRowFirstColumn="0" w:firstRowLastColumn="0" w:lastRowFirstColumn="0" w:lastRowLastColumn="0"/>
            <w:tcW w:w="1980" w:type="dxa"/>
          </w:tcPr>
          <w:p w14:paraId="0392971A" w14:textId="77777777" w:rsidR="00271E47" w:rsidRDefault="00271E47" w:rsidP="00DA495D">
            <w:pPr>
              <w:rPr>
                <w:sz w:val="20"/>
                <w:szCs w:val="20"/>
              </w:rPr>
            </w:pPr>
            <w:r>
              <w:rPr>
                <w:sz w:val="20"/>
                <w:szCs w:val="20"/>
              </w:rPr>
              <w:t>DataHub</w:t>
            </w:r>
          </w:p>
        </w:tc>
        <w:tc>
          <w:tcPr>
            <w:tcW w:w="1559" w:type="dxa"/>
          </w:tcPr>
          <w:p w14:paraId="29BB6084"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701" w:type="dxa"/>
          </w:tcPr>
          <w:p w14:paraId="147277E8"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Optional</w:t>
            </w:r>
          </w:p>
        </w:tc>
        <w:tc>
          <w:tcPr>
            <w:tcW w:w="2268" w:type="dxa"/>
          </w:tcPr>
          <w:p w14:paraId="066EAB7E"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Optional</w:t>
            </w:r>
          </w:p>
        </w:tc>
        <w:tc>
          <w:tcPr>
            <w:tcW w:w="1701" w:type="dxa"/>
          </w:tcPr>
          <w:p w14:paraId="5EB5BAB1" w14:textId="77777777" w:rsidR="00271E47" w:rsidRDefault="00271E47" w:rsidP="00DA495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r>
      <w:tr w:rsidR="00271E47" w14:paraId="4F5F8548" w14:textId="77777777" w:rsidTr="00EF1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F9E5B9" w14:textId="77777777" w:rsidR="00271E47" w:rsidRDefault="00271E47" w:rsidP="00DA495D">
            <w:pPr>
              <w:rPr>
                <w:sz w:val="20"/>
                <w:szCs w:val="20"/>
              </w:rPr>
            </w:pPr>
            <w:r>
              <w:rPr>
                <w:sz w:val="20"/>
                <w:szCs w:val="20"/>
              </w:rPr>
              <w:t>SLA/OLAs</w:t>
            </w:r>
          </w:p>
        </w:tc>
        <w:tc>
          <w:tcPr>
            <w:tcW w:w="1559" w:type="dxa"/>
          </w:tcPr>
          <w:p w14:paraId="50EEB25D"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1701" w:type="dxa"/>
          </w:tcPr>
          <w:p w14:paraId="703D708D"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2268" w:type="dxa"/>
          </w:tcPr>
          <w:p w14:paraId="0013B81A"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1701" w:type="dxa"/>
          </w:tcPr>
          <w:p w14:paraId="0F8A800F" w14:textId="77777777" w:rsidR="00271E47" w:rsidRDefault="00271E47" w:rsidP="00DA495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bl>
    <w:p w14:paraId="1E890DBE" w14:textId="77777777" w:rsidR="00271E47" w:rsidRDefault="00271E47" w:rsidP="00271E47"/>
    <w:p w14:paraId="0AE0F995" w14:textId="219FE13E" w:rsidR="00271E47" w:rsidRDefault="00271E47" w:rsidP="00271E47">
      <w:r>
        <w:t xml:space="preserve">A graphical relation of the different integration options and the available services is depicted in Figure 2: </w:t>
      </w:r>
      <w:r>
        <w:rPr>
          <w:i/>
        </w:rPr>
        <w:t>Fully integrated resource providers</w:t>
      </w:r>
      <w:r>
        <w:t xml:space="preserve"> shown in the centre of the figure are integrated with EGI Check-in and the rest of EGI Core Services and can be seamlessly used from the other layers of the EOSC Compute Platform. At the top, the </w:t>
      </w:r>
      <w:r>
        <w:rPr>
          <w:i/>
        </w:rPr>
        <w:t>Application Sharing</w:t>
      </w:r>
      <w:r>
        <w:t xml:space="preserve"> and </w:t>
      </w:r>
      <w:r>
        <w:rPr>
          <w:i/>
        </w:rPr>
        <w:t>Data Sharing providers</w:t>
      </w:r>
      <w:r>
        <w:t xml:space="preserve"> are depicted, which are integrated with the respective components of the Compute and Data Federation layer. On the right, the </w:t>
      </w:r>
      <w:r>
        <w:rPr>
          <w:i/>
        </w:rPr>
        <w:t>AAI integration providers</w:t>
      </w:r>
      <w:r>
        <w:t xml:space="preserve"> are connected to EGI Check-in to allow international users to be </w:t>
      </w:r>
      <w:r w:rsidR="008C5638">
        <w:t>authenticated by</w:t>
      </w:r>
      <w:r>
        <w:t xml:space="preserve"> their system. </w:t>
      </w:r>
    </w:p>
    <w:p w14:paraId="73D38E82" w14:textId="77777777" w:rsidR="00271E47" w:rsidRDefault="00271E47" w:rsidP="00271E47"/>
    <w:p w14:paraId="160F1913" w14:textId="77777777" w:rsidR="00271E47" w:rsidRDefault="00271E47" w:rsidP="00271E47">
      <w:pPr>
        <w:keepNext/>
        <w:jc w:val="center"/>
      </w:pPr>
      <w:r>
        <w:rPr>
          <w:noProof/>
        </w:rPr>
        <w:drawing>
          <wp:inline distT="114300" distB="114300" distL="114300" distR="114300" wp14:anchorId="50933D30" wp14:editId="08C85629">
            <wp:extent cx="6174814" cy="2379663"/>
            <wp:effectExtent l="0" t="0" r="0" b="0"/>
            <wp:docPr id="175" name="image4.png" descr="Integration options of the Resource Providers"/>
            <wp:cNvGraphicFramePr/>
            <a:graphic xmlns:a="http://schemas.openxmlformats.org/drawingml/2006/main">
              <a:graphicData uri="http://schemas.openxmlformats.org/drawingml/2006/picture">
                <pic:pic xmlns:pic="http://schemas.openxmlformats.org/drawingml/2006/picture">
                  <pic:nvPicPr>
                    <pic:cNvPr id="175" name="image4.png" descr="Integration options of the Resource Providers"/>
                    <pic:cNvPicPr preferRelativeResize="0"/>
                  </pic:nvPicPr>
                  <pic:blipFill>
                    <a:blip r:embed="rId15"/>
                    <a:srcRect/>
                    <a:stretch>
                      <a:fillRect/>
                    </a:stretch>
                  </pic:blipFill>
                  <pic:spPr>
                    <a:xfrm>
                      <a:off x="0" y="0"/>
                      <a:ext cx="6174814" cy="2379663"/>
                    </a:xfrm>
                    <a:prstGeom prst="rect">
                      <a:avLst/>
                    </a:prstGeom>
                    <a:ln/>
                  </pic:spPr>
                </pic:pic>
              </a:graphicData>
            </a:graphic>
          </wp:inline>
        </w:drawing>
      </w:r>
    </w:p>
    <w:p w14:paraId="5C41AD84" w14:textId="77777777" w:rsidR="00271E47" w:rsidRDefault="00271E47" w:rsidP="00271E47">
      <w:pPr>
        <w:spacing w:after="200" w:line="240" w:lineRule="auto"/>
        <w:jc w:val="center"/>
        <w:rPr>
          <w:i/>
          <w:iCs/>
          <w:sz w:val="18"/>
          <w:szCs w:val="18"/>
        </w:rPr>
      </w:pPr>
      <w:r w:rsidRPr="00BC1F79">
        <w:rPr>
          <w:i/>
          <w:iCs/>
          <w:sz w:val="18"/>
          <w:szCs w:val="18"/>
        </w:rPr>
        <w:t>Figure 2. Integration options of the Resource Providers</w:t>
      </w:r>
    </w:p>
    <w:p w14:paraId="0936C911" w14:textId="77777777" w:rsidR="008C5638" w:rsidRPr="00BC1F79" w:rsidRDefault="008C5638" w:rsidP="00271E47">
      <w:pPr>
        <w:spacing w:after="200" w:line="240" w:lineRule="auto"/>
        <w:jc w:val="center"/>
        <w:rPr>
          <w:i/>
          <w:iCs/>
          <w:sz w:val="18"/>
          <w:szCs w:val="18"/>
        </w:rPr>
      </w:pPr>
    </w:p>
    <w:p w14:paraId="5EAA82F5" w14:textId="77777777" w:rsidR="00271E47" w:rsidRDefault="00271E47" w:rsidP="00271E47">
      <w:pPr>
        <w:pStyle w:val="Heading2"/>
        <w:numPr>
          <w:ilvl w:val="1"/>
          <w:numId w:val="13"/>
        </w:numPr>
        <w:ind w:left="576" w:hanging="576"/>
        <w:rPr>
          <w:szCs w:val="32"/>
        </w:rPr>
      </w:pPr>
      <w:bookmarkStart w:id="6" w:name="_heading=h.xfjg598har0o" w:colFirst="0" w:colLast="0"/>
      <w:bookmarkStart w:id="7" w:name="_Toc116449105"/>
      <w:bookmarkEnd w:id="6"/>
      <w:r>
        <w:lastRenderedPageBreak/>
        <w:t>Document organisation</w:t>
      </w:r>
      <w:bookmarkEnd w:id="7"/>
    </w:p>
    <w:p w14:paraId="4E6EE152" w14:textId="77777777" w:rsidR="00271E47" w:rsidRDefault="00271E47" w:rsidP="00271E47">
      <w:r>
        <w:t>The rest of the document is organised as follows:</w:t>
      </w:r>
    </w:p>
    <w:p w14:paraId="0EC6EB59" w14:textId="70E3BA5D" w:rsidR="00271E47" w:rsidRDefault="00271E47" w:rsidP="00271E47">
      <w:r>
        <w:t xml:space="preserve">The main Core Services are described in </w:t>
      </w:r>
      <w:r>
        <w:rPr>
          <w:b/>
        </w:rPr>
        <w:t>Section 2</w:t>
      </w:r>
      <w:r>
        <w:t xml:space="preserve">, which consist of the Authentication and Authorisation service (EGI Check-in), the Configuration Database (GOCDB), the Accounting, the </w:t>
      </w:r>
      <w:r w:rsidR="008C5638">
        <w:t>Monitoring,</w:t>
      </w:r>
      <w:r>
        <w:t xml:space="preserve"> and the HelpDesk (GGUS).</w:t>
      </w:r>
    </w:p>
    <w:p w14:paraId="003F5FAC" w14:textId="77777777" w:rsidR="00271E47" w:rsidRDefault="00271E47" w:rsidP="00271E47">
      <w:r>
        <w:rPr>
          <w:b/>
        </w:rPr>
        <w:t>Section 3</w:t>
      </w:r>
      <w:r>
        <w:t xml:space="preserve"> provides an overview of the computing and storage services available to the different research communities, defining the cloud environment and the High Throughput Compute (HTC) and High Performance Computing (HPC) services.</w:t>
      </w:r>
    </w:p>
    <w:p w14:paraId="1A45EEA7" w14:textId="77777777" w:rsidR="00271E47" w:rsidRDefault="00271E47" w:rsidP="00271E47">
      <w:r>
        <w:t xml:space="preserve">The federated compute solution is discussed in </w:t>
      </w:r>
      <w:r>
        <w:rPr>
          <w:b/>
        </w:rPr>
        <w:t>Section 4</w:t>
      </w:r>
      <w:r>
        <w:t>, which describes the available services and tools that support end-users in federated operation. These include tools to support user job submission to HTC, HPC and cloud providers, virtual infrastructure deployment and software installation, software distribution and management, and support for dynamic server addressability.</w:t>
      </w:r>
    </w:p>
    <w:p w14:paraId="07E133BF" w14:textId="77777777" w:rsidR="00271E47" w:rsidRDefault="00271E47" w:rsidP="00271E47">
      <w:r>
        <w:t xml:space="preserve">Similarly, the federated data solution is described in </w:t>
      </w:r>
      <w:r>
        <w:rPr>
          <w:b/>
        </w:rPr>
        <w:t>Section 5</w:t>
      </w:r>
      <w:r>
        <w:t>. This includes solutions for data management in a federated environment, addressing tasks such as distributed data sources and transfer of data from one provider to another within the federated infrastructure.</w:t>
      </w:r>
    </w:p>
    <w:p w14:paraId="658AD545" w14:textId="77777777" w:rsidR="00271E47" w:rsidRDefault="00271E47" w:rsidP="00271E47">
      <w:r>
        <w:rPr>
          <w:b/>
        </w:rPr>
        <w:t>Section 6</w:t>
      </w:r>
      <w:r>
        <w:t xml:space="preserve"> describes the platforms, which are additional generic tools to exploit the compute and storage resources of EGI-ACE.</w:t>
      </w:r>
    </w:p>
    <w:p w14:paraId="1A24B4E1" w14:textId="77777777" w:rsidR="00271E47" w:rsidRDefault="00271E47" w:rsidP="00271E47">
      <w:r>
        <w:t xml:space="preserve">Finally, </w:t>
      </w:r>
      <w:r>
        <w:rPr>
          <w:b/>
        </w:rPr>
        <w:t>Section 7</w:t>
      </w:r>
      <w:r>
        <w:t xml:space="preserve"> presents some conclusions.</w:t>
      </w:r>
    </w:p>
    <w:p w14:paraId="0D3BEE9D" w14:textId="77777777" w:rsidR="00271E47" w:rsidRDefault="00271E47" w:rsidP="00271E47">
      <w:r>
        <w:t>The relationship between the block diagram in Figure 1 and where each part is covered in this document is illustrated in Figure 3.</w:t>
      </w:r>
    </w:p>
    <w:p w14:paraId="4F3DAC77" w14:textId="77777777" w:rsidR="00271E47" w:rsidRDefault="00271E47" w:rsidP="00271E47"/>
    <w:p w14:paraId="0C0E2A40" w14:textId="77777777" w:rsidR="00271E47" w:rsidRDefault="00271E47" w:rsidP="00271E47">
      <w:pPr>
        <w:jc w:val="center"/>
      </w:pPr>
      <w:r>
        <w:rPr>
          <w:noProof/>
        </w:rPr>
        <w:drawing>
          <wp:inline distT="114300" distB="114300" distL="114300" distR="114300" wp14:anchorId="68996E74" wp14:editId="717BBC8C">
            <wp:extent cx="4254338" cy="3213577"/>
            <wp:effectExtent l="0" t="0" r="0" b="0"/>
            <wp:docPr id="174" name="image14.png" descr="Document organisation"/>
            <wp:cNvGraphicFramePr/>
            <a:graphic xmlns:a="http://schemas.openxmlformats.org/drawingml/2006/main">
              <a:graphicData uri="http://schemas.openxmlformats.org/drawingml/2006/picture">
                <pic:pic xmlns:pic="http://schemas.openxmlformats.org/drawingml/2006/picture">
                  <pic:nvPicPr>
                    <pic:cNvPr id="174" name="image14.png" descr="Document organisation"/>
                    <pic:cNvPicPr preferRelativeResize="0"/>
                  </pic:nvPicPr>
                  <pic:blipFill>
                    <a:blip r:embed="rId16"/>
                    <a:srcRect/>
                    <a:stretch>
                      <a:fillRect/>
                    </a:stretch>
                  </pic:blipFill>
                  <pic:spPr>
                    <a:xfrm>
                      <a:off x="0" y="0"/>
                      <a:ext cx="4254338" cy="3213577"/>
                    </a:xfrm>
                    <a:prstGeom prst="rect">
                      <a:avLst/>
                    </a:prstGeom>
                    <a:ln/>
                  </pic:spPr>
                </pic:pic>
              </a:graphicData>
            </a:graphic>
          </wp:inline>
        </w:drawing>
      </w:r>
    </w:p>
    <w:p w14:paraId="167784A3" w14:textId="77777777" w:rsidR="00271E47" w:rsidRPr="00BC1F79" w:rsidRDefault="00271E47" w:rsidP="00271E47">
      <w:pPr>
        <w:spacing w:after="200" w:line="240" w:lineRule="auto"/>
        <w:jc w:val="center"/>
        <w:rPr>
          <w:i/>
          <w:iCs/>
        </w:rPr>
      </w:pPr>
      <w:bookmarkStart w:id="8" w:name="_heading=h.3znysh7" w:colFirst="0" w:colLast="0"/>
      <w:bookmarkEnd w:id="8"/>
      <w:r w:rsidRPr="00BC1F79">
        <w:rPr>
          <w:i/>
          <w:iCs/>
          <w:sz w:val="18"/>
          <w:szCs w:val="18"/>
        </w:rPr>
        <w:t>Figure 3. Document organisation</w:t>
      </w:r>
    </w:p>
    <w:p w14:paraId="02281B37" w14:textId="77777777" w:rsidR="00271E47" w:rsidRDefault="00271E47" w:rsidP="00271E47">
      <w:pPr>
        <w:pStyle w:val="Heading1"/>
        <w:numPr>
          <w:ilvl w:val="0"/>
          <w:numId w:val="13"/>
        </w:numPr>
        <w:ind w:left="432" w:hanging="432"/>
      </w:pPr>
      <w:bookmarkStart w:id="9" w:name="_heading=h.35nkun2" w:colFirst="0" w:colLast="0"/>
      <w:bookmarkStart w:id="10" w:name="_Toc116449106"/>
      <w:bookmarkEnd w:id="9"/>
      <w:r>
        <w:lastRenderedPageBreak/>
        <w:t>Core Services</w:t>
      </w:r>
      <w:bookmarkEnd w:id="10"/>
    </w:p>
    <w:p w14:paraId="57A8B0B8" w14:textId="77777777" w:rsidR="00271E47" w:rsidRDefault="00271E47" w:rsidP="00271E47">
      <w:r>
        <w:t>This section describes the components of the EGI-ACE technical architecture that enable the operation of the Federation. The Core Services are a vertical pillar that integrates with all layers and provides uniform access and management of services. These services are integrated with their EOSC Core equivalents as they become available, allowing EGI-ACE to be integrated with EOSC.</w:t>
      </w:r>
    </w:p>
    <w:p w14:paraId="7D907555" w14:textId="77777777" w:rsidR="00271E47" w:rsidRDefault="00271E47" w:rsidP="00271E47">
      <w:pPr>
        <w:pStyle w:val="Heading2"/>
        <w:numPr>
          <w:ilvl w:val="1"/>
          <w:numId w:val="13"/>
        </w:numPr>
        <w:ind w:left="576" w:hanging="576"/>
      </w:pPr>
      <w:bookmarkStart w:id="11" w:name="_heading=h.1ksv4uv" w:colFirst="0" w:colLast="0"/>
      <w:bookmarkStart w:id="12" w:name="_Toc116449107"/>
      <w:bookmarkEnd w:id="11"/>
      <w:r>
        <w:t xml:space="preserve">EGI Check-in: Authentication and </w:t>
      </w:r>
      <w:sdt>
        <w:sdtPr>
          <w:tag w:val="goog_rdk_0"/>
          <w:id w:val="-1780483426"/>
        </w:sdtPr>
        <w:sdtContent/>
      </w:sdt>
      <w:sdt>
        <w:sdtPr>
          <w:tag w:val="goog_rdk_1"/>
          <w:id w:val="-174424664"/>
        </w:sdtPr>
        <w:sdtContent/>
      </w:sdt>
      <w:sdt>
        <w:sdtPr>
          <w:tag w:val="goog_rdk_2"/>
          <w:id w:val="-152296467"/>
        </w:sdtPr>
        <w:sdtContent/>
      </w:sdt>
      <w:sdt>
        <w:sdtPr>
          <w:tag w:val="goog_rdk_3"/>
          <w:id w:val="-2125908462"/>
        </w:sdtPr>
        <w:sdtContent/>
      </w:sdt>
      <w:r>
        <w:t>Authorisation</w:t>
      </w:r>
      <w:bookmarkEnd w:id="12"/>
    </w:p>
    <w:p w14:paraId="29F243B4" w14:textId="38CFF888" w:rsidR="00271E47" w:rsidRDefault="00271E47" w:rsidP="00271E47">
      <w:r>
        <w:t>EGI Check-in</w:t>
      </w:r>
      <w:r>
        <w:rPr>
          <w:vertAlign w:val="superscript"/>
        </w:rPr>
        <w:footnoteReference w:id="4"/>
      </w:r>
      <w:r>
        <w:t xml:space="preserve"> is the authentication, </w:t>
      </w:r>
      <w:r w:rsidR="007E2887">
        <w:t>authorisation,</w:t>
      </w:r>
      <w:r>
        <w:t xml:space="preserve"> and user management service for the EGI infrastructure. It enables users to access both EGI and </w:t>
      </w:r>
      <w:r w:rsidR="007E2887">
        <w:t>third-party</w:t>
      </w:r>
      <w:r>
        <w:t xml:space="preserve"> services (Web and non-Web based), using existing credentials managed by the different Identity Providers (IdPs) of their home organisations. This means that users can authenticate themselves in EGI Check-in by using the usual “login pages” of their respective institutions.</w:t>
      </w:r>
    </w:p>
    <w:p w14:paraId="4E1C13C0" w14:textId="27ABFEBD" w:rsidR="00271E47" w:rsidRDefault="00271E47" w:rsidP="00271E47">
      <w:r>
        <w:t>To enable access through academic Identity Providers, EGI Check-in has been registered in eduGAIN</w:t>
      </w:r>
      <w:r>
        <w:rPr>
          <w:vertAlign w:val="superscript"/>
        </w:rPr>
        <w:footnoteReference w:id="5"/>
      </w:r>
      <w:r>
        <w:t xml:space="preserve"> as a Service Provider (SP). Through eduGAIN, EGI and </w:t>
      </w:r>
      <w:r w:rsidR="007E2887">
        <w:t>third-party</w:t>
      </w:r>
      <w:r>
        <w:t xml:space="preserve"> services connected to EGI Check-in become available to more than 4,500 Universities and Institutes from 71 National Identity Federations, with little or no administrative involvement. Compliance with the REFEDS Research and Scholarship (R&amp;S) [R3] entity category, the GÉANT </w:t>
      </w:r>
      <w:r>
        <w:rPr>
          <w:i/>
        </w:rPr>
        <w:t>Data Protection Code of Conduct</w:t>
      </w:r>
      <w:r>
        <w:t xml:space="preserve"> [R4] and the </w:t>
      </w:r>
      <w:r>
        <w:rPr>
          <w:i/>
        </w:rPr>
        <w:t xml:space="preserve">Sirtfi security framework </w:t>
      </w:r>
      <w:r>
        <w:t>[R5] ensure sufficient user attribute release, as well as operational security, incident response and traceability. Additionally, users without an account on an academic Identity Provider are still able to authenticate themselves by using providers such as ORCID</w:t>
      </w:r>
      <w:r>
        <w:rPr>
          <w:vertAlign w:val="superscript"/>
        </w:rPr>
        <w:footnoteReference w:id="6"/>
      </w:r>
      <w:r>
        <w:t>, social media (</w:t>
      </w:r>
      <w:r w:rsidR="007E2887">
        <w:rPr>
          <w:i/>
        </w:rPr>
        <w:t>e.g.,</w:t>
      </w:r>
      <w:r>
        <w:t xml:space="preserve"> Google, Facebook, </w:t>
      </w:r>
      <w:r w:rsidR="007E2887">
        <w:t>LinkedIn</w:t>
      </w:r>
      <w:r>
        <w:t xml:space="preserve">, </w:t>
      </w:r>
      <w:r>
        <w:rPr>
          <w:i/>
        </w:rPr>
        <w:t>etc</w:t>
      </w:r>
      <w:r>
        <w:t xml:space="preserve">) or other external authentication providers. Social media accounts are typically used for accessing EGI and </w:t>
      </w:r>
      <w:r w:rsidR="007E2887">
        <w:t>third-party</w:t>
      </w:r>
      <w:r>
        <w:t xml:space="preserve"> services that do not require a substantial level of assurance</w:t>
      </w:r>
      <w:r>
        <w:rPr>
          <w:vertAlign w:val="superscript"/>
        </w:rPr>
        <w:footnoteReference w:id="7"/>
      </w:r>
      <w:r>
        <w:t xml:space="preserve"> (</w:t>
      </w:r>
      <w:r w:rsidR="007E2887">
        <w:rPr>
          <w:i/>
        </w:rPr>
        <w:t>e.g.,</w:t>
      </w:r>
      <w:r>
        <w:t xml:space="preserve"> services that do not require a strict verification of the user identity).</w:t>
      </w:r>
    </w:p>
    <w:p w14:paraId="262E91E8" w14:textId="77777777" w:rsidR="00271E47" w:rsidRDefault="00271E47" w:rsidP="00271E47">
      <w:r>
        <w:t>The EGI Check-in service enables users to manage their accounts from a single interface, to link multiple accounts/identities together and to access services based on their roles and group/Virtual Organisation (VO) membership rights.</w:t>
      </w:r>
    </w:p>
    <w:p w14:paraId="63A02CFF" w14:textId="77777777" w:rsidR="00271E47" w:rsidRDefault="00271E47" w:rsidP="00271E47">
      <w:r>
        <w:t xml:space="preserve">The adoption of standards and open technologies by EGI Check-in, including </w:t>
      </w:r>
      <w:r>
        <w:rPr>
          <w:i/>
        </w:rPr>
        <w:t xml:space="preserve">SAML 2.0 </w:t>
      </w:r>
      <w:r>
        <w:t xml:space="preserve">[R6], </w:t>
      </w:r>
      <w:r>
        <w:rPr>
          <w:i/>
        </w:rPr>
        <w:t xml:space="preserve">OpenID Connect (OIDC) </w:t>
      </w:r>
      <w:r>
        <w:t xml:space="preserve">[R7] and </w:t>
      </w:r>
      <w:r>
        <w:rPr>
          <w:i/>
        </w:rPr>
        <w:t xml:space="preserve">X.509v3 </w:t>
      </w:r>
      <w:r>
        <w:t>[R8], has facilitated interoperability and integration with the existing Authentication and Authorisation Infrastructures (AAIs) of other e-Infrastructures and research communities, such as B2ACCESS</w:t>
      </w:r>
      <w:r>
        <w:rPr>
          <w:vertAlign w:val="superscript"/>
        </w:rPr>
        <w:footnoteReference w:id="8"/>
      </w:r>
      <w:r>
        <w:t xml:space="preserve"> and eduTEAMS</w:t>
      </w:r>
      <w:r>
        <w:rPr>
          <w:vertAlign w:val="superscript"/>
        </w:rPr>
        <w:footnoteReference w:id="9"/>
      </w:r>
      <w:r>
        <w:t>.</w:t>
      </w:r>
    </w:p>
    <w:p w14:paraId="12EB29ED" w14:textId="77777777" w:rsidR="00271E47" w:rsidRDefault="00271E47" w:rsidP="00271E47">
      <w:pPr>
        <w:keepNext/>
      </w:pPr>
      <w:r>
        <w:rPr>
          <w:noProof/>
        </w:rPr>
        <w:lastRenderedPageBreak/>
        <w:drawing>
          <wp:inline distT="114300" distB="114300" distL="114300" distR="114300" wp14:anchorId="6D7D1ABF" wp14:editId="0BB9A16C">
            <wp:extent cx="5731200" cy="5702300"/>
            <wp:effectExtent l="0" t="0" r="0" b="0"/>
            <wp:docPr id="190" name="image21.png" descr="Check-in architecture"/>
            <wp:cNvGraphicFramePr/>
            <a:graphic xmlns:a="http://schemas.openxmlformats.org/drawingml/2006/main">
              <a:graphicData uri="http://schemas.openxmlformats.org/drawingml/2006/picture">
                <pic:pic xmlns:pic="http://schemas.openxmlformats.org/drawingml/2006/picture">
                  <pic:nvPicPr>
                    <pic:cNvPr id="190" name="image21.png" descr="Check-in architecture"/>
                    <pic:cNvPicPr preferRelativeResize="0"/>
                  </pic:nvPicPr>
                  <pic:blipFill>
                    <a:blip r:embed="rId17"/>
                    <a:srcRect/>
                    <a:stretch>
                      <a:fillRect/>
                    </a:stretch>
                  </pic:blipFill>
                  <pic:spPr>
                    <a:xfrm>
                      <a:off x="0" y="0"/>
                      <a:ext cx="5731200" cy="5702300"/>
                    </a:xfrm>
                    <a:prstGeom prst="rect">
                      <a:avLst/>
                    </a:prstGeom>
                    <a:ln/>
                  </pic:spPr>
                </pic:pic>
              </a:graphicData>
            </a:graphic>
          </wp:inline>
        </w:drawing>
      </w:r>
    </w:p>
    <w:p w14:paraId="62B4232A" w14:textId="77777777" w:rsidR="00271E47" w:rsidRPr="00BC1F79" w:rsidRDefault="00271E47" w:rsidP="00271E47">
      <w:pPr>
        <w:pBdr>
          <w:top w:val="nil"/>
          <w:left w:val="nil"/>
          <w:bottom w:val="nil"/>
          <w:right w:val="nil"/>
          <w:between w:val="nil"/>
        </w:pBdr>
        <w:spacing w:after="200" w:line="240" w:lineRule="auto"/>
        <w:jc w:val="center"/>
        <w:rPr>
          <w:i/>
          <w:iCs/>
          <w:color w:val="000000"/>
          <w:sz w:val="18"/>
          <w:szCs w:val="18"/>
        </w:rPr>
      </w:pPr>
      <w:bookmarkStart w:id="13" w:name="_heading=h.1fob9te" w:colFirst="0" w:colLast="0"/>
      <w:bookmarkEnd w:id="13"/>
      <w:r w:rsidRPr="00BC1F79">
        <w:rPr>
          <w:i/>
          <w:iCs/>
          <w:color w:val="000000"/>
          <w:sz w:val="18"/>
          <w:szCs w:val="18"/>
        </w:rPr>
        <w:t xml:space="preserve">Figure </w:t>
      </w:r>
      <w:r w:rsidRPr="00BC1F79">
        <w:rPr>
          <w:i/>
          <w:iCs/>
          <w:sz w:val="18"/>
          <w:szCs w:val="18"/>
        </w:rPr>
        <w:t>4</w:t>
      </w:r>
      <w:r w:rsidRPr="00BC1F79">
        <w:rPr>
          <w:i/>
          <w:iCs/>
          <w:color w:val="000000"/>
          <w:sz w:val="18"/>
          <w:szCs w:val="18"/>
        </w:rPr>
        <w:t>. Check-in architecture</w:t>
      </w:r>
    </w:p>
    <w:p w14:paraId="33B5F9B2" w14:textId="4B25A173" w:rsidR="00271E47" w:rsidRDefault="00271E47" w:rsidP="00271E47">
      <w:r>
        <w:t xml:space="preserve">Figure 4 shows the EGI Check-in top-level architecture diagram and its interconnections to other AAI services, IdPs and tools. The </w:t>
      </w:r>
      <w:r>
        <w:rPr>
          <w:b/>
          <w:i/>
        </w:rPr>
        <w:t>Check-in IdP/SP Proxy</w:t>
      </w:r>
      <w:r>
        <w:t xml:space="preserve"> component acts as a Service Provider towards the external Identity Providers and, at the same time, as an Identity Provider towards the Service Providers (</w:t>
      </w:r>
      <w:r w:rsidR="007E2887">
        <w:rPr>
          <w:i/>
        </w:rPr>
        <w:t>e.g.,</w:t>
      </w:r>
      <w:r>
        <w:t xml:space="preserve"> Applications Database, Cloud providers, </w:t>
      </w:r>
      <w:r>
        <w:rPr>
          <w:i/>
        </w:rPr>
        <w:t>etc</w:t>
      </w:r>
      <w:r>
        <w:t xml:space="preserve">). Through the </w:t>
      </w:r>
      <w:r>
        <w:rPr>
          <w:i/>
        </w:rPr>
        <w:t>Check-in IdP/SP proxy</w:t>
      </w:r>
      <w:r>
        <w:t xml:space="preserve">, users </w:t>
      </w:r>
      <w:r w:rsidR="007E2887">
        <w:t>can</w:t>
      </w:r>
      <w:r>
        <w:t xml:space="preserve"> sign in with the credentials provided by their respective Identity Provider. This is supported by different authentication and authorisation standards, such as SAML 2.0, OpenID Connect 1.0 and OAuth 2.0. The proxy also provides a central Discovery Service (</w:t>
      </w:r>
      <w:r>
        <w:rPr>
          <w:i/>
        </w:rPr>
        <w:t>Where Are You From</w:t>
      </w:r>
      <w:r>
        <w:t xml:space="preserve"> – WAYF) for users to select their preferred Identity Provider.</w:t>
      </w:r>
    </w:p>
    <w:p w14:paraId="6738E9AB" w14:textId="77777777" w:rsidR="00271E47" w:rsidRDefault="00271E47" w:rsidP="00271E47">
      <w:r>
        <w:lastRenderedPageBreak/>
        <w:t xml:space="preserve">The </w:t>
      </w:r>
      <w:r>
        <w:rPr>
          <w:b/>
          <w:i/>
        </w:rPr>
        <w:t>User Enrolment and Group/VO Management</w:t>
      </w:r>
      <w:r>
        <w:t xml:space="preserve"> component, which is based on the </w:t>
      </w:r>
      <w:r>
        <w:rPr>
          <w:b/>
        </w:rPr>
        <w:t>COmanage Registry</w:t>
      </w:r>
      <w:r>
        <w:rPr>
          <w:vertAlign w:val="superscript"/>
        </w:rPr>
        <w:footnoteReference w:id="10"/>
      </w:r>
      <w:r>
        <w:t xml:space="preserve"> tool, supports the management of the full life cycle of user accounts in EGI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Furthermore, the COmanage Registry enables trusted entities to query VO/group information through LDAP. It also provides a REST API that allows authorised clients to manage VO/group membership.</w:t>
      </w:r>
    </w:p>
    <w:p w14:paraId="0D693451" w14:textId="77777777" w:rsidR="00271E47" w:rsidRDefault="00271E47" w:rsidP="00271E47">
      <w:r>
        <w:t xml:space="preserve">Similarly, EGI Check-in also provides identity management capabilities through the </w:t>
      </w:r>
      <w:r>
        <w:rPr>
          <w:b/>
        </w:rPr>
        <w:t>Perun</w:t>
      </w:r>
      <w:r>
        <w:rPr>
          <w:vertAlign w:val="superscript"/>
        </w:rPr>
        <w:footnoteReference w:id="11"/>
      </w:r>
      <w:r>
        <w:t xml:space="preserve"> tool. Users and groups can be managed directly in the tool by the VO manager or by users themselves following a VO registration flow. Alternatively, Perun can synchronise both users and groups from an external system (</w:t>
      </w:r>
      <w:r>
        <w:rPr>
          <w:i/>
        </w:rPr>
        <w:t>i.e.</w:t>
      </w:r>
      <w:r>
        <w:t xml:space="preserve"> VOMS [R9] servers), which can be consequently combined with the aforementioned manual management in Perun itself. All the authorisation information managed in Perun can be provisioned to other systems. To this end, it supports a push model, whereby Perun can be configured to provision the information to the services using standardised mechanisms and customisable connectors. Alternatively, the services can obtain data from Perun using an API or querying some auxiliary services like LDAP. Data from Perun are also available through the </w:t>
      </w:r>
      <w:r>
        <w:rPr>
          <w:i/>
        </w:rPr>
        <w:t>Check-in IdP/SP proxy component</w:t>
      </w:r>
      <w:r>
        <w:t>, which releases them as standardised attributes or claims.</w:t>
      </w:r>
    </w:p>
    <w:p w14:paraId="1808D02F" w14:textId="77777777" w:rsidR="00271E47" w:rsidRDefault="00271E47" w:rsidP="00271E47">
      <w:r>
        <w:t xml:space="preserve">The </w:t>
      </w:r>
      <w:r>
        <w:rPr>
          <w:b/>
          <w:i/>
        </w:rPr>
        <w:t>MasterPortal</w:t>
      </w:r>
      <w:r>
        <w:rPr>
          <w:i/>
        </w:rPr>
        <w:t xml:space="preserve"> </w:t>
      </w:r>
      <w:r>
        <w:t>acts as a caching intermediary service between end-services and the RCauth Online CA</w:t>
      </w:r>
      <w:r>
        <w:rPr>
          <w:vertAlign w:val="superscript"/>
        </w:rPr>
        <w:footnoteReference w:id="12"/>
      </w:r>
      <w:r>
        <w:t>. It is designed to provide end-services, such as science gateways or VO Portals, with proxy certificates for their users. The need for an intermediary is two-fold: (i) It is necessary for a scalable trust model based on a single online CA and, secondly, (ii) It hides all the complexity of X.509 certificates and key management for the end-services. In this pure Web flow, the MasterPortal is transparently seen by end-users as a mere ‘redirect’ between the end-service and the RCauth.eu online CA. In addition to providing portals with proxy certificates, the MasterPortal can also provide end-users with a means to use SSH key authentication to retrieve proxy certificates at the command line. For this functionality, the MasterPortal allows users to upload a SSH public key though a dedicated key management portal.</w:t>
      </w:r>
    </w:p>
    <w:p w14:paraId="25275CDD" w14:textId="77777777" w:rsidR="00271E47" w:rsidRDefault="00271E47" w:rsidP="00271E47">
      <w:r>
        <w:t xml:space="preserve">The </w:t>
      </w:r>
      <w:r>
        <w:rPr>
          <w:b/>
          <w:i/>
        </w:rPr>
        <w:t>Federation Registry</w:t>
      </w:r>
      <w:r>
        <w:t xml:space="preserve"> component provides a secure Web interface through which service operators can manage the connection of their EGI Check-in services based on OpenID Connect and SAML. This Web interface covers the whole service lifecycle: the initial registration, reconfiguration, and deregistration. Service configurations are deployed by sending configuration messages to the </w:t>
      </w:r>
      <w:r>
        <w:rPr>
          <w:b/>
        </w:rPr>
        <w:t>Federation Registry Deployment Agents</w:t>
      </w:r>
      <w:r>
        <w:t xml:space="preserve"> running on the IdP/SP Proxy component. These configuration messages are exchanged asynchronously through the ARGO Messaging</w:t>
      </w:r>
      <w:r>
        <w:rPr>
          <w:vertAlign w:val="superscript"/>
        </w:rPr>
        <w:footnoteReference w:id="13"/>
      </w:r>
      <w:r>
        <w:t xml:space="preserve"> service following Google’s Pub/Sub</w:t>
      </w:r>
      <w:r>
        <w:rPr>
          <w:vertAlign w:val="superscript"/>
        </w:rPr>
        <w:footnoteReference w:id="14"/>
      </w:r>
      <w:r>
        <w:t xml:space="preserve"> protocol.</w:t>
      </w:r>
    </w:p>
    <w:p w14:paraId="72225031" w14:textId="77777777" w:rsidR="00271E47" w:rsidRDefault="00271E47" w:rsidP="00271E47">
      <w:r>
        <w:lastRenderedPageBreak/>
        <w:t>In summary, there are three different options to federate with EGI Check-in to access EGI resources and third-party services:</w:t>
      </w:r>
    </w:p>
    <w:p w14:paraId="296B53B3" w14:textId="77777777" w:rsidR="00271E47" w:rsidRDefault="00271E47" w:rsidP="00271E47">
      <w:pPr>
        <w:numPr>
          <w:ilvl w:val="0"/>
          <w:numId w:val="26"/>
        </w:numPr>
        <w:spacing w:after="0"/>
      </w:pPr>
      <w:r>
        <w:t>Research communities can leverage EGI Check-in for managing their users and their respective roles and other authorisation-related information using either COmanage Registry or Perun.</w:t>
      </w:r>
    </w:p>
    <w:p w14:paraId="1576C316" w14:textId="77777777" w:rsidR="00271E47" w:rsidRDefault="00271E47" w:rsidP="00271E47">
      <w:pPr>
        <w:numPr>
          <w:ilvl w:val="0"/>
          <w:numId w:val="26"/>
        </w:numPr>
        <w:spacing w:after="0"/>
      </w:pPr>
      <w:r>
        <w:t>Users can authenticate by using a community-specific Identity Provider, such as B2ACCESS, eduTEAMS, or any other Community Authentication and Authorisation service that is compliant with the AARC architectural and policy guidelines</w:t>
      </w:r>
      <w:r>
        <w:rPr>
          <w:vertAlign w:val="superscript"/>
        </w:rPr>
        <w:footnoteReference w:id="15"/>
      </w:r>
      <w:r>
        <w:t>.</w:t>
      </w:r>
    </w:p>
    <w:p w14:paraId="0826DA4B" w14:textId="77777777" w:rsidR="00271E47" w:rsidRDefault="00271E47" w:rsidP="00271E47">
      <w:pPr>
        <w:numPr>
          <w:ilvl w:val="0"/>
          <w:numId w:val="26"/>
        </w:numPr>
      </w:pPr>
      <w:r>
        <w:t>Resource providers can connect to EGI Check-in to share their resources with the different communities.</w:t>
      </w:r>
    </w:p>
    <w:p w14:paraId="559124AB" w14:textId="77777777" w:rsidR="00271E47" w:rsidRDefault="00271E47" w:rsidP="00271E47">
      <w:pPr>
        <w:pStyle w:val="Heading2"/>
        <w:numPr>
          <w:ilvl w:val="1"/>
          <w:numId w:val="13"/>
        </w:numPr>
        <w:ind w:left="576" w:hanging="576"/>
      </w:pPr>
      <w:bookmarkStart w:id="14" w:name="_heading=h.44sinio" w:colFirst="0" w:colLast="0"/>
      <w:bookmarkStart w:id="15" w:name="_Toc116449108"/>
      <w:bookmarkEnd w:id="14"/>
      <w:r>
        <w:t>Configuration Database</w:t>
      </w:r>
      <w:bookmarkEnd w:id="15"/>
    </w:p>
    <w:p w14:paraId="3C38A184" w14:textId="77777777" w:rsidR="00271E47" w:rsidRDefault="00271E47" w:rsidP="00271E47">
      <w:r>
        <w:t>The EGI Configuration Database (GOCDB)</w:t>
      </w:r>
      <w:r>
        <w:rPr>
          <w:vertAlign w:val="superscript"/>
        </w:rPr>
        <w:footnoteReference w:id="16"/>
      </w:r>
      <w:r>
        <w:t xml:space="preserve"> is a central registry that records topology information about all sites and services participating in the EGI infrastructure. The Configuration Database also provides different rules and grouping mechanisms for filtering and managing the information associated with the resources. This can include entities such as operations and resource centres, service endpoints and their downtimes, contact information and roles of staff responsible for operations at different levels.</w:t>
      </w:r>
    </w:p>
    <w:p w14:paraId="63992648" w14:textId="77777777" w:rsidR="00271E47" w:rsidRDefault="00271E47" w:rsidP="00271E47">
      <w:r>
        <w:t>The Configuration Database is used by all actors (end-users, site administrators, Resource infrastructure Provider managers, support teams, and VO managers), by other tools, and by third party middleware to discover information about the infrastructure topology.</w:t>
      </w:r>
    </w:p>
    <w:p w14:paraId="055E967D" w14:textId="31598184" w:rsidR="00271E47" w:rsidRDefault="00271E47" w:rsidP="00271E47">
      <w:r>
        <w:t xml:space="preserve">The tool can be accessed in two ways: (i) Through a Web portal, for inserting/editing information (shown in Figure 5) and (ii) Through </w:t>
      </w:r>
      <w:r w:rsidR="007617B0">
        <w:t>a REST</w:t>
      </w:r>
      <w:r>
        <w:t xml:space="preserve"> style programmatic interface (API), for querying data in XML. Relationships between different objects are defined using a well constrained relational schema that closely resembles a subset of the GLUE 2 [R10] information model. User permissions are controlled by a comprehensive role-based permissions model.</w:t>
      </w:r>
    </w:p>
    <w:p w14:paraId="18BFF654" w14:textId="77777777" w:rsidR="00271E47" w:rsidRDefault="00271E47" w:rsidP="00271E47">
      <w:pPr>
        <w:keepNext/>
        <w:jc w:val="center"/>
      </w:pPr>
      <w:r>
        <w:rPr>
          <w:noProof/>
        </w:rPr>
        <w:lastRenderedPageBreak/>
        <w:drawing>
          <wp:inline distT="114300" distB="114300" distL="114300" distR="114300" wp14:anchorId="5D56817C" wp14:editId="7053273F">
            <wp:extent cx="5731200" cy="4775200"/>
            <wp:effectExtent l="0" t="0" r="0" b="0"/>
            <wp:docPr id="192" name="image27.png" descr="GOCDB web GUI"/>
            <wp:cNvGraphicFramePr/>
            <a:graphic xmlns:a="http://schemas.openxmlformats.org/drawingml/2006/main">
              <a:graphicData uri="http://schemas.openxmlformats.org/drawingml/2006/picture">
                <pic:pic xmlns:pic="http://schemas.openxmlformats.org/drawingml/2006/picture">
                  <pic:nvPicPr>
                    <pic:cNvPr id="192" name="image27.png" descr="GOCDB web GUI"/>
                    <pic:cNvPicPr preferRelativeResize="0"/>
                  </pic:nvPicPr>
                  <pic:blipFill>
                    <a:blip r:embed="rId18"/>
                    <a:srcRect t="2568" b="5321"/>
                    <a:stretch>
                      <a:fillRect/>
                    </a:stretch>
                  </pic:blipFill>
                  <pic:spPr>
                    <a:xfrm>
                      <a:off x="0" y="0"/>
                      <a:ext cx="5731200" cy="4775200"/>
                    </a:xfrm>
                    <a:prstGeom prst="rect">
                      <a:avLst/>
                    </a:prstGeom>
                    <a:ln/>
                  </pic:spPr>
                </pic:pic>
              </a:graphicData>
            </a:graphic>
          </wp:inline>
        </w:drawing>
      </w:r>
    </w:p>
    <w:p w14:paraId="1759C1D8" w14:textId="77777777" w:rsidR="00271E47" w:rsidRPr="00BC1F79" w:rsidRDefault="00271E47" w:rsidP="00271E47">
      <w:pPr>
        <w:pBdr>
          <w:top w:val="nil"/>
          <w:left w:val="nil"/>
          <w:bottom w:val="nil"/>
          <w:right w:val="nil"/>
          <w:between w:val="nil"/>
        </w:pBdr>
        <w:spacing w:after="200" w:line="240" w:lineRule="auto"/>
        <w:jc w:val="center"/>
        <w:rPr>
          <w:i/>
          <w:iCs/>
          <w:color w:val="000000"/>
          <w:sz w:val="18"/>
          <w:szCs w:val="18"/>
        </w:rPr>
      </w:pPr>
      <w:r w:rsidRPr="00BC1F79">
        <w:rPr>
          <w:i/>
          <w:iCs/>
          <w:color w:val="000000"/>
          <w:sz w:val="18"/>
          <w:szCs w:val="18"/>
        </w:rPr>
        <w:t xml:space="preserve">Figure </w:t>
      </w:r>
      <w:r w:rsidRPr="00BC1F79">
        <w:rPr>
          <w:i/>
          <w:iCs/>
          <w:sz w:val="18"/>
          <w:szCs w:val="18"/>
        </w:rPr>
        <w:t>5</w:t>
      </w:r>
      <w:r w:rsidRPr="00BC1F79">
        <w:rPr>
          <w:i/>
          <w:iCs/>
          <w:color w:val="000000"/>
          <w:sz w:val="18"/>
          <w:szCs w:val="18"/>
        </w:rPr>
        <w:t>. GOCDB web GUI</w:t>
      </w:r>
    </w:p>
    <w:p w14:paraId="696E4053" w14:textId="77777777" w:rsidR="00271E47" w:rsidRDefault="00271E47" w:rsidP="00271E47"/>
    <w:p w14:paraId="45A6AD95" w14:textId="77777777" w:rsidR="00271E47" w:rsidRDefault="00271E47" w:rsidP="00271E47">
      <w:r>
        <w:t xml:space="preserve">A flexible tag-cloud mechanism allows objects to be tagged with one or more ‘scope-tags’, which allows resources to be labelled and grouped into multiple categories without duplication of information – this is essential to maintain the integrity of topology information across different infrastructures and projects. Different scope tags can be defined when necessary. For example, tags can be used to reflect different projects, infrastructure groupings and sub-projects. Resources can be flexibly ‘filtered-by-tag’ when querying for data via the Application Programmatic Interface (API). Some tags may be 'reserved', meaning that they can be used only by some authorised sites and services </w:t>
      </w:r>
    </w:p>
    <w:p w14:paraId="265E0984" w14:textId="77777777" w:rsidR="00271E47" w:rsidRDefault="00271E47" w:rsidP="00271E47">
      <w:r>
        <w:t>Core objects can also be extended by a powerful extensibility mechanism that allows custom key-value pairs to be added to objects, enabling flexible filtering by custom properties on these objects when selecting and querying data.</w:t>
      </w:r>
    </w:p>
    <w:p w14:paraId="009FE55F" w14:textId="77777777" w:rsidR="00271E47" w:rsidRDefault="00271E47" w:rsidP="00271E47"/>
    <w:p w14:paraId="112F2DE1" w14:textId="77777777" w:rsidR="00271E47" w:rsidRDefault="00271E47" w:rsidP="00271E47">
      <w:pPr>
        <w:pStyle w:val="Heading2"/>
        <w:numPr>
          <w:ilvl w:val="1"/>
          <w:numId w:val="13"/>
        </w:numPr>
        <w:ind w:left="576" w:hanging="576"/>
      </w:pPr>
      <w:bookmarkStart w:id="16" w:name="_heading=h.2jxsxqh" w:colFirst="0" w:colLast="0"/>
      <w:bookmarkStart w:id="17" w:name="_Toc116449109"/>
      <w:bookmarkEnd w:id="16"/>
      <w:r>
        <w:lastRenderedPageBreak/>
        <w:t>Accounting</w:t>
      </w:r>
      <w:bookmarkEnd w:id="17"/>
    </w:p>
    <w:p w14:paraId="59FFC556" w14:textId="77777777" w:rsidR="00271E47" w:rsidRDefault="00271E47" w:rsidP="00271E47">
      <w:r>
        <w:t>EGI Accounting tracks and reports the use of EGI services, offering insights and control over resource consumption. EGI Federation members can use it to account for the resource usage of their own services.</w:t>
      </w:r>
    </w:p>
    <w:p w14:paraId="44426D37" w14:textId="77777777" w:rsidR="00271E47" w:rsidRDefault="00271E47" w:rsidP="00271E47">
      <w:r>
        <w:t>The accounting service collects, stores, aggregates, and displays information about the consumption of resources for High Throughput Compute jobs, Virtual Machines, and online storage providers. Providers supporting these types of services can connect their different service endpoints to the Accounting Service, which is centrally managed and will provide collected data about the service usage.</w:t>
      </w:r>
    </w:p>
    <w:p w14:paraId="4364A79A" w14:textId="2CCE43DB" w:rsidR="00271E47" w:rsidRDefault="00271E47" w:rsidP="00271E47">
      <w:r>
        <w:t>Probes and sensors that gather accounting information according to certain data formats are deployed locally at the service providers. Data are forwarded from the sensors to a central Accounting Repository where the data are processed to generate various summaries and views for display in the Accounting Portal</w:t>
      </w:r>
      <w:r>
        <w:rPr>
          <w:vertAlign w:val="superscript"/>
        </w:rPr>
        <w:footnoteReference w:id="17"/>
      </w:r>
      <w:r>
        <w:t>. Depending on the complexity of the provider, the accounting data may go via intermediate repositories that collate accounting data for particular regions, sub-</w:t>
      </w:r>
      <w:r w:rsidR="007617B0">
        <w:t>infrastructures,</w:t>
      </w:r>
      <w:r>
        <w:t xml:space="preserve"> or communities. EGI-ACE service providers can either directly publish accounting information into the EGI Accounting Repository or can do so via an intermediate repository that serves, for example, a specific region or group of providers. It is up to the provider (group) to use the central repository directly, or to apply an intermediary accounting infrastructure and connect it to EGI. </w:t>
      </w:r>
    </w:p>
    <w:p w14:paraId="077EA9DF" w14:textId="77777777" w:rsidR="00271E47" w:rsidRDefault="00271E47" w:rsidP="00271E47">
      <w:pPr>
        <w:keepNext/>
        <w:jc w:val="center"/>
      </w:pPr>
      <w:r>
        <w:rPr>
          <w:noProof/>
        </w:rPr>
        <w:drawing>
          <wp:inline distT="114300" distB="114300" distL="114300" distR="114300" wp14:anchorId="06E7C031" wp14:editId="2D7341C4">
            <wp:extent cx="4762500" cy="3694498"/>
            <wp:effectExtent l="0" t="0" r="0" b="0"/>
            <wp:docPr id="191" name="image22.png" descr="Accounting portal - cloud view."/>
            <wp:cNvGraphicFramePr/>
            <a:graphic xmlns:a="http://schemas.openxmlformats.org/drawingml/2006/main">
              <a:graphicData uri="http://schemas.openxmlformats.org/drawingml/2006/picture">
                <pic:pic xmlns:pic="http://schemas.openxmlformats.org/drawingml/2006/picture">
                  <pic:nvPicPr>
                    <pic:cNvPr id="191" name="image22.png" descr="Accounting portal - cloud view."/>
                    <pic:cNvPicPr preferRelativeResize="0"/>
                  </pic:nvPicPr>
                  <pic:blipFill>
                    <a:blip r:embed="rId19"/>
                    <a:srcRect/>
                    <a:stretch>
                      <a:fillRect/>
                    </a:stretch>
                  </pic:blipFill>
                  <pic:spPr>
                    <a:xfrm>
                      <a:off x="0" y="0"/>
                      <a:ext cx="4762500" cy="3694498"/>
                    </a:xfrm>
                    <a:prstGeom prst="rect">
                      <a:avLst/>
                    </a:prstGeom>
                    <a:ln/>
                  </pic:spPr>
                </pic:pic>
              </a:graphicData>
            </a:graphic>
          </wp:inline>
        </w:drawing>
      </w:r>
    </w:p>
    <w:p w14:paraId="21478B35" w14:textId="77777777" w:rsidR="00271E47" w:rsidRPr="00BC1F79" w:rsidRDefault="00271E47" w:rsidP="00271E47">
      <w:pPr>
        <w:pBdr>
          <w:top w:val="nil"/>
          <w:left w:val="nil"/>
          <w:bottom w:val="nil"/>
          <w:right w:val="nil"/>
          <w:between w:val="nil"/>
        </w:pBdr>
        <w:spacing w:after="200" w:line="240" w:lineRule="auto"/>
        <w:jc w:val="center"/>
        <w:rPr>
          <w:i/>
          <w:iCs/>
          <w:color w:val="000000"/>
          <w:sz w:val="18"/>
          <w:szCs w:val="18"/>
        </w:rPr>
      </w:pPr>
      <w:r w:rsidRPr="00BC1F79">
        <w:rPr>
          <w:i/>
          <w:iCs/>
          <w:color w:val="000000"/>
          <w:sz w:val="18"/>
          <w:szCs w:val="18"/>
        </w:rPr>
        <w:t xml:space="preserve">Figure </w:t>
      </w:r>
      <w:r w:rsidRPr="00BC1F79">
        <w:rPr>
          <w:i/>
          <w:iCs/>
          <w:sz w:val="18"/>
          <w:szCs w:val="18"/>
        </w:rPr>
        <w:t>6</w:t>
      </w:r>
      <w:r w:rsidRPr="00BC1F79">
        <w:rPr>
          <w:i/>
          <w:iCs/>
          <w:color w:val="000000"/>
          <w:sz w:val="18"/>
          <w:szCs w:val="18"/>
        </w:rPr>
        <w:t>. Accounting portal - cloud view.</w:t>
      </w:r>
    </w:p>
    <w:p w14:paraId="50B436C3" w14:textId="77777777" w:rsidR="00271E47" w:rsidRDefault="00271E47" w:rsidP="00271E47">
      <w:r>
        <w:lastRenderedPageBreak/>
        <w:t>The integration of a service with the Accounting Service requires three steps:</w:t>
      </w:r>
    </w:p>
    <w:p w14:paraId="2CA5ADC2" w14:textId="77777777" w:rsidR="00271E47" w:rsidRDefault="00271E47" w:rsidP="00271E47">
      <w:pPr>
        <w:numPr>
          <w:ilvl w:val="0"/>
          <w:numId w:val="25"/>
        </w:numPr>
        <w:pBdr>
          <w:top w:val="nil"/>
          <w:left w:val="nil"/>
          <w:bottom w:val="nil"/>
          <w:right w:val="nil"/>
          <w:between w:val="nil"/>
        </w:pBdr>
        <w:spacing w:after="0"/>
      </w:pPr>
      <w:r>
        <w:rPr>
          <w:color w:val="000000"/>
        </w:rPr>
        <w:t xml:space="preserve">Registration of the service in the </w:t>
      </w:r>
      <w:r>
        <w:rPr>
          <w:i/>
          <w:color w:val="000000"/>
        </w:rPr>
        <w:t>Configuration Database</w:t>
      </w:r>
      <w:r>
        <w:rPr>
          <w:color w:val="000000"/>
        </w:rPr>
        <w:t xml:space="preserve"> (see Section 2.2), associating it with a geographical or community entity (</w:t>
      </w:r>
      <w:r>
        <w:rPr>
          <w:i/>
          <w:color w:val="000000"/>
        </w:rPr>
        <w:t>e.g.</w:t>
      </w:r>
      <w:r>
        <w:rPr>
          <w:color w:val="000000"/>
        </w:rPr>
        <w:t xml:space="preserve"> a country</w:t>
      </w:r>
      <w:r>
        <w:t xml:space="preserve"> or</w:t>
      </w:r>
      <w:r>
        <w:rPr>
          <w:color w:val="000000"/>
        </w:rPr>
        <w:t xml:space="preserve"> a community-specific infrastructure).</w:t>
      </w:r>
    </w:p>
    <w:p w14:paraId="6B07B9ED" w14:textId="77777777" w:rsidR="00271E47" w:rsidRDefault="00271E47" w:rsidP="00271E47">
      <w:pPr>
        <w:numPr>
          <w:ilvl w:val="0"/>
          <w:numId w:val="25"/>
        </w:numPr>
        <w:pBdr>
          <w:top w:val="nil"/>
          <w:left w:val="nil"/>
          <w:bottom w:val="nil"/>
          <w:right w:val="nil"/>
          <w:between w:val="nil"/>
        </w:pBdr>
        <w:spacing w:after="0"/>
      </w:pPr>
      <w:r>
        <w:rPr>
          <w:color w:val="000000"/>
        </w:rPr>
        <w:t>Installation of parsers at the service provider to produce accounting data in the format expected by the Accounting Repository</w:t>
      </w:r>
      <w:r>
        <w:rPr>
          <w:color w:val="000000"/>
          <w:vertAlign w:val="superscript"/>
        </w:rPr>
        <w:footnoteReference w:id="18"/>
      </w:r>
      <w:r>
        <w:rPr>
          <w:color w:val="000000"/>
        </w:rPr>
        <w:t xml:space="preserve">. The parser must be specific to the resource that should be observed from the usage perspective. </w:t>
      </w:r>
      <w:r>
        <w:t>There are existing</w:t>
      </w:r>
      <w:r>
        <w:rPr>
          <w:color w:val="000000"/>
        </w:rPr>
        <w:t xml:space="preserve"> parsers already available for:</w:t>
      </w:r>
    </w:p>
    <w:p w14:paraId="227499C2" w14:textId="77777777" w:rsidR="00271E47" w:rsidRDefault="00271E47" w:rsidP="00271E47">
      <w:pPr>
        <w:numPr>
          <w:ilvl w:val="1"/>
          <w:numId w:val="25"/>
        </w:numPr>
        <w:pBdr>
          <w:top w:val="nil"/>
          <w:left w:val="nil"/>
          <w:bottom w:val="nil"/>
          <w:right w:val="nil"/>
          <w:between w:val="nil"/>
        </w:pBdr>
        <w:spacing w:before="200" w:after="0"/>
      </w:pPr>
      <w:r>
        <w:rPr>
          <w:color w:val="000000"/>
        </w:rPr>
        <w:t xml:space="preserve">Grid jobs: </w:t>
      </w:r>
      <w:hyperlink r:id="rId20">
        <w:r>
          <w:rPr>
            <w:color w:val="1155CC"/>
            <w:u w:val="single"/>
          </w:rPr>
          <w:t>https://github.com/apel/apel/tree/dev/apel/parsers</w:t>
        </w:r>
      </w:hyperlink>
    </w:p>
    <w:p w14:paraId="6E3B673D" w14:textId="77777777" w:rsidR="00271E47" w:rsidRDefault="00271E47" w:rsidP="00271E47">
      <w:pPr>
        <w:numPr>
          <w:ilvl w:val="1"/>
          <w:numId w:val="25"/>
        </w:numPr>
        <w:pBdr>
          <w:top w:val="nil"/>
          <w:left w:val="nil"/>
          <w:bottom w:val="nil"/>
          <w:right w:val="nil"/>
          <w:between w:val="nil"/>
        </w:pBdr>
        <w:spacing w:after="0"/>
      </w:pPr>
      <w:r>
        <w:rPr>
          <w:color w:val="000000"/>
        </w:rPr>
        <w:t xml:space="preserve">VMs: </w:t>
      </w:r>
      <w:hyperlink r:id="rId21">
        <w:r>
          <w:rPr>
            <w:color w:val="1155CC"/>
            <w:u w:val="single"/>
          </w:rPr>
          <w:t>https://github.com/apel/caso</w:t>
        </w:r>
      </w:hyperlink>
      <w:r>
        <w:rPr>
          <w:color w:val="000000"/>
        </w:rPr>
        <w:t xml:space="preserve"> </w:t>
      </w:r>
    </w:p>
    <w:p w14:paraId="77F47F1A" w14:textId="77777777" w:rsidR="00271E47" w:rsidRDefault="00271E47" w:rsidP="00271E47">
      <w:pPr>
        <w:numPr>
          <w:ilvl w:val="1"/>
          <w:numId w:val="25"/>
        </w:numPr>
        <w:pBdr>
          <w:top w:val="nil"/>
          <w:left w:val="nil"/>
          <w:bottom w:val="nil"/>
          <w:right w:val="nil"/>
          <w:between w:val="nil"/>
        </w:pBdr>
        <w:spacing w:after="200"/>
      </w:pPr>
      <w:r>
        <w:t xml:space="preserve">Storage systems supported by EGI, such as </w:t>
      </w:r>
      <w:r>
        <w:rPr>
          <w:color w:val="000000"/>
        </w:rPr>
        <w:t>DPM</w:t>
      </w:r>
      <w:r>
        <w:t xml:space="preserve">, </w:t>
      </w:r>
      <w:r>
        <w:rPr>
          <w:color w:val="000000"/>
        </w:rPr>
        <w:t>dCache</w:t>
      </w:r>
      <w:r>
        <w:t>, StoRM and EOS</w:t>
      </w:r>
      <w:r>
        <w:rPr>
          <w:color w:val="000000"/>
        </w:rPr>
        <w:t xml:space="preserve"> (see Sec</w:t>
      </w:r>
      <w:r>
        <w:t>tion 3.2.1), which include the parsers as an integral p</w:t>
      </w:r>
      <w:r>
        <w:rPr>
          <w:color w:val="000000"/>
        </w:rPr>
        <w:t>art of th</w:t>
      </w:r>
      <w:r>
        <w:t>eir</w:t>
      </w:r>
      <w:r>
        <w:rPr>
          <w:color w:val="000000"/>
        </w:rPr>
        <w:t xml:space="preserve"> software releases.</w:t>
      </w:r>
    </w:p>
    <w:p w14:paraId="79BCF0AB" w14:textId="77777777" w:rsidR="00271E47" w:rsidRDefault="00271E47" w:rsidP="00271E47">
      <w:pPr>
        <w:numPr>
          <w:ilvl w:val="0"/>
          <w:numId w:val="25"/>
        </w:numPr>
        <w:pBdr>
          <w:top w:val="nil"/>
          <w:left w:val="nil"/>
          <w:bottom w:val="nil"/>
          <w:right w:val="nil"/>
          <w:between w:val="nil"/>
        </w:pBdr>
      </w:pPr>
      <w:r>
        <w:rPr>
          <w:color w:val="000000"/>
        </w:rPr>
        <w:t>Accounting records should be sent to the Accounting Repository (directly or via intermediate repositories) using APEL SSM</w:t>
      </w:r>
      <w:r>
        <w:rPr>
          <w:color w:val="000000"/>
          <w:vertAlign w:val="superscript"/>
        </w:rPr>
        <w:footnoteReference w:id="19"/>
      </w:r>
      <w:r>
        <w:rPr>
          <w:color w:val="000000"/>
        </w:rPr>
        <w:t>.</w:t>
      </w:r>
    </w:p>
    <w:p w14:paraId="6069C36F" w14:textId="77777777" w:rsidR="00271E47" w:rsidRDefault="00271E47" w:rsidP="00271E47">
      <w:r>
        <w:t>The end result of this is the visualisation of information on the service usage (resource consumption) in the Accounting portal. Information from the different individual services can also be used to obtain overall resource usage and generate more useful usage statistics, as shown in the example of Figure 6.</w:t>
      </w:r>
    </w:p>
    <w:p w14:paraId="547B6824" w14:textId="77777777" w:rsidR="00271E47" w:rsidRDefault="00271E47" w:rsidP="00271E47">
      <w:pPr>
        <w:pStyle w:val="Heading2"/>
        <w:numPr>
          <w:ilvl w:val="1"/>
          <w:numId w:val="13"/>
        </w:numPr>
        <w:ind w:left="576" w:hanging="576"/>
      </w:pPr>
      <w:bookmarkStart w:id="18" w:name="_heading=h.z337ya" w:colFirst="0" w:colLast="0"/>
      <w:bookmarkStart w:id="19" w:name="_Toc116449110"/>
      <w:bookmarkEnd w:id="18"/>
      <w:r>
        <w:t>Monitoring</w:t>
      </w:r>
      <w:bookmarkEnd w:id="19"/>
    </w:p>
    <w:p w14:paraId="1D571FB9" w14:textId="77777777" w:rsidR="00271E47" w:rsidRDefault="00271E47" w:rsidP="00271E47">
      <w:r>
        <w:t>Monitoring is the mechanism for assessing the state of a service and is a key component needed to gain insights into an infrastructure. It needs to be continuous and on-demand to quickly detect, correlate, and analyse data for a fast reaction to anomalous behaviour. The challenge of this type of monitoring is how to quickly identify and correlate problems before they affect end-users and, ultimately, the productivity of their organisations. The main features of a monitoring system are:</w:t>
      </w:r>
    </w:p>
    <w:p w14:paraId="3268AC3D" w14:textId="77777777" w:rsidR="00271E47" w:rsidRDefault="00271E47" w:rsidP="00271E47">
      <w:pPr>
        <w:numPr>
          <w:ilvl w:val="0"/>
          <w:numId w:val="30"/>
        </w:numPr>
        <w:spacing w:after="0"/>
      </w:pPr>
      <w:r>
        <w:t>Monitoring of services.</w:t>
      </w:r>
    </w:p>
    <w:p w14:paraId="74A46431" w14:textId="77777777" w:rsidR="00271E47" w:rsidRDefault="00271E47" w:rsidP="00271E47">
      <w:pPr>
        <w:numPr>
          <w:ilvl w:val="0"/>
          <w:numId w:val="30"/>
        </w:numPr>
        <w:spacing w:after="0"/>
      </w:pPr>
      <w:r>
        <w:t>Reporting on availability and reliability.</w:t>
      </w:r>
    </w:p>
    <w:p w14:paraId="61A4A94E" w14:textId="77777777" w:rsidR="00271E47" w:rsidRDefault="00271E47" w:rsidP="00271E47">
      <w:pPr>
        <w:numPr>
          <w:ilvl w:val="0"/>
          <w:numId w:val="30"/>
        </w:numPr>
        <w:spacing w:after="0"/>
      </w:pPr>
      <w:r>
        <w:t>Visualisation of service status.</w:t>
      </w:r>
    </w:p>
    <w:p w14:paraId="04FFF8C5" w14:textId="77777777" w:rsidR="00271E47" w:rsidRDefault="00271E47" w:rsidP="00271E47">
      <w:pPr>
        <w:numPr>
          <w:ilvl w:val="0"/>
          <w:numId w:val="30"/>
        </w:numPr>
        <w:spacing w:after="0"/>
      </w:pPr>
      <w:r>
        <w:t>Provision of dashboard interfaces.</w:t>
      </w:r>
    </w:p>
    <w:p w14:paraId="6AF75277" w14:textId="77777777" w:rsidR="00271E47" w:rsidRDefault="00271E47" w:rsidP="00271E47">
      <w:pPr>
        <w:numPr>
          <w:ilvl w:val="0"/>
          <w:numId w:val="30"/>
        </w:numPr>
      </w:pPr>
      <w:r>
        <w:t xml:space="preserve">Sending real-time alerts. </w:t>
      </w:r>
    </w:p>
    <w:p w14:paraId="2D238236" w14:textId="3453B6AB" w:rsidR="00271E47" w:rsidRDefault="00271E47" w:rsidP="00271E47">
      <w:r>
        <w:t xml:space="preserve">Management teams, administrators and service owners can monitor service availability and reliability from a high-level view down to individual system </w:t>
      </w:r>
      <w:r w:rsidR="00A55989">
        <w:t>metrics and</w:t>
      </w:r>
      <w:r>
        <w:t xml:space="preserve"> monitor compliance with multiple SLAs.</w:t>
      </w:r>
    </w:p>
    <w:p w14:paraId="46472982" w14:textId="77777777" w:rsidR="00271E47" w:rsidRDefault="00271E47" w:rsidP="00271E47">
      <w:pPr>
        <w:jc w:val="center"/>
      </w:pPr>
      <w:r>
        <w:rPr>
          <w:noProof/>
        </w:rPr>
        <w:lastRenderedPageBreak/>
        <w:drawing>
          <wp:inline distT="114300" distB="114300" distL="114300" distR="114300" wp14:anchorId="2D55CFE2" wp14:editId="02AA8B0E">
            <wp:extent cx="4948238" cy="3912560"/>
            <wp:effectExtent l="0" t="0" r="0" b="0"/>
            <wp:docPr id="193" name="image24.png" descr="ARGO Web dashboard"/>
            <wp:cNvGraphicFramePr/>
            <a:graphic xmlns:a="http://schemas.openxmlformats.org/drawingml/2006/main">
              <a:graphicData uri="http://schemas.openxmlformats.org/drawingml/2006/picture">
                <pic:pic xmlns:pic="http://schemas.openxmlformats.org/drawingml/2006/picture">
                  <pic:nvPicPr>
                    <pic:cNvPr id="193" name="image24.png" descr="ARGO Web dashboard"/>
                    <pic:cNvPicPr preferRelativeResize="0"/>
                  </pic:nvPicPr>
                  <pic:blipFill>
                    <a:blip r:embed="rId22"/>
                    <a:srcRect/>
                    <a:stretch>
                      <a:fillRect/>
                    </a:stretch>
                  </pic:blipFill>
                  <pic:spPr>
                    <a:xfrm>
                      <a:off x="0" y="0"/>
                      <a:ext cx="4948238" cy="3912560"/>
                    </a:xfrm>
                    <a:prstGeom prst="rect">
                      <a:avLst/>
                    </a:prstGeom>
                    <a:ln/>
                  </pic:spPr>
                </pic:pic>
              </a:graphicData>
            </a:graphic>
          </wp:inline>
        </w:drawing>
      </w:r>
    </w:p>
    <w:p w14:paraId="33103C8A" w14:textId="77777777" w:rsidR="00271E47" w:rsidRPr="00C77D8B" w:rsidRDefault="00271E47" w:rsidP="00271E47">
      <w:pPr>
        <w:spacing w:after="200" w:line="240" w:lineRule="auto"/>
        <w:jc w:val="center"/>
        <w:rPr>
          <w:i/>
          <w:iCs/>
          <w:sz w:val="18"/>
          <w:szCs w:val="18"/>
        </w:rPr>
      </w:pPr>
      <w:r w:rsidRPr="00C77D8B">
        <w:rPr>
          <w:i/>
          <w:iCs/>
          <w:sz w:val="18"/>
          <w:szCs w:val="18"/>
        </w:rPr>
        <w:t>Figure 7. ARGO Web dashboard</w:t>
      </w:r>
    </w:p>
    <w:p w14:paraId="10EF4B95" w14:textId="77777777" w:rsidR="00271E47" w:rsidRDefault="00271E47" w:rsidP="00271E47">
      <w:r>
        <w:t>EGI provides a monitoring service based on the ARGO</w:t>
      </w:r>
      <w:r>
        <w:rPr>
          <w:vertAlign w:val="superscript"/>
        </w:rPr>
        <w:footnoteReference w:id="20"/>
      </w:r>
      <w:r>
        <w:t xml:space="preserve"> system, which collects status results from one or more monitoring engines and provides status results together with monthly availability (A) and reliability (R) results of distributed services. Both status results and A/R metrics are presented through a Web user interface, shown in Figure 7, which enables users to drill down from the availability of a site to individual services, to individual test results that contributed to the computed figure. ARGO is also capable of sending notifications to service administrators in the event of a failure/warning on one of the monitored services. </w:t>
      </w:r>
    </w:p>
    <w:p w14:paraId="4733579D" w14:textId="77777777" w:rsidR="00271E47" w:rsidRDefault="00271E47" w:rsidP="00271E47">
      <w:r>
        <w:t xml:space="preserve">For each service monitored by ARGO, there are a set of probes which implement the specific tests for the service to check and at the same time mimic the actual end user behaviour without requiring special privileges or special configurations. These probes are developed by the service owners as they have the inner knowledge about how the service works and how to check its correct behaviour. All the probes intended to be used for monitoring must comply with the ARGO guidelines for monitoring probes [R11]. </w:t>
      </w:r>
    </w:p>
    <w:p w14:paraId="17B4FCA0" w14:textId="6218F304" w:rsidR="00271E47" w:rsidRDefault="00271E47" w:rsidP="00271E47">
      <w:r>
        <w:t>Figure 8 shows the probe development cycle for any service. ARGO relies on the Configuration Database as a source for the topology of the infrastructure. Every endpoint registered in the database will be monitored according to its service type (</w:t>
      </w:r>
      <w:r w:rsidR="008E7812">
        <w:rPr>
          <w:i/>
        </w:rPr>
        <w:t>e.g.,</w:t>
      </w:r>
      <w:r>
        <w:t xml:space="preserve"> IaaS Cloud provider) using the probe registered in POEM</w:t>
      </w:r>
      <w:r>
        <w:rPr>
          <w:vertAlign w:val="superscript"/>
        </w:rPr>
        <w:footnoteReference w:id="21"/>
      </w:r>
      <w:r>
        <w:t xml:space="preserve">. POEM is ARGO’s register of services, </w:t>
      </w:r>
      <w:r>
        <w:lastRenderedPageBreak/>
        <w:t>repositories, packages and related probes, metric configurations and metric profiles that instruct ARGO monitoring instances what kind of probes/tests to execute.</w:t>
      </w:r>
    </w:p>
    <w:p w14:paraId="154C50C2" w14:textId="77777777" w:rsidR="00271E47" w:rsidRDefault="00271E47" w:rsidP="00271E47"/>
    <w:p w14:paraId="2BC2D2A8" w14:textId="77777777" w:rsidR="00271E47" w:rsidRDefault="00271E47" w:rsidP="00271E47">
      <w:pPr>
        <w:jc w:val="center"/>
      </w:pPr>
      <w:r>
        <w:rPr>
          <w:noProof/>
        </w:rPr>
        <w:drawing>
          <wp:inline distT="114300" distB="114300" distL="114300" distR="114300" wp14:anchorId="4C274100" wp14:editId="2182B02E">
            <wp:extent cx="2967038" cy="5005098"/>
            <wp:effectExtent l="0" t="0" r="0" b="0"/>
            <wp:docPr id="172" name="image3.png" descr="ARGO probe development workflow"/>
            <wp:cNvGraphicFramePr/>
            <a:graphic xmlns:a="http://schemas.openxmlformats.org/drawingml/2006/main">
              <a:graphicData uri="http://schemas.openxmlformats.org/drawingml/2006/picture">
                <pic:pic xmlns:pic="http://schemas.openxmlformats.org/drawingml/2006/picture">
                  <pic:nvPicPr>
                    <pic:cNvPr id="172" name="image3.png" descr="ARGO probe development workflow"/>
                    <pic:cNvPicPr preferRelativeResize="0"/>
                  </pic:nvPicPr>
                  <pic:blipFill>
                    <a:blip r:embed="rId23"/>
                    <a:srcRect/>
                    <a:stretch>
                      <a:fillRect/>
                    </a:stretch>
                  </pic:blipFill>
                  <pic:spPr>
                    <a:xfrm>
                      <a:off x="0" y="0"/>
                      <a:ext cx="2967038" cy="5005098"/>
                    </a:xfrm>
                    <a:prstGeom prst="rect">
                      <a:avLst/>
                    </a:prstGeom>
                    <a:ln/>
                  </pic:spPr>
                </pic:pic>
              </a:graphicData>
            </a:graphic>
          </wp:inline>
        </w:drawing>
      </w:r>
    </w:p>
    <w:p w14:paraId="6C184900" w14:textId="77777777" w:rsidR="00271E47" w:rsidRPr="00C77D8B" w:rsidRDefault="00271E47" w:rsidP="00271E47">
      <w:pPr>
        <w:spacing w:after="200" w:line="240" w:lineRule="auto"/>
        <w:jc w:val="center"/>
        <w:rPr>
          <w:i/>
          <w:iCs/>
          <w:sz w:val="18"/>
          <w:szCs w:val="18"/>
        </w:rPr>
      </w:pPr>
      <w:r w:rsidRPr="00C77D8B">
        <w:rPr>
          <w:i/>
          <w:iCs/>
          <w:sz w:val="18"/>
          <w:szCs w:val="18"/>
        </w:rPr>
        <w:t>Figure 8. ARGO probe development workflow</w:t>
      </w:r>
    </w:p>
    <w:p w14:paraId="7AB57A42" w14:textId="77777777" w:rsidR="00271E47" w:rsidRDefault="00271E47" w:rsidP="00271E47">
      <w:pPr>
        <w:pStyle w:val="Heading2"/>
        <w:numPr>
          <w:ilvl w:val="1"/>
          <w:numId w:val="13"/>
        </w:numPr>
        <w:ind w:left="576" w:hanging="576"/>
      </w:pPr>
      <w:bookmarkStart w:id="20" w:name="_heading=h.ic7pjeya45ik" w:colFirst="0" w:colLast="0"/>
      <w:bookmarkStart w:id="21" w:name="_Toc116449111"/>
      <w:bookmarkEnd w:id="20"/>
      <w:r>
        <w:t>Helpdesk</w:t>
      </w:r>
      <w:bookmarkEnd w:id="21"/>
    </w:p>
    <w:p w14:paraId="1F204085" w14:textId="18A940FE" w:rsidR="00271E47" w:rsidRDefault="00271E47" w:rsidP="00271E47">
      <w:pPr>
        <w:rPr>
          <w:sz w:val="18"/>
          <w:szCs w:val="18"/>
        </w:rPr>
      </w:pPr>
      <w:r>
        <w:t>The EGI Helpdesk is a distributed tool with central coordination, which provides the necessary information and support for troubleshooting products and services. It is implemented through the GGUS system</w:t>
      </w:r>
      <w:r>
        <w:rPr>
          <w:vertAlign w:val="superscript"/>
        </w:rPr>
        <w:footnoteReference w:id="22"/>
      </w:r>
      <w:r>
        <w:t>, where users can report incidents</w:t>
      </w:r>
      <w:r>
        <w:rPr>
          <w:b/>
        </w:rPr>
        <w:t xml:space="preserve">, </w:t>
      </w:r>
      <w:r w:rsidR="008E7812">
        <w:t>bugs,</w:t>
      </w:r>
      <w:r>
        <w:rPr>
          <w:b/>
        </w:rPr>
        <w:t xml:space="preserve"> </w:t>
      </w:r>
      <w:r>
        <w:t xml:space="preserve">and request changes by using the Web user interface shown in Figure 9. </w:t>
      </w:r>
    </w:p>
    <w:p w14:paraId="3358029D" w14:textId="77777777" w:rsidR="00271E47" w:rsidRDefault="00271E47" w:rsidP="00271E47"/>
    <w:p w14:paraId="526901C6" w14:textId="17B542A8" w:rsidR="00271E47" w:rsidRDefault="00271E47" w:rsidP="00271E47">
      <w:r>
        <w:t xml:space="preserve">To report issues, the user creates a ticket. Once this ticket is submitted, it is forwarded to the assigned Support Unit (SU) to handle the service support request. The problem is then analysed by a specialist in the scope of the reported problem and the issue is addressed </w:t>
      </w:r>
      <w:r w:rsidR="008E7812">
        <w:t>to</w:t>
      </w:r>
      <w:r>
        <w:t xml:space="preserve"> </w:t>
      </w:r>
      <w:r>
        <w:lastRenderedPageBreak/>
        <w:t>be resolved expeditiously. Depending on the nature of the ticket, interaction with the user may be necessary to request additional information or to confirm the adequacy of the solution.</w:t>
      </w:r>
    </w:p>
    <w:p w14:paraId="2175E060" w14:textId="77777777" w:rsidR="00271E47" w:rsidRDefault="00271E47" w:rsidP="00271E47">
      <w:r>
        <w:t>More information about the EGI Helpdesk can be found in the EGI documentation</w:t>
      </w:r>
      <w:r>
        <w:rPr>
          <w:vertAlign w:val="superscript"/>
        </w:rPr>
        <w:footnoteReference w:id="23"/>
      </w:r>
      <w:r>
        <w:t>.</w:t>
      </w:r>
    </w:p>
    <w:p w14:paraId="422D7560" w14:textId="77777777" w:rsidR="00271E47" w:rsidRDefault="00271E47" w:rsidP="00271E47">
      <w:r>
        <w:rPr>
          <w:noProof/>
        </w:rPr>
        <w:drawing>
          <wp:inline distT="114300" distB="114300" distL="114300" distR="114300" wp14:anchorId="1C66E192" wp14:editId="0A968FC2">
            <wp:extent cx="5731200" cy="5956300"/>
            <wp:effectExtent l="0" t="0" r="0" b="0"/>
            <wp:docPr id="177" name="image6.png" descr="The GGUS Helpdesk "/>
            <wp:cNvGraphicFramePr/>
            <a:graphic xmlns:a="http://schemas.openxmlformats.org/drawingml/2006/main">
              <a:graphicData uri="http://schemas.openxmlformats.org/drawingml/2006/picture">
                <pic:pic xmlns:pic="http://schemas.openxmlformats.org/drawingml/2006/picture">
                  <pic:nvPicPr>
                    <pic:cNvPr id="177" name="image6.png" descr="The GGUS Helpdesk "/>
                    <pic:cNvPicPr preferRelativeResize="0"/>
                  </pic:nvPicPr>
                  <pic:blipFill>
                    <a:blip r:embed="rId24"/>
                    <a:srcRect/>
                    <a:stretch>
                      <a:fillRect/>
                    </a:stretch>
                  </pic:blipFill>
                  <pic:spPr>
                    <a:xfrm>
                      <a:off x="0" y="0"/>
                      <a:ext cx="5731200" cy="5956300"/>
                    </a:xfrm>
                    <a:prstGeom prst="rect">
                      <a:avLst/>
                    </a:prstGeom>
                    <a:ln/>
                  </pic:spPr>
                </pic:pic>
              </a:graphicData>
            </a:graphic>
          </wp:inline>
        </w:drawing>
      </w:r>
    </w:p>
    <w:p w14:paraId="64FCCE0C" w14:textId="77777777" w:rsidR="00271E47" w:rsidRPr="00C77D8B" w:rsidRDefault="00271E47" w:rsidP="00271E47">
      <w:pPr>
        <w:jc w:val="center"/>
        <w:rPr>
          <w:i/>
          <w:iCs/>
        </w:rPr>
      </w:pPr>
      <w:r w:rsidRPr="00C77D8B">
        <w:rPr>
          <w:i/>
          <w:iCs/>
          <w:sz w:val="18"/>
          <w:szCs w:val="18"/>
        </w:rPr>
        <w:t xml:space="preserve">Figure 9. The GGUS Helpdesk </w:t>
      </w:r>
    </w:p>
    <w:p w14:paraId="51798AF5" w14:textId="77777777" w:rsidR="00271E47" w:rsidRDefault="00271E47" w:rsidP="00271E47">
      <w:pPr>
        <w:pStyle w:val="Heading1"/>
        <w:numPr>
          <w:ilvl w:val="0"/>
          <w:numId w:val="13"/>
        </w:numPr>
        <w:ind w:left="432" w:hanging="432"/>
      </w:pPr>
      <w:bookmarkStart w:id="22" w:name="_heading=h.6afi5cje1got" w:colFirst="0" w:colLast="0"/>
      <w:bookmarkStart w:id="23" w:name="_Toc116449112"/>
      <w:bookmarkEnd w:id="22"/>
      <w:r>
        <w:lastRenderedPageBreak/>
        <w:t>Federated Resource providers</w:t>
      </w:r>
      <w:bookmarkEnd w:id="23"/>
    </w:p>
    <w:p w14:paraId="3ED4C8B9" w14:textId="77777777" w:rsidR="00271E47" w:rsidRDefault="00271E47" w:rsidP="00271E47">
      <w:pPr>
        <w:rPr>
          <w:color w:val="000000"/>
          <w:sz w:val="18"/>
          <w:szCs w:val="18"/>
        </w:rPr>
      </w:pPr>
      <w:r>
        <w:t>This section provides an overview of the baseline computing and storage services that deliver access to computing and storage resources for communities to run their workloads on their data.</w:t>
      </w:r>
    </w:p>
    <w:p w14:paraId="04253462" w14:textId="77777777" w:rsidR="00271E47" w:rsidRDefault="00271E47" w:rsidP="00271E47">
      <w:pPr>
        <w:pStyle w:val="Heading2"/>
        <w:numPr>
          <w:ilvl w:val="1"/>
          <w:numId w:val="13"/>
        </w:numPr>
        <w:ind w:left="576" w:hanging="576"/>
      </w:pPr>
      <w:bookmarkStart w:id="24" w:name="_heading=h.1y810tw" w:colFirst="0" w:colLast="0"/>
      <w:bookmarkStart w:id="25" w:name="_Toc116449113"/>
      <w:bookmarkEnd w:id="24"/>
      <w:r>
        <w:t>Cloud IaaS</w:t>
      </w:r>
      <w:bookmarkEnd w:id="25"/>
    </w:p>
    <w:p w14:paraId="2257388B" w14:textId="77777777" w:rsidR="00271E47" w:rsidRDefault="00271E47" w:rsidP="00271E47">
      <w:r>
        <w:t>Cloud IaaS (Infrastructure as a Service) gives users the ability to deploy and scale Virtual Machines (VMs) on-demand. It offers computational resources in a secure, isolated environment managed through an API, without the overhead of managing physical servers. IaaS supports the following tasks:</w:t>
      </w:r>
    </w:p>
    <w:p w14:paraId="0720F508" w14:textId="77777777" w:rsidR="00271E47" w:rsidRDefault="00271E47" w:rsidP="00271E47">
      <w:pPr>
        <w:numPr>
          <w:ilvl w:val="0"/>
          <w:numId w:val="28"/>
        </w:numPr>
        <w:spacing w:after="0"/>
      </w:pPr>
      <w:r>
        <w:t>The execution of multiple types of compute- and data-intensive workloads (both batch and interactive).</w:t>
      </w:r>
    </w:p>
    <w:p w14:paraId="1664E0CB" w14:textId="77777777" w:rsidR="00271E47" w:rsidRDefault="00271E47" w:rsidP="00271E47">
      <w:pPr>
        <w:numPr>
          <w:ilvl w:val="0"/>
          <w:numId w:val="28"/>
        </w:numPr>
        <w:spacing w:after="0"/>
      </w:pPr>
      <w:r>
        <w:t>Hosting long-running services, such as Web servers, databases or applications servers.</w:t>
      </w:r>
    </w:p>
    <w:p w14:paraId="371077A8" w14:textId="77777777" w:rsidR="00271E47" w:rsidRDefault="00271E47" w:rsidP="00271E47">
      <w:pPr>
        <w:numPr>
          <w:ilvl w:val="0"/>
          <w:numId w:val="28"/>
        </w:numPr>
      </w:pPr>
      <w:r>
        <w:t xml:space="preserve">The creation of disposable testing and development environments on VMs. Users can select specific hardware configurations (CPU, memory, GPU, disk) to run their virtual machines and run any Operating System with complete control of applications and system configuration. </w:t>
      </w:r>
    </w:p>
    <w:p w14:paraId="0DCB2C72" w14:textId="1FCAE2AD" w:rsidR="00271E47" w:rsidRDefault="00271E47" w:rsidP="00271E47">
      <w:r>
        <w:t xml:space="preserve">EGI integrates IaaS into a multi-national cloud system that pools resources from a heterogeneous set of providers that deliver an API-controlled service for management of Virtual Machines, associated Block Storage to enable persistence, and Networks to enable connectivity of the VMs. From a technical point of view, each resource centre of the federated infrastructure operates a </w:t>
      </w:r>
      <w:r>
        <w:rPr>
          <w:i/>
        </w:rPr>
        <w:t>Cloud Management Framework</w:t>
      </w:r>
      <w:r>
        <w:t xml:space="preserve"> according to its own preferences and constraints. The resource centre joins the Federation by integrating this framework with the different components of the EGI-ACE Core Services and Compute and Data Federation services, according to the preferred integration mode of the provider. Support is granted to OpenStack-based providers (any recent version from OpenStack Mitaka onwards). Complete integration documentation is available at the EGI documentation pages</w:t>
      </w:r>
      <w:r>
        <w:rPr>
          <w:vertAlign w:val="superscript"/>
        </w:rPr>
        <w:footnoteReference w:id="24"/>
      </w:r>
      <w:r>
        <w:t>.</w:t>
      </w:r>
    </w:p>
    <w:p w14:paraId="4674BEAC" w14:textId="77777777" w:rsidR="00271E47" w:rsidRDefault="00271E47" w:rsidP="00271E47">
      <w:r>
        <w:t>Beyond the management of VMs, the integration into the EGI Federation brings:</w:t>
      </w:r>
    </w:p>
    <w:p w14:paraId="07C39B3D" w14:textId="77777777" w:rsidR="00271E47" w:rsidRDefault="00271E47" w:rsidP="00271E47">
      <w:pPr>
        <w:numPr>
          <w:ilvl w:val="0"/>
          <w:numId w:val="11"/>
        </w:numPr>
        <w:spacing w:after="0"/>
      </w:pPr>
      <w:r>
        <w:rPr>
          <w:b/>
        </w:rPr>
        <w:t>Common AAI</w:t>
      </w:r>
      <w:r>
        <w:t>, to allow the use of the same identity across all providers.</w:t>
      </w:r>
    </w:p>
    <w:p w14:paraId="762722F6" w14:textId="77777777" w:rsidR="00271E47" w:rsidRDefault="00271E47" w:rsidP="00271E47">
      <w:pPr>
        <w:numPr>
          <w:ilvl w:val="0"/>
          <w:numId w:val="11"/>
        </w:numPr>
        <w:spacing w:after="0"/>
      </w:pPr>
      <w:r>
        <w:rPr>
          <w:b/>
        </w:rPr>
        <w:t>Application sharing,</w:t>
      </w:r>
      <w:r>
        <w:t xml:space="preserve"> to facilitate the finding of community-specific software from the providers.</w:t>
      </w:r>
    </w:p>
    <w:p w14:paraId="56753339" w14:textId="77777777" w:rsidR="00271E47" w:rsidRDefault="00271E47" w:rsidP="00271E47">
      <w:pPr>
        <w:numPr>
          <w:ilvl w:val="0"/>
          <w:numId w:val="11"/>
        </w:numPr>
        <w:spacing w:after="0"/>
      </w:pPr>
      <w:r>
        <w:rPr>
          <w:b/>
        </w:rPr>
        <w:t>Monitoring</w:t>
      </w:r>
      <w:r>
        <w:t>, to ensure Availability and Reliability of providers as agreed in Service Level Agreements.</w:t>
      </w:r>
    </w:p>
    <w:p w14:paraId="693AF549" w14:textId="77777777" w:rsidR="00271E47" w:rsidRDefault="00271E47" w:rsidP="00271E47">
      <w:pPr>
        <w:numPr>
          <w:ilvl w:val="0"/>
          <w:numId w:val="11"/>
        </w:numPr>
      </w:pPr>
      <w:r>
        <w:rPr>
          <w:b/>
        </w:rPr>
        <w:t>Centralised accounting</w:t>
      </w:r>
      <w:r>
        <w:t xml:space="preserve"> that collects information on usage in the Federation.</w:t>
      </w:r>
    </w:p>
    <w:p w14:paraId="15E0DAB9" w14:textId="77777777" w:rsidR="00271E47" w:rsidRDefault="00271E47" w:rsidP="00271E47">
      <w:r>
        <w:t>Specific details on Cloud IaaS features are described in more detail in the following sections.</w:t>
      </w:r>
    </w:p>
    <w:p w14:paraId="6E339F94" w14:textId="77777777" w:rsidR="00271E47" w:rsidRDefault="00271E47" w:rsidP="00271E47">
      <w:pPr>
        <w:pStyle w:val="Heading3"/>
        <w:numPr>
          <w:ilvl w:val="2"/>
          <w:numId w:val="13"/>
        </w:numPr>
        <w:ind w:left="720" w:hanging="504"/>
      </w:pPr>
      <w:bookmarkStart w:id="26" w:name="_heading=h.rxwigpok1gwm" w:colFirst="0" w:colLast="0"/>
      <w:bookmarkStart w:id="27" w:name="_Toc116449114"/>
      <w:bookmarkEnd w:id="26"/>
      <w:r>
        <w:lastRenderedPageBreak/>
        <w:t>AAI integration</w:t>
      </w:r>
      <w:bookmarkEnd w:id="27"/>
    </w:p>
    <w:p w14:paraId="4D7DEFB2" w14:textId="14652D08" w:rsidR="00271E47" w:rsidRDefault="00271E47" w:rsidP="00271E47">
      <w:r>
        <w:t xml:space="preserve">IaaS providers integrated with Check-in allow users to access providers with a single identity. Providers in the Federation maintain full control of their services and </w:t>
      </w:r>
      <w:r w:rsidR="008E7812">
        <w:t>resources and</w:t>
      </w:r>
      <w:r>
        <w:t xml:space="preserve"> make authorisation decisions locally by using harmonised user information delivered by Check-in, which includes the Virtual Organisations (VOs) to which each user belongs.</w:t>
      </w:r>
    </w:p>
    <w:p w14:paraId="73614E1C" w14:textId="77777777" w:rsidR="00271E47" w:rsidRDefault="00271E47" w:rsidP="00271E47">
      <w:r>
        <w:t xml:space="preserve">The integration with Check-in is done via </w:t>
      </w:r>
      <w:r>
        <w:rPr>
          <w:i/>
        </w:rPr>
        <w:t xml:space="preserve">OpenID Connect </w:t>
      </w:r>
      <w:r>
        <w:t>and builds on the federated identity features of Keystone</w:t>
      </w:r>
      <w:r>
        <w:rPr>
          <w:vertAlign w:val="superscript"/>
        </w:rPr>
        <w:footnoteReference w:id="25"/>
      </w:r>
      <w:r>
        <w:t xml:space="preserve"> (OpenStack’s authentication service). EGI provides extensive documentation on how federated user VOs can be mapped to local OpenStack projects</w:t>
      </w:r>
      <w:r>
        <w:rPr>
          <w:vertAlign w:val="superscript"/>
        </w:rPr>
        <w:footnoteReference w:id="26"/>
      </w:r>
      <w:r>
        <w:t>.</w:t>
      </w:r>
    </w:p>
    <w:p w14:paraId="76FE8F31" w14:textId="77777777" w:rsidR="00271E47" w:rsidRDefault="00271E47" w:rsidP="00271E47">
      <w:pPr>
        <w:pStyle w:val="Heading3"/>
        <w:numPr>
          <w:ilvl w:val="2"/>
          <w:numId w:val="13"/>
        </w:numPr>
        <w:ind w:left="720" w:hanging="504"/>
      </w:pPr>
      <w:bookmarkStart w:id="28" w:name="_heading=h.hny8j5b21894" w:colFirst="0" w:colLast="0"/>
      <w:bookmarkStart w:id="29" w:name="_Toc116449115"/>
      <w:bookmarkEnd w:id="28"/>
      <w:r>
        <w:t>Application Sharing</w:t>
      </w:r>
      <w:bookmarkEnd w:id="29"/>
    </w:p>
    <w:p w14:paraId="1EC830EE" w14:textId="77777777" w:rsidR="00271E47" w:rsidRDefault="00271E47" w:rsidP="00271E47">
      <w:r>
        <w:t xml:space="preserve">In a distributed federated IaaS, users need solutions to efficiently manage and distribute their VM images across multiple resource providers. EGI provides </w:t>
      </w:r>
      <w:r>
        <w:rPr>
          <w:i/>
        </w:rPr>
        <w:t>AppDB</w:t>
      </w:r>
      <w:r>
        <w:t xml:space="preserve"> (described in Section 4.4) as a catalogue of VM images (VMIs) that can be shared between the different research communities and can be run across the Federation providers.</w:t>
      </w:r>
    </w:p>
    <w:p w14:paraId="0109E41F" w14:textId="77777777" w:rsidR="00271E47" w:rsidRDefault="00271E47" w:rsidP="00271E47">
      <w:r>
        <w:t xml:space="preserve">AppDB allows representatives of research communities (identified by a VO) to generate a list of VMIs following the </w:t>
      </w:r>
      <w:r>
        <w:rPr>
          <w:i/>
        </w:rPr>
        <w:t>HEPiX</w:t>
      </w:r>
      <w:r>
        <w:t xml:space="preserve"> image list format</w:t>
      </w:r>
      <w:r>
        <w:rPr>
          <w:vertAlign w:val="superscript"/>
        </w:rPr>
        <w:footnoteReference w:id="27"/>
      </w:r>
      <w:r>
        <w:t xml:space="preserve"> to which resource centres can subscribe. This subscription enables the periodic download, conversion, and storage of these images in the local image repository of the provider. The subscription is implemented with the support of the </w:t>
      </w:r>
      <w:r>
        <w:rPr>
          <w:i/>
        </w:rPr>
        <w:t>Cloudkeeper</w:t>
      </w:r>
      <w:r>
        <w:rPr>
          <w:vertAlign w:val="superscript"/>
        </w:rPr>
        <w:footnoteReference w:id="28"/>
      </w:r>
      <w:r>
        <w:rPr>
          <w:vertAlign w:val="superscript"/>
        </w:rPr>
        <w:t xml:space="preserve"> </w:t>
      </w:r>
      <w:r>
        <w:t xml:space="preserve">software package, which also supports the automated synchronisation of images between AppDB and the provider, regardless of the Cloud Management Framework used (OpenStack, OpenNebula, AWS, </w:t>
      </w:r>
      <w:r>
        <w:rPr>
          <w:i/>
        </w:rPr>
        <w:t>etc</w:t>
      </w:r>
      <w:r>
        <w:t>).</w:t>
      </w:r>
    </w:p>
    <w:p w14:paraId="73811B93" w14:textId="77777777" w:rsidR="00271E47" w:rsidRDefault="00271E47" w:rsidP="00271E47">
      <w:pPr>
        <w:pStyle w:val="Heading3"/>
        <w:numPr>
          <w:ilvl w:val="2"/>
          <w:numId w:val="13"/>
        </w:numPr>
        <w:ind w:left="720" w:hanging="504"/>
      </w:pPr>
      <w:bookmarkStart w:id="30" w:name="_heading=h.jk64sot0hy0m" w:colFirst="0" w:colLast="0"/>
      <w:bookmarkStart w:id="31" w:name="_Toc116449116"/>
      <w:bookmarkEnd w:id="30"/>
      <w:r>
        <w:t>Compute and Data Federation</w:t>
      </w:r>
      <w:bookmarkEnd w:id="31"/>
    </w:p>
    <w:p w14:paraId="3B0BDDF3" w14:textId="77777777" w:rsidR="00271E47" w:rsidRDefault="00271E47" w:rsidP="00271E47">
      <w:r>
        <w:t>The Compute Federation services of EGI-ACE (see Section 4) support OpenStack providers to be manually configured for seamless use by Federation users. Additionally, a piece of software called the Infrastructure Manager, described in Section 4.2, can be used to deploy infrastructure on cloud providers that use systems other than OpenStack, such as OpenNebula, CloudStack, AWS, Azure and GCP.</w:t>
      </w:r>
    </w:p>
    <w:p w14:paraId="514E88EB" w14:textId="77777777" w:rsidR="00271E47" w:rsidRDefault="00271E47" w:rsidP="00271E47">
      <w:r>
        <w:t xml:space="preserve">The Data Federation services of EGI-ACE (see Section 5) are supported by the EGI </w:t>
      </w:r>
      <w:r>
        <w:rPr>
          <w:i/>
        </w:rPr>
        <w:t>DataHub</w:t>
      </w:r>
      <w:r>
        <w:t xml:space="preserve"> service, which allows providers to make data available to their local users. To  make local data accessible to other EGI providers, the </w:t>
      </w:r>
      <w:r>
        <w:rPr>
          <w:i/>
        </w:rPr>
        <w:t xml:space="preserve">Oneprovider </w:t>
      </w:r>
      <w:r>
        <w:t>component</w:t>
      </w:r>
      <w:r>
        <w:rPr>
          <w:vertAlign w:val="superscript"/>
        </w:rPr>
        <w:footnoteReference w:id="29"/>
      </w:r>
      <w:r>
        <w:t xml:space="preserve">, described in  Section 5.1, can be deployed. S3-compliant endpoints are also supported by services such as the </w:t>
      </w:r>
      <w:r>
        <w:rPr>
          <w:i/>
        </w:rPr>
        <w:t>File Transfer Service, described in</w:t>
      </w:r>
      <w:r>
        <w:t xml:space="preserve"> Section 5.2.</w:t>
      </w:r>
    </w:p>
    <w:p w14:paraId="4CE790D0" w14:textId="77777777" w:rsidR="00271E47" w:rsidRDefault="00271E47" w:rsidP="00271E47">
      <w:pPr>
        <w:pStyle w:val="Heading3"/>
        <w:numPr>
          <w:ilvl w:val="2"/>
          <w:numId w:val="13"/>
        </w:numPr>
        <w:ind w:left="720" w:hanging="504"/>
      </w:pPr>
      <w:bookmarkStart w:id="32" w:name="_heading=h.ci8wagw3bnup" w:colFirst="0" w:colLast="0"/>
      <w:bookmarkEnd w:id="32"/>
      <w:r>
        <w:t xml:space="preserve"> </w:t>
      </w:r>
      <w:bookmarkStart w:id="33" w:name="_Toc116449117"/>
      <w:r>
        <w:t>Integration with other core services</w:t>
      </w:r>
      <w:bookmarkEnd w:id="33"/>
    </w:p>
    <w:p w14:paraId="6AAB558D" w14:textId="77777777" w:rsidR="00271E47" w:rsidRDefault="00271E47" w:rsidP="00271E47">
      <w:r>
        <w:t xml:space="preserve">In addition to the AAI integration described in Section 3.1.1, providers going through the full integration mode need to complete the </w:t>
      </w:r>
      <w:r>
        <w:rPr>
          <w:i/>
        </w:rPr>
        <w:t>Resource Centre Registration and Certification procedure</w:t>
      </w:r>
      <w:r>
        <w:t xml:space="preserve"> (PROC09) [R2] that will result in the creation of new entries in the Configuration </w:t>
      </w:r>
      <w:r>
        <w:lastRenderedPageBreak/>
        <w:t>Database described in Section 2.2, after meeting all policy, security and quality of service requirements for joining the EGI Federation. Once registered, endpoints will be automatically monitored by ARGO (see Section 2.4). Accounting records can be generated at the provider via cASO</w:t>
      </w:r>
      <w:r>
        <w:rPr>
          <w:vertAlign w:val="superscript"/>
        </w:rPr>
        <w:footnoteReference w:id="30"/>
      </w:r>
      <w:r>
        <w:t>.</w:t>
      </w:r>
    </w:p>
    <w:p w14:paraId="49FDE1D5" w14:textId="77777777" w:rsidR="00271E47" w:rsidRDefault="00271E47" w:rsidP="00271E47">
      <w:pPr>
        <w:pStyle w:val="Heading2"/>
        <w:numPr>
          <w:ilvl w:val="1"/>
          <w:numId w:val="13"/>
        </w:numPr>
        <w:ind w:left="576" w:hanging="576"/>
      </w:pPr>
      <w:bookmarkStart w:id="34" w:name="_heading=h.1ci93xb" w:colFirst="0" w:colLast="0"/>
      <w:bookmarkStart w:id="35" w:name="_Toc116449118"/>
      <w:bookmarkEnd w:id="34"/>
      <w:r>
        <w:t>High Throughput Computing</w:t>
      </w:r>
      <w:bookmarkEnd w:id="35"/>
    </w:p>
    <w:p w14:paraId="2BCD7987" w14:textId="77777777" w:rsidR="00271E47" w:rsidRDefault="00271E47" w:rsidP="00271E47">
      <w:r>
        <w:t>High Throughput Compute (HTC) is a computing paradigm that focuses on the efficient execution of a large number of loosely-coupled tasks (</w:t>
      </w:r>
      <w:r>
        <w:rPr>
          <w:i/>
        </w:rPr>
        <w:t>e.g.</w:t>
      </w:r>
      <w:r>
        <w:t xml:space="preserve"> data analysis jobs). HTC systems execute independent tasks that can be individually scheduled on many distributed computing resources, across multiple administrative boundaries. Users submit these tasks to the infrastructure as </w:t>
      </w:r>
      <w:r>
        <w:rPr>
          <w:i/>
        </w:rPr>
        <w:t>jobs</w:t>
      </w:r>
      <w:r>
        <w:t>. After a job has been scheduled and executed, the output can be collected from the service(s) that executed it. The EGI High Throughput Compute</w:t>
      </w:r>
      <w:r>
        <w:rPr>
          <w:vertAlign w:val="superscript"/>
        </w:rPr>
        <w:footnoteReference w:id="31"/>
      </w:r>
      <w:r>
        <w:t xml:space="preserve"> infrastructure brings together federated providers delivering HTC resources.</w:t>
      </w:r>
    </w:p>
    <w:p w14:paraId="04BBFF05" w14:textId="77777777" w:rsidR="00271E47" w:rsidRDefault="00271E47" w:rsidP="00271E47">
      <w:r>
        <w:t xml:space="preserve">There are two different HTC services considered in EGI-ACE: </w:t>
      </w:r>
      <w:r>
        <w:rPr>
          <w:b/>
        </w:rPr>
        <w:t>Grid providers</w:t>
      </w:r>
      <w:r>
        <w:t xml:space="preserve">, discussed in Section 3.2.1, and </w:t>
      </w:r>
      <w:r>
        <w:rPr>
          <w:b/>
        </w:rPr>
        <w:t>Spider</w:t>
      </w:r>
      <w:r>
        <w:t>, discussed in Section 3.2.2.</w:t>
      </w:r>
    </w:p>
    <w:p w14:paraId="3B332787" w14:textId="77777777" w:rsidR="00271E47" w:rsidRDefault="00271E47" w:rsidP="00271E47">
      <w:pPr>
        <w:pStyle w:val="Heading3"/>
        <w:numPr>
          <w:ilvl w:val="2"/>
          <w:numId w:val="13"/>
        </w:numPr>
        <w:ind w:left="720" w:hanging="504"/>
      </w:pPr>
      <w:bookmarkStart w:id="36" w:name="_heading=h.4tmde56n9erw" w:colFirst="0" w:colLast="0"/>
      <w:bookmarkStart w:id="37" w:name="_Toc116449119"/>
      <w:bookmarkEnd w:id="36"/>
      <w:r>
        <w:t>Grid providers</w:t>
      </w:r>
      <w:bookmarkEnd w:id="37"/>
    </w:p>
    <w:p w14:paraId="34802F2D" w14:textId="77777777" w:rsidR="00271E47" w:rsidRDefault="00271E47" w:rsidP="00271E47">
      <w:r>
        <w:t>Grid providers deliver a front-end (ARC-CE</w:t>
      </w:r>
      <w:r>
        <w:rPr>
          <w:vertAlign w:val="superscript"/>
        </w:rPr>
        <w:footnoteReference w:id="32"/>
      </w:r>
      <w:r>
        <w:t xml:space="preserve"> or HTCondor-CE</w:t>
      </w:r>
      <w:r>
        <w:rPr>
          <w:vertAlign w:val="superscript"/>
        </w:rPr>
        <w:footnoteReference w:id="33"/>
      </w:r>
      <w:r>
        <w:t>) for the submission of jobs to a local batch system (</w:t>
      </w:r>
      <w:r>
        <w:rPr>
          <w:i/>
        </w:rPr>
        <w:t>e.g.</w:t>
      </w:r>
      <w:r>
        <w:t xml:space="preserve"> Slurm</w:t>
      </w:r>
      <w:r>
        <w:rPr>
          <w:vertAlign w:val="superscript"/>
        </w:rPr>
        <w:footnoteReference w:id="34"/>
      </w:r>
      <w:r>
        <w:t>, PBS</w:t>
      </w:r>
      <w:r>
        <w:rPr>
          <w:vertAlign w:val="superscript"/>
        </w:rPr>
        <w:footnoteReference w:id="35"/>
      </w:r>
      <w:r>
        <w:t>, or HTCondor</w:t>
      </w:r>
      <w:r>
        <w:rPr>
          <w:vertAlign w:val="superscript"/>
        </w:rPr>
        <w:footnoteReference w:id="36"/>
      </w:r>
      <w:r>
        <w:t xml:space="preserve">). These systems rely on X.509 certificate [R8] and VOMS for user authentication and authorisation. Check-in MasterPortal (see Section 2.1) acts as a bridge to interact with grid providers for users relying on federated identity mechanisms. </w:t>
      </w:r>
    </w:p>
    <w:p w14:paraId="349E8F9D" w14:textId="77777777" w:rsidR="00271E47" w:rsidRDefault="00271E47" w:rsidP="00271E47">
      <w:r>
        <w:t>In addition to job-based computing, Grid providers allow files to be stored in a scalable, fault-tolerant environment and shared with distributed teams. Data can be accessed through multiple protocols (gridFTP and WebDav/HTTP, XRootD and legacy SRM), and can be replicated across different providers to increase fault tolerance. The main implementations supported in EGI’s grid storage are: dCache</w:t>
      </w:r>
      <w:r>
        <w:rPr>
          <w:vertAlign w:val="superscript"/>
        </w:rPr>
        <w:footnoteReference w:id="37"/>
      </w:r>
      <w:r>
        <w:t>, DPM</w:t>
      </w:r>
      <w:r>
        <w:rPr>
          <w:vertAlign w:val="superscript"/>
        </w:rPr>
        <w:footnoteReference w:id="38"/>
      </w:r>
      <w:r>
        <w:t xml:space="preserve"> , EOS</w:t>
      </w:r>
      <w:r>
        <w:rPr>
          <w:vertAlign w:val="superscript"/>
        </w:rPr>
        <w:footnoteReference w:id="39"/>
      </w:r>
      <w:r>
        <w:t xml:space="preserve"> and StoRM</w:t>
      </w:r>
      <w:r>
        <w:rPr>
          <w:vertAlign w:val="superscript"/>
        </w:rPr>
        <w:footnoteReference w:id="40"/>
      </w:r>
      <w:r>
        <w:t>.</w:t>
      </w:r>
    </w:p>
    <w:p w14:paraId="41F851B4" w14:textId="77777777" w:rsidR="00271E47" w:rsidRDefault="00271E47" w:rsidP="00271E47">
      <w:r>
        <w:t xml:space="preserve">Grid providers are fully integrated with the Core Services described in Section 2: Configuration Database, Accounting, Monitoring and Helpdesk. Additionally, they deliver information about the resources available via the </w:t>
      </w:r>
      <w:r>
        <w:rPr>
          <w:i/>
        </w:rPr>
        <w:t>BDII</w:t>
      </w:r>
      <w:r>
        <w:t xml:space="preserve"> (Berkeley Database Information Index) service. The BDII relies on LDAP to build a hierarchical structure in which all participating providers can be easily discovered. </w:t>
      </w:r>
    </w:p>
    <w:p w14:paraId="6E632DCB" w14:textId="77777777" w:rsidR="00271E47" w:rsidRDefault="00271E47" w:rsidP="00271E47">
      <w:bookmarkStart w:id="38" w:name="_heading=h.grxodw43yyuf" w:colFirst="0" w:colLast="0"/>
      <w:bookmarkEnd w:id="38"/>
      <w:r>
        <w:lastRenderedPageBreak/>
        <w:t>In addition, advanced features are provided by other components described in other sections of the document.  Software distribution for supported communities can be enabled by deploying CernVM-FS clients at the providers (see Section 4.3). Advanced job meta-scheduling is handled by the Workload Manager described in Section 4.1, while data transfer and data management are handled by FTS and Rucio, respectively, which are described in Sections 5.2 and 5.3.</w:t>
      </w:r>
    </w:p>
    <w:p w14:paraId="6DE0C8EB" w14:textId="77777777" w:rsidR="00271E47" w:rsidRDefault="00271E47" w:rsidP="00271E47">
      <w:pPr>
        <w:pStyle w:val="Heading3"/>
        <w:numPr>
          <w:ilvl w:val="2"/>
          <w:numId w:val="13"/>
        </w:numPr>
        <w:ind w:left="720" w:hanging="503"/>
      </w:pPr>
      <w:bookmarkStart w:id="39" w:name="_heading=h.mwc1kd6yyfrr" w:colFirst="0" w:colLast="0"/>
      <w:bookmarkStart w:id="40" w:name="_Toc116449120"/>
      <w:bookmarkEnd w:id="39"/>
      <w:r>
        <w:t>Spider</w:t>
      </w:r>
      <w:bookmarkEnd w:id="40"/>
    </w:p>
    <w:p w14:paraId="6388C918" w14:textId="43E26118" w:rsidR="00271E47" w:rsidRDefault="00271E47" w:rsidP="00271E47">
      <w:r>
        <w:t>Spider</w:t>
      </w:r>
      <w:r>
        <w:rPr>
          <w:vertAlign w:val="superscript"/>
        </w:rPr>
        <w:footnoteReference w:id="41"/>
      </w:r>
      <w:r>
        <w:t xml:space="preserve"> is a versatile high-throughput data-processing platform for processing </w:t>
      </w:r>
      <w:r w:rsidR="002017EB">
        <w:t>large, structured</w:t>
      </w:r>
      <w:r>
        <w:t xml:space="preserve"> data sets provided by SURF</w:t>
      </w:r>
      <w:r>
        <w:rPr>
          <w:vertAlign w:val="superscript"/>
        </w:rPr>
        <w:footnoteReference w:id="42"/>
      </w:r>
      <w:r>
        <w:t>, running on top of an internal elastic Cloud. It is a feature-rich platform that provides users with a batch processing cluster (based on Slurm) for generic data processing applications, high-performance data access, fast network connectivity to internal and external data centres, support for containers and Jupyter notebooks, and many other user-centric features.</w:t>
      </w:r>
    </w:p>
    <w:p w14:paraId="119782F3" w14:textId="77777777" w:rsidR="00271E47" w:rsidRDefault="00271E47" w:rsidP="00271E47">
      <w:r>
        <w:t xml:space="preserve">Spider is offered as an alternative for grid users looking for a more customisable and easily accessible system, as the Spider installation shares the same physical data processing infrastructure as SURF’s Grid-based processing. </w:t>
      </w:r>
    </w:p>
    <w:p w14:paraId="7C8766F6" w14:textId="77777777" w:rsidR="00271E47" w:rsidRDefault="00271E47" w:rsidP="00271E47">
      <w:r>
        <w:t xml:space="preserve">In EGI-ACE, Spider is offered as one of the options for the HTC users and is currently going under integration with the rest of the EGI ecosystem. At the moment of writing, Spider can be registered in the Configuration Database (Section 2.2), it uses CernVM-FS (Section 4.3) for sharing software and can interact with Grid storage systems. Further integration will be provided as the project evolves. </w:t>
      </w:r>
    </w:p>
    <w:p w14:paraId="7185DE87" w14:textId="77777777" w:rsidR="00271E47" w:rsidRDefault="00271E47" w:rsidP="00271E47">
      <w:pPr>
        <w:pStyle w:val="Heading2"/>
        <w:numPr>
          <w:ilvl w:val="1"/>
          <w:numId w:val="13"/>
        </w:numPr>
        <w:ind w:left="576" w:hanging="576"/>
      </w:pPr>
      <w:bookmarkStart w:id="41" w:name="_heading=h.6oxozw2ueyv" w:colFirst="0" w:colLast="0"/>
      <w:bookmarkStart w:id="42" w:name="_Toc116449121"/>
      <w:bookmarkEnd w:id="41"/>
      <w:r>
        <w:t>High Performance Computing</w:t>
      </w:r>
      <w:bookmarkEnd w:id="42"/>
    </w:p>
    <w:p w14:paraId="37B6E84A" w14:textId="49FA6118" w:rsidR="00271E47" w:rsidRDefault="00271E47" w:rsidP="00271E47">
      <w:r>
        <w:t xml:space="preserve">High Performance Computing (HPC) provides highly optimised computing systems that deliver large amounts of parallel computing power to run applications. </w:t>
      </w:r>
      <w:r w:rsidR="002017EB">
        <w:t>Similarly,</w:t>
      </w:r>
      <w:r>
        <w:t xml:space="preserve"> to HTC, it offers a managed service where a fully operational environment runs submitted user jobs. Traditionally, HPC systems are managed in an isolated way and offer limited federation options. In EGI-ACE, a set of pilots explored the integration of several HPC systems into the Federation to make them accessible as part of the EOSC Compute Platform.</w:t>
      </w:r>
    </w:p>
    <w:p w14:paraId="7EFA3379" w14:textId="77777777" w:rsidR="00271E47" w:rsidRDefault="00271E47" w:rsidP="00271E47">
      <w:pPr>
        <w:spacing w:before="200" w:after="0"/>
      </w:pPr>
      <w:r>
        <w:t>In most HPC systems, user access is performed via the Secure Shell Protocol (SSH) [R12] to a set of login nodes where users can interact with the system and submit jobs for their execution. In most cases, SSH credentials used are locally managed, either usernames and password or SSH keys based on public-key cryptography [R13]. For the EOSC Compute Platform, three different access options to these providers are proposed:</w:t>
      </w:r>
    </w:p>
    <w:p w14:paraId="5F95ABEE" w14:textId="77777777" w:rsidR="00271E47" w:rsidRDefault="00271E47" w:rsidP="00271E47">
      <w:pPr>
        <w:numPr>
          <w:ilvl w:val="0"/>
          <w:numId w:val="31"/>
        </w:numPr>
        <w:spacing w:before="200" w:after="0"/>
      </w:pPr>
      <w:r>
        <w:rPr>
          <w:b/>
        </w:rPr>
        <w:t>SSH access with OIDC tokens,</w:t>
      </w:r>
      <w:r>
        <w:t xml:space="preserve"> via </w:t>
      </w:r>
      <w:r>
        <w:rPr>
          <w:i/>
        </w:rPr>
        <w:t>ssh-oidc</w:t>
      </w:r>
      <w:r>
        <w:rPr>
          <w:vertAlign w:val="superscript"/>
        </w:rPr>
        <w:footnoteReference w:id="43"/>
      </w:r>
      <w:r>
        <w:t xml:space="preserve">. This allows SSH access using federated identity technology, as supported by EGI Check-in. This is the preferred mechanism, as it minimises the requirements to the users and does not introduce changes to the traditional mode of operation of HPC centres. </w:t>
      </w:r>
    </w:p>
    <w:p w14:paraId="0BF1B6C9" w14:textId="77777777" w:rsidR="00271E47" w:rsidRDefault="00271E47" w:rsidP="00271E47">
      <w:pPr>
        <w:numPr>
          <w:ilvl w:val="0"/>
          <w:numId w:val="31"/>
        </w:numPr>
        <w:spacing w:before="200" w:after="0"/>
      </w:pPr>
      <w:r>
        <w:lastRenderedPageBreak/>
        <w:t xml:space="preserve">Access via </w:t>
      </w:r>
      <w:r>
        <w:rPr>
          <w:b/>
        </w:rPr>
        <w:t>HTC-like middleware</w:t>
      </w:r>
      <w:r>
        <w:t>, where users do not get direct access via SSH, but a set of middleware components handles user access and the interaction with the HPC system. Job submission is performed using the same tools as for an HTC provider, as explained in Section 3.2. While this is the simplest option to implement for the infrastructure, it is not always possible to implement due to the strict policy restrictions of HPC systems.</w:t>
      </w:r>
    </w:p>
    <w:p w14:paraId="52FDF105" w14:textId="77777777" w:rsidR="00271E47" w:rsidRDefault="00271E47" w:rsidP="00271E47">
      <w:pPr>
        <w:numPr>
          <w:ilvl w:val="0"/>
          <w:numId w:val="31"/>
        </w:numPr>
        <w:spacing w:before="200" w:after="0"/>
      </w:pPr>
      <w:r>
        <w:rPr>
          <w:b/>
        </w:rPr>
        <w:t>HPC as a Service</w:t>
      </w:r>
      <w:r>
        <w:t>. In those providers that offer HPC hardware through IaaS interfaces, small-scale HPC systems can be deployed to run user workloads. While IaaS providers rely on hypervisors</w:t>
      </w:r>
      <w:r>
        <w:rPr>
          <w:vertAlign w:val="superscript"/>
        </w:rPr>
        <w:footnoteReference w:id="44"/>
      </w:r>
      <w:r>
        <w:t xml:space="preserve"> to create Virtual Machines, specialised hardware such as GPU accelerators and low-latency networks such as Infiniband can be configured as PCI Passthrough devices without major performance overheads. Integration for these providers would follow the Cloud IaaS model discussed in Section 3.1.  Orchestration tools like the </w:t>
      </w:r>
      <w:r>
        <w:rPr>
          <w:i/>
        </w:rPr>
        <w:t>Elastic Cloud Computing Cluster</w:t>
      </w:r>
      <w:r>
        <w:t xml:space="preserve"> discussed in Section 6.2 can create elastic virtual clusters on these providers. This approach enables a highly flexible and customisable environment while providing access to HPC features.</w:t>
      </w:r>
    </w:p>
    <w:p w14:paraId="731428E7" w14:textId="77777777" w:rsidR="00271E47" w:rsidRDefault="00271E47" w:rsidP="00271E47"/>
    <w:p w14:paraId="677208D2" w14:textId="6B15FF64" w:rsidR="00271E47" w:rsidRDefault="00271E47" w:rsidP="00271E47">
      <w:r>
        <w:t xml:space="preserve">Integration with the core services depends on the access mode used for the specific HPC </w:t>
      </w:r>
      <w:r w:rsidR="00F5223C">
        <w:t>provider and</w:t>
      </w:r>
      <w:r>
        <w:t xml:space="preserve"> are summarised in Table 2 (refer to D7.3 [R14] for full details).</w:t>
      </w:r>
    </w:p>
    <w:p w14:paraId="1CC95781" w14:textId="77777777" w:rsidR="00271E47" w:rsidRPr="00A33898" w:rsidRDefault="00271E47" w:rsidP="00A33898">
      <w:pPr>
        <w:jc w:val="left"/>
        <w:rPr>
          <w:i/>
          <w:iCs/>
        </w:rPr>
      </w:pPr>
      <w:r w:rsidRPr="00A33898">
        <w:rPr>
          <w:i/>
          <w:iCs/>
          <w:sz w:val="18"/>
          <w:szCs w:val="18"/>
        </w:rPr>
        <w:t>Table 2 – HPC integration with core services</w:t>
      </w:r>
    </w:p>
    <w:tbl>
      <w:tblPr>
        <w:tblStyle w:val="PlainTable1"/>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620"/>
        <w:gridCol w:w="2325"/>
        <w:gridCol w:w="2355"/>
        <w:gridCol w:w="2715"/>
      </w:tblGrid>
      <w:tr w:rsidR="00271E47" w14:paraId="78A1DEC5" w14:textId="77777777" w:rsidTr="00816672">
        <w:tc>
          <w:tcPr>
            <w:tcW w:w="1620" w:type="dxa"/>
            <w:shd w:val="clear" w:color="auto" w:fill="auto"/>
          </w:tcPr>
          <w:p w14:paraId="732EA2F6" w14:textId="77777777" w:rsidR="00271E47" w:rsidRDefault="00271E47" w:rsidP="00DA495D">
            <w:pPr>
              <w:widowControl w:val="0"/>
              <w:pBdr>
                <w:top w:val="nil"/>
                <w:left w:val="nil"/>
                <w:bottom w:val="nil"/>
                <w:right w:val="nil"/>
                <w:between w:val="nil"/>
              </w:pBdr>
              <w:jc w:val="left"/>
              <w:rPr>
                <w:sz w:val="20"/>
                <w:szCs w:val="20"/>
              </w:rPr>
            </w:pPr>
          </w:p>
        </w:tc>
        <w:tc>
          <w:tcPr>
            <w:tcW w:w="2325" w:type="dxa"/>
            <w:shd w:val="clear" w:color="auto" w:fill="auto"/>
          </w:tcPr>
          <w:p w14:paraId="5F2EB2EC" w14:textId="77777777" w:rsidR="00271E47" w:rsidRDefault="00271E47" w:rsidP="00DA495D">
            <w:pPr>
              <w:widowControl w:val="0"/>
              <w:pBdr>
                <w:top w:val="nil"/>
                <w:left w:val="nil"/>
                <w:bottom w:val="nil"/>
                <w:right w:val="nil"/>
                <w:between w:val="nil"/>
              </w:pBdr>
              <w:jc w:val="left"/>
              <w:rPr>
                <w:b/>
                <w:color w:val="F07E19"/>
                <w:sz w:val="20"/>
                <w:szCs w:val="20"/>
              </w:rPr>
            </w:pPr>
            <w:r>
              <w:rPr>
                <w:b/>
                <w:color w:val="F07E19"/>
                <w:sz w:val="20"/>
                <w:szCs w:val="20"/>
              </w:rPr>
              <w:t>ssh access</w:t>
            </w:r>
          </w:p>
        </w:tc>
        <w:tc>
          <w:tcPr>
            <w:tcW w:w="2355" w:type="dxa"/>
            <w:shd w:val="clear" w:color="auto" w:fill="auto"/>
          </w:tcPr>
          <w:p w14:paraId="1D92F5CE" w14:textId="77777777" w:rsidR="00271E47" w:rsidRDefault="00271E47" w:rsidP="00DA495D">
            <w:pPr>
              <w:widowControl w:val="0"/>
              <w:pBdr>
                <w:top w:val="nil"/>
                <w:left w:val="nil"/>
                <w:bottom w:val="nil"/>
                <w:right w:val="nil"/>
                <w:between w:val="nil"/>
              </w:pBdr>
              <w:jc w:val="left"/>
              <w:rPr>
                <w:b/>
                <w:color w:val="F07E19"/>
                <w:sz w:val="20"/>
                <w:szCs w:val="20"/>
              </w:rPr>
            </w:pPr>
            <w:r>
              <w:rPr>
                <w:b/>
                <w:color w:val="F07E19"/>
                <w:sz w:val="20"/>
                <w:szCs w:val="20"/>
              </w:rPr>
              <w:t>HTC access</w:t>
            </w:r>
          </w:p>
        </w:tc>
        <w:tc>
          <w:tcPr>
            <w:tcW w:w="2715" w:type="dxa"/>
            <w:shd w:val="clear" w:color="auto" w:fill="auto"/>
          </w:tcPr>
          <w:p w14:paraId="29ECB328" w14:textId="77777777" w:rsidR="00271E47" w:rsidRDefault="00271E47" w:rsidP="00DA495D">
            <w:pPr>
              <w:widowControl w:val="0"/>
              <w:pBdr>
                <w:top w:val="nil"/>
                <w:left w:val="nil"/>
                <w:bottom w:val="nil"/>
                <w:right w:val="nil"/>
                <w:between w:val="nil"/>
              </w:pBdr>
              <w:jc w:val="left"/>
              <w:rPr>
                <w:b/>
                <w:color w:val="F07E19"/>
                <w:sz w:val="20"/>
                <w:szCs w:val="20"/>
              </w:rPr>
            </w:pPr>
            <w:r>
              <w:rPr>
                <w:b/>
                <w:color w:val="F07E19"/>
                <w:sz w:val="20"/>
                <w:szCs w:val="20"/>
              </w:rPr>
              <w:t>HPC as a Service</w:t>
            </w:r>
          </w:p>
        </w:tc>
      </w:tr>
      <w:tr w:rsidR="00271E47" w14:paraId="0E807700" w14:textId="77777777" w:rsidTr="00F24247">
        <w:trPr>
          <w:trHeight w:val="806"/>
        </w:trPr>
        <w:tc>
          <w:tcPr>
            <w:tcW w:w="1620" w:type="dxa"/>
            <w:shd w:val="clear" w:color="auto" w:fill="F2F2F2" w:themeFill="background1" w:themeFillShade="F2"/>
          </w:tcPr>
          <w:p w14:paraId="74EC1237" w14:textId="77777777" w:rsidR="00271E47" w:rsidRDefault="00271E47" w:rsidP="00DA495D">
            <w:pPr>
              <w:widowControl w:val="0"/>
              <w:pBdr>
                <w:top w:val="nil"/>
                <w:left w:val="nil"/>
                <w:bottom w:val="nil"/>
                <w:right w:val="nil"/>
                <w:between w:val="nil"/>
              </w:pBdr>
              <w:jc w:val="left"/>
              <w:rPr>
                <w:b/>
                <w:sz w:val="20"/>
                <w:szCs w:val="20"/>
              </w:rPr>
            </w:pPr>
            <w:r>
              <w:rPr>
                <w:b/>
                <w:sz w:val="20"/>
                <w:szCs w:val="20"/>
              </w:rPr>
              <w:t>Check-in</w:t>
            </w:r>
          </w:p>
        </w:tc>
        <w:tc>
          <w:tcPr>
            <w:tcW w:w="2325" w:type="dxa"/>
            <w:shd w:val="clear" w:color="auto" w:fill="F2F2F2" w:themeFill="background1" w:themeFillShade="F2"/>
          </w:tcPr>
          <w:p w14:paraId="1F83C27E" w14:textId="77777777" w:rsidR="00271E47" w:rsidRDefault="00271E47" w:rsidP="00DA495D">
            <w:pPr>
              <w:widowControl w:val="0"/>
              <w:pBdr>
                <w:top w:val="nil"/>
                <w:left w:val="nil"/>
                <w:bottom w:val="nil"/>
                <w:right w:val="nil"/>
                <w:between w:val="nil"/>
              </w:pBdr>
              <w:jc w:val="left"/>
              <w:rPr>
                <w:sz w:val="20"/>
                <w:szCs w:val="20"/>
              </w:rPr>
            </w:pPr>
            <w:r>
              <w:rPr>
                <w:sz w:val="20"/>
                <w:szCs w:val="20"/>
              </w:rPr>
              <w:t>ssh-oidc</w:t>
            </w:r>
          </w:p>
        </w:tc>
        <w:tc>
          <w:tcPr>
            <w:tcW w:w="2355" w:type="dxa"/>
            <w:shd w:val="clear" w:color="auto" w:fill="F2F2F2" w:themeFill="background1" w:themeFillShade="F2"/>
          </w:tcPr>
          <w:p w14:paraId="1CC90EA7" w14:textId="77777777" w:rsidR="00271E47" w:rsidRDefault="00271E47" w:rsidP="00DA495D">
            <w:pPr>
              <w:jc w:val="left"/>
              <w:rPr>
                <w:sz w:val="20"/>
                <w:szCs w:val="20"/>
              </w:rPr>
            </w:pPr>
            <w:r>
              <w:rPr>
                <w:sz w:val="20"/>
                <w:szCs w:val="20"/>
              </w:rPr>
              <w:t>X.509 certificates via Check-in’s MasterPortal</w:t>
            </w:r>
          </w:p>
        </w:tc>
        <w:tc>
          <w:tcPr>
            <w:tcW w:w="2715" w:type="dxa"/>
            <w:shd w:val="clear" w:color="auto" w:fill="F2F2F2" w:themeFill="background1" w:themeFillShade="F2"/>
          </w:tcPr>
          <w:p w14:paraId="6843DCF4" w14:textId="77777777" w:rsidR="00271E47" w:rsidRDefault="00271E47" w:rsidP="00DA495D">
            <w:pPr>
              <w:widowControl w:val="0"/>
              <w:pBdr>
                <w:top w:val="nil"/>
                <w:left w:val="nil"/>
                <w:bottom w:val="nil"/>
                <w:right w:val="nil"/>
                <w:between w:val="nil"/>
              </w:pBdr>
              <w:jc w:val="left"/>
              <w:rPr>
                <w:sz w:val="20"/>
                <w:szCs w:val="20"/>
              </w:rPr>
            </w:pPr>
            <w:r>
              <w:rPr>
                <w:sz w:val="20"/>
                <w:szCs w:val="20"/>
              </w:rPr>
              <w:t>OpenStack integration with Check-in</w:t>
            </w:r>
          </w:p>
        </w:tc>
      </w:tr>
      <w:tr w:rsidR="00271E47" w14:paraId="37EC302A" w14:textId="77777777" w:rsidTr="00816672">
        <w:tc>
          <w:tcPr>
            <w:tcW w:w="1620" w:type="dxa"/>
            <w:shd w:val="clear" w:color="auto" w:fill="auto"/>
          </w:tcPr>
          <w:p w14:paraId="7162063A" w14:textId="77777777" w:rsidR="00271E47" w:rsidRDefault="00271E47" w:rsidP="00DA495D">
            <w:pPr>
              <w:widowControl w:val="0"/>
              <w:pBdr>
                <w:top w:val="nil"/>
                <w:left w:val="nil"/>
                <w:bottom w:val="nil"/>
                <w:right w:val="nil"/>
                <w:between w:val="nil"/>
              </w:pBdr>
              <w:jc w:val="left"/>
              <w:rPr>
                <w:b/>
                <w:sz w:val="20"/>
                <w:szCs w:val="20"/>
              </w:rPr>
            </w:pPr>
            <w:r>
              <w:rPr>
                <w:b/>
                <w:sz w:val="20"/>
                <w:szCs w:val="20"/>
              </w:rPr>
              <w:t>Configuration Database</w:t>
            </w:r>
          </w:p>
        </w:tc>
        <w:tc>
          <w:tcPr>
            <w:tcW w:w="2325" w:type="dxa"/>
            <w:shd w:val="clear" w:color="auto" w:fill="auto"/>
          </w:tcPr>
          <w:p w14:paraId="5895C6FF" w14:textId="77777777" w:rsidR="00271E47" w:rsidRDefault="00271E47" w:rsidP="00DA495D">
            <w:pPr>
              <w:widowControl w:val="0"/>
              <w:pBdr>
                <w:top w:val="nil"/>
                <w:left w:val="nil"/>
                <w:bottom w:val="nil"/>
                <w:right w:val="nil"/>
                <w:between w:val="nil"/>
              </w:pBdr>
              <w:jc w:val="left"/>
              <w:rPr>
                <w:sz w:val="20"/>
                <w:szCs w:val="20"/>
              </w:rPr>
            </w:pPr>
            <w:r>
              <w:rPr>
                <w:sz w:val="20"/>
                <w:szCs w:val="20"/>
              </w:rPr>
              <w:t>edu.kit.ssh_oidc service type</w:t>
            </w:r>
          </w:p>
        </w:tc>
        <w:tc>
          <w:tcPr>
            <w:tcW w:w="2355" w:type="dxa"/>
            <w:shd w:val="clear" w:color="auto" w:fill="auto"/>
          </w:tcPr>
          <w:p w14:paraId="04FFFC15" w14:textId="676C0BA9" w:rsidR="00271E47" w:rsidRDefault="00271E47" w:rsidP="00DA495D">
            <w:pPr>
              <w:widowControl w:val="0"/>
              <w:pBdr>
                <w:top w:val="nil"/>
                <w:left w:val="nil"/>
                <w:bottom w:val="nil"/>
                <w:right w:val="nil"/>
                <w:between w:val="nil"/>
              </w:pBdr>
              <w:jc w:val="left"/>
              <w:rPr>
                <w:sz w:val="20"/>
                <w:szCs w:val="20"/>
              </w:rPr>
            </w:pPr>
            <w:r>
              <w:rPr>
                <w:sz w:val="20"/>
                <w:szCs w:val="20"/>
              </w:rPr>
              <w:t>HTC service types (</w:t>
            </w:r>
            <w:r w:rsidR="00F5223C">
              <w:rPr>
                <w:i/>
                <w:sz w:val="20"/>
                <w:szCs w:val="20"/>
              </w:rPr>
              <w:t>e.g.,</w:t>
            </w:r>
            <w:r>
              <w:rPr>
                <w:sz w:val="20"/>
                <w:szCs w:val="20"/>
              </w:rPr>
              <w:t xml:space="preserve"> HTCondor)</w:t>
            </w:r>
          </w:p>
        </w:tc>
        <w:tc>
          <w:tcPr>
            <w:tcW w:w="2715" w:type="dxa"/>
            <w:shd w:val="clear" w:color="auto" w:fill="auto"/>
          </w:tcPr>
          <w:p w14:paraId="6B766421" w14:textId="24D3F806" w:rsidR="00271E47" w:rsidRDefault="00271E47" w:rsidP="00DA495D">
            <w:pPr>
              <w:widowControl w:val="0"/>
              <w:pBdr>
                <w:top w:val="nil"/>
                <w:left w:val="nil"/>
                <w:bottom w:val="nil"/>
                <w:right w:val="nil"/>
                <w:between w:val="nil"/>
              </w:pBdr>
              <w:jc w:val="left"/>
              <w:rPr>
                <w:sz w:val="20"/>
                <w:szCs w:val="20"/>
              </w:rPr>
            </w:pPr>
            <w:r>
              <w:rPr>
                <w:sz w:val="20"/>
                <w:szCs w:val="20"/>
              </w:rPr>
              <w:t>OpenStack service types (</w:t>
            </w:r>
            <w:r w:rsidR="00F5223C">
              <w:rPr>
                <w:i/>
                <w:sz w:val="20"/>
                <w:szCs w:val="20"/>
              </w:rPr>
              <w:t>e.g.,</w:t>
            </w:r>
            <w:r>
              <w:rPr>
                <w:sz w:val="20"/>
                <w:szCs w:val="20"/>
              </w:rPr>
              <w:t xml:space="preserve"> nova)</w:t>
            </w:r>
          </w:p>
        </w:tc>
      </w:tr>
      <w:tr w:rsidR="00271E47" w14:paraId="2E22ED3F" w14:textId="77777777" w:rsidTr="00F24247">
        <w:tc>
          <w:tcPr>
            <w:tcW w:w="1620" w:type="dxa"/>
            <w:shd w:val="clear" w:color="auto" w:fill="F2F2F2" w:themeFill="background1" w:themeFillShade="F2"/>
          </w:tcPr>
          <w:p w14:paraId="7B007D91" w14:textId="77777777" w:rsidR="00271E47" w:rsidRDefault="00271E47" w:rsidP="00DA495D">
            <w:pPr>
              <w:widowControl w:val="0"/>
              <w:jc w:val="left"/>
              <w:rPr>
                <w:b/>
                <w:sz w:val="20"/>
                <w:szCs w:val="20"/>
              </w:rPr>
            </w:pPr>
            <w:r>
              <w:rPr>
                <w:b/>
                <w:sz w:val="20"/>
                <w:szCs w:val="20"/>
              </w:rPr>
              <w:t>Accounting</w:t>
            </w:r>
          </w:p>
        </w:tc>
        <w:tc>
          <w:tcPr>
            <w:tcW w:w="2325" w:type="dxa"/>
            <w:shd w:val="clear" w:color="auto" w:fill="F2F2F2" w:themeFill="background1" w:themeFillShade="F2"/>
          </w:tcPr>
          <w:p w14:paraId="5CDE1A5C" w14:textId="77777777" w:rsidR="00271E47" w:rsidRDefault="00271E47" w:rsidP="00DA495D">
            <w:pPr>
              <w:widowControl w:val="0"/>
              <w:pBdr>
                <w:top w:val="nil"/>
                <w:left w:val="nil"/>
                <w:bottom w:val="nil"/>
                <w:right w:val="nil"/>
                <w:between w:val="nil"/>
              </w:pBdr>
              <w:jc w:val="left"/>
              <w:rPr>
                <w:sz w:val="20"/>
                <w:szCs w:val="20"/>
              </w:rPr>
            </w:pPr>
            <w:r>
              <w:rPr>
                <w:sz w:val="20"/>
                <w:szCs w:val="20"/>
              </w:rPr>
              <w:t>Reuse HTC accounting</w:t>
            </w:r>
          </w:p>
        </w:tc>
        <w:tc>
          <w:tcPr>
            <w:tcW w:w="2355" w:type="dxa"/>
            <w:shd w:val="clear" w:color="auto" w:fill="F2F2F2" w:themeFill="background1" w:themeFillShade="F2"/>
          </w:tcPr>
          <w:p w14:paraId="4FA630D5" w14:textId="77777777" w:rsidR="00271E47" w:rsidRDefault="00271E47" w:rsidP="00DA495D">
            <w:pPr>
              <w:widowControl w:val="0"/>
              <w:jc w:val="left"/>
              <w:rPr>
                <w:sz w:val="20"/>
                <w:szCs w:val="20"/>
              </w:rPr>
            </w:pPr>
            <w:r>
              <w:rPr>
                <w:sz w:val="20"/>
                <w:szCs w:val="20"/>
              </w:rPr>
              <w:t>Reuse HTC accounting</w:t>
            </w:r>
          </w:p>
        </w:tc>
        <w:tc>
          <w:tcPr>
            <w:tcW w:w="2715" w:type="dxa"/>
            <w:shd w:val="clear" w:color="auto" w:fill="F2F2F2" w:themeFill="background1" w:themeFillShade="F2"/>
          </w:tcPr>
          <w:p w14:paraId="35AC4D6C" w14:textId="77777777" w:rsidR="00271E47" w:rsidRDefault="00271E47" w:rsidP="00DA495D">
            <w:pPr>
              <w:widowControl w:val="0"/>
              <w:pBdr>
                <w:top w:val="nil"/>
                <w:left w:val="nil"/>
                <w:bottom w:val="nil"/>
                <w:right w:val="nil"/>
                <w:between w:val="nil"/>
              </w:pBdr>
              <w:jc w:val="left"/>
              <w:rPr>
                <w:sz w:val="20"/>
                <w:szCs w:val="20"/>
              </w:rPr>
            </w:pPr>
            <w:r>
              <w:rPr>
                <w:sz w:val="20"/>
                <w:szCs w:val="20"/>
              </w:rPr>
              <w:t>Reuse OpenStack accounting</w:t>
            </w:r>
          </w:p>
        </w:tc>
      </w:tr>
      <w:tr w:rsidR="00271E47" w14:paraId="66282C9A" w14:textId="77777777" w:rsidTr="00816672">
        <w:tc>
          <w:tcPr>
            <w:tcW w:w="1620" w:type="dxa"/>
            <w:shd w:val="clear" w:color="auto" w:fill="auto"/>
          </w:tcPr>
          <w:p w14:paraId="0CF44888" w14:textId="77777777" w:rsidR="00271E47" w:rsidRDefault="00271E47" w:rsidP="00DA495D">
            <w:pPr>
              <w:widowControl w:val="0"/>
              <w:jc w:val="left"/>
              <w:rPr>
                <w:b/>
                <w:sz w:val="20"/>
                <w:szCs w:val="20"/>
              </w:rPr>
            </w:pPr>
            <w:r>
              <w:rPr>
                <w:b/>
                <w:sz w:val="20"/>
                <w:szCs w:val="20"/>
              </w:rPr>
              <w:t>Monitoring</w:t>
            </w:r>
          </w:p>
        </w:tc>
        <w:tc>
          <w:tcPr>
            <w:tcW w:w="2325" w:type="dxa"/>
            <w:shd w:val="clear" w:color="auto" w:fill="auto"/>
          </w:tcPr>
          <w:p w14:paraId="128F3731" w14:textId="77777777" w:rsidR="00271E47" w:rsidRDefault="00271E47" w:rsidP="00DA495D">
            <w:pPr>
              <w:widowControl w:val="0"/>
              <w:pBdr>
                <w:top w:val="nil"/>
                <w:left w:val="nil"/>
                <w:bottom w:val="nil"/>
                <w:right w:val="nil"/>
                <w:between w:val="nil"/>
              </w:pBdr>
              <w:jc w:val="left"/>
              <w:rPr>
                <w:sz w:val="20"/>
                <w:szCs w:val="20"/>
              </w:rPr>
            </w:pPr>
            <w:r>
              <w:rPr>
                <w:sz w:val="20"/>
                <w:szCs w:val="20"/>
              </w:rPr>
              <w:t xml:space="preserve">New dedicated probe for ssh-oidc </w:t>
            </w:r>
          </w:p>
        </w:tc>
        <w:tc>
          <w:tcPr>
            <w:tcW w:w="2355" w:type="dxa"/>
            <w:shd w:val="clear" w:color="auto" w:fill="auto"/>
          </w:tcPr>
          <w:p w14:paraId="1B45059B" w14:textId="77777777" w:rsidR="00271E47" w:rsidRDefault="00271E47" w:rsidP="00DA495D">
            <w:pPr>
              <w:widowControl w:val="0"/>
              <w:pBdr>
                <w:top w:val="nil"/>
                <w:left w:val="nil"/>
                <w:bottom w:val="nil"/>
                <w:right w:val="nil"/>
                <w:between w:val="nil"/>
              </w:pBdr>
              <w:jc w:val="left"/>
              <w:rPr>
                <w:sz w:val="20"/>
                <w:szCs w:val="20"/>
              </w:rPr>
            </w:pPr>
            <w:r>
              <w:rPr>
                <w:sz w:val="20"/>
                <w:szCs w:val="20"/>
              </w:rPr>
              <w:t>Reuse HTC monitoring</w:t>
            </w:r>
          </w:p>
        </w:tc>
        <w:tc>
          <w:tcPr>
            <w:tcW w:w="2715" w:type="dxa"/>
            <w:shd w:val="clear" w:color="auto" w:fill="auto"/>
          </w:tcPr>
          <w:p w14:paraId="41F4C4A1" w14:textId="77777777" w:rsidR="00271E47" w:rsidRDefault="00271E47" w:rsidP="00DA495D">
            <w:pPr>
              <w:widowControl w:val="0"/>
              <w:jc w:val="left"/>
              <w:rPr>
                <w:sz w:val="20"/>
                <w:szCs w:val="20"/>
              </w:rPr>
            </w:pPr>
            <w:r>
              <w:rPr>
                <w:sz w:val="20"/>
                <w:szCs w:val="20"/>
              </w:rPr>
              <w:t>Reuse OpenStack monitoring</w:t>
            </w:r>
          </w:p>
        </w:tc>
      </w:tr>
      <w:tr w:rsidR="00271E47" w14:paraId="0C888E95" w14:textId="77777777" w:rsidTr="00F24247">
        <w:trPr>
          <w:trHeight w:val="420"/>
        </w:trPr>
        <w:tc>
          <w:tcPr>
            <w:tcW w:w="1620" w:type="dxa"/>
            <w:shd w:val="clear" w:color="auto" w:fill="F2F2F2" w:themeFill="background1" w:themeFillShade="F2"/>
          </w:tcPr>
          <w:p w14:paraId="2E44012A" w14:textId="77777777" w:rsidR="00271E47" w:rsidRDefault="00271E47" w:rsidP="00DA495D">
            <w:pPr>
              <w:widowControl w:val="0"/>
              <w:jc w:val="left"/>
              <w:rPr>
                <w:b/>
                <w:sz w:val="20"/>
                <w:szCs w:val="20"/>
              </w:rPr>
            </w:pPr>
            <w:r>
              <w:rPr>
                <w:b/>
                <w:sz w:val="20"/>
                <w:szCs w:val="20"/>
              </w:rPr>
              <w:t>Helpdesk</w:t>
            </w:r>
          </w:p>
        </w:tc>
        <w:tc>
          <w:tcPr>
            <w:tcW w:w="7395" w:type="dxa"/>
            <w:gridSpan w:val="3"/>
            <w:shd w:val="clear" w:color="auto" w:fill="F2F2F2" w:themeFill="background1" w:themeFillShade="F2"/>
          </w:tcPr>
          <w:p w14:paraId="01ED6D59" w14:textId="77777777" w:rsidR="00271E47" w:rsidRDefault="00271E47" w:rsidP="00DA495D">
            <w:pPr>
              <w:widowControl w:val="0"/>
              <w:pBdr>
                <w:top w:val="nil"/>
                <w:left w:val="nil"/>
                <w:bottom w:val="nil"/>
                <w:right w:val="nil"/>
                <w:between w:val="nil"/>
              </w:pBdr>
              <w:jc w:val="center"/>
              <w:rPr>
                <w:sz w:val="20"/>
                <w:szCs w:val="20"/>
              </w:rPr>
            </w:pPr>
            <w:r>
              <w:rPr>
                <w:sz w:val="20"/>
                <w:szCs w:val="20"/>
              </w:rPr>
              <w:t>Provider registered in EGI Helpdesk</w:t>
            </w:r>
          </w:p>
        </w:tc>
      </w:tr>
    </w:tbl>
    <w:p w14:paraId="6DD293CA" w14:textId="77777777" w:rsidR="00271E47" w:rsidRDefault="00271E47" w:rsidP="00271E47">
      <w:pPr>
        <w:rPr>
          <w:rFonts w:ascii="Helvetica Neue" w:eastAsia="Helvetica Neue" w:hAnsi="Helvetica Neue" w:cs="Helvetica Neue"/>
          <w:sz w:val="18"/>
          <w:szCs w:val="18"/>
        </w:rPr>
      </w:pPr>
    </w:p>
    <w:p w14:paraId="427C9CEA" w14:textId="77777777" w:rsidR="00271E47" w:rsidRDefault="00271E47" w:rsidP="00271E47">
      <w:pPr>
        <w:jc w:val="left"/>
        <w:rPr>
          <w:rFonts w:ascii="Helvetica Neue" w:eastAsia="Helvetica Neue" w:hAnsi="Helvetica Neue" w:cs="Helvetica Neue"/>
          <w:sz w:val="18"/>
          <w:szCs w:val="18"/>
        </w:rPr>
      </w:pPr>
      <w:r>
        <w:br w:type="page"/>
      </w:r>
    </w:p>
    <w:p w14:paraId="419CA755" w14:textId="77777777" w:rsidR="00271E47" w:rsidRDefault="00271E47" w:rsidP="00271E47">
      <w:pPr>
        <w:pStyle w:val="Heading1"/>
        <w:numPr>
          <w:ilvl w:val="0"/>
          <w:numId w:val="13"/>
        </w:numPr>
        <w:ind w:left="432" w:hanging="432"/>
      </w:pPr>
      <w:bookmarkStart w:id="43" w:name="_heading=h.ajj64tb2wpc2" w:colFirst="0" w:colLast="0"/>
      <w:bookmarkStart w:id="44" w:name="_Toc116449122"/>
      <w:bookmarkEnd w:id="43"/>
      <w:r>
        <w:lastRenderedPageBreak/>
        <w:t>Federated Compute</w:t>
      </w:r>
      <w:bookmarkEnd w:id="44"/>
    </w:p>
    <w:p w14:paraId="31CC380E" w14:textId="77777777" w:rsidR="00271E47" w:rsidRDefault="00271E47" w:rsidP="00271E47">
      <w:r>
        <w:t xml:space="preserve">The Federated Compute subsystem in EGI-ACE facilitates the use of the underlying computing infrastructure in a homogeneous way, so that users can execute their workloads across the available resource providers in a portable way. This is supported by the following services:  </w:t>
      </w:r>
    </w:p>
    <w:p w14:paraId="028F3234" w14:textId="77777777" w:rsidR="00271E47" w:rsidRDefault="00271E47" w:rsidP="00271E47">
      <w:pPr>
        <w:numPr>
          <w:ilvl w:val="0"/>
          <w:numId w:val="34"/>
        </w:numPr>
        <w:pBdr>
          <w:top w:val="nil"/>
          <w:left w:val="nil"/>
          <w:bottom w:val="nil"/>
          <w:right w:val="nil"/>
          <w:between w:val="nil"/>
        </w:pBdr>
        <w:spacing w:after="0"/>
      </w:pPr>
      <w:r>
        <w:rPr>
          <w:color w:val="000000"/>
        </w:rPr>
        <w:t xml:space="preserve">The </w:t>
      </w:r>
      <w:r>
        <w:rPr>
          <w:b/>
          <w:color w:val="000000"/>
        </w:rPr>
        <w:t>Workload Manager</w:t>
      </w:r>
      <w:r>
        <w:rPr>
          <w:color w:val="000000"/>
        </w:rPr>
        <w:t xml:space="preserve">, powered by </w:t>
      </w:r>
      <w:r>
        <w:rPr>
          <w:i/>
          <w:color w:val="000000"/>
        </w:rPr>
        <w:t>DIRAC</w:t>
      </w:r>
      <w:r>
        <w:rPr>
          <w:color w:val="000000"/>
        </w:rPr>
        <w:t xml:space="preserve">, supports scalable job submission across HTC, HPC and Cloud providers. The Workload Manager takes care of scheduling the user tasks into the most appropriate resources. </w:t>
      </w:r>
      <w:r>
        <w:t>DIRAC</w:t>
      </w:r>
      <w:r>
        <w:rPr>
          <w:color w:val="000000"/>
        </w:rPr>
        <w:t xml:space="preserve"> is described in Section 4.1.</w:t>
      </w:r>
    </w:p>
    <w:p w14:paraId="4A85A272" w14:textId="77777777" w:rsidR="00271E47" w:rsidRDefault="00271E47" w:rsidP="00271E47">
      <w:pPr>
        <w:numPr>
          <w:ilvl w:val="0"/>
          <w:numId w:val="34"/>
        </w:numPr>
        <w:pBdr>
          <w:top w:val="nil"/>
          <w:left w:val="nil"/>
          <w:bottom w:val="nil"/>
          <w:right w:val="nil"/>
          <w:between w:val="nil"/>
        </w:pBdr>
        <w:spacing w:after="0"/>
      </w:pPr>
      <w:r>
        <w:t xml:space="preserve">The </w:t>
      </w:r>
      <w:r>
        <w:rPr>
          <w:b/>
          <w:color w:val="000000"/>
        </w:rPr>
        <w:t>Infrastructure Manager</w:t>
      </w:r>
      <w:r>
        <w:rPr>
          <w:color w:val="000000"/>
        </w:rPr>
        <w:t xml:space="preserve"> (IM) </w:t>
      </w:r>
      <w:r>
        <w:t xml:space="preserve">provides IaaS cloud </w:t>
      </w:r>
      <w:r>
        <w:rPr>
          <w:color w:val="000000"/>
        </w:rPr>
        <w:t xml:space="preserve">orchestration by automating the deployment of virtual infrastructure </w:t>
      </w:r>
      <w:r>
        <w:t>across</w:t>
      </w:r>
      <w:r>
        <w:rPr>
          <w:color w:val="000000"/>
        </w:rPr>
        <w:t xml:space="preserve"> multiple cloud providers, including </w:t>
      </w:r>
      <w:r>
        <w:t>public ones, such as AWS, Google Cloud and Azure, amongst others</w:t>
      </w:r>
      <w:r>
        <w:rPr>
          <w:color w:val="000000"/>
        </w:rPr>
        <w:t>. IM supports hybrid deployments and uses a single description language for all supported backends, thus making applications cloud agnostic. It also provides s</w:t>
      </w:r>
      <w:r>
        <w:t>upport with software installation, such as Kubernetes clusters, MinIO and many other tools. IM is described in Section 4.2.</w:t>
      </w:r>
    </w:p>
    <w:p w14:paraId="03B5DA0B" w14:textId="77777777" w:rsidR="00271E47" w:rsidRDefault="00271E47" w:rsidP="00271E47">
      <w:pPr>
        <w:numPr>
          <w:ilvl w:val="0"/>
          <w:numId w:val="34"/>
        </w:numPr>
        <w:pBdr>
          <w:top w:val="nil"/>
          <w:left w:val="nil"/>
          <w:bottom w:val="nil"/>
          <w:right w:val="nil"/>
          <w:between w:val="nil"/>
        </w:pBdr>
        <w:spacing w:after="0"/>
      </w:pPr>
      <w:r>
        <w:rPr>
          <w:b/>
          <w:color w:val="000000"/>
        </w:rPr>
        <w:t>CernVM-FS</w:t>
      </w:r>
      <w:r>
        <w:rPr>
          <w:color w:val="000000"/>
        </w:rPr>
        <w:t xml:space="preserve"> and </w:t>
      </w:r>
      <w:r>
        <w:rPr>
          <w:b/>
          <w:color w:val="000000"/>
        </w:rPr>
        <w:t xml:space="preserve">AppDB </w:t>
      </w:r>
      <w:r>
        <w:rPr>
          <w:color w:val="000000"/>
        </w:rPr>
        <w:t>support the efficient distribution of software in the federation, so users can just access software from any provider of the infrastructure. They are discussed in Sections 4.3 and 4.4 respectively.</w:t>
      </w:r>
    </w:p>
    <w:p w14:paraId="727A8E51" w14:textId="77777777" w:rsidR="00271E47" w:rsidRDefault="00271E47" w:rsidP="00271E47">
      <w:pPr>
        <w:numPr>
          <w:ilvl w:val="0"/>
          <w:numId w:val="34"/>
        </w:numPr>
        <w:pBdr>
          <w:top w:val="nil"/>
          <w:left w:val="nil"/>
          <w:bottom w:val="nil"/>
          <w:right w:val="nil"/>
          <w:between w:val="nil"/>
        </w:pBdr>
      </w:pPr>
      <w:r>
        <w:rPr>
          <w:b/>
          <w:color w:val="000000"/>
        </w:rPr>
        <w:t xml:space="preserve">DynamicDNS </w:t>
      </w:r>
      <w:r>
        <w:rPr>
          <w:color w:val="000000"/>
        </w:rPr>
        <w:t xml:space="preserve">provides a federation-wide DNS hostname registration service, so users </w:t>
      </w:r>
      <w:r>
        <w:t>can use memorable</w:t>
      </w:r>
      <w:r>
        <w:rPr>
          <w:color w:val="000000"/>
        </w:rPr>
        <w:t xml:space="preserve"> names instead of IP addresses for interacting with the virtual infrastructure deployed in the </w:t>
      </w:r>
      <w:r>
        <w:t>Federation</w:t>
      </w:r>
      <w:r>
        <w:rPr>
          <w:color w:val="000000"/>
        </w:rPr>
        <w:t>. The</w:t>
      </w:r>
      <w:r>
        <w:t xml:space="preserve"> service provides tools to dynamically redirect users to the correct virtual machine even when its IP address has changed, which can be a common event</w:t>
      </w:r>
      <w:r>
        <w:rPr>
          <w:color w:val="000000"/>
        </w:rPr>
        <w:t xml:space="preserve"> in </w:t>
      </w:r>
      <w:r>
        <w:t>fast-changing</w:t>
      </w:r>
      <w:r>
        <w:rPr>
          <w:color w:val="000000"/>
        </w:rPr>
        <w:t xml:space="preserve"> virtual environments. The </w:t>
      </w:r>
      <w:r>
        <w:t>DynamicDNS service is discussed in Section 4.5.</w:t>
      </w:r>
    </w:p>
    <w:p w14:paraId="62B2ADB6" w14:textId="77777777" w:rsidR="00271E47" w:rsidRDefault="00271E47" w:rsidP="00271E47">
      <w:r>
        <w:t>With a few exceptions, most of these services are already integrated (or are in the process of being integrated) with the Core Services described in Section 2: federated users can login using Check-in, services are registered in the Configuration Database, are automatically monitored by ARGO and have support provided through the EGI Helpdesk. The accounting records for these services are not yet defined, so the integration is not yet in place.</w:t>
      </w:r>
    </w:p>
    <w:p w14:paraId="7BBF1BB8" w14:textId="77777777" w:rsidR="00271E47" w:rsidRDefault="00271E47" w:rsidP="00271E47">
      <w:r>
        <w:t xml:space="preserve">Platform services (described in Section 6) can use Federated Compute to abstract the details of each provider and simplify the interaction with the infrastructure. IM serves as the main tool for deploying applications for the </w:t>
      </w:r>
      <w:r>
        <w:rPr>
          <w:i/>
        </w:rPr>
        <w:t>EC3</w:t>
      </w:r>
      <w:r>
        <w:t xml:space="preserve"> (Elastic Cloud Computing Cluster), discussed in Section 6.2, and the </w:t>
      </w:r>
      <w:r>
        <w:rPr>
          <w:i/>
        </w:rPr>
        <w:t xml:space="preserve">PaaS Orchestrator, </w:t>
      </w:r>
      <w:r>
        <w:t>discussed in Section 6.3. Services can also be used directly by higher-level thematic services, and the Workload Manager is a service widely used for discipline-specific analytics services that rely on massive submission of jobs to the infrastructure.</w:t>
      </w:r>
    </w:p>
    <w:p w14:paraId="6D9764AB" w14:textId="77777777" w:rsidR="00271E47" w:rsidRDefault="00271E47" w:rsidP="00271E47">
      <w:pPr>
        <w:pStyle w:val="Heading2"/>
        <w:numPr>
          <w:ilvl w:val="1"/>
          <w:numId w:val="13"/>
        </w:numPr>
        <w:ind w:left="576" w:hanging="576"/>
      </w:pPr>
      <w:bookmarkStart w:id="45" w:name="_heading=h.39fh5sel8imi" w:colFirst="0" w:colLast="0"/>
      <w:bookmarkStart w:id="46" w:name="_Toc116449123"/>
      <w:bookmarkEnd w:id="45"/>
      <w:r>
        <w:t>Workload Manager</w:t>
      </w:r>
      <w:bookmarkEnd w:id="46"/>
    </w:p>
    <w:p w14:paraId="63FDD3A7" w14:textId="77777777" w:rsidR="00271E47" w:rsidRDefault="00271E47" w:rsidP="00271E47">
      <w:pPr>
        <w:spacing w:after="240"/>
      </w:pPr>
      <w:r>
        <w:t xml:space="preserve">The Workload Manager Service (WMS) dispatches user’s computing tasks in an efficient way while maximising the usage of distributed computational resources. It is built upon the software from the DIRAC Interware project [R15]. The project provides a complete solution for communities needing access to heterogeneous computing and storage resources </w:t>
      </w:r>
      <w:r>
        <w:lastRenderedPageBreak/>
        <w:t>distributed geographically, integrated in different grid and cloud infrastructures, standalone computing clusters and supercomputers.</w:t>
      </w:r>
    </w:p>
    <w:p w14:paraId="1BAD9E4A" w14:textId="77777777" w:rsidR="00271E47" w:rsidRDefault="00271E47" w:rsidP="00271E47">
      <w:pPr>
        <w:keepNext/>
        <w:spacing w:after="240"/>
      </w:pPr>
    </w:p>
    <w:p w14:paraId="6E9E3095" w14:textId="77777777" w:rsidR="00271E47" w:rsidRDefault="00271E47" w:rsidP="00271E47">
      <w:pPr>
        <w:keepNext/>
        <w:spacing w:after="240"/>
        <w:jc w:val="center"/>
      </w:pPr>
      <w:r>
        <w:rPr>
          <w:noProof/>
        </w:rPr>
        <w:drawing>
          <wp:inline distT="114300" distB="114300" distL="114300" distR="114300" wp14:anchorId="3D548F88" wp14:editId="0E2613C7">
            <wp:extent cx="3315157" cy="4043088"/>
            <wp:effectExtent l="0" t="0" r="0" b="0"/>
            <wp:docPr id="178" name="image30.png" descr="DIRAC Components"/>
            <wp:cNvGraphicFramePr/>
            <a:graphic xmlns:a="http://schemas.openxmlformats.org/drawingml/2006/main">
              <a:graphicData uri="http://schemas.openxmlformats.org/drawingml/2006/picture">
                <pic:pic xmlns:pic="http://schemas.openxmlformats.org/drawingml/2006/picture">
                  <pic:nvPicPr>
                    <pic:cNvPr id="178" name="image30.png" descr="DIRAC Components"/>
                    <pic:cNvPicPr preferRelativeResize="0"/>
                  </pic:nvPicPr>
                  <pic:blipFill>
                    <a:blip r:embed="rId25"/>
                    <a:srcRect/>
                    <a:stretch>
                      <a:fillRect/>
                    </a:stretch>
                  </pic:blipFill>
                  <pic:spPr>
                    <a:xfrm>
                      <a:off x="0" y="0"/>
                      <a:ext cx="3315157" cy="4043088"/>
                    </a:xfrm>
                    <a:prstGeom prst="rect">
                      <a:avLst/>
                    </a:prstGeom>
                    <a:ln/>
                  </pic:spPr>
                </pic:pic>
              </a:graphicData>
            </a:graphic>
          </wp:inline>
        </w:drawing>
      </w:r>
    </w:p>
    <w:p w14:paraId="45BAAAB5" w14:textId="77777777" w:rsidR="00271E47" w:rsidRPr="00332DAA" w:rsidRDefault="00271E47" w:rsidP="00271E47">
      <w:pPr>
        <w:pBdr>
          <w:top w:val="nil"/>
          <w:left w:val="nil"/>
          <w:bottom w:val="nil"/>
          <w:right w:val="nil"/>
          <w:between w:val="nil"/>
        </w:pBdr>
        <w:spacing w:after="200" w:line="240" w:lineRule="auto"/>
        <w:jc w:val="center"/>
        <w:rPr>
          <w:i/>
          <w:iCs/>
          <w:color w:val="000000"/>
          <w:sz w:val="18"/>
          <w:szCs w:val="18"/>
        </w:rPr>
      </w:pPr>
      <w:r w:rsidRPr="00332DAA">
        <w:rPr>
          <w:i/>
          <w:iCs/>
          <w:color w:val="000000"/>
          <w:sz w:val="18"/>
          <w:szCs w:val="18"/>
        </w:rPr>
        <w:t xml:space="preserve">Figure </w:t>
      </w:r>
      <w:r w:rsidRPr="00332DAA">
        <w:rPr>
          <w:i/>
          <w:iCs/>
          <w:sz w:val="18"/>
          <w:szCs w:val="18"/>
        </w:rPr>
        <w:t>10</w:t>
      </w:r>
      <w:r w:rsidRPr="00332DAA">
        <w:rPr>
          <w:i/>
          <w:iCs/>
          <w:color w:val="000000"/>
          <w:sz w:val="18"/>
          <w:szCs w:val="18"/>
        </w:rPr>
        <w:t>. DIRAC Components</w:t>
      </w:r>
    </w:p>
    <w:p w14:paraId="2533AEDB" w14:textId="6507638E" w:rsidR="00271E47" w:rsidRDefault="00271E47" w:rsidP="00271E47">
      <w:pPr>
        <w:spacing w:before="240" w:after="240"/>
      </w:pPr>
      <w:r>
        <w:t>Figure 10 illustrates DIRAC components. When user tasks are submitted to the Workload Manager Service, the service performs reservation of computing resources by means of so-called pilot jobs, which are submitted to various computing centres with appropriate access protocols. Once deployed on the worker nodes, pilot jobs verify the execution environment and then request user payloads from DIRAC’s</w:t>
      </w:r>
      <w:r w:rsidR="00F5223C">
        <w:t xml:space="preserve"> </w:t>
      </w:r>
      <w:r>
        <w:t xml:space="preserve">central </w:t>
      </w:r>
      <w:r>
        <w:rPr>
          <w:i/>
        </w:rPr>
        <w:t>Task Queue</w:t>
      </w:r>
      <w:r>
        <w:t>. Altogether, the pilot jobs and the central Task Queue form a dynamic virtual batch system that overcomes the heterogeneity of the underlying computing infrastructures.</w:t>
      </w:r>
    </w:p>
    <w:p w14:paraId="4AC7DDE0" w14:textId="77777777" w:rsidR="00271E47" w:rsidRDefault="00271E47" w:rsidP="00271E47">
      <w:pPr>
        <w:spacing w:before="240" w:after="240"/>
      </w:pPr>
      <w:r>
        <w:t>WMS serves multiple scientific communities with a user-friendly interface, and its architecture and job management algorithms provide several crucial advantages:</w:t>
      </w:r>
    </w:p>
    <w:p w14:paraId="7097BDCD" w14:textId="77777777" w:rsidR="00271E47" w:rsidRDefault="00271E47" w:rsidP="00271E47">
      <w:pPr>
        <w:numPr>
          <w:ilvl w:val="0"/>
          <w:numId w:val="19"/>
        </w:numPr>
        <w:spacing w:before="240" w:after="0"/>
      </w:pPr>
      <w:r>
        <w:t>Efficient user job execution with a low failure rate.</w:t>
      </w:r>
    </w:p>
    <w:p w14:paraId="0859631A" w14:textId="77777777" w:rsidR="00271E47" w:rsidRDefault="00271E47" w:rsidP="00271E47">
      <w:pPr>
        <w:numPr>
          <w:ilvl w:val="0"/>
          <w:numId w:val="19"/>
        </w:numPr>
        <w:spacing w:after="0"/>
      </w:pPr>
      <w:r>
        <w:t>Efficient enforcement of resource usage policies for large communities.</w:t>
      </w:r>
    </w:p>
    <w:p w14:paraId="683B9936" w14:textId="77777777" w:rsidR="00271E47" w:rsidRDefault="00271E47" w:rsidP="00271E47">
      <w:pPr>
        <w:numPr>
          <w:ilvl w:val="0"/>
          <w:numId w:val="19"/>
        </w:numPr>
        <w:spacing w:after="0"/>
      </w:pPr>
      <w:r>
        <w:t>Easy extensions via APIs, to address specific needs.</w:t>
      </w:r>
    </w:p>
    <w:p w14:paraId="5171925E" w14:textId="77777777" w:rsidR="00271E47" w:rsidRDefault="00271E47" w:rsidP="00271E47">
      <w:pPr>
        <w:numPr>
          <w:ilvl w:val="0"/>
          <w:numId w:val="19"/>
        </w:numPr>
        <w:spacing w:after="240"/>
      </w:pPr>
      <w:r>
        <w:t>A development framework and a set of ready-to-use components to build distributed computing systems of arbitrary complexity.</w:t>
      </w:r>
    </w:p>
    <w:p w14:paraId="0D09139E" w14:textId="77777777" w:rsidR="00271E47" w:rsidRDefault="00271E47" w:rsidP="00271E47">
      <w:pPr>
        <w:spacing w:before="240" w:after="240"/>
      </w:pPr>
      <w:r>
        <w:lastRenderedPageBreak/>
        <w:t xml:space="preserve"> Examples of the available functionalities are described in the following use cases:</w:t>
      </w:r>
    </w:p>
    <w:p w14:paraId="3042445B" w14:textId="77777777" w:rsidR="00271E47" w:rsidRDefault="00271E47" w:rsidP="00271E47">
      <w:pPr>
        <w:numPr>
          <w:ilvl w:val="0"/>
          <w:numId w:val="35"/>
        </w:numPr>
        <w:spacing w:before="240" w:after="0"/>
      </w:pPr>
      <w:r>
        <w:t xml:space="preserve">The workload scheduling architecture allows for easy addition of new resources in a way that is transparent to users. It also facilitates the enforcement of usage policies by defining fine-grained priorities for certain activities. This feature, exploited by the </w:t>
      </w:r>
      <w:r>
        <w:rPr>
          <w:i/>
        </w:rPr>
        <w:t>WeNMR</w:t>
      </w:r>
      <w:r>
        <w:rPr>
          <w:vertAlign w:val="superscript"/>
        </w:rPr>
        <w:footnoteReference w:id="45"/>
      </w:r>
      <w:r>
        <w:t xml:space="preserve"> collaboration during the COVID pandemic, allowed interested sites to share resources to contribute to the COVID-related studies, ensuring a high priority of these studies compared to other regular WeNMR activities.</w:t>
      </w:r>
    </w:p>
    <w:p w14:paraId="7945141F" w14:textId="77777777" w:rsidR="00271E47" w:rsidRDefault="00271E47" w:rsidP="00271E47">
      <w:pPr>
        <w:numPr>
          <w:ilvl w:val="0"/>
          <w:numId w:val="35"/>
        </w:numPr>
        <w:spacing w:after="0"/>
      </w:pPr>
      <w:r>
        <w:t xml:space="preserve">The WMS Rest-API may be the submission point of entry for various workflow engines. For example, the </w:t>
      </w:r>
      <w:r>
        <w:rPr>
          <w:i/>
        </w:rPr>
        <w:t>OpenMOLE</w:t>
      </w:r>
      <w:r>
        <w:t xml:space="preserve"> open-source platform</w:t>
      </w:r>
      <w:r>
        <w:rPr>
          <w:vertAlign w:val="superscript"/>
        </w:rPr>
        <w:footnoteReference w:id="46"/>
      </w:r>
      <w:r>
        <w:t xml:space="preserve"> offers tools to run, explore, diagnose and optimise a numerical model. Singularity jobs prepared with the help of the platform GUI are sent through the DIRAC API to the distributed computing environments dedicated to the exploration of simulation models.</w:t>
      </w:r>
    </w:p>
    <w:p w14:paraId="6A21EAE3" w14:textId="77777777" w:rsidR="00271E47" w:rsidRDefault="00271E47" w:rsidP="00271E47">
      <w:pPr>
        <w:numPr>
          <w:ilvl w:val="0"/>
          <w:numId w:val="35"/>
        </w:numPr>
        <w:spacing w:after="240"/>
      </w:pPr>
      <w:r>
        <w:t xml:space="preserve">The DIRAC development framework allows an experiment or a community to integrate a specific tool as a DIRAC WebApp. For instance, the </w:t>
      </w:r>
      <w:r>
        <w:rPr>
          <w:i/>
        </w:rPr>
        <w:t xml:space="preserve">ConCORDIA </w:t>
      </w:r>
      <w:r>
        <w:t xml:space="preserve">application developed by the </w:t>
      </w:r>
      <w:r>
        <w:rPr>
          <w:i/>
        </w:rPr>
        <w:t xml:space="preserve">ESCAPE </w:t>
      </w:r>
      <w:r>
        <w:t>collaboration</w:t>
      </w:r>
      <w:r>
        <w:rPr>
          <w:vertAlign w:val="superscript"/>
        </w:rPr>
        <w:footnoteReference w:id="47"/>
      </w:r>
      <w:r>
        <w:t xml:space="preserve"> provides access to common simulation tools through a GUI integrated into the WMS framework, allowing the conception of Singularity images to run </w:t>
      </w:r>
      <w:r>
        <w:rPr>
          <w:i/>
        </w:rPr>
        <w:t>CORSIKA</w:t>
      </w:r>
      <w:r>
        <w:rPr>
          <w:vertAlign w:val="superscript"/>
        </w:rPr>
        <w:footnoteReference w:id="48"/>
      </w:r>
      <w:r>
        <w:t xml:space="preserve"> simulations (a simulation of extensive air showers induced by high energy cosmic rays) on the distributed computing elements available.</w:t>
      </w:r>
    </w:p>
    <w:p w14:paraId="323CE999" w14:textId="77777777" w:rsidR="00271E47" w:rsidRDefault="00271E47" w:rsidP="00271E47">
      <w:pPr>
        <w:pStyle w:val="Heading2"/>
        <w:numPr>
          <w:ilvl w:val="1"/>
          <w:numId w:val="13"/>
        </w:numPr>
        <w:ind w:left="576" w:hanging="576"/>
      </w:pPr>
      <w:bookmarkStart w:id="47" w:name="_heading=h.k5e6wsr42k1k" w:colFirst="0" w:colLast="0"/>
      <w:bookmarkStart w:id="48" w:name="_Toc116449124"/>
      <w:bookmarkEnd w:id="47"/>
      <w:r>
        <w:t>Infrastructure Manager</w:t>
      </w:r>
      <w:bookmarkEnd w:id="48"/>
    </w:p>
    <w:p w14:paraId="65DA51F8" w14:textId="77777777" w:rsidR="00271E47" w:rsidRDefault="00271E47" w:rsidP="00271E47">
      <w:pPr>
        <w:rPr>
          <w:vertAlign w:val="superscript"/>
        </w:rPr>
      </w:pPr>
      <w:r>
        <w:t xml:space="preserve">The Infrastructure Manager (IM) [R16] is a tool that orchestrates the deployment of complex and customised virtual infrastructures on multiple back-ends. The IM automates the deployment, configuration, software installation, monitoring and update of virtual infrastructures. It supports a wide variety of back-ends, including both public IaaS clouds (Amazon Web Services, Microsoft Azure, </w:t>
      </w:r>
      <w:r>
        <w:rPr>
          <w:i/>
        </w:rPr>
        <w:t>etc</w:t>
      </w:r>
      <w:r>
        <w:t xml:space="preserve">.), on-premises Cloud Management Platforms (OpenNebula, OpenStack, </w:t>
      </w:r>
      <w:r>
        <w:rPr>
          <w:i/>
        </w:rPr>
        <w:t>etc</w:t>
      </w:r>
      <w:r>
        <w:t xml:space="preserve">.), federated platforms (EGI Cloud Compute, Fogbow) and Container Orchestrators (Kubernetes), thus making user applications cloud agnostic. The high-level operation of IM is shown in Figure 11. As depicted in the figure, a typical workflow of IM starts when a user uses the IM Client (Command-Line interface, CLI) or the IM Web (a Web-based GUI) to define the virtual infrastructure to be deployed. This definition is done in text-based software templates in </w:t>
      </w:r>
      <w:r>
        <w:rPr>
          <w:i/>
        </w:rPr>
        <w:t xml:space="preserve">RADL </w:t>
      </w:r>
      <w:r>
        <w:t xml:space="preserve">(Resource and Application Description Language [R16], the native language of IM) or </w:t>
      </w:r>
      <w:r>
        <w:rPr>
          <w:i/>
        </w:rPr>
        <w:t xml:space="preserve">TOSCA </w:t>
      </w:r>
      <w:r>
        <w:t>(an OASIS standard) [R17] formats. These templates can be created explicitly by the user or automatically (and transparently) generated by IM GUI. IM will then launch the required VMs on the configured cloud provider and, once the virtual hardware has been provisioned, install the required software on it. To support these tasks, SSH connections and Ansible</w:t>
      </w:r>
      <w:r>
        <w:rPr>
          <w:vertAlign w:val="superscript"/>
        </w:rPr>
        <w:footnoteReference w:id="49"/>
      </w:r>
      <w:r>
        <w:t xml:space="preserve"> are internally used.</w:t>
      </w:r>
    </w:p>
    <w:p w14:paraId="03878A90" w14:textId="77777777" w:rsidR="00271E47" w:rsidRDefault="00271E47" w:rsidP="00271E47">
      <w:pPr>
        <w:keepNext/>
        <w:jc w:val="center"/>
      </w:pPr>
      <w:r>
        <w:rPr>
          <w:noProof/>
        </w:rPr>
        <w:lastRenderedPageBreak/>
        <w:drawing>
          <wp:inline distT="114300" distB="114300" distL="114300" distR="114300" wp14:anchorId="2C2F698F" wp14:editId="63E64508">
            <wp:extent cx="4441212" cy="3432151"/>
            <wp:effectExtent l="0" t="0" r="0" b="0"/>
            <wp:docPr id="194" name="image23.png" descr="IM Architecture"/>
            <wp:cNvGraphicFramePr/>
            <a:graphic xmlns:a="http://schemas.openxmlformats.org/drawingml/2006/main">
              <a:graphicData uri="http://schemas.openxmlformats.org/drawingml/2006/picture">
                <pic:pic xmlns:pic="http://schemas.openxmlformats.org/drawingml/2006/picture">
                  <pic:nvPicPr>
                    <pic:cNvPr id="194" name="image23.png" descr="IM Architecture"/>
                    <pic:cNvPicPr preferRelativeResize="0"/>
                  </pic:nvPicPr>
                  <pic:blipFill>
                    <a:blip r:embed="rId26"/>
                    <a:srcRect/>
                    <a:stretch>
                      <a:fillRect/>
                    </a:stretch>
                  </pic:blipFill>
                  <pic:spPr>
                    <a:xfrm>
                      <a:off x="0" y="0"/>
                      <a:ext cx="4441212" cy="3432151"/>
                    </a:xfrm>
                    <a:prstGeom prst="rect">
                      <a:avLst/>
                    </a:prstGeom>
                    <a:ln/>
                  </pic:spPr>
                </pic:pic>
              </a:graphicData>
            </a:graphic>
          </wp:inline>
        </w:drawing>
      </w:r>
    </w:p>
    <w:p w14:paraId="01DB6645" w14:textId="77777777" w:rsidR="00271E47" w:rsidRPr="00332DAA" w:rsidRDefault="00271E47" w:rsidP="00271E47">
      <w:pPr>
        <w:pBdr>
          <w:top w:val="nil"/>
          <w:left w:val="nil"/>
          <w:bottom w:val="nil"/>
          <w:right w:val="nil"/>
          <w:between w:val="nil"/>
        </w:pBdr>
        <w:spacing w:after="200" w:line="240" w:lineRule="auto"/>
        <w:jc w:val="center"/>
        <w:rPr>
          <w:i/>
          <w:iCs/>
          <w:color w:val="000000"/>
          <w:sz w:val="18"/>
          <w:szCs w:val="18"/>
        </w:rPr>
      </w:pPr>
      <w:r w:rsidRPr="00332DAA">
        <w:rPr>
          <w:i/>
          <w:iCs/>
          <w:color w:val="000000"/>
          <w:sz w:val="18"/>
          <w:szCs w:val="18"/>
        </w:rPr>
        <w:t xml:space="preserve">Figure </w:t>
      </w:r>
      <w:r w:rsidRPr="00332DAA">
        <w:rPr>
          <w:i/>
          <w:iCs/>
          <w:sz w:val="18"/>
          <w:szCs w:val="18"/>
        </w:rPr>
        <w:t>11</w:t>
      </w:r>
      <w:r w:rsidRPr="00332DAA">
        <w:rPr>
          <w:i/>
          <w:iCs/>
          <w:color w:val="000000"/>
          <w:sz w:val="18"/>
          <w:szCs w:val="18"/>
        </w:rPr>
        <w:t>. IM Architecture</w:t>
      </w:r>
    </w:p>
    <w:p w14:paraId="58EF2222" w14:textId="77777777" w:rsidR="00271E47" w:rsidRDefault="00271E47" w:rsidP="00271E47">
      <w:r>
        <w:t xml:space="preserve">The use of RADL and TOSCA templates facilitates deterministic repeatability of virtual infrastructure deployments, following an approach called </w:t>
      </w:r>
      <w:r>
        <w:rPr>
          <w:i/>
        </w:rPr>
        <w:t>Infrastructure as Code</w:t>
      </w:r>
      <w:r>
        <w:t xml:space="preserve"> (IaC), which is widely adopted by the industry. IaC allows the definition of infrastructure and application architecture as software artefacts, enabling the application of software industry benefits and advanced tools, such as code version control systems, in the management of virtual infrastructure. </w:t>
      </w:r>
    </w:p>
    <w:p w14:paraId="68FD4D9D" w14:textId="2C949087" w:rsidR="00271E47" w:rsidRDefault="00271E47" w:rsidP="00271E47">
      <w:r>
        <w:t xml:space="preserve">IM supports the creation and configuration of clusters consisting of multiple machines with tools such as Hadoop, Slurm, Mesos or Kubernetes, amongst others. Apart from this provision of virtual computing clusters, IM </w:t>
      </w:r>
      <w:r w:rsidR="00F5223C">
        <w:t>can</w:t>
      </w:r>
      <w:r>
        <w:t xml:space="preserve"> complement generic Virtual Machine Images by installing and configuring additional software on the Virtual Machine instances, such as MinIO or Galaxy.</w:t>
      </w:r>
    </w:p>
    <w:p w14:paraId="58977A04" w14:textId="77777777" w:rsidR="00271E47" w:rsidRDefault="00271E47" w:rsidP="00271E47">
      <w:r>
        <w:t>The main goal of IM is to provide a set of functions for the effective deployment of all the required virtual infrastructures to deploy an application or service in a Cloud environment, either composed by VMs or by Docker containers. IM considers all the aspects related to the creation and management of virtual infrastructures:</w:t>
      </w:r>
    </w:p>
    <w:p w14:paraId="4630E091" w14:textId="77777777" w:rsidR="00271E47" w:rsidRDefault="00271E47" w:rsidP="00271E47">
      <w:pPr>
        <w:numPr>
          <w:ilvl w:val="0"/>
          <w:numId w:val="14"/>
        </w:numPr>
        <w:spacing w:after="0"/>
        <w:rPr>
          <w:color w:val="000000"/>
        </w:rPr>
      </w:pPr>
      <w:r>
        <w:t>The software and hardware requirements specification for the users’ applications, using a simple language that is easy to understand by non-advanced users who just want to deploy a basic virtual infrastructure, but with enough expressivity so that advanced users can set all the necessary configuration parameters to have the infrastructure fully configured.</w:t>
      </w:r>
    </w:p>
    <w:p w14:paraId="5C23F0D8" w14:textId="101F5BB9" w:rsidR="00271E47" w:rsidRDefault="00271E47" w:rsidP="00271E47">
      <w:pPr>
        <w:numPr>
          <w:ilvl w:val="0"/>
          <w:numId w:val="14"/>
        </w:numPr>
        <w:spacing w:after="0"/>
        <w:rPr>
          <w:color w:val="000000"/>
        </w:rPr>
      </w:pPr>
      <w:r>
        <w:t xml:space="preserve">The selection of the most suitable Virtual Machine Images (VMI), </w:t>
      </w:r>
      <w:r w:rsidR="002433FA">
        <w:t xml:space="preserve">is </w:t>
      </w:r>
      <w:r>
        <w:t>based on the requirements defined by the user.</w:t>
      </w:r>
    </w:p>
    <w:p w14:paraId="69DB63F6" w14:textId="0E74FC28" w:rsidR="00271E47" w:rsidRDefault="00271E47" w:rsidP="00271E47">
      <w:pPr>
        <w:numPr>
          <w:ilvl w:val="0"/>
          <w:numId w:val="14"/>
        </w:numPr>
        <w:spacing w:after="0"/>
        <w:rPr>
          <w:color w:val="000000"/>
        </w:rPr>
      </w:pPr>
      <w:r>
        <w:t xml:space="preserve">The provision of Virtual Machines on a Cloud environment, including public IaaS clouds (Amazon Web Services, Microsoft Azure, </w:t>
      </w:r>
      <w:r>
        <w:rPr>
          <w:i/>
        </w:rPr>
        <w:t>etc.</w:t>
      </w:r>
      <w:r>
        <w:t xml:space="preserve">), on-premises Cloud </w:t>
      </w:r>
      <w:r>
        <w:lastRenderedPageBreak/>
        <w:t xml:space="preserve">Management Platforms (OpenNebula, OpenStack, </w:t>
      </w:r>
      <w:r>
        <w:rPr>
          <w:i/>
        </w:rPr>
        <w:t>etc.</w:t>
      </w:r>
      <w:r>
        <w:t>) and Container Orchestrators (Kubernetes).</w:t>
      </w:r>
    </w:p>
    <w:p w14:paraId="2096B7E0" w14:textId="77777777" w:rsidR="00271E47" w:rsidRDefault="00271E47" w:rsidP="00271E47">
      <w:pPr>
        <w:numPr>
          <w:ilvl w:val="0"/>
          <w:numId w:val="14"/>
        </w:numPr>
        <w:spacing w:after="0"/>
        <w:rPr>
          <w:color w:val="000000"/>
        </w:rPr>
      </w:pPr>
      <w:r>
        <w:t>Support for hybrid infrastructures, where nodes are spread across different cloud providers, enabling Cloud bursting scenarios.</w:t>
      </w:r>
    </w:p>
    <w:p w14:paraId="5118C83E" w14:textId="77777777" w:rsidR="00271E47" w:rsidRDefault="00271E47" w:rsidP="00271E47">
      <w:pPr>
        <w:numPr>
          <w:ilvl w:val="0"/>
          <w:numId w:val="14"/>
        </w:numPr>
        <w:spacing w:after="0"/>
        <w:rPr>
          <w:color w:val="000000"/>
        </w:rPr>
      </w:pPr>
      <w:r>
        <w:t>The contextualisation of the infrastructure at run-time, by installing and configuring all the required software that may not be available in the pre-configured images (either VMIs or Docker images).</w:t>
      </w:r>
    </w:p>
    <w:p w14:paraId="3EC6D162" w14:textId="77777777" w:rsidR="00271E47" w:rsidRDefault="00271E47" w:rsidP="00271E47">
      <w:pPr>
        <w:numPr>
          <w:ilvl w:val="0"/>
          <w:numId w:val="14"/>
        </w:numPr>
        <w:rPr>
          <w:color w:val="000000"/>
        </w:rPr>
      </w:pPr>
      <w:r>
        <w:t xml:space="preserve">The elasticity management, both horizontal (adding and removing nodes) and vertical (increasing and reducing node capacity). </w:t>
      </w:r>
    </w:p>
    <w:p w14:paraId="6C5B74CA" w14:textId="77777777" w:rsidR="00271E47" w:rsidRDefault="00271E47" w:rsidP="00271E47">
      <w:r>
        <w:t>IM provides both XML-RPC</w:t>
      </w:r>
      <w:r>
        <w:rPr>
          <w:vertAlign w:val="superscript"/>
        </w:rPr>
        <w:footnoteReference w:id="50"/>
      </w:r>
      <w:r>
        <w:t xml:space="preserve"> and REST APIs to enable high-level components to access its functionality. These APIs provide a set of functions for clients to create, destroy, and obtain information about the available infrastructures. It also provides three interfaces:</w:t>
      </w:r>
    </w:p>
    <w:p w14:paraId="0B9C6192" w14:textId="77777777" w:rsidR="00271E47" w:rsidRDefault="00271E47" w:rsidP="00271E47">
      <w:pPr>
        <w:numPr>
          <w:ilvl w:val="0"/>
          <w:numId w:val="22"/>
        </w:numPr>
        <w:spacing w:after="0"/>
      </w:pPr>
      <w:r>
        <w:rPr>
          <w:b/>
        </w:rPr>
        <w:t>im-client</w:t>
      </w:r>
      <w:r>
        <w:t>, which is a Command-line tool available for scripting and automation.</w:t>
      </w:r>
    </w:p>
    <w:p w14:paraId="0957DF01" w14:textId="77777777" w:rsidR="00271E47" w:rsidRDefault="00271E47" w:rsidP="00271E47">
      <w:pPr>
        <w:numPr>
          <w:ilvl w:val="0"/>
          <w:numId w:val="22"/>
        </w:numPr>
        <w:spacing w:after="0"/>
      </w:pPr>
      <w:r>
        <w:rPr>
          <w:b/>
        </w:rPr>
        <w:t>im-web</w:t>
      </w:r>
      <w:r>
        <w:t>, which is a Web-based interface that has all functionality of IM for advanced users.</w:t>
      </w:r>
    </w:p>
    <w:p w14:paraId="0B12EF5A" w14:textId="77777777" w:rsidR="00271E47" w:rsidRDefault="00271E47" w:rsidP="00271E47">
      <w:pPr>
        <w:numPr>
          <w:ilvl w:val="0"/>
          <w:numId w:val="22"/>
        </w:numPr>
      </w:pPr>
      <w:r>
        <w:rPr>
          <w:b/>
        </w:rPr>
        <w:t>im-dashboard</w:t>
      </w:r>
      <w:r>
        <w:t>, which is a Web-based interface designed with user experience in mind, for users who do not need advanced features and can deploy their virtual infrastructure using the available set of well-tested, predefined TOSCA templates.</w:t>
      </w:r>
    </w:p>
    <w:p w14:paraId="7074F5D5" w14:textId="77777777" w:rsidR="00271E47" w:rsidRDefault="00271E47" w:rsidP="00271E47">
      <w:pPr>
        <w:rPr>
          <w:color w:val="000000"/>
        </w:rPr>
      </w:pPr>
      <w:r>
        <w:rPr>
          <w:color w:val="000000"/>
        </w:rPr>
        <w:t xml:space="preserve">More information at </w:t>
      </w:r>
      <w:hyperlink r:id="rId27">
        <w:r>
          <w:rPr>
            <w:color w:val="1155CC"/>
            <w:u w:val="single"/>
          </w:rPr>
          <w:t>https://www.grycap.upv.es/im/</w:t>
        </w:r>
      </w:hyperlink>
      <w:r>
        <w:rPr>
          <w:color w:val="000000"/>
        </w:rPr>
        <w:t xml:space="preserve"> or </w:t>
      </w:r>
      <w:hyperlink r:id="rId28">
        <w:r>
          <w:rPr>
            <w:color w:val="1155CC"/>
            <w:u w:val="single"/>
          </w:rPr>
          <w:t>https://github.com/grycap/im</w:t>
        </w:r>
      </w:hyperlink>
      <w:r>
        <w:rPr>
          <w:color w:val="000000"/>
        </w:rPr>
        <w:t xml:space="preserve">. </w:t>
      </w:r>
    </w:p>
    <w:p w14:paraId="5207D7AD" w14:textId="77777777" w:rsidR="00271E47" w:rsidRDefault="00271E47" w:rsidP="00271E47">
      <w:pPr>
        <w:pStyle w:val="Heading2"/>
        <w:numPr>
          <w:ilvl w:val="1"/>
          <w:numId w:val="13"/>
        </w:numPr>
        <w:ind w:left="576" w:hanging="576"/>
      </w:pPr>
      <w:bookmarkStart w:id="49" w:name="_heading=h.ijqfy38bl915" w:colFirst="0" w:colLast="0"/>
      <w:bookmarkStart w:id="50" w:name="_Toc116449125"/>
      <w:bookmarkEnd w:id="49"/>
      <w:r>
        <w:t>CernVM-FS</w:t>
      </w:r>
      <w:bookmarkEnd w:id="50"/>
    </w:p>
    <w:p w14:paraId="11E9E5E3" w14:textId="458DFF17" w:rsidR="00271E47" w:rsidRDefault="00271E47" w:rsidP="00271E47">
      <w:pPr>
        <w:rPr>
          <w:shd w:val="clear" w:color="auto" w:fill="FCFCFC"/>
        </w:rPr>
      </w:pPr>
      <w:r>
        <w:rPr>
          <w:shd w:val="clear" w:color="auto" w:fill="FCFCFC"/>
        </w:rPr>
        <w:t xml:space="preserve">The CernVM-File System (CernVM-FS or CVMFS) provides a scalable, reliable, </w:t>
      </w:r>
      <w:r w:rsidR="002433FA">
        <w:rPr>
          <w:shd w:val="clear" w:color="auto" w:fill="FCFCFC"/>
        </w:rPr>
        <w:t>performant,</w:t>
      </w:r>
      <w:r>
        <w:rPr>
          <w:shd w:val="clear" w:color="auto" w:fill="FCFCFC"/>
        </w:rPr>
        <w:t xml:space="preserve"> and low-maintenance software distribution service. It was developed to assist High Energy Physics (HEP) collaborations deploy software on the worldwide distributed computing infrastructure used to run data processing applications. CernVM-FS is implemented as a POSIX read-only file system in user space (a </w:t>
      </w:r>
      <w:r>
        <w:rPr>
          <w:i/>
          <w:shd w:val="clear" w:color="auto" w:fill="FCFCFC"/>
        </w:rPr>
        <w:t xml:space="preserve">FUSE </w:t>
      </w:r>
      <w:r>
        <w:rPr>
          <w:shd w:val="clear" w:color="auto" w:fill="FCFCFC"/>
        </w:rPr>
        <w:t xml:space="preserve">module). Files and directories are hosted on standard Web servers and mounted in the universal namespace /cvmfs. Internally, CernVM-FS uses content-addressable storage and Merkle trees </w:t>
      </w:r>
      <w:r w:rsidR="002433FA">
        <w:rPr>
          <w:shd w:val="clear" w:color="auto" w:fill="FCFCFC"/>
        </w:rPr>
        <w:t>to</w:t>
      </w:r>
      <w:r>
        <w:rPr>
          <w:shd w:val="clear" w:color="auto" w:fill="FCFCFC"/>
        </w:rPr>
        <w:t xml:space="preserve"> maintain file data and meta-data. CernVM-FS uses only outbound HTTP connections, thereby avoiding network connectivity issues that other network file systems may have when a firewall restricts inbound traffic. It transfers data and meta-data on demand and verifies data integrity using cryptographic hashes [R13].</w:t>
      </w:r>
    </w:p>
    <w:p w14:paraId="5524E75E" w14:textId="77777777" w:rsidR="00271E47" w:rsidRDefault="00271E47" w:rsidP="00271E47">
      <w:pPr>
        <w:rPr>
          <w:highlight w:val="white"/>
        </w:rPr>
      </w:pPr>
      <w:r>
        <w:rPr>
          <w:highlight w:val="white"/>
        </w:rPr>
        <w:t>Comprising a repository service (named CernVM-FS Stratum 0), which provides a single place for users to publish their software, and a global network of replica servers (named Stratum 1), STFC CernVM-FS provides an easy method to publish software and other content, making it instantly available on compute resources around the world.</w:t>
      </w:r>
    </w:p>
    <w:p w14:paraId="03CCD9F1" w14:textId="77777777" w:rsidR="00271E47" w:rsidRDefault="00271E47" w:rsidP="00271E47">
      <w:pPr>
        <w:rPr>
          <w:highlight w:val="white"/>
        </w:rPr>
      </w:pPr>
      <w:r>
        <w:rPr>
          <w:highlight w:val="white"/>
        </w:rPr>
        <w:t xml:space="preserve">The integration with EGI Check-in is currently under development, so access is done via </w:t>
      </w:r>
      <w:r>
        <w:rPr>
          <w:i/>
          <w:highlight w:val="white"/>
        </w:rPr>
        <w:t>gsi-ssh</w:t>
      </w:r>
      <w:r>
        <w:rPr>
          <w:highlight w:val="white"/>
        </w:rPr>
        <w:t xml:space="preserve">, with X.509 certificates used for authorisation. Communication with EGI Check-in to retrieve users' information and map them to the right local Unix account will be done by a PAM module developed by STFC, the Science and Technology Facilities Council, in the UK.  </w:t>
      </w:r>
    </w:p>
    <w:p w14:paraId="64D1AF64" w14:textId="77777777" w:rsidR="00271E47" w:rsidRDefault="00271E47" w:rsidP="00271E47">
      <w:pPr>
        <w:pStyle w:val="Heading2"/>
        <w:numPr>
          <w:ilvl w:val="1"/>
          <w:numId w:val="13"/>
        </w:numPr>
        <w:ind w:left="576" w:hanging="576"/>
      </w:pPr>
      <w:bookmarkStart w:id="51" w:name="_heading=h.a7hib1dhnl4y" w:colFirst="0" w:colLast="0"/>
      <w:bookmarkStart w:id="52" w:name="_Toc116449126"/>
      <w:bookmarkEnd w:id="51"/>
      <w:r>
        <w:lastRenderedPageBreak/>
        <w:t>AppDB</w:t>
      </w:r>
      <w:bookmarkEnd w:id="52"/>
    </w:p>
    <w:p w14:paraId="5B427C0C" w14:textId="196713D9" w:rsidR="00271E47" w:rsidRDefault="00271E47" w:rsidP="00271E47">
      <w:pPr>
        <w:spacing w:after="0"/>
      </w:pPr>
      <w:r>
        <w:t>The EGI Applications Database</w:t>
      </w:r>
      <w:r>
        <w:rPr>
          <w:vertAlign w:val="superscript"/>
        </w:rPr>
        <w:footnoteReference w:id="51"/>
      </w:r>
      <w:r>
        <w:t xml:space="preserve"> (AppDB) is a service that stores and provides public catalogues of software solutions in the form of native software products and virtual appliances that can run on EGI infrastructure. A </w:t>
      </w:r>
      <w:r>
        <w:rPr>
          <w:i/>
        </w:rPr>
        <w:t>virtual appliance</w:t>
      </w:r>
      <w:r>
        <w:t xml:space="preserve"> is simply a preconfigured Virtual Machine image, which has a specific Operating System and relevant software packages pre-installed. AppDB aims to provide end users with scientific software that is both easy to find and easy to deploy in a cloud provider. It also aims to facilitate </w:t>
      </w:r>
      <w:r w:rsidR="002433FA">
        <w:t>access to</w:t>
      </w:r>
      <w:r>
        <w:t xml:space="preserve"> the latest version of scientific software to</w:t>
      </w:r>
      <w:r w:rsidR="00E93266">
        <w:t xml:space="preserve"> </w:t>
      </w:r>
      <w:r>
        <w:t xml:space="preserve">administrators and VO managers and to monitor availability as well as security issues related to VM image use. As such, AppDB is involved in the distribution, deployment, and management process of virtual appliances on the EGI cloud infrastructure. Its main components are the </w:t>
      </w:r>
      <w:r>
        <w:rPr>
          <w:i/>
        </w:rPr>
        <w:t>Virtual Appliance Catalogue</w:t>
      </w:r>
      <w:r>
        <w:t xml:space="preserve">, the </w:t>
      </w:r>
      <w:r>
        <w:rPr>
          <w:i/>
        </w:rPr>
        <w:t>VO wide image list catalogue</w:t>
      </w:r>
      <w:r>
        <w:t xml:space="preserve">, and the </w:t>
      </w:r>
      <w:r>
        <w:rPr>
          <w:i/>
        </w:rPr>
        <w:t>VMCaster subscription service</w:t>
      </w:r>
      <w:r>
        <w:t>, portrayed in Figure 12 and described below.</w:t>
      </w:r>
    </w:p>
    <w:p w14:paraId="209DC7B4" w14:textId="77777777" w:rsidR="00271E47" w:rsidRDefault="00271E47" w:rsidP="00271E47">
      <w:pPr>
        <w:spacing w:after="0"/>
        <w:rPr>
          <w:color w:val="FF0000"/>
        </w:rPr>
      </w:pPr>
    </w:p>
    <w:p w14:paraId="60031B15" w14:textId="77777777" w:rsidR="00271E47" w:rsidRDefault="00271E47" w:rsidP="00271E47">
      <w:pPr>
        <w:keepNext/>
        <w:spacing w:after="0"/>
        <w:jc w:val="center"/>
      </w:pPr>
      <w:r>
        <w:rPr>
          <w:noProof/>
        </w:rPr>
        <w:drawing>
          <wp:inline distT="114300" distB="114300" distL="114300" distR="114300" wp14:anchorId="13357219" wp14:editId="3C7C4CE6">
            <wp:extent cx="4262276" cy="3991813"/>
            <wp:effectExtent l="0" t="0" r="0" b="0"/>
            <wp:docPr id="195" name="image32.jpg" descr="Software distribution components of AppDB"/>
            <wp:cNvGraphicFramePr/>
            <a:graphic xmlns:a="http://schemas.openxmlformats.org/drawingml/2006/main">
              <a:graphicData uri="http://schemas.openxmlformats.org/drawingml/2006/picture">
                <pic:pic xmlns:pic="http://schemas.openxmlformats.org/drawingml/2006/picture">
                  <pic:nvPicPr>
                    <pic:cNvPr id="195" name="image32.jpg" descr="Software distribution components of AppDB"/>
                    <pic:cNvPicPr preferRelativeResize="0"/>
                  </pic:nvPicPr>
                  <pic:blipFill>
                    <a:blip r:embed="rId29"/>
                    <a:srcRect l="1440" r="1440"/>
                    <a:stretch>
                      <a:fillRect/>
                    </a:stretch>
                  </pic:blipFill>
                  <pic:spPr>
                    <a:xfrm>
                      <a:off x="0" y="0"/>
                      <a:ext cx="4262276" cy="3991813"/>
                    </a:xfrm>
                    <a:prstGeom prst="rect">
                      <a:avLst/>
                    </a:prstGeom>
                    <a:ln/>
                  </pic:spPr>
                </pic:pic>
              </a:graphicData>
            </a:graphic>
          </wp:inline>
        </w:drawing>
      </w:r>
    </w:p>
    <w:p w14:paraId="7232D489" w14:textId="77777777" w:rsidR="00271E47" w:rsidRPr="00332DAA" w:rsidRDefault="00271E47" w:rsidP="00271E47">
      <w:pPr>
        <w:pBdr>
          <w:top w:val="nil"/>
          <w:left w:val="nil"/>
          <w:bottom w:val="nil"/>
          <w:right w:val="nil"/>
          <w:between w:val="nil"/>
        </w:pBdr>
        <w:spacing w:after="200" w:line="240" w:lineRule="auto"/>
        <w:jc w:val="center"/>
        <w:rPr>
          <w:i/>
          <w:iCs/>
          <w:color w:val="000000"/>
          <w:sz w:val="18"/>
          <w:szCs w:val="18"/>
        </w:rPr>
      </w:pPr>
      <w:bookmarkStart w:id="53" w:name="_heading=h.tyjcwt" w:colFirst="0" w:colLast="0"/>
      <w:bookmarkEnd w:id="53"/>
      <w:r w:rsidRPr="00332DAA">
        <w:rPr>
          <w:i/>
          <w:iCs/>
          <w:color w:val="000000"/>
          <w:sz w:val="18"/>
          <w:szCs w:val="18"/>
        </w:rPr>
        <w:t xml:space="preserve">Figure </w:t>
      </w:r>
      <w:r w:rsidRPr="00332DAA">
        <w:rPr>
          <w:i/>
          <w:iCs/>
          <w:sz w:val="18"/>
          <w:szCs w:val="18"/>
        </w:rPr>
        <w:t>12</w:t>
      </w:r>
      <w:r w:rsidRPr="00332DAA">
        <w:rPr>
          <w:i/>
          <w:iCs/>
          <w:color w:val="000000"/>
          <w:sz w:val="18"/>
          <w:szCs w:val="18"/>
        </w:rPr>
        <w:t>. Software distribution components of AppDB</w:t>
      </w:r>
    </w:p>
    <w:p w14:paraId="231078CB" w14:textId="77777777" w:rsidR="00271E47" w:rsidRDefault="00271E47" w:rsidP="00271E47">
      <w:pPr>
        <w:spacing w:after="0"/>
      </w:pPr>
    </w:p>
    <w:p w14:paraId="49F6C250" w14:textId="4E43D4F4" w:rsidR="00271E47" w:rsidRDefault="00271E47" w:rsidP="00271E47">
      <w:pPr>
        <w:numPr>
          <w:ilvl w:val="0"/>
          <w:numId w:val="38"/>
        </w:numPr>
        <w:spacing w:after="0"/>
      </w:pPr>
      <w:r>
        <w:rPr>
          <w:b/>
        </w:rPr>
        <w:t>Virtual Appliance Catalogue</w:t>
      </w:r>
      <w:r>
        <w:t xml:space="preserve">: It is a community-driven catalogue containing information about virtual appliance solutions, which </w:t>
      </w:r>
      <w:r w:rsidR="00E93266">
        <w:t>is</w:t>
      </w:r>
      <w:r>
        <w:t xml:space="preserve"> authored by its members. VM authors can register their solutions by providing key metadata such as a description, categorisation data, related </w:t>
      </w:r>
      <w:r w:rsidR="00E93266">
        <w:t>organisations,</w:t>
      </w:r>
      <w:r>
        <w:t xml:space="preserve"> projects, </w:t>
      </w:r>
      <w:r>
        <w:rPr>
          <w:i/>
        </w:rPr>
        <w:t>etc</w:t>
      </w:r>
      <w:r>
        <w:t xml:space="preserve">. They may also maintain </w:t>
      </w:r>
      <w:r>
        <w:lastRenderedPageBreak/>
        <w:t xml:space="preserve">version-specific information, such as the physical location of each VM version, its expiration date, </w:t>
      </w:r>
      <w:r w:rsidR="00E93266">
        <w:t>resource,</w:t>
      </w:r>
      <w:r>
        <w:t xml:space="preserve"> and network requirements, supported operating systems / architectures, and so on. To improve quality-of-service, AppDB automatically calculates the checksums of VM images for integrity verification and provides a continuous delivery system that automates the publishing of new VM versions without manual intervention. Virtual Appliances have an expiration date of maximum one year, to ensure that any obsolete software which may contain vulnerabilities is not used in the infrastructure.</w:t>
      </w:r>
      <w:r>
        <w:br/>
      </w:r>
    </w:p>
    <w:p w14:paraId="1A89443E" w14:textId="075196CE" w:rsidR="00271E47" w:rsidRDefault="00271E47" w:rsidP="00271E47">
      <w:pPr>
        <w:numPr>
          <w:ilvl w:val="0"/>
          <w:numId w:val="38"/>
        </w:numPr>
        <w:spacing w:after="0"/>
      </w:pPr>
      <w:r>
        <w:rPr>
          <w:b/>
        </w:rPr>
        <w:t>VO wide image list catalogue</w:t>
      </w:r>
      <w:r>
        <w:t xml:space="preserve">: Virtual Organisations are linked to a list of virtual appliances that the VO is allowed to use. To support this, AppDB integrates with </w:t>
      </w:r>
      <w:r>
        <w:rPr>
          <w:i/>
        </w:rPr>
        <w:t>EGI Operation Portal</w:t>
      </w:r>
      <w:r>
        <w:rPr>
          <w:vertAlign w:val="superscript"/>
        </w:rPr>
        <w:footnoteReference w:id="52"/>
      </w:r>
      <w:r>
        <w:t xml:space="preserve"> to collect information about VOs. VO managers can compose, publish and reuse particular versions of virtual appliances from the Virtual Appliance </w:t>
      </w:r>
      <w:r w:rsidR="00E93266">
        <w:t>Catalogue for</w:t>
      </w:r>
      <w:r>
        <w:t xml:space="preserve"> their specific VO. To help keep image lists up to date with the virtual appliance catalogue, AppDB notifies VO managers about new versions and pending policy-based expiration of endorsed virtual appliance images.</w:t>
      </w:r>
      <w:r>
        <w:br/>
      </w:r>
    </w:p>
    <w:p w14:paraId="1F0BB573" w14:textId="77777777" w:rsidR="00271E47" w:rsidRDefault="00271E47" w:rsidP="00271E47">
      <w:pPr>
        <w:numPr>
          <w:ilvl w:val="0"/>
          <w:numId w:val="38"/>
        </w:numPr>
        <w:spacing w:after="0"/>
      </w:pPr>
      <w:r>
        <w:rPr>
          <w:b/>
        </w:rPr>
        <w:t>VMCaster subscription service</w:t>
      </w:r>
      <w:r>
        <w:t>: This component provides authorised third parties, such as EGI cloud providers, with the latest list of virtual appliances assigned to a VO by the corresponding VO managers. This list is in HEPiX format</w:t>
      </w:r>
      <w:r>
        <w:rPr>
          <w:vertAlign w:val="superscript"/>
        </w:rPr>
        <w:footnoteReference w:id="53"/>
      </w:r>
      <w:r>
        <w:t xml:space="preserve"> and allows cloud providers to identify the endorsed virtual appliances of a VO. To retrieve this information, the cloudkeeper</w:t>
      </w:r>
      <w:r>
        <w:rPr>
          <w:vertAlign w:val="superscript"/>
        </w:rPr>
        <w:footnoteReference w:id="54"/>
      </w:r>
      <w:r>
        <w:t xml:space="preserve"> software or any other compatible solution can be used.</w:t>
      </w:r>
    </w:p>
    <w:p w14:paraId="1F3CB5BA" w14:textId="77777777" w:rsidR="00271E47" w:rsidRDefault="00271E47" w:rsidP="00271E47">
      <w:pPr>
        <w:spacing w:after="0"/>
      </w:pPr>
    </w:p>
    <w:p w14:paraId="771455D7" w14:textId="551DED7A" w:rsidR="00271E47" w:rsidRDefault="00271E47" w:rsidP="00271E47">
      <w:pPr>
        <w:spacing w:after="0"/>
      </w:pPr>
      <w:r>
        <w:t xml:space="preserve">To keep the aforementioned components </w:t>
      </w:r>
      <w:r w:rsidR="00E93266">
        <w:t>synchronised with</w:t>
      </w:r>
      <w:r>
        <w:t xml:space="preserve"> the state of the EGI infrastructure and to keep the distributed information consistent, AppDB has been integrated with various services of the EGI ecosystem, aggregating and correlating information. This has resulted in additional services that can be used by third-party services, in addition to AppDB itself. Such services include the </w:t>
      </w:r>
      <w:r>
        <w:rPr>
          <w:i/>
        </w:rPr>
        <w:t>Information System</w:t>
      </w:r>
      <w:r>
        <w:rPr>
          <w:vertAlign w:val="superscript"/>
        </w:rPr>
        <w:footnoteReference w:id="55"/>
      </w:r>
      <w:r>
        <w:t xml:space="preserve">, which provides cloud infrastructure information, and the </w:t>
      </w:r>
      <w:r>
        <w:rPr>
          <w:i/>
        </w:rPr>
        <w:t>VMOps dashboard</w:t>
      </w:r>
      <w:r>
        <w:rPr>
          <w:vertAlign w:val="superscript"/>
        </w:rPr>
        <w:footnoteReference w:id="56"/>
      </w:r>
      <w:r>
        <w:t>, which allows users to deploy and manage VMs οn the infrastructure.</w:t>
      </w:r>
    </w:p>
    <w:p w14:paraId="622E1EED" w14:textId="77777777" w:rsidR="00271E47" w:rsidRDefault="00271E47" w:rsidP="00271E47">
      <w:pPr>
        <w:spacing w:after="0"/>
      </w:pPr>
    </w:p>
    <w:p w14:paraId="1E6553D3" w14:textId="77777777" w:rsidR="00271E47" w:rsidRDefault="00271E47" w:rsidP="00271E47">
      <w:pPr>
        <w:pStyle w:val="Heading2"/>
        <w:numPr>
          <w:ilvl w:val="1"/>
          <w:numId w:val="13"/>
        </w:numPr>
        <w:ind w:left="576" w:hanging="576"/>
      </w:pPr>
      <w:bookmarkStart w:id="54" w:name="_heading=h.epl198mvnx9b" w:colFirst="0" w:colLast="0"/>
      <w:bookmarkStart w:id="55" w:name="_Toc116449127"/>
      <w:bookmarkEnd w:id="54"/>
      <w:r>
        <w:t>Dynamic DNS</w:t>
      </w:r>
      <w:bookmarkEnd w:id="55"/>
    </w:p>
    <w:p w14:paraId="304D8472" w14:textId="553F560C" w:rsidR="00271E47" w:rsidRDefault="00271E47" w:rsidP="00271E47">
      <w:r>
        <w:t>The Domain Name System (DNS) is the mechanism used on the Internet to identify computers by translating network addresses and human-friendly names. It plays a crucial and centric role on the Internet and, especially, on the Web. EGI’s Dynamic DNS</w:t>
      </w:r>
      <w:r>
        <w:rPr>
          <w:vertAlign w:val="superscript"/>
        </w:rPr>
        <w:footnoteReference w:id="57"/>
      </w:r>
      <w:r>
        <w:t xml:space="preserve"> service provides a unified, federation-wide dynamic DNS support for VMs in EGI’s Federated Cloud </w:t>
      </w:r>
      <w:r>
        <w:lastRenderedPageBreak/>
        <w:t>infrastructure. Users can register their chosen meaningful and memorable DNS hostnames in given domains (</w:t>
      </w:r>
      <w:r>
        <w:rPr>
          <w:i/>
        </w:rPr>
        <w:t>e.g.</w:t>
      </w:r>
      <w:r>
        <w:t xml:space="preserve"> my-server.vo.fedcloud.eu) linking them </w:t>
      </w:r>
      <w:r w:rsidR="00E93266">
        <w:t>to the</w:t>
      </w:r>
      <w:r>
        <w:t xml:space="preserve"> respective public network addresses of their servers (</w:t>
      </w:r>
      <w:r>
        <w:rPr>
          <w:i/>
        </w:rPr>
        <w:t>e.g.</w:t>
      </w:r>
      <w:r>
        <w:t xml:space="preserve"> 134.1.2.3). This DNS service is dynamic because it provides a mechanism for dynamic update of network addresses, so that the network address of a server can be updated in the DNS service if it changes, without manual intervention. This is especially useful in a virtual environment, where machines may be frequently removed and recreated, changing their network addresses but needing to keep the same DNS hostname to be located.</w:t>
      </w:r>
    </w:p>
    <w:p w14:paraId="053D7A47" w14:textId="72305729" w:rsidR="00271E47" w:rsidRDefault="00271E47" w:rsidP="00960BED">
      <w:r>
        <w:t xml:space="preserve">The architecture of the Dynamic DNS is depicted in Figure 13. The core component of the service is the </w:t>
      </w:r>
      <w:r>
        <w:rPr>
          <w:i/>
        </w:rPr>
        <w:t>NS-update server,</w:t>
      </w:r>
      <w:r>
        <w:t xml:space="preserve"> which consists of the GUI portal and NS-update engine. Users can access the Web portal via EGI Check-in and register hostnames in any of the supported pre-defined domains. After hostname registration, users can assign and update hostname IP addresses via simple commands. All changes are immediately sent to the responsible DNS servers, currently located both at IISAS Bratislava (Slovakia) and LIP Lisbon (Portugal) for high availability. IP changes are refreshed within 60 seconds, so new and modified DNS entries are visible to users in a short time.</w:t>
      </w:r>
    </w:p>
    <w:p w14:paraId="2288AFDD" w14:textId="77777777" w:rsidR="00271E47" w:rsidRDefault="00271E47" w:rsidP="00271E47">
      <w:pPr>
        <w:pBdr>
          <w:top w:val="nil"/>
          <w:left w:val="nil"/>
          <w:bottom w:val="nil"/>
          <w:right w:val="nil"/>
          <w:between w:val="nil"/>
        </w:pBdr>
        <w:spacing w:after="200" w:line="240" w:lineRule="auto"/>
        <w:jc w:val="center"/>
        <w:rPr>
          <w:sz w:val="18"/>
          <w:szCs w:val="18"/>
        </w:rPr>
      </w:pPr>
      <w:bookmarkStart w:id="56" w:name="_heading=h.2et92p0" w:colFirst="0" w:colLast="0"/>
      <w:bookmarkEnd w:id="56"/>
    </w:p>
    <w:p w14:paraId="70CF825B" w14:textId="77777777" w:rsidR="00271E47" w:rsidRDefault="00271E47" w:rsidP="00271E47">
      <w:pPr>
        <w:pBdr>
          <w:top w:val="nil"/>
          <w:left w:val="nil"/>
          <w:bottom w:val="nil"/>
          <w:right w:val="nil"/>
          <w:between w:val="nil"/>
        </w:pBdr>
        <w:spacing w:after="200" w:line="240" w:lineRule="auto"/>
        <w:jc w:val="center"/>
        <w:rPr>
          <w:sz w:val="18"/>
          <w:szCs w:val="18"/>
        </w:rPr>
      </w:pPr>
      <w:bookmarkStart w:id="57" w:name="_heading=h.dxn5mpbb70b" w:colFirst="0" w:colLast="0"/>
      <w:bookmarkEnd w:id="57"/>
      <w:r>
        <w:rPr>
          <w:noProof/>
          <w:sz w:val="18"/>
          <w:szCs w:val="18"/>
        </w:rPr>
        <w:drawing>
          <wp:inline distT="114300" distB="114300" distL="114300" distR="114300" wp14:anchorId="77D4FAE1" wp14:editId="2D242157">
            <wp:extent cx="4773213" cy="3430747"/>
            <wp:effectExtent l="0" t="0" r="0" b="0"/>
            <wp:docPr id="176" name="image8.png" descr="Architecture of Dynamic DNS service."/>
            <wp:cNvGraphicFramePr/>
            <a:graphic xmlns:a="http://schemas.openxmlformats.org/drawingml/2006/main">
              <a:graphicData uri="http://schemas.openxmlformats.org/drawingml/2006/picture">
                <pic:pic xmlns:pic="http://schemas.openxmlformats.org/drawingml/2006/picture">
                  <pic:nvPicPr>
                    <pic:cNvPr id="176" name="image8.png" descr="Architecture of Dynamic DNS service."/>
                    <pic:cNvPicPr preferRelativeResize="0"/>
                  </pic:nvPicPr>
                  <pic:blipFill>
                    <a:blip r:embed="rId30"/>
                    <a:srcRect/>
                    <a:stretch>
                      <a:fillRect/>
                    </a:stretch>
                  </pic:blipFill>
                  <pic:spPr>
                    <a:xfrm>
                      <a:off x="0" y="0"/>
                      <a:ext cx="4773213" cy="3430747"/>
                    </a:xfrm>
                    <a:prstGeom prst="rect">
                      <a:avLst/>
                    </a:prstGeom>
                    <a:ln/>
                  </pic:spPr>
                </pic:pic>
              </a:graphicData>
            </a:graphic>
          </wp:inline>
        </w:drawing>
      </w:r>
    </w:p>
    <w:p w14:paraId="63C8CB6D" w14:textId="77777777" w:rsidR="00271E47" w:rsidRDefault="00271E47" w:rsidP="00271E47">
      <w:pPr>
        <w:pBdr>
          <w:top w:val="nil"/>
          <w:left w:val="nil"/>
          <w:bottom w:val="nil"/>
          <w:right w:val="nil"/>
          <w:between w:val="nil"/>
        </w:pBdr>
        <w:spacing w:after="200" w:line="240" w:lineRule="auto"/>
        <w:jc w:val="center"/>
        <w:rPr>
          <w:sz w:val="18"/>
          <w:szCs w:val="18"/>
        </w:rPr>
      </w:pPr>
      <w:bookmarkStart w:id="58" w:name="_heading=h.28tt6lfscafu" w:colFirst="0" w:colLast="0"/>
      <w:bookmarkEnd w:id="58"/>
    </w:p>
    <w:p w14:paraId="1582BF8B" w14:textId="76A4E617" w:rsidR="00271E47" w:rsidRPr="00960BED" w:rsidRDefault="00271E47" w:rsidP="00960BED">
      <w:pPr>
        <w:pBdr>
          <w:top w:val="nil"/>
          <w:left w:val="nil"/>
          <w:bottom w:val="nil"/>
          <w:right w:val="nil"/>
          <w:between w:val="nil"/>
        </w:pBdr>
        <w:spacing w:after="200" w:line="240" w:lineRule="auto"/>
        <w:jc w:val="center"/>
        <w:rPr>
          <w:i/>
          <w:iCs/>
          <w:color w:val="000000"/>
          <w:sz w:val="18"/>
          <w:szCs w:val="18"/>
        </w:rPr>
      </w:pPr>
      <w:bookmarkStart w:id="59" w:name="_heading=h.eb2t3jnrusgy" w:colFirst="0" w:colLast="0"/>
      <w:bookmarkEnd w:id="59"/>
      <w:r w:rsidRPr="00960BED">
        <w:rPr>
          <w:i/>
          <w:iCs/>
          <w:color w:val="000000"/>
          <w:sz w:val="18"/>
          <w:szCs w:val="18"/>
        </w:rPr>
        <w:t xml:space="preserve">Figure </w:t>
      </w:r>
      <w:r w:rsidRPr="00960BED">
        <w:rPr>
          <w:i/>
          <w:iCs/>
          <w:sz w:val="18"/>
          <w:szCs w:val="18"/>
        </w:rPr>
        <w:t>13</w:t>
      </w:r>
      <w:r w:rsidRPr="00960BED">
        <w:rPr>
          <w:i/>
          <w:iCs/>
          <w:color w:val="000000"/>
          <w:sz w:val="18"/>
          <w:szCs w:val="18"/>
        </w:rPr>
        <w:t>. Architecture of Dynamic DNS service.</w:t>
      </w:r>
    </w:p>
    <w:p w14:paraId="53FAFDC7" w14:textId="77777777" w:rsidR="00271E47" w:rsidRDefault="00271E47" w:rsidP="00271E47">
      <w:r>
        <w:t>Some advantages of Dynamic DNS are:</w:t>
      </w:r>
    </w:p>
    <w:p w14:paraId="5EE6A3AB" w14:textId="77777777" w:rsidR="00271E47" w:rsidRDefault="00271E47" w:rsidP="00271E47">
      <w:pPr>
        <w:numPr>
          <w:ilvl w:val="0"/>
          <w:numId w:val="20"/>
        </w:numPr>
        <w:spacing w:after="0"/>
      </w:pPr>
      <w:r>
        <w:rPr>
          <w:b/>
        </w:rPr>
        <w:t>Simplifies client and server configuration</w:t>
      </w:r>
      <w:r>
        <w:t xml:space="preserve"> for services hosted in the EGI Federated Cloud.</w:t>
      </w:r>
    </w:p>
    <w:p w14:paraId="5121B1EF" w14:textId="77777777" w:rsidR="00271E47" w:rsidRDefault="00271E47" w:rsidP="00271E47">
      <w:pPr>
        <w:numPr>
          <w:ilvl w:val="0"/>
          <w:numId w:val="20"/>
        </w:numPr>
        <w:spacing w:after="0"/>
      </w:pPr>
      <w:r>
        <w:rPr>
          <w:b/>
        </w:rPr>
        <w:t>Enables a federated approach</w:t>
      </w:r>
      <w:r>
        <w:t xml:space="preserve"> in which VMs can be freely moved between providers, maintaining their names without modifying server or client configurations.</w:t>
      </w:r>
    </w:p>
    <w:p w14:paraId="14B3FD5C" w14:textId="77777777" w:rsidR="00271E47" w:rsidRDefault="00271E47" w:rsidP="00271E47">
      <w:pPr>
        <w:numPr>
          <w:ilvl w:val="0"/>
          <w:numId w:val="20"/>
        </w:numPr>
        <w:spacing w:after="0"/>
      </w:pPr>
      <w:r>
        <w:rPr>
          <w:b/>
        </w:rPr>
        <w:lastRenderedPageBreak/>
        <w:t>Facilitates the use of trusted X.509 server certificates</w:t>
      </w:r>
      <w:r>
        <w:t>, which are typically linked to DNS names.</w:t>
      </w:r>
    </w:p>
    <w:p w14:paraId="580B7C9A" w14:textId="77777777" w:rsidR="00271E47" w:rsidRDefault="00271E47" w:rsidP="00271E47">
      <w:pPr>
        <w:numPr>
          <w:ilvl w:val="0"/>
          <w:numId w:val="20"/>
        </w:numPr>
        <w:spacing w:after="0"/>
      </w:pPr>
      <w:r>
        <w:rPr>
          <w:b/>
        </w:rPr>
        <w:t>Provides a user-friendly experience</w:t>
      </w:r>
      <w:r>
        <w:t>, with an extremely simple use that requires no additional software installation or support from cloud providers, and network address updates can be performed without special privileges or user credentials.</w:t>
      </w:r>
    </w:p>
    <w:p w14:paraId="4BB7F30A" w14:textId="77777777" w:rsidR="00271E47" w:rsidRDefault="00271E47" w:rsidP="00271E47">
      <w:pPr>
        <w:numPr>
          <w:ilvl w:val="0"/>
          <w:numId w:val="20"/>
        </w:numPr>
      </w:pPr>
      <w:r>
        <w:rPr>
          <w:b/>
        </w:rPr>
        <w:t>It can be easily integrated</w:t>
      </w:r>
      <w:r>
        <w:t xml:space="preserve"> with other tools and services that manage virtual infrastructure, such as the Infrastructure Manager, described in Section 4.2, or Terraform</w:t>
      </w:r>
      <w:r>
        <w:rPr>
          <w:vertAlign w:val="superscript"/>
        </w:rPr>
        <w:footnoteReference w:id="58"/>
      </w:r>
      <w:r>
        <w:t>.</w:t>
      </w:r>
    </w:p>
    <w:p w14:paraId="6AF3B154" w14:textId="77777777" w:rsidR="00271E47" w:rsidRDefault="00271E47" w:rsidP="00271E47"/>
    <w:p w14:paraId="21E6D688" w14:textId="77777777" w:rsidR="00271E47" w:rsidRDefault="00271E47" w:rsidP="00271E47">
      <w:pPr>
        <w:pStyle w:val="Heading1"/>
        <w:numPr>
          <w:ilvl w:val="0"/>
          <w:numId w:val="13"/>
        </w:numPr>
        <w:ind w:left="432" w:hanging="432"/>
      </w:pPr>
      <w:bookmarkStart w:id="60" w:name="_heading=h.2e88whr2ibwo" w:colFirst="0" w:colLast="0"/>
      <w:bookmarkStart w:id="61" w:name="_Toc116449128"/>
      <w:bookmarkEnd w:id="60"/>
      <w:r>
        <w:lastRenderedPageBreak/>
        <w:t>Federated Data</w:t>
      </w:r>
      <w:bookmarkEnd w:id="61"/>
    </w:p>
    <w:p w14:paraId="2FC0F25A" w14:textId="77777777" w:rsidR="00271E47" w:rsidRDefault="00271E47" w:rsidP="00271E47">
      <w:r>
        <w:t>The Federata Data Subsystem in EGI-ACE comprises a group of services that provide data management capabilities to enhance the raw storage capacity delivered by the Federated Resource Providers. These services are:</w:t>
      </w:r>
    </w:p>
    <w:p w14:paraId="181E4376" w14:textId="77777777" w:rsidR="00271E47" w:rsidRDefault="00271E47" w:rsidP="00271E47">
      <w:pPr>
        <w:numPr>
          <w:ilvl w:val="0"/>
          <w:numId w:val="27"/>
        </w:numPr>
        <w:spacing w:after="0"/>
      </w:pPr>
      <w:r>
        <w:rPr>
          <w:b/>
        </w:rPr>
        <w:t>DataHub</w:t>
      </w:r>
      <w:r>
        <w:t>, a data management solution that enables unified data access to distributed data. This is discussed in Section 5.1.</w:t>
      </w:r>
    </w:p>
    <w:p w14:paraId="5C0EB465" w14:textId="77D8C379" w:rsidR="00271E47" w:rsidRDefault="00271E47" w:rsidP="00271E47">
      <w:pPr>
        <w:numPr>
          <w:ilvl w:val="0"/>
          <w:numId w:val="27"/>
        </w:numPr>
        <w:spacing w:after="0"/>
      </w:pPr>
      <w:r>
        <w:rPr>
          <w:b/>
        </w:rPr>
        <w:t>FTS</w:t>
      </w:r>
      <w:r>
        <w:t xml:space="preserve">, a system to address the efficient transfer of data within the data providers of the EGI </w:t>
      </w:r>
      <w:r w:rsidR="00E93266">
        <w:t>Federation and</w:t>
      </w:r>
      <w:r>
        <w:t xml:space="preserve"> is described in Section 5.2.</w:t>
      </w:r>
    </w:p>
    <w:p w14:paraId="3B2B7F2D" w14:textId="77777777" w:rsidR="00271E47" w:rsidRDefault="00271E47" w:rsidP="00271E47">
      <w:pPr>
        <w:numPr>
          <w:ilvl w:val="0"/>
          <w:numId w:val="27"/>
        </w:numPr>
        <w:spacing w:after="0"/>
      </w:pPr>
      <w:r>
        <w:rPr>
          <w:b/>
        </w:rPr>
        <w:t>Rucio</w:t>
      </w:r>
      <w:r>
        <w:t>, a data management service for managing large volumes of data from multiple sites, which is covered in Section 5.3.</w:t>
      </w:r>
    </w:p>
    <w:p w14:paraId="0EBABE30" w14:textId="77777777" w:rsidR="00271E47" w:rsidRDefault="00271E47" w:rsidP="00271E47">
      <w:pPr>
        <w:numPr>
          <w:ilvl w:val="0"/>
          <w:numId w:val="27"/>
        </w:numPr>
      </w:pPr>
      <w:r>
        <w:rPr>
          <w:b/>
        </w:rPr>
        <w:t>openRDM</w:t>
      </w:r>
      <w:r>
        <w:t>, which provides advanced data organisation for research projects by offering an integrated environment with data management and digital lab Notebook capabilities. This is discussed in Section 5.4.</w:t>
      </w:r>
    </w:p>
    <w:p w14:paraId="2D1EECF0" w14:textId="77777777" w:rsidR="00271E47" w:rsidRDefault="00271E47" w:rsidP="00271E47">
      <w:r>
        <w:t xml:space="preserve">These federated data services offer APIs and CLIs that integrate with both the </w:t>
      </w:r>
      <w:r>
        <w:rPr>
          <w:i/>
        </w:rPr>
        <w:t>Thematic Services</w:t>
      </w:r>
      <w:r>
        <w:t xml:space="preserve"> and the </w:t>
      </w:r>
      <w:r>
        <w:rPr>
          <w:i/>
        </w:rPr>
        <w:t xml:space="preserve">Platforms </w:t>
      </w:r>
      <w:r>
        <w:t xml:space="preserve">available in EGI-ACE (see Figure 1). For instance, the </w:t>
      </w:r>
      <w:r>
        <w:rPr>
          <w:i/>
        </w:rPr>
        <w:t>Notebooks service</w:t>
      </w:r>
      <w:r>
        <w:t xml:space="preserve"> described in Section 6.1 is integrated with DataHub to allow users to access datasets available in the EGI Infrastructure and share outputs amongst them, and the </w:t>
      </w:r>
      <w:r>
        <w:rPr>
          <w:i/>
        </w:rPr>
        <w:t>PaaS orchestrator</w:t>
      </w:r>
      <w:r>
        <w:t xml:space="preserve"> described in Section 6.3 is integrated with Rucio to optimise the deployment of applications close to where the data are located. </w:t>
      </w:r>
    </w:p>
    <w:p w14:paraId="16748131" w14:textId="310A9690" w:rsidR="00271E47" w:rsidRDefault="00C91107" w:rsidP="00271E47">
      <w:r>
        <w:t>Similarly,</w:t>
      </w:r>
      <w:r w:rsidR="00271E47">
        <w:t xml:space="preserve"> to Federated Compute services, the Federated Data services are integrated with the Core services described in Section 2, thus allowing Federated Identity access, Configuration Database, Monitoring and Helpdesk. The accounting records for these services are not yet defined, so the integration is not yet in place.</w:t>
      </w:r>
    </w:p>
    <w:p w14:paraId="0E8CEBA7" w14:textId="77777777" w:rsidR="00271E47" w:rsidRDefault="00271E47" w:rsidP="00271E47"/>
    <w:p w14:paraId="4F3917A5" w14:textId="77777777" w:rsidR="00271E47" w:rsidRDefault="00271E47" w:rsidP="00271E47">
      <w:pPr>
        <w:pStyle w:val="Heading2"/>
        <w:numPr>
          <w:ilvl w:val="1"/>
          <w:numId w:val="13"/>
        </w:numPr>
        <w:ind w:left="576" w:hanging="576"/>
      </w:pPr>
      <w:bookmarkStart w:id="62" w:name="_heading=h.qsh70q" w:colFirst="0" w:colLast="0"/>
      <w:bookmarkStart w:id="63" w:name="_Toc116449129"/>
      <w:bookmarkEnd w:id="62"/>
      <w:r>
        <w:t>DataHub</w:t>
      </w:r>
      <w:bookmarkEnd w:id="63"/>
    </w:p>
    <w:p w14:paraId="5C4CF4B3" w14:textId="77777777" w:rsidR="00271E47" w:rsidRDefault="00271E47" w:rsidP="00271E47">
      <w:pPr>
        <w:spacing w:after="0"/>
      </w:pPr>
      <w:r>
        <w:t>EGI DataHub</w:t>
      </w:r>
      <w:r>
        <w:rPr>
          <w:vertAlign w:val="superscript"/>
        </w:rPr>
        <w:footnoteReference w:id="59"/>
      </w:r>
      <w:r>
        <w:t xml:space="preserve"> is a federated service that allows users to access and share their data from any location. Data sets can be kept private to the owner of the data, shared with a restricted number of users, or made publicly available and discoverable via DOI [R18] or PID [R19] handles. </w:t>
      </w:r>
    </w:p>
    <w:p w14:paraId="0F54561D" w14:textId="77777777" w:rsidR="00271E47" w:rsidRDefault="00271E47" w:rsidP="00271E47">
      <w:pPr>
        <w:spacing w:after="0"/>
      </w:pPr>
    </w:p>
    <w:p w14:paraId="31785D45" w14:textId="77777777" w:rsidR="00271E47" w:rsidRDefault="00271E47" w:rsidP="00271E47">
      <w:pPr>
        <w:spacing w:after="0"/>
      </w:pPr>
      <w:r>
        <w:t xml:space="preserve">EGI DataHub is based on </w:t>
      </w:r>
      <w:r>
        <w:rPr>
          <w:i/>
        </w:rPr>
        <w:t xml:space="preserve">Onedata </w:t>
      </w:r>
      <w:r>
        <w:t>distributed data access and management system</w:t>
      </w:r>
      <w:r>
        <w:rPr>
          <w:vertAlign w:val="superscript"/>
        </w:rPr>
        <w:footnoteReference w:id="60"/>
      </w:r>
      <w:r>
        <w:t>. Onedata is a globally distributed storage solution, integrating storage services from various providers using heterogeneous underlying technologies, such as Ceph, S3, GlusterFS, WebDAV, OpenStack SWIFT, NFS and other POSIX-compliant file systems. It provides access to clients interfaces based on CDMI [R20], REST API and virtually mounted POSIX filesystems.</w:t>
      </w:r>
    </w:p>
    <w:p w14:paraId="719EE586" w14:textId="77777777" w:rsidR="00271E47" w:rsidRDefault="00271E47" w:rsidP="00271E47">
      <w:pPr>
        <w:spacing w:after="0"/>
      </w:pPr>
    </w:p>
    <w:p w14:paraId="77D82E20" w14:textId="77777777" w:rsidR="00271E47" w:rsidRDefault="00271E47" w:rsidP="00271E47">
      <w:pPr>
        <w:spacing w:after="0"/>
      </w:pPr>
    </w:p>
    <w:p w14:paraId="3B6E89EC" w14:textId="77777777" w:rsidR="00271E47" w:rsidRDefault="00271E47" w:rsidP="00271E47">
      <w:pPr>
        <w:pBdr>
          <w:top w:val="nil"/>
          <w:left w:val="nil"/>
          <w:bottom w:val="nil"/>
          <w:right w:val="nil"/>
          <w:between w:val="nil"/>
        </w:pBdr>
        <w:spacing w:after="200" w:line="240" w:lineRule="auto"/>
        <w:jc w:val="center"/>
        <w:rPr>
          <w:color w:val="000000"/>
          <w:sz w:val="18"/>
          <w:szCs w:val="18"/>
        </w:rPr>
      </w:pPr>
    </w:p>
    <w:p w14:paraId="1AADE5CC" w14:textId="77777777" w:rsidR="00271E47" w:rsidRDefault="00271E47" w:rsidP="00271E47">
      <w:pPr>
        <w:spacing w:after="0"/>
      </w:pPr>
    </w:p>
    <w:p w14:paraId="1C558C64" w14:textId="77777777" w:rsidR="00271E47" w:rsidRDefault="00271E47" w:rsidP="00271E47">
      <w:pPr>
        <w:spacing w:after="0"/>
      </w:pPr>
      <w:r>
        <w:t>The main functional components of Onedata include:</w:t>
      </w:r>
    </w:p>
    <w:p w14:paraId="18F7A488" w14:textId="77777777" w:rsidR="00271E47" w:rsidRDefault="00271E47" w:rsidP="00271E47">
      <w:pPr>
        <w:numPr>
          <w:ilvl w:val="0"/>
          <w:numId w:val="9"/>
        </w:numPr>
        <w:spacing w:before="200" w:after="0"/>
      </w:pPr>
      <w:r>
        <w:rPr>
          <w:b/>
        </w:rPr>
        <w:t>Onezone</w:t>
      </w:r>
      <w:r>
        <w:t>, the federation and authentication service. EGI DataHub, as a Onezone instance, provides a single sign-on to a network of connected storage providers. Note that DataHub is integrated with EGI Check-in (described in Section 2.1).</w:t>
      </w:r>
    </w:p>
    <w:p w14:paraId="6F6FC4D4" w14:textId="77777777" w:rsidR="00271E47" w:rsidRDefault="00271E47" w:rsidP="00271E47">
      <w:pPr>
        <w:numPr>
          <w:ilvl w:val="0"/>
          <w:numId w:val="9"/>
        </w:numPr>
        <w:spacing w:after="0"/>
      </w:pPr>
      <w:r>
        <w:rPr>
          <w:b/>
        </w:rPr>
        <w:t>Oneprovider</w:t>
      </w:r>
      <w:r>
        <w:t>, which is the main data management component of Onedata, is deployed in the data centres and is responsible for provisioning the data and managing data transfers. The main operation of Oneprovider is shown in Figure 14.</w:t>
      </w:r>
    </w:p>
    <w:p w14:paraId="2DDEE789" w14:textId="77777777" w:rsidR="00271E47" w:rsidRDefault="00271E47" w:rsidP="00271E47">
      <w:pPr>
        <w:numPr>
          <w:ilvl w:val="0"/>
          <w:numId w:val="9"/>
        </w:numPr>
        <w:spacing w:after="0"/>
      </w:pPr>
      <w:r>
        <w:rPr>
          <w:b/>
        </w:rPr>
        <w:t>Oneclient</w:t>
      </w:r>
      <w:r>
        <w:t>, which provides access to the virtual filesystem on a VM or host directly, via a FUSE mountpoint.</w:t>
      </w:r>
    </w:p>
    <w:p w14:paraId="5B65499C" w14:textId="16A84D07" w:rsidR="00271E47" w:rsidRDefault="00271E47" w:rsidP="00271E47">
      <w:pPr>
        <w:numPr>
          <w:ilvl w:val="0"/>
          <w:numId w:val="9"/>
        </w:numPr>
        <w:spacing w:after="0"/>
      </w:pPr>
      <w:r>
        <w:rPr>
          <w:b/>
        </w:rPr>
        <w:t>OnedataFS</w:t>
      </w:r>
      <w:r>
        <w:t>, which is a Python library supporting the access to the distributed virtual filesystem directly from Python applications (</w:t>
      </w:r>
      <w:r w:rsidR="00C91107">
        <w:rPr>
          <w:i/>
        </w:rPr>
        <w:t>e.g.,</w:t>
      </w:r>
      <w:r>
        <w:t xml:space="preserve"> Jupyter Notebook).</w:t>
      </w:r>
    </w:p>
    <w:p w14:paraId="57C5D384" w14:textId="77777777" w:rsidR="00271E47" w:rsidRDefault="00271E47" w:rsidP="00271E47">
      <w:pPr>
        <w:spacing w:after="0"/>
        <w:jc w:val="left"/>
      </w:pPr>
    </w:p>
    <w:p w14:paraId="5B5053BB" w14:textId="77777777" w:rsidR="00271E47" w:rsidRDefault="00271E47" w:rsidP="00271E47">
      <w:pPr>
        <w:keepNext/>
        <w:spacing w:after="0"/>
      </w:pPr>
      <w:r>
        <w:rPr>
          <w:noProof/>
        </w:rPr>
        <w:drawing>
          <wp:inline distT="114300" distB="114300" distL="114300" distR="114300" wp14:anchorId="412F4A8B" wp14:editId="3DB85442">
            <wp:extent cx="5731200" cy="2857500"/>
            <wp:effectExtent l="0" t="0" r="0" b="0"/>
            <wp:docPr id="171" name="image1.png" descr="Functional components of Onedata"/>
            <wp:cNvGraphicFramePr/>
            <a:graphic xmlns:a="http://schemas.openxmlformats.org/drawingml/2006/main">
              <a:graphicData uri="http://schemas.openxmlformats.org/drawingml/2006/picture">
                <pic:pic xmlns:pic="http://schemas.openxmlformats.org/drawingml/2006/picture">
                  <pic:nvPicPr>
                    <pic:cNvPr id="171" name="image1.png" descr="Functional components of Onedata"/>
                    <pic:cNvPicPr preferRelativeResize="0"/>
                  </pic:nvPicPr>
                  <pic:blipFill>
                    <a:blip r:embed="rId31"/>
                    <a:srcRect t="4315" b="9857"/>
                    <a:stretch>
                      <a:fillRect/>
                    </a:stretch>
                  </pic:blipFill>
                  <pic:spPr>
                    <a:xfrm>
                      <a:off x="0" y="0"/>
                      <a:ext cx="5731200" cy="2857500"/>
                    </a:xfrm>
                    <a:prstGeom prst="rect">
                      <a:avLst/>
                    </a:prstGeom>
                    <a:ln/>
                  </pic:spPr>
                </pic:pic>
              </a:graphicData>
            </a:graphic>
          </wp:inline>
        </w:drawing>
      </w:r>
    </w:p>
    <w:p w14:paraId="33A9128A" w14:textId="77777777" w:rsidR="00271E47" w:rsidRPr="00960BED" w:rsidRDefault="00271E47" w:rsidP="00271E47">
      <w:pPr>
        <w:spacing w:after="200" w:line="240" w:lineRule="auto"/>
        <w:jc w:val="center"/>
        <w:rPr>
          <w:i/>
          <w:iCs/>
        </w:rPr>
      </w:pPr>
      <w:r w:rsidRPr="00960BED">
        <w:rPr>
          <w:i/>
          <w:iCs/>
          <w:sz w:val="18"/>
          <w:szCs w:val="18"/>
        </w:rPr>
        <w:t>Figure 14. Functional components of Onedata</w:t>
      </w:r>
    </w:p>
    <w:p w14:paraId="7838F74B" w14:textId="77777777" w:rsidR="00271E47" w:rsidRDefault="00271E47" w:rsidP="00271E47">
      <w:pPr>
        <w:spacing w:after="0"/>
      </w:pPr>
    </w:p>
    <w:p w14:paraId="3C73FD2B" w14:textId="77777777" w:rsidR="00271E47" w:rsidRDefault="00271E47" w:rsidP="00271E47">
      <w:pPr>
        <w:spacing w:after="0"/>
      </w:pPr>
      <w:r>
        <w:t xml:space="preserve">An important aspect of Onedata is that it has a flexible mechanism for storing metadata in the form of simple key-value pairs, as well as entire metadata documents (currently in JSON and RDF [R21] formats), which can be attached to data resources and used during indexing and querying. On top of this metadata mechanism, Onedata allows users to publish their data as open access content and enables full open data management life cycle management from ingestion through curation to open access thanks to its support for protocols and standards for open data, such as </w:t>
      </w:r>
      <w:r>
        <w:rPr>
          <w:i/>
        </w:rPr>
        <w:t xml:space="preserve">OAI-PMH </w:t>
      </w:r>
      <w:r>
        <w:t xml:space="preserve">[R22] and handle system integration for registering DOI [R18] identifiers.  </w:t>
      </w:r>
    </w:p>
    <w:p w14:paraId="48C43D74" w14:textId="77777777" w:rsidR="00271E47" w:rsidRDefault="00271E47" w:rsidP="00271E47">
      <w:pPr>
        <w:spacing w:after="0"/>
      </w:pPr>
    </w:p>
    <w:p w14:paraId="2B765506" w14:textId="636791DB" w:rsidR="00271E47" w:rsidRDefault="00271E47" w:rsidP="00271E47">
      <w:pPr>
        <w:spacing w:after="0"/>
      </w:pPr>
      <w:r>
        <w:t xml:space="preserve">Onedata enables seamless data sharing between users, with strict access control. Users can share access to individual files as well as spaces by sending automatically generated </w:t>
      </w:r>
      <w:r>
        <w:lastRenderedPageBreak/>
        <w:t>access tokens</w:t>
      </w:r>
      <w:r>
        <w:rPr>
          <w:vertAlign w:val="superscript"/>
        </w:rPr>
        <w:footnoteReference w:id="61"/>
      </w:r>
      <w:r>
        <w:t xml:space="preserve">. Onedata has also built-in support for </w:t>
      </w:r>
      <w:r>
        <w:rPr>
          <w:i/>
        </w:rPr>
        <w:t>Let’s Encrypt</w:t>
      </w:r>
      <w:r>
        <w:rPr>
          <w:vertAlign w:val="superscript"/>
        </w:rPr>
        <w:footnoteReference w:id="62"/>
      </w:r>
      <w:r>
        <w:t xml:space="preserve"> certificates, encouraging the deployment of secure services with valid X.509 certificates for TLS. Access control is fine-grained and managed by a set of privileges assigned in the form of access control lists at user, </w:t>
      </w:r>
      <w:r w:rsidR="00C91107">
        <w:t>group,</w:t>
      </w:r>
      <w:r>
        <w:t xml:space="preserve"> and space level. Users can create groups for collaborating on a specific space or set of spaces.</w:t>
      </w:r>
    </w:p>
    <w:p w14:paraId="75A87E66" w14:textId="77777777" w:rsidR="00271E47" w:rsidRDefault="00271E47" w:rsidP="00271E47">
      <w:pPr>
        <w:spacing w:after="0"/>
      </w:pPr>
    </w:p>
    <w:p w14:paraId="5C060A3C" w14:textId="77777777" w:rsidR="00271E47" w:rsidRDefault="00271E47" w:rsidP="00271E47">
      <w:pPr>
        <w:spacing w:after="0"/>
      </w:pPr>
      <w:r>
        <w:t>All Onedata components have APIs</w:t>
      </w:r>
      <w:r>
        <w:rPr>
          <w:vertAlign w:val="superscript"/>
        </w:rPr>
        <w:footnoteReference w:id="63"/>
      </w:r>
      <w:r>
        <w:t xml:space="preserve"> defined using the </w:t>
      </w:r>
      <w:r>
        <w:rPr>
          <w:i/>
        </w:rPr>
        <w:t xml:space="preserve">OpenAPI specification </w:t>
      </w:r>
      <w:r>
        <w:t xml:space="preserve">[R23], enabling easy integration and automatic generation of client libraries for most existing programming languages and frameworks. </w:t>
      </w:r>
    </w:p>
    <w:p w14:paraId="6EC39150" w14:textId="77777777" w:rsidR="00271E47" w:rsidRDefault="00271E47" w:rsidP="00271E47">
      <w:pPr>
        <w:spacing w:after="0"/>
        <w:jc w:val="left"/>
      </w:pPr>
      <w:r>
        <w:t>The API’s provided by Onedata include:</w:t>
      </w:r>
    </w:p>
    <w:p w14:paraId="5FAA8B05" w14:textId="77777777" w:rsidR="00271E47" w:rsidRDefault="00271E47" w:rsidP="00271E47">
      <w:pPr>
        <w:numPr>
          <w:ilvl w:val="0"/>
          <w:numId w:val="36"/>
        </w:numPr>
        <w:spacing w:before="200" w:after="0"/>
        <w:jc w:val="left"/>
      </w:pPr>
      <w:r>
        <w:rPr>
          <w:b/>
        </w:rPr>
        <w:t>Onezone API</w:t>
      </w:r>
      <w:r>
        <w:t>, to allow control and configuration of local Onezone service deployments, in particular: management of users, groups, spaces, shares, providers, services, handles and clusters.</w:t>
      </w:r>
    </w:p>
    <w:p w14:paraId="2CA41A75" w14:textId="77777777" w:rsidR="00271E47" w:rsidRDefault="00271E47" w:rsidP="00271E47">
      <w:pPr>
        <w:numPr>
          <w:ilvl w:val="0"/>
          <w:numId w:val="36"/>
        </w:numPr>
        <w:spacing w:after="0"/>
        <w:jc w:val="left"/>
      </w:pPr>
      <w:r>
        <w:rPr>
          <w:b/>
        </w:rPr>
        <w:t>Oneprovider API</w:t>
      </w:r>
      <w:r>
        <w:t>, to enable access to data through CDMI- compatible endpoints, as well as data management related tasks such as data replication.</w:t>
      </w:r>
    </w:p>
    <w:p w14:paraId="2E97B39A" w14:textId="77777777" w:rsidR="00271E47" w:rsidRDefault="00271E47" w:rsidP="00271E47">
      <w:pPr>
        <w:numPr>
          <w:ilvl w:val="0"/>
          <w:numId w:val="36"/>
        </w:numPr>
        <w:spacing w:after="0"/>
        <w:jc w:val="left"/>
      </w:pPr>
      <w:r>
        <w:rPr>
          <w:b/>
        </w:rPr>
        <w:t xml:space="preserve">Onepanel API, </w:t>
      </w:r>
      <w:r>
        <w:t xml:space="preserve">to allow administrators to control deployment of other Onedata components, modifying their configuration - </w:t>
      </w:r>
      <w:r>
        <w:rPr>
          <w:i/>
        </w:rPr>
        <w:t>e.g.</w:t>
      </w:r>
      <w:r>
        <w:t xml:space="preserve"> adding more nodes or new storage resources.</w:t>
      </w:r>
    </w:p>
    <w:p w14:paraId="0CD1DE29" w14:textId="77777777" w:rsidR="00271E47" w:rsidRDefault="00271E47" w:rsidP="00271E47">
      <w:pPr>
        <w:spacing w:after="0"/>
      </w:pPr>
    </w:p>
    <w:p w14:paraId="6A447BBF" w14:textId="77777777" w:rsidR="00271E47" w:rsidRDefault="00271E47" w:rsidP="00271E47">
      <w:pPr>
        <w:spacing w:after="0"/>
      </w:pPr>
      <w:r>
        <w:t>For additional information, please refer to Onedata</w:t>
      </w:r>
      <w:r>
        <w:rPr>
          <w:vertAlign w:val="superscript"/>
        </w:rPr>
        <w:footnoteReference w:id="64"/>
      </w:r>
      <w:r>
        <w:t xml:space="preserve"> and EGI DataHub</w:t>
      </w:r>
      <w:r>
        <w:rPr>
          <w:vertAlign w:val="superscript"/>
        </w:rPr>
        <w:footnoteReference w:id="65"/>
      </w:r>
      <w:r>
        <w:t xml:space="preserve"> user documentation.</w:t>
      </w:r>
    </w:p>
    <w:p w14:paraId="604C38B5" w14:textId="77777777" w:rsidR="00271E47" w:rsidRDefault="00271E47" w:rsidP="00271E47">
      <w:pPr>
        <w:spacing w:after="0"/>
        <w:ind w:left="720"/>
      </w:pPr>
    </w:p>
    <w:p w14:paraId="67286E4A" w14:textId="77777777" w:rsidR="00271E47" w:rsidRDefault="00271E47" w:rsidP="00271E47">
      <w:pPr>
        <w:pStyle w:val="Heading2"/>
        <w:numPr>
          <w:ilvl w:val="1"/>
          <w:numId w:val="13"/>
        </w:numPr>
        <w:ind w:left="576" w:hanging="576"/>
      </w:pPr>
      <w:bookmarkStart w:id="64" w:name="_heading=h.3as4poj" w:colFirst="0" w:colLast="0"/>
      <w:bookmarkStart w:id="65" w:name="_Toc116449130"/>
      <w:bookmarkEnd w:id="64"/>
      <w:r>
        <w:t>FTS</w:t>
      </w:r>
      <w:bookmarkEnd w:id="65"/>
    </w:p>
    <w:p w14:paraId="151BF45D" w14:textId="5602DD68" w:rsidR="00271E47" w:rsidRDefault="00271E47" w:rsidP="00271E47">
      <w:pPr>
        <w:shd w:val="clear" w:color="auto" w:fill="FFFFFF"/>
        <w:spacing w:after="0"/>
      </w:pPr>
      <w:r>
        <w:t>FTS or FTS3 (File transfer System, version 3.0)</w:t>
      </w:r>
      <w:r>
        <w:rPr>
          <w:vertAlign w:val="superscript"/>
        </w:rPr>
        <w:footnoteReference w:id="66"/>
      </w:r>
      <w:r>
        <w:t xml:space="preserve"> is software for efficient scheduled transfers of large data </w:t>
      </w:r>
      <w:r w:rsidR="00C804E2">
        <w:t>sets.</w:t>
      </w:r>
      <w:r>
        <w:t xml:space="preserve"> It does so by maximising the usage of available network and storage resources while ensuring that policy limits are respected. FTS3 has the following components:</w:t>
      </w:r>
    </w:p>
    <w:p w14:paraId="6C7A4157" w14:textId="77777777" w:rsidR="00271E47" w:rsidRDefault="00271E47" w:rsidP="00271E47">
      <w:pPr>
        <w:numPr>
          <w:ilvl w:val="0"/>
          <w:numId w:val="44"/>
        </w:numPr>
        <w:shd w:val="clear" w:color="auto" w:fill="FFFFFF"/>
        <w:spacing w:after="0"/>
      </w:pPr>
      <w:r>
        <w:rPr>
          <w:b/>
        </w:rPr>
        <w:t>CLI clients</w:t>
      </w:r>
      <w:r>
        <w:t>, as the main user interface to interact with FTS3.</w:t>
      </w:r>
    </w:p>
    <w:p w14:paraId="2929913B" w14:textId="77777777" w:rsidR="00271E47" w:rsidRDefault="00271E47" w:rsidP="00271E47">
      <w:pPr>
        <w:numPr>
          <w:ilvl w:val="0"/>
          <w:numId w:val="44"/>
        </w:numPr>
        <w:shd w:val="clear" w:color="auto" w:fill="FFFFFF"/>
        <w:spacing w:after="0"/>
      </w:pPr>
      <w:r>
        <w:t>A daemon process for submitting data transfer jobs, retrieving status and general VO and service configuration.</w:t>
      </w:r>
    </w:p>
    <w:p w14:paraId="3AB54A31" w14:textId="77777777" w:rsidR="00271E47" w:rsidRDefault="00271E47" w:rsidP="00271E47">
      <w:pPr>
        <w:numPr>
          <w:ilvl w:val="0"/>
          <w:numId w:val="44"/>
        </w:numPr>
        <w:shd w:val="clear" w:color="auto" w:fill="FFFFFF"/>
        <w:spacing w:after="0"/>
      </w:pPr>
      <w:r>
        <w:t>A daemon process for staging files from tape archives to disk</w:t>
      </w:r>
    </w:p>
    <w:p w14:paraId="57EC17C2" w14:textId="77777777" w:rsidR="00271E47" w:rsidRDefault="00271E47" w:rsidP="00271E47">
      <w:pPr>
        <w:numPr>
          <w:ilvl w:val="0"/>
          <w:numId w:val="44"/>
        </w:numPr>
        <w:shd w:val="clear" w:color="auto" w:fill="FFFFFF"/>
        <w:spacing w:after="0"/>
      </w:pPr>
      <w:r>
        <w:t>A database back-end.</w:t>
      </w:r>
    </w:p>
    <w:p w14:paraId="17586524" w14:textId="77777777" w:rsidR="00271E47" w:rsidRDefault="00271E47" w:rsidP="00271E47">
      <w:pPr>
        <w:numPr>
          <w:ilvl w:val="0"/>
          <w:numId w:val="44"/>
        </w:numPr>
        <w:shd w:val="clear" w:color="auto" w:fill="FFFFFF"/>
        <w:spacing w:after="0"/>
      </w:pPr>
      <w:r>
        <w:t>A message queue daemon which sends monitoring messages to external queue</w:t>
      </w:r>
    </w:p>
    <w:p w14:paraId="352CCCA0" w14:textId="77777777" w:rsidR="00271E47" w:rsidRDefault="00271E47" w:rsidP="00271E47">
      <w:pPr>
        <w:numPr>
          <w:ilvl w:val="0"/>
          <w:numId w:val="44"/>
        </w:numPr>
        <w:shd w:val="clear" w:color="auto" w:fill="FFFFFF"/>
        <w:spacing w:after="0"/>
      </w:pPr>
      <w:r>
        <w:t>A Rest Listener as access points for submitting transfers or administering the service.</w:t>
      </w:r>
    </w:p>
    <w:p w14:paraId="12B2F8F5" w14:textId="77777777" w:rsidR="00271E47" w:rsidRDefault="00271E47" w:rsidP="00271E47">
      <w:pPr>
        <w:shd w:val="clear" w:color="auto" w:fill="FFFFFF"/>
        <w:spacing w:after="0"/>
      </w:pPr>
    </w:p>
    <w:p w14:paraId="770598E1" w14:textId="77777777" w:rsidR="00271E47" w:rsidRDefault="00271E47" w:rsidP="00271E47">
      <w:pPr>
        <w:shd w:val="clear" w:color="auto" w:fill="FFFFFF"/>
        <w:spacing w:after="0"/>
      </w:pPr>
      <w:r>
        <w:lastRenderedPageBreak/>
        <w:t>This architecture allows the service to be easily scalable by adding additional resources with identical configuration into an FTS3 cluster. Figure 15 identifies the main architecture components of FTS.</w:t>
      </w:r>
    </w:p>
    <w:p w14:paraId="2CC6F3B0" w14:textId="77777777" w:rsidR="00271E47" w:rsidRDefault="00271E47" w:rsidP="00271E47">
      <w:pPr>
        <w:keepNext/>
        <w:shd w:val="clear" w:color="auto" w:fill="FFFFFF"/>
        <w:spacing w:after="0"/>
        <w:jc w:val="center"/>
      </w:pPr>
      <w:r>
        <w:rPr>
          <w:noProof/>
          <w:sz w:val="24"/>
          <w:szCs w:val="24"/>
        </w:rPr>
        <w:drawing>
          <wp:inline distT="114300" distB="114300" distL="114300" distR="114300" wp14:anchorId="41E4BC52" wp14:editId="637BA4EB">
            <wp:extent cx="5083013" cy="3280669"/>
            <wp:effectExtent l="0" t="0" r="0" b="0"/>
            <wp:docPr id="197" name="image25.png" descr="FTS3 service architecture"/>
            <wp:cNvGraphicFramePr/>
            <a:graphic xmlns:a="http://schemas.openxmlformats.org/drawingml/2006/main">
              <a:graphicData uri="http://schemas.openxmlformats.org/drawingml/2006/picture">
                <pic:pic xmlns:pic="http://schemas.openxmlformats.org/drawingml/2006/picture">
                  <pic:nvPicPr>
                    <pic:cNvPr id="197" name="image25.png" descr="FTS3 service architecture"/>
                    <pic:cNvPicPr preferRelativeResize="0"/>
                  </pic:nvPicPr>
                  <pic:blipFill>
                    <a:blip r:embed="rId32"/>
                    <a:srcRect/>
                    <a:stretch>
                      <a:fillRect/>
                    </a:stretch>
                  </pic:blipFill>
                  <pic:spPr>
                    <a:xfrm>
                      <a:off x="0" y="0"/>
                      <a:ext cx="5083013" cy="3280669"/>
                    </a:xfrm>
                    <a:prstGeom prst="rect">
                      <a:avLst/>
                    </a:prstGeom>
                    <a:ln/>
                  </pic:spPr>
                </pic:pic>
              </a:graphicData>
            </a:graphic>
          </wp:inline>
        </w:drawing>
      </w:r>
    </w:p>
    <w:p w14:paraId="677F7BD4" w14:textId="77777777" w:rsidR="00271E47" w:rsidRPr="00960BED" w:rsidRDefault="00271E47" w:rsidP="00271E47">
      <w:pPr>
        <w:pBdr>
          <w:top w:val="nil"/>
          <w:left w:val="nil"/>
          <w:bottom w:val="nil"/>
          <w:right w:val="nil"/>
          <w:between w:val="nil"/>
        </w:pBdr>
        <w:spacing w:after="200" w:line="240" w:lineRule="auto"/>
        <w:jc w:val="center"/>
        <w:rPr>
          <w:i/>
          <w:iCs/>
          <w:color w:val="000000"/>
          <w:sz w:val="24"/>
          <w:szCs w:val="24"/>
        </w:rPr>
      </w:pPr>
      <w:r w:rsidRPr="00960BED">
        <w:rPr>
          <w:i/>
          <w:iCs/>
          <w:color w:val="000000"/>
          <w:sz w:val="18"/>
          <w:szCs w:val="18"/>
        </w:rPr>
        <w:t>Figure 1</w:t>
      </w:r>
      <w:r w:rsidRPr="00960BED">
        <w:rPr>
          <w:i/>
          <w:iCs/>
          <w:sz w:val="18"/>
          <w:szCs w:val="18"/>
        </w:rPr>
        <w:t>5</w:t>
      </w:r>
      <w:r w:rsidRPr="00960BED">
        <w:rPr>
          <w:i/>
          <w:iCs/>
          <w:color w:val="000000"/>
          <w:sz w:val="18"/>
          <w:szCs w:val="18"/>
        </w:rPr>
        <w:t>. FTS3 service architecture</w:t>
      </w:r>
    </w:p>
    <w:p w14:paraId="20BE6C81" w14:textId="0B6B1EB8" w:rsidR="00271E47" w:rsidRDefault="00271E47" w:rsidP="00271E47">
      <w:pPr>
        <w:shd w:val="clear" w:color="auto" w:fill="FFFFFF"/>
        <w:spacing w:after="0"/>
      </w:pPr>
      <w:r>
        <w:t xml:space="preserve">The optimisation algorithm is influenced by both the throughput achieved and the success rate of the transfers, and automatically adjusts the number of concurrent transfers accordingly. This allows transfers between two random endpoints to be executed with good reliability and </w:t>
      </w:r>
      <w:r>
        <w:rPr>
          <w:rFonts w:ascii="Roboto" w:eastAsia="Roboto" w:hAnsi="Roboto" w:cs="Roboto"/>
          <w:sz w:val="21"/>
          <w:szCs w:val="21"/>
          <w:highlight w:val="white"/>
        </w:rPr>
        <w:t>throughput</w:t>
      </w:r>
      <w:r>
        <w:t xml:space="preserve">, with minimal manual intervention. FTS3 also includes a multi-dimensional scheduler, which ensures fair network data bandwidth between VOs that share a data link. This default behaviour can be overwritten if </w:t>
      </w:r>
      <w:r w:rsidR="00C804E2">
        <w:t>necessary,</w:t>
      </w:r>
      <w:r>
        <w:t xml:space="preserve"> in multiple ways, such as giving more transfer slots to a particular VO, </w:t>
      </w:r>
      <w:r w:rsidR="00C804E2">
        <w:t>splitting the</w:t>
      </w:r>
      <w:r>
        <w:t xml:space="preserve"> allocated slots by a specific weighting, or prioritising specific transfers to give them a transfer boost. </w:t>
      </w:r>
    </w:p>
    <w:p w14:paraId="44554756" w14:textId="77777777" w:rsidR="00271E47" w:rsidRDefault="00271E47" w:rsidP="00271E47">
      <w:pPr>
        <w:shd w:val="clear" w:color="auto" w:fill="FFFFFF"/>
        <w:spacing w:after="0"/>
      </w:pPr>
      <w:r>
        <w:t xml:space="preserve"> </w:t>
      </w:r>
    </w:p>
    <w:p w14:paraId="169E8A1B" w14:textId="77777777" w:rsidR="00271E47" w:rsidRDefault="00271E47" w:rsidP="00271E47">
      <w:pPr>
        <w:shd w:val="clear" w:color="auto" w:fill="FFFFFF"/>
        <w:spacing w:after="0"/>
      </w:pPr>
      <w:r>
        <w:t xml:space="preserve">Some additional features of FTS3 are: </w:t>
      </w:r>
    </w:p>
    <w:p w14:paraId="5B24FBCF" w14:textId="77777777" w:rsidR="00271E47" w:rsidRDefault="00271E47" w:rsidP="00271E47">
      <w:pPr>
        <w:numPr>
          <w:ilvl w:val="0"/>
          <w:numId w:val="10"/>
        </w:numPr>
        <w:spacing w:before="200" w:after="0"/>
        <w:ind w:left="1080"/>
        <w:jc w:val="left"/>
      </w:pPr>
      <w:r>
        <w:rPr>
          <w:b/>
        </w:rPr>
        <w:t>Multi-protocol support</w:t>
      </w:r>
      <w:r>
        <w:t xml:space="preserve"> through the Grid File Access Library, version 2 (GFAL 2</w:t>
      </w:r>
      <w:r>
        <w:rPr>
          <w:vertAlign w:val="superscript"/>
        </w:rPr>
        <w:footnoteReference w:id="67"/>
      </w:r>
      <w:r>
        <w:t xml:space="preserve">). </w:t>
      </w:r>
    </w:p>
    <w:p w14:paraId="34DD1169" w14:textId="77777777" w:rsidR="00271E47" w:rsidRDefault="00271E47" w:rsidP="00271E47">
      <w:pPr>
        <w:numPr>
          <w:ilvl w:val="0"/>
          <w:numId w:val="10"/>
        </w:numPr>
        <w:spacing w:after="0"/>
        <w:ind w:left="1080"/>
        <w:jc w:val="left"/>
      </w:pPr>
      <w:r>
        <w:rPr>
          <w:b/>
        </w:rPr>
        <w:t>A REST interface</w:t>
      </w:r>
      <w:r>
        <w:t xml:space="preserve"> to submit jobs and query their state. </w:t>
      </w:r>
    </w:p>
    <w:p w14:paraId="1FF1C17D" w14:textId="77777777" w:rsidR="00271E47" w:rsidRDefault="00271E47" w:rsidP="00271E47">
      <w:pPr>
        <w:numPr>
          <w:ilvl w:val="0"/>
          <w:numId w:val="10"/>
        </w:numPr>
        <w:spacing w:after="0"/>
        <w:ind w:left="1080"/>
        <w:jc w:val="left"/>
      </w:pPr>
      <w:r>
        <w:rPr>
          <w:b/>
        </w:rPr>
        <w:t>Third party data copy</w:t>
      </w:r>
      <w:r>
        <w:t xml:space="preserve"> support, in particular GridFTP</w:t>
      </w:r>
      <w:r>
        <w:rPr>
          <w:vertAlign w:val="superscript"/>
        </w:rPr>
        <w:footnoteReference w:id="68"/>
      </w:r>
      <w:r>
        <w:t xml:space="preserve"> and XrootD</w:t>
      </w:r>
      <w:r>
        <w:rPr>
          <w:vertAlign w:val="superscript"/>
        </w:rPr>
        <w:footnoteReference w:id="69"/>
      </w:r>
      <w:r>
        <w:t xml:space="preserve"> and, for certain storage implementations, HTTP TPC</w:t>
      </w:r>
      <w:r>
        <w:rPr>
          <w:vertAlign w:val="superscript"/>
        </w:rPr>
        <w:footnoteReference w:id="70"/>
      </w:r>
      <w:r>
        <w:t xml:space="preserve">. </w:t>
      </w:r>
    </w:p>
    <w:p w14:paraId="189891CF" w14:textId="268D1871" w:rsidR="00271E47" w:rsidRDefault="00271E47" w:rsidP="00271E47">
      <w:pPr>
        <w:numPr>
          <w:ilvl w:val="0"/>
          <w:numId w:val="10"/>
        </w:numPr>
        <w:spacing w:after="0"/>
        <w:ind w:left="1080"/>
        <w:jc w:val="left"/>
      </w:pPr>
      <w:r>
        <w:rPr>
          <w:b/>
        </w:rPr>
        <w:t>Session reuse</w:t>
      </w:r>
      <w:r>
        <w:t>, which is particularly suitable</w:t>
      </w:r>
      <w:r w:rsidR="00C804E2">
        <w:t xml:space="preserve"> </w:t>
      </w:r>
      <w:r>
        <w:t xml:space="preserve">for cases where many small files are transferred between two endpoints. </w:t>
      </w:r>
    </w:p>
    <w:p w14:paraId="301E6AEC" w14:textId="33BE2FB7" w:rsidR="00271E47" w:rsidRDefault="00271E47" w:rsidP="00271E47">
      <w:pPr>
        <w:numPr>
          <w:ilvl w:val="0"/>
          <w:numId w:val="10"/>
        </w:numPr>
        <w:spacing w:after="0"/>
        <w:ind w:left="1080"/>
        <w:jc w:val="left"/>
      </w:pPr>
      <w:r>
        <w:t xml:space="preserve">Staging </w:t>
      </w:r>
      <w:r w:rsidR="00C804E2">
        <w:t>files from</w:t>
      </w:r>
      <w:r>
        <w:t xml:space="preserve"> tape systems and monitoring of archive to tape operations</w:t>
      </w:r>
    </w:p>
    <w:p w14:paraId="19F8A678" w14:textId="77777777" w:rsidR="00271E47" w:rsidRDefault="00271E47" w:rsidP="00271E47">
      <w:pPr>
        <w:numPr>
          <w:ilvl w:val="0"/>
          <w:numId w:val="12"/>
        </w:numPr>
        <w:spacing w:after="0"/>
        <w:ind w:left="1080"/>
        <w:jc w:val="left"/>
      </w:pPr>
      <w:r>
        <w:lastRenderedPageBreak/>
        <w:t xml:space="preserve">Web </w:t>
      </w:r>
      <w:r>
        <w:rPr>
          <w:b/>
        </w:rPr>
        <w:t>monitoring</w:t>
      </w:r>
      <w:r>
        <w:t xml:space="preserve">. </w:t>
      </w:r>
    </w:p>
    <w:p w14:paraId="73170F0D" w14:textId="77777777" w:rsidR="00271E47" w:rsidRDefault="00271E47" w:rsidP="00271E47">
      <w:pPr>
        <w:spacing w:after="0"/>
        <w:jc w:val="left"/>
      </w:pPr>
    </w:p>
    <w:p w14:paraId="56A94E2C" w14:textId="77777777" w:rsidR="00271E47" w:rsidRDefault="00271E47" w:rsidP="00271E47">
      <w:pPr>
        <w:shd w:val="clear" w:color="auto" w:fill="FFFFFF"/>
        <w:spacing w:after="0"/>
      </w:pPr>
      <w:r>
        <w:t xml:space="preserve">The core functionality of the service is extended by the inclusion of </w:t>
      </w:r>
      <w:r>
        <w:rPr>
          <w:b/>
          <w:i/>
        </w:rPr>
        <w:t>WebFTS</w:t>
      </w:r>
      <w:r>
        <w:t xml:space="preserve">, a standalone Web-based interface that provides easy access to FTS3 features for end-users. WebFTS provides the same multi-protocol support as FTS3, but with a two-panel interface (shown in Figure 16) through which users can submit and monitor data transfers instead of using the command-line client, making it a very useful tool for transferring files between Grid and non-Grid resources. </w:t>
      </w:r>
    </w:p>
    <w:p w14:paraId="3828CFEB" w14:textId="77777777" w:rsidR="00271E47" w:rsidRDefault="00271E47" w:rsidP="00271E47">
      <w:pPr>
        <w:shd w:val="clear" w:color="auto" w:fill="FFFFFF"/>
        <w:spacing w:after="0"/>
      </w:pPr>
      <w:r>
        <w:rPr>
          <w:noProof/>
        </w:rPr>
        <w:drawing>
          <wp:inline distT="114300" distB="114300" distL="114300" distR="114300" wp14:anchorId="10578895" wp14:editId="62D750B2">
            <wp:extent cx="5731200" cy="2743200"/>
            <wp:effectExtent l="0" t="0" r="0" b="0"/>
            <wp:docPr id="200" name="image31.png" descr="WebFTS transfer submission interface"/>
            <wp:cNvGraphicFramePr/>
            <a:graphic xmlns:a="http://schemas.openxmlformats.org/drawingml/2006/main">
              <a:graphicData uri="http://schemas.openxmlformats.org/drawingml/2006/picture">
                <pic:pic xmlns:pic="http://schemas.openxmlformats.org/drawingml/2006/picture">
                  <pic:nvPicPr>
                    <pic:cNvPr id="200" name="image31.png" descr="WebFTS transfer submission interface"/>
                    <pic:cNvPicPr preferRelativeResize="0"/>
                  </pic:nvPicPr>
                  <pic:blipFill>
                    <a:blip r:embed="rId33"/>
                    <a:srcRect/>
                    <a:stretch>
                      <a:fillRect/>
                    </a:stretch>
                  </pic:blipFill>
                  <pic:spPr>
                    <a:xfrm>
                      <a:off x="0" y="0"/>
                      <a:ext cx="5731200" cy="2743200"/>
                    </a:xfrm>
                    <a:prstGeom prst="rect">
                      <a:avLst/>
                    </a:prstGeom>
                    <a:ln/>
                  </pic:spPr>
                </pic:pic>
              </a:graphicData>
            </a:graphic>
          </wp:inline>
        </w:drawing>
      </w:r>
    </w:p>
    <w:p w14:paraId="10BD2D5C" w14:textId="77777777" w:rsidR="00271E47" w:rsidRPr="00347D12" w:rsidRDefault="00271E47" w:rsidP="00271E47">
      <w:pPr>
        <w:spacing w:after="200" w:line="240" w:lineRule="auto"/>
        <w:jc w:val="center"/>
        <w:rPr>
          <w:i/>
          <w:iCs/>
          <w:sz w:val="24"/>
          <w:szCs w:val="24"/>
        </w:rPr>
      </w:pPr>
      <w:r w:rsidRPr="00347D12">
        <w:rPr>
          <w:i/>
          <w:iCs/>
          <w:sz w:val="18"/>
          <w:szCs w:val="18"/>
        </w:rPr>
        <w:t>Figure 16. WebFTS transfer submission interface</w:t>
      </w:r>
    </w:p>
    <w:p w14:paraId="4481E4BC" w14:textId="77777777" w:rsidR="00271E47" w:rsidRDefault="00271E47" w:rsidP="00271E47">
      <w:pPr>
        <w:shd w:val="clear" w:color="auto" w:fill="FFFFFF"/>
        <w:spacing w:after="0"/>
      </w:pPr>
    </w:p>
    <w:p w14:paraId="4630D09F" w14:textId="01FBBBE1" w:rsidR="00271E47" w:rsidRDefault="00271E47" w:rsidP="00271E47">
      <w:pPr>
        <w:shd w:val="clear" w:color="auto" w:fill="FFFFFF"/>
        <w:spacing w:after="0"/>
      </w:pPr>
      <w:r>
        <w:rPr>
          <w:highlight w:val="white"/>
        </w:rPr>
        <w:t>Access to FTS3 is currently done through X.509 certificates or proxy</w:t>
      </w:r>
      <w:r>
        <w:rPr>
          <w:highlight w:val="white"/>
          <w:vertAlign w:val="superscript"/>
        </w:rPr>
        <w:footnoteReference w:id="71"/>
      </w:r>
      <w:r>
        <w:rPr>
          <w:highlight w:val="white"/>
        </w:rPr>
        <w:t xml:space="preserve">, but </w:t>
      </w:r>
      <w:r w:rsidR="00C804E2">
        <w:rPr>
          <w:highlight w:val="white"/>
        </w:rPr>
        <w:t>OIDC support</w:t>
      </w:r>
      <w:r>
        <w:rPr>
          <w:highlight w:val="white"/>
        </w:rPr>
        <w:t xml:space="preserve"> is expected to be added, which will allow integration with EGI Check-in. </w:t>
      </w:r>
    </w:p>
    <w:p w14:paraId="59C032CF" w14:textId="77777777" w:rsidR="00271E47" w:rsidRDefault="00271E47" w:rsidP="00271E47"/>
    <w:p w14:paraId="3D6A213E" w14:textId="77777777" w:rsidR="00271E47" w:rsidRDefault="00271E47" w:rsidP="00271E47">
      <w:pPr>
        <w:pStyle w:val="Heading2"/>
        <w:numPr>
          <w:ilvl w:val="1"/>
          <w:numId w:val="13"/>
        </w:numPr>
        <w:ind w:left="576" w:hanging="576"/>
      </w:pPr>
      <w:bookmarkStart w:id="66" w:name="_heading=h.1pxezwc" w:colFirst="0" w:colLast="0"/>
      <w:bookmarkStart w:id="67" w:name="_Toc116449131"/>
      <w:bookmarkEnd w:id="66"/>
      <w:r>
        <w:t>Rucio</w:t>
      </w:r>
      <w:bookmarkEnd w:id="67"/>
    </w:p>
    <w:p w14:paraId="2B8A0C89" w14:textId="634AA158" w:rsidR="00271E47" w:rsidRDefault="00271E47" w:rsidP="00271E47">
      <w:pPr>
        <w:spacing w:after="200"/>
      </w:pPr>
      <w:r>
        <w:t>Rucio</w:t>
      </w:r>
      <w:r>
        <w:rPr>
          <w:vertAlign w:val="superscript"/>
        </w:rPr>
        <w:footnoteReference w:id="72"/>
      </w:r>
      <w:r>
        <w:t xml:space="preserve"> is a data management piece of software designed to manage large volumes of data across multiple sites and a variety of storage endpoints. It was developed by ATLAS</w:t>
      </w:r>
      <w:r>
        <w:rPr>
          <w:vertAlign w:val="superscript"/>
        </w:rPr>
        <w:footnoteReference w:id="73"/>
      </w:r>
      <w:r>
        <w:t xml:space="preserve"> as an open source </w:t>
      </w:r>
      <w:r w:rsidR="00C804E2">
        <w:t>project but</w:t>
      </w:r>
      <w:r>
        <w:t xml:space="preserve"> is now used and developed by a variety of communities inside and outside of the High Energy Physics field. The Rucio instance at </w:t>
      </w:r>
      <w:r>
        <w:rPr>
          <w:i/>
        </w:rPr>
        <w:t>Rutherford Appleton Laboratory</w:t>
      </w:r>
      <w:r>
        <w:t xml:space="preserve"> (RAL) can support multiple VOs at the same time, leveraging the power of Rucio to support the EGI-ACE use cases with a robust and performant data management solution that is being developed with the future of data and users in mind.</w:t>
      </w:r>
    </w:p>
    <w:p w14:paraId="6A0FA268" w14:textId="77777777" w:rsidR="00271E47" w:rsidRDefault="00271E47" w:rsidP="00271E47">
      <w:pPr>
        <w:spacing w:after="200"/>
      </w:pPr>
      <w:r>
        <w:t>As depicted in Figure 17, a Multi-VO Rucio instance has the following components:</w:t>
      </w:r>
    </w:p>
    <w:p w14:paraId="74D66A49" w14:textId="77777777" w:rsidR="00271E47" w:rsidRDefault="00271E47" w:rsidP="00271E47">
      <w:pPr>
        <w:numPr>
          <w:ilvl w:val="0"/>
          <w:numId w:val="23"/>
        </w:numPr>
        <w:spacing w:after="0"/>
      </w:pPr>
      <w:r>
        <w:t xml:space="preserve">The </w:t>
      </w:r>
      <w:r>
        <w:rPr>
          <w:b/>
        </w:rPr>
        <w:t>Rucio database</w:t>
      </w:r>
      <w:r>
        <w:t>, which stores the state of the service and the file namespace.</w:t>
      </w:r>
    </w:p>
    <w:p w14:paraId="60B8720C" w14:textId="246B5117" w:rsidR="00271E47" w:rsidRDefault="00271E47" w:rsidP="00271E47">
      <w:pPr>
        <w:numPr>
          <w:ilvl w:val="0"/>
          <w:numId w:val="23"/>
        </w:numPr>
        <w:spacing w:after="0"/>
      </w:pPr>
      <w:r>
        <w:lastRenderedPageBreak/>
        <w:t xml:space="preserve">The </w:t>
      </w:r>
      <w:r>
        <w:rPr>
          <w:b/>
        </w:rPr>
        <w:t>Rucio server</w:t>
      </w:r>
      <w:r>
        <w:t>, is implementing the service logic.</w:t>
      </w:r>
    </w:p>
    <w:p w14:paraId="1EFC1632" w14:textId="7F9EE8AB" w:rsidR="00271E47" w:rsidRDefault="00271E47" w:rsidP="00271E47">
      <w:pPr>
        <w:numPr>
          <w:ilvl w:val="0"/>
          <w:numId w:val="23"/>
        </w:numPr>
        <w:spacing w:after="0"/>
      </w:pPr>
      <w:r>
        <w:t xml:space="preserve">A </w:t>
      </w:r>
      <w:r>
        <w:rPr>
          <w:b/>
        </w:rPr>
        <w:t>CLI client</w:t>
      </w:r>
      <w:r>
        <w:t xml:space="preserve">, </w:t>
      </w:r>
      <w:r w:rsidR="00C804E2">
        <w:t>which is</w:t>
      </w:r>
      <w:r>
        <w:t xml:space="preserve"> the main user interface to interact with Rucio server.</w:t>
      </w:r>
    </w:p>
    <w:p w14:paraId="47EC3BDA" w14:textId="130157AA" w:rsidR="00271E47" w:rsidRDefault="00271E47" w:rsidP="00271E47">
      <w:pPr>
        <w:numPr>
          <w:ilvl w:val="0"/>
          <w:numId w:val="23"/>
        </w:numPr>
        <w:spacing w:after="0"/>
        <w:rPr>
          <w:b/>
        </w:rPr>
      </w:pPr>
      <w:r>
        <w:rPr>
          <w:b/>
        </w:rPr>
        <w:t>Daemon processes</w:t>
      </w:r>
      <w:r>
        <w:t xml:space="preserve">, </w:t>
      </w:r>
      <w:r w:rsidR="002307F5">
        <w:t>implements</w:t>
      </w:r>
      <w:r>
        <w:t xml:space="preserve"> the connection with the FTS server or directly with storage systems.</w:t>
      </w:r>
    </w:p>
    <w:p w14:paraId="4CC1032B" w14:textId="121C899C" w:rsidR="00271E47" w:rsidRDefault="00271E47" w:rsidP="00271E47">
      <w:pPr>
        <w:numPr>
          <w:ilvl w:val="0"/>
          <w:numId w:val="23"/>
        </w:numPr>
        <w:spacing w:after="200"/>
      </w:pPr>
      <w:r>
        <w:rPr>
          <w:b/>
        </w:rPr>
        <w:t>A tape archive</w:t>
      </w:r>
      <w:r>
        <w:t xml:space="preserve">, is used to </w:t>
      </w:r>
      <w:r w:rsidR="002307F5">
        <w:t>backup</w:t>
      </w:r>
      <w:r>
        <w:t xml:space="preserve"> the Rucio database.</w:t>
      </w:r>
    </w:p>
    <w:p w14:paraId="23A374D2" w14:textId="77777777" w:rsidR="00271E47" w:rsidRDefault="00271E47" w:rsidP="00271E47">
      <w:pPr>
        <w:spacing w:after="200"/>
      </w:pPr>
    </w:p>
    <w:p w14:paraId="50C55ADA" w14:textId="77777777" w:rsidR="00271E47" w:rsidRDefault="00271E47" w:rsidP="00271E47">
      <w:pPr>
        <w:spacing w:after="200"/>
      </w:pPr>
      <w:r>
        <w:t>Rucio orchestrates the transfer of data according to the rules created by the users. Rucio moves data by communicating with the FTS instance at STFC (the Science and Technology Facilities Council in UK, see Section 5.2 for more information about FTS) to transfer the data between storage endpoints.</w:t>
      </w:r>
    </w:p>
    <w:p w14:paraId="3E3B50BC" w14:textId="77777777" w:rsidR="00271E47" w:rsidRDefault="00271E47" w:rsidP="00271E47">
      <w:pPr>
        <w:keepNext/>
        <w:spacing w:after="200"/>
        <w:jc w:val="left"/>
      </w:pPr>
      <w:r>
        <w:rPr>
          <w:noProof/>
        </w:rPr>
        <w:drawing>
          <wp:inline distT="114300" distB="114300" distL="114300" distR="114300" wp14:anchorId="17794E6E" wp14:editId="38D48F2E">
            <wp:extent cx="5731200" cy="2451100"/>
            <wp:effectExtent l="0" t="0" r="0" b="0"/>
            <wp:docPr id="198" name="image26.png" descr="Architecture of the Rucio service. Check-in/IAM integration is under development."/>
            <wp:cNvGraphicFramePr/>
            <a:graphic xmlns:a="http://schemas.openxmlformats.org/drawingml/2006/main">
              <a:graphicData uri="http://schemas.openxmlformats.org/drawingml/2006/picture">
                <pic:pic xmlns:pic="http://schemas.openxmlformats.org/drawingml/2006/picture">
                  <pic:nvPicPr>
                    <pic:cNvPr id="198" name="image26.png" descr="Architecture of the Rucio service. Check-in/IAM integration is under development."/>
                    <pic:cNvPicPr preferRelativeResize="0"/>
                  </pic:nvPicPr>
                  <pic:blipFill>
                    <a:blip r:embed="rId34"/>
                    <a:srcRect/>
                    <a:stretch>
                      <a:fillRect/>
                    </a:stretch>
                  </pic:blipFill>
                  <pic:spPr>
                    <a:xfrm>
                      <a:off x="0" y="0"/>
                      <a:ext cx="5731200" cy="2451100"/>
                    </a:xfrm>
                    <a:prstGeom prst="rect">
                      <a:avLst/>
                    </a:prstGeom>
                    <a:ln/>
                  </pic:spPr>
                </pic:pic>
              </a:graphicData>
            </a:graphic>
          </wp:inline>
        </w:drawing>
      </w:r>
    </w:p>
    <w:p w14:paraId="04951996" w14:textId="77777777" w:rsidR="00271E47" w:rsidRDefault="00271E47" w:rsidP="00271E47">
      <w:pPr>
        <w:pBdr>
          <w:top w:val="nil"/>
          <w:left w:val="nil"/>
          <w:bottom w:val="nil"/>
          <w:right w:val="nil"/>
          <w:between w:val="nil"/>
        </w:pBdr>
        <w:spacing w:after="200" w:line="240" w:lineRule="auto"/>
        <w:jc w:val="center"/>
        <w:rPr>
          <w:color w:val="000000"/>
          <w:sz w:val="18"/>
          <w:szCs w:val="18"/>
        </w:rPr>
      </w:pPr>
      <w:bookmarkStart w:id="68" w:name="_heading=h.3dy6vkm" w:colFirst="0" w:colLast="0"/>
      <w:bookmarkEnd w:id="68"/>
      <w:r w:rsidRPr="00347D12">
        <w:rPr>
          <w:i/>
          <w:iCs/>
          <w:color w:val="000000"/>
          <w:sz w:val="18"/>
          <w:szCs w:val="18"/>
        </w:rPr>
        <w:t>Figure 1</w:t>
      </w:r>
      <w:r w:rsidRPr="00347D12">
        <w:rPr>
          <w:i/>
          <w:iCs/>
          <w:sz w:val="18"/>
          <w:szCs w:val="18"/>
        </w:rPr>
        <w:t>7</w:t>
      </w:r>
      <w:r w:rsidRPr="00347D12">
        <w:rPr>
          <w:i/>
          <w:iCs/>
          <w:color w:val="000000"/>
          <w:sz w:val="18"/>
          <w:szCs w:val="18"/>
        </w:rPr>
        <w:t xml:space="preserve">. </w:t>
      </w:r>
      <w:r w:rsidRPr="00347D12">
        <w:rPr>
          <w:i/>
          <w:iCs/>
          <w:sz w:val="18"/>
          <w:szCs w:val="18"/>
        </w:rPr>
        <w:t>A</w:t>
      </w:r>
      <w:r w:rsidRPr="00347D12">
        <w:rPr>
          <w:i/>
          <w:iCs/>
          <w:color w:val="000000"/>
          <w:sz w:val="18"/>
          <w:szCs w:val="18"/>
        </w:rPr>
        <w:t>rchitecture of the Rucio service. Check-in</w:t>
      </w:r>
      <w:r w:rsidRPr="00347D12">
        <w:rPr>
          <w:i/>
          <w:iCs/>
          <w:sz w:val="18"/>
          <w:szCs w:val="18"/>
        </w:rPr>
        <w:t>/IAM</w:t>
      </w:r>
      <w:r w:rsidRPr="00347D12">
        <w:rPr>
          <w:i/>
          <w:iCs/>
          <w:color w:val="000000"/>
          <w:sz w:val="18"/>
          <w:szCs w:val="18"/>
        </w:rPr>
        <w:t xml:space="preserve"> integration is under development</w:t>
      </w:r>
      <w:r>
        <w:rPr>
          <w:color w:val="000000"/>
          <w:sz w:val="18"/>
          <w:szCs w:val="18"/>
        </w:rPr>
        <w:t>.</w:t>
      </w:r>
    </w:p>
    <w:p w14:paraId="67034870" w14:textId="77777777" w:rsidR="00271E47" w:rsidRDefault="00271E47" w:rsidP="00271E47">
      <w:pPr>
        <w:spacing w:after="200"/>
      </w:pPr>
      <w:r>
        <w:t>Users can access Rucio in two ways:</w:t>
      </w:r>
    </w:p>
    <w:p w14:paraId="03FECC54" w14:textId="77777777" w:rsidR="00271E47" w:rsidRDefault="00271E47" w:rsidP="00271E47">
      <w:pPr>
        <w:numPr>
          <w:ilvl w:val="0"/>
          <w:numId w:val="32"/>
        </w:numPr>
        <w:spacing w:after="0"/>
      </w:pPr>
      <w:r>
        <w:t>Using the Bastion, a VM hosted at RAL.</w:t>
      </w:r>
    </w:p>
    <w:p w14:paraId="60F16B9C" w14:textId="77777777" w:rsidR="00271E47" w:rsidRDefault="00271E47" w:rsidP="00271E47">
      <w:pPr>
        <w:numPr>
          <w:ilvl w:val="0"/>
          <w:numId w:val="32"/>
        </w:numPr>
        <w:spacing w:after="200"/>
      </w:pPr>
      <w:r>
        <w:t>Using a containerised client that the user can install on their own machines.</w:t>
      </w:r>
    </w:p>
    <w:p w14:paraId="28BA293F" w14:textId="138CA7F2" w:rsidR="00271E47" w:rsidRDefault="00271E47" w:rsidP="00271E47">
      <w:pPr>
        <w:spacing w:after="200"/>
      </w:pPr>
      <w:r>
        <w:t xml:space="preserve">Both systems provide the same CLI </w:t>
      </w:r>
      <w:r w:rsidR="000742A9">
        <w:t>interface,</w:t>
      </w:r>
      <w:r>
        <w:t xml:space="preserve"> but the containerised client allows local volumes to be mounted for easy uploading and downloading of data. Rucio also has a Web-based interface, which is planned to be functional within Multi-VO Rucio and will allow users to manage their data, account, and account properties using a Web interface. </w:t>
      </w:r>
    </w:p>
    <w:p w14:paraId="08CD2D1B" w14:textId="0CA54CD8" w:rsidR="00271E47" w:rsidRDefault="00271E47" w:rsidP="00271E47">
      <w:pPr>
        <w:spacing w:after="200"/>
      </w:pPr>
      <w:r>
        <w:t xml:space="preserve">Authentication and authorisation in Multi-VO </w:t>
      </w:r>
      <w:r w:rsidR="000742A9">
        <w:t>Rucio can</w:t>
      </w:r>
      <w:r>
        <w:t xml:space="preserve"> be done by means of X.509 certificates, an X.509 proxy, or the traditional (and less secure) username and password. Integration with EGI-Check-in (see Section 2.1) is planned by the end of 2022, which will allow a wider range of users to authenticate with Rucio as a service.</w:t>
      </w:r>
    </w:p>
    <w:p w14:paraId="424828C5" w14:textId="77777777" w:rsidR="00271E47" w:rsidRDefault="00271E47" w:rsidP="00271E47">
      <w:pPr>
        <w:spacing w:after="200"/>
      </w:pPr>
      <w:r>
        <w:t>To ensure redundancy and data preservation, Rucio’s database is backed up daily in an external archive. There are also plans to implement a failover database for faster recovery from downtime caused by a database outage.</w:t>
      </w:r>
    </w:p>
    <w:p w14:paraId="6550DDBD" w14:textId="58735222" w:rsidR="00271E47" w:rsidRDefault="00271E47" w:rsidP="00271E47">
      <w:pPr>
        <w:spacing w:after="200"/>
      </w:pPr>
      <w:r>
        <w:lastRenderedPageBreak/>
        <w:t xml:space="preserve">Each VO will inform Rucio of its storage endpoints by configuring them via the admin interface. Rucio and FTS support a wide range of protocols and endpoints. VOs can customise the permissions model and the schema for data placement with the use of Rucio policy packages, which are Python packages written and maintained by the </w:t>
      </w:r>
      <w:r w:rsidR="000742A9">
        <w:t>VO.</w:t>
      </w:r>
      <w:r>
        <w:t xml:space="preserve"> Generic policy packages are provided with Rucio, which can be reused and adapted by the VO.</w:t>
      </w:r>
    </w:p>
    <w:p w14:paraId="6A578322" w14:textId="77777777" w:rsidR="00271E47" w:rsidRDefault="00271E47" w:rsidP="00271E47">
      <w:pPr>
        <w:spacing w:after="200"/>
      </w:pPr>
      <w:r>
        <w:t>Multi-VO Rucio’s goal is to assist EGI communities with its powerful Rucio software as a service, helping them prepare to use Rucio, registering accounts, configuring storage endpoints, customising policy packages, and providing a point of contact for troubleshooting and assistance.</w:t>
      </w:r>
    </w:p>
    <w:p w14:paraId="3A4EA9A3" w14:textId="77777777" w:rsidR="00271E47" w:rsidRDefault="00271E47" w:rsidP="00271E47">
      <w:pPr>
        <w:pStyle w:val="Heading2"/>
        <w:numPr>
          <w:ilvl w:val="1"/>
          <w:numId w:val="13"/>
        </w:numPr>
        <w:ind w:left="576" w:hanging="576"/>
      </w:pPr>
      <w:bookmarkStart w:id="69" w:name="_heading=h.49x2ik5" w:colFirst="0" w:colLast="0"/>
      <w:bookmarkStart w:id="70" w:name="_Toc116449132"/>
      <w:bookmarkEnd w:id="69"/>
      <w:r>
        <w:t>openRDM</w:t>
      </w:r>
      <w:bookmarkEnd w:id="70"/>
    </w:p>
    <w:p w14:paraId="76CE9679" w14:textId="60A59DEF" w:rsidR="00271E47" w:rsidRDefault="00271E47" w:rsidP="00271E47">
      <w:r>
        <w:rPr>
          <w:i/>
        </w:rPr>
        <w:t>openRDM</w:t>
      </w:r>
      <w:r>
        <w:t xml:space="preserve"> is a service for storing inventory and datasets associated with the experiments conducted in a laboratory during a research activity. It implements </w:t>
      </w:r>
      <w:r w:rsidR="000742A9">
        <w:t>a digital</w:t>
      </w:r>
      <w:r>
        <w:t xml:space="preserve"> notebook to describe the computational experiments and link it with the materials, samples and protocols stored in the inventory. Additionally, it also allows to perform data analysis (</w:t>
      </w:r>
      <w:r>
        <w:rPr>
          <w:i/>
        </w:rPr>
        <w:t>e.g</w:t>
      </w:r>
      <w:r>
        <w:t xml:space="preserve"> via Jupyter) and to execute workflows in computing clusters.</w:t>
      </w:r>
    </w:p>
    <w:p w14:paraId="6E6F8C00" w14:textId="77777777" w:rsidR="00271E47" w:rsidRDefault="00271E47" w:rsidP="00271E47">
      <w:r>
        <w:t>The service is based on the openBis Active Research Data Management (ARDM) platform</w:t>
      </w:r>
      <w:r>
        <w:rPr>
          <w:vertAlign w:val="superscript"/>
        </w:rPr>
        <w:footnoteReference w:id="74"/>
      </w:r>
      <w:r>
        <w:t>, which has been developed over the last twelve years by the Scientific IT Services of Informatikdienste (ID SIS) at ETH Zurich. ARDM is the process of organising data during an ongoing research project, consisting of annotation, storage and backup of the data.</w:t>
      </w:r>
    </w:p>
    <w:p w14:paraId="485AD981" w14:textId="77777777" w:rsidR="00271E47" w:rsidRDefault="00271E47" w:rsidP="00271E47">
      <w:pPr>
        <w:keepNext/>
        <w:jc w:val="center"/>
      </w:pPr>
      <w:r>
        <w:rPr>
          <w:noProof/>
        </w:rPr>
        <w:drawing>
          <wp:inline distT="19050" distB="19050" distL="19050" distR="19050" wp14:anchorId="79E49B94" wp14:editId="3856CC0D">
            <wp:extent cx="4432750" cy="2970876"/>
            <wp:effectExtent l="0" t="0" r="0" b="0"/>
            <wp:docPr id="199" name="image29.png" descr="openRDM functionalities"/>
            <wp:cNvGraphicFramePr/>
            <a:graphic xmlns:a="http://schemas.openxmlformats.org/drawingml/2006/main">
              <a:graphicData uri="http://schemas.openxmlformats.org/drawingml/2006/picture">
                <pic:pic xmlns:pic="http://schemas.openxmlformats.org/drawingml/2006/picture">
                  <pic:nvPicPr>
                    <pic:cNvPr id="199" name="image29.png" descr="openRDM functionalities"/>
                    <pic:cNvPicPr preferRelativeResize="0"/>
                  </pic:nvPicPr>
                  <pic:blipFill>
                    <a:blip r:embed="rId35"/>
                    <a:srcRect/>
                    <a:stretch>
                      <a:fillRect/>
                    </a:stretch>
                  </pic:blipFill>
                  <pic:spPr>
                    <a:xfrm>
                      <a:off x="0" y="0"/>
                      <a:ext cx="4432750" cy="2970876"/>
                    </a:xfrm>
                    <a:prstGeom prst="rect">
                      <a:avLst/>
                    </a:prstGeom>
                    <a:ln/>
                  </pic:spPr>
                </pic:pic>
              </a:graphicData>
            </a:graphic>
          </wp:inline>
        </w:drawing>
      </w:r>
    </w:p>
    <w:p w14:paraId="60570D4B" w14:textId="77777777" w:rsidR="00271E47" w:rsidRPr="00347D12" w:rsidRDefault="00271E47" w:rsidP="00271E47">
      <w:pPr>
        <w:pBdr>
          <w:top w:val="nil"/>
          <w:left w:val="nil"/>
          <w:bottom w:val="nil"/>
          <w:right w:val="nil"/>
          <w:between w:val="nil"/>
        </w:pBdr>
        <w:spacing w:after="200" w:line="240" w:lineRule="auto"/>
        <w:jc w:val="center"/>
        <w:rPr>
          <w:i/>
          <w:iCs/>
          <w:color w:val="000000"/>
          <w:sz w:val="18"/>
          <w:szCs w:val="18"/>
        </w:rPr>
      </w:pPr>
      <w:r w:rsidRPr="00347D12">
        <w:rPr>
          <w:i/>
          <w:iCs/>
          <w:color w:val="000000"/>
          <w:sz w:val="18"/>
          <w:szCs w:val="18"/>
        </w:rPr>
        <w:t>Figure 1</w:t>
      </w:r>
      <w:r w:rsidRPr="00347D12">
        <w:rPr>
          <w:i/>
          <w:iCs/>
          <w:sz w:val="18"/>
          <w:szCs w:val="18"/>
        </w:rPr>
        <w:t>8</w:t>
      </w:r>
      <w:r w:rsidRPr="00347D12">
        <w:rPr>
          <w:i/>
          <w:iCs/>
          <w:color w:val="000000"/>
          <w:sz w:val="18"/>
          <w:szCs w:val="18"/>
        </w:rPr>
        <w:t xml:space="preserve">. </w:t>
      </w:r>
      <w:r w:rsidRPr="00347D12">
        <w:rPr>
          <w:i/>
          <w:iCs/>
          <w:sz w:val="18"/>
          <w:szCs w:val="18"/>
        </w:rPr>
        <w:t>o</w:t>
      </w:r>
      <w:r w:rsidRPr="00347D12">
        <w:rPr>
          <w:i/>
          <w:iCs/>
          <w:color w:val="000000"/>
          <w:sz w:val="18"/>
          <w:szCs w:val="18"/>
        </w:rPr>
        <w:t xml:space="preserve">penRDM </w:t>
      </w:r>
      <w:r w:rsidRPr="00347D12">
        <w:rPr>
          <w:i/>
          <w:iCs/>
          <w:sz w:val="18"/>
          <w:szCs w:val="18"/>
        </w:rPr>
        <w:t>functionalities</w:t>
      </w:r>
    </w:p>
    <w:p w14:paraId="06A5D183" w14:textId="77777777" w:rsidR="00271E47" w:rsidRDefault="00271E47" w:rsidP="00271E47">
      <w:r>
        <w:t xml:space="preserve">As presented in Figure 18, openBIS is a server-client application: the remote server hosts the database and storage backends that users access from their local machines via a Web browser. It enables scientists to meet the increasingly demanding requirements of funding </w:t>
      </w:r>
      <w:r>
        <w:lastRenderedPageBreak/>
        <w:t>agencies, journals, and academic institutions to publish data according to the FAIR data principles – according to which data must be Findable, Accessible, Interoperable and Reusable</w:t>
      </w:r>
      <w:r>
        <w:rPr>
          <w:vertAlign w:val="superscript"/>
        </w:rPr>
        <w:footnoteReference w:id="75"/>
      </w:r>
      <w:r>
        <w:t xml:space="preserve">. The system is available in two versions: (i) a specific one for life sciences and (ii) a generic and customisable one for other scientific disciplines. </w:t>
      </w:r>
    </w:p>
    <w:p w14:paraId="22634B35" w14:textId="77777777" w:rsidR="00271E47" w:rsidRDefault="00271E47" w:rsidP="00271E47">
      <w:r>
        <w:t>The openRDM service consists of the following service components:</w:t>
      </w:r>
    </w:p>
    <w:p w14:paraId="56490812" w14:textId="6E60C6DB" w:rsidR="00271E47" w:rsidRDefault="00271E47" w:rsidP="00271E47">
      <w:pPr>
        <w:numPr>
          <w:ilvl w:val="0"/>
          <w:numId w:val="18"/>
        </w:numPr>
        <w:spacing w:after="0"/>
      </w:pPr>
      <w:r>
        <w:t xml:space="preserve">A </w:t>
      </w:r>
      <w:r>
        <w:rPr>
          <w:i/>
        </w:rPr>
        <w:t xml:space="preserve">Preview </w:t>
      </w:r>
      <w:r>
        <w:t xml:space="preserve">openBIS server installed and configured on cloud infrastructure, intended for end-users to learn the </w:t>
      </w:r>
      <w:r w:rsidR="000742A9">
        <w:t>service,</w:t>
      </w:r>
      <w:r>
        <w:t xml:space="preserve"> and eventually plan a deployment on-premises and/or on a private cloud. </w:t>
      </w:r>
    </w:p>
    <w:p w14:paraId="4AC76FE2" w14:textId="77777777" w:rsidR="00271E47" w:rsidRDefault="00271E47" w:rsidP="00271E47">
      <w:pPr>
        <w:numPr>
          <w:ilvl w:val="0"/>
          <w:numId w:val="15"/>
        </w:numPr>
        <w:spacing w:after="0"/>
      </w:pPr>
      <w:r>
        <w:t>Consultancy and support for the deployment of openBIS on-premises and/or on a private cloud.</w:t>
      </w:r>
    </w:p>
    <w:p w14:paraId="601C06AB" w14:textId="77777777" w:rsidR="00271E47" w:rsidRDefault="00271E47" w:rsidP="00271E47">
      <w:pPr>
        <w:numPr>
          <w:ilvl w:val="0"/>
          <w:numId w:val="15"/>
        </w:numPr>
        <w:spacing w:after="0"/>
      </w:pPr>
      <w:r>
        <w:t>User support, including generation of data models, import of data into openBIS and training in the use of openBIS as a data management platform.</w:t>
      </w:r>
    </w:p>
    <w:p w14:paraId="2E38B898" w14:textId="77777777" w:rsidR="00271E47" w:rsidRDefault="00271E47" w:rsidP="00271E47">
      <w:pPr>
        <w:spacing w:after="0"/>
      </w:pPr>
      <w:r>
        <w:t xml:space="preserve"> </w:t>
      </w:r>
    </w:p>
    <w:p w14:paraId="510E7D54" w14:textId="5C3C5883" w:rsidR="00271E47" w:rsidRDefault="00271E47" w:rsidP="00271E47">
      <w:pPr>
        <w:rPr>
          <w:b/>
        </w:rPr>
      </w:pPr>
      <w:r>
        <w:t xml:space="preserve">The </w:t>
      </w:r>
      <w:r>
        <w:rPr>
          <w:i/>
        </w:rPr>
        <w:t>Preview</w:t>
      </w:r>
      <w:r>
        <w:t xml:space="preserve"> instance is currently running on the EGI Cloud IaaS, with a fully automated deployment procedure based on Ansible and integrated with EGI Check-in. Access to this cloud-based </w:t>
      </w:r>
      <w:r>
        <w:rPr>
          <w:i/>
        </w:rPr>
        <w:t xml:space="preserve">Preview </w:t>
      </w:r>
      <w:r>
        <w:t xml:space="preserve">instance is provided for end-user testing and on-boarding. In addition, consultancy and support are provided for on-premises deployment of the openRDM platform. In the case of the cloud-based Preview instance, no data backup and retention </w:t>
      </w:r>
      <w:r w:rsidR="000742A9">
        <w:t>are</w:t>
      </w:r>
      <w:r>
        <w:t xml:space="preserve"> provided.</w:t>
      </w:r>
    </w:p>
    <w:p w14:paraId="33EADEC0" w14:textId="77777777" w:rsidR="00271E47" w:rsidRDefault="00271E47" w:rsidP="00271E47">
      <w:pPr>
        <w:pStyle w:val="Heading1"/>
        <w:numPr>
          <w:ilvl w:val="0"/>
          <w:numId w:val="13"/>
        </w:numPr>
        <w:ind w:left="432" w:hanging="432"/>
      </w:pPr>
      <w:bookmarkStart w:id="71" w:name="_heading=h.xyj0d39qfhq2" w:colFirst="0" w:colLast="0"/>
      <w:bookmarkStart w:id="72" w:name="_Toc116449133"/>
      <w:bookmarkEnd w:id="71"/>
      <w:r>
        <w:lastRenderedPageBreak/>
        <w:t>Platforms</w:t>
      </w:r>
      <w:bookmarkEnd w:id="72"/>
    </w:p>
    <w:p w14:paraId="5470406B" w14:textId="77777777" w:rsidR="00271E47" w:rsidRDefault="00271E47" w:rsidP="00271E47">
      <w:r>
        <w:t>EGI-ACE platforms offer generic services that are widely used and not discipline-specific, covering the following functionality:</w:t>
      </w:r>
    </w:p>
    <w:p w14:paraId="71642C73" w14:textId="77777777" w:rsidR="00271E47" w:rsidRDefault="00271E47" w:rsidP="00271E47">
      <w:pPr>
        <w:numPr>
          <w:ilvl w:val="0"/>
          <w:numId w:val="16"/>
        </w:numPr>
        <w:pBdr>
          <w:top w:val="nil"/>
          <w:left w:val="nil"/>
          <w:bottom w:val="nil"/>
          <w:right w:val="nil"/>
          <w:between w:val="nil"/>
        </w:pBdr>
        <w:spacing w:after="0"/>
      </w:pPr>
      <w:r>
        <w:rPr>
          <w:b/>
          <w:color w:val="000000"/>
        </w:rPr>
        <w:t>Interactive Computing</w:t>
      </w:r>
      <w:r>
        <w:rPr>
          <w:color w:val="000000"/>
        </w:rPr>
        <w:t xml:space="preserve">, with a Jupyter-based service that allows </w:t>
      </w:r>
      <w:r>
        <w:t>users</w:t>
      </w:r>
      <w:r>
        <w:rPr>
          <w:color w:val="000000"/>
        </w:rPr>
        <w:t xml:space="preserve"> to create live documents that run on the EGI infrastructure. This is discussed in Section 6.3.</w:t>
      </w:r>
    </w:p>
    <w:p w14:paraId="2B0A20FA" w14:textId="77777777" w:rsidR="00271E47" w:rsidRDefault="00271E47" w:rsidP="00271E47">
      <w:pPr>
        <w:numPr>
          <w:ilvl w:val="0"/>
          <w:numId w:val="16"/>
        </w:numPr>
        <w:pBdr>
          <w:top w:val="nil"/>
          <w:left w:val="nil"/>
          <w:bottom w:val="nil"/>
          <w:right w:val="nil"/>
          <w:between w:val="nil"/>
        </w:pBdr>
        <w:spacing w:after="0"/>
      </w:pPr>
      <w:r>
        <w:rPr>
          <w:color w:val="000000"/>
        </w:rPr>
        <w:t xml:space="preserve">Scalable </w:t>
      </w:r>
      <w:r>
        <w:rPr>
          <w:b/>
          <w:color w:val="000000"/>
        </w:rPr>
        <w:t>deployment of big data tools and clusters</w:t>
      </w:r>
      <w:r>
        <w:t>, supported by</w:t>
      </w:r>
      <w:r>
        <w:rPr>
          <w:color w:val="000000"/>
        </w:rPr>
        <w:t xml:space="preserve"> EC3, PaaS Orchestrator and DODAS, </w:t>
      </w:r>
      <w:r>
        <w:t xml:space="preserve">enable </w:t>
      </w:r>
      <w:r>
        <w:rPr>
          <w:color w:val="000000"/>
        </w:rPr>
        <w:t>the creation of virtual infrastructures on top of IaaS resources</w:t>
      </w:r>
      <w:r>
        <w:t>. E</w:t>
      </w:r>
      <w:r>
        <w:rPr>
          <w:color w:val="000000"/>
        </w:rPr>
        <w:t xml:space="preserve">ach tool </w:t>
      </w:r>
      <w:r>
        <w:t>has its own</w:t>
      </w:r>
      <w:r>
        <w:rPr>
          <w:color w:val="000000"/>
        </w:rPr>
        <w:t xml:space="preserve"> levels of abstractions and features, and are discussed in Sections 6.2, 6.3 and </w:t>
      </w:r>
      <w:r>
        <w:t>6.4</w:t>
      </w:r>
      <w:r>
        <w:rPr>
          <w:color w:val="000000"/>
        </w:rPr>
        <w:t>.</w:t>
      </w:r>
    </w:p>
    <w:p w14:paraId="3E9FF18F" w14:textId="77777777" w:rsidR="00271E47" w:rsidRDefault="00271E47" w:rsidP="00271E47">
      <w:pPr>
        <w:numPr>
          <w:ilvl w:val="0"/>
          <w:numId w:val="16"/>
        </w:numPr>
        <w:pBdr>
          <w:top w:val="nil"/>
          <w:left w:val="nil"/>
          <w:bottom w:val="nil"/>
          <w:right w:val="nil"/>
          <w:between w:val="nil"/>
        </w:pBdr>
      </w:pPr>
      <w:r>
        <w:rPr>
          <w:b/>
          <w:color w:val="000000"/>
        </w:rPr>
        <w:t>AI/ML training,</w:t>
      </w:r>
      <w:r>
        <w:rPr>
          <w:color w:val="000000"/>
        </w:rPr>
        <w:t xml:space="preserve"> with the DEEP training facility service that supports the </w:t>
      </w:r>
      <w:r>
        <w:rPr>
          <w:i/>
          <w:color w:val="000000"/>
        </w:rPr>
        <w:t>train-test-evaluation</w:t>
      </w:r>
      <w:r>
        <w:rPr>
          <w:color w:val="000000"/>
        </w:rPr>
        <w:t xml:space="preserve"> cycle for prototyping AI models and applications.</w:t>
      </w:r>
    </w:p>
    <w:p w14:paraId="1902D384" w14:textId="77777777" w:rsidR="00271E47" w:rsidRDefault="00271E47" w:rsidP="00271E47">
      <w:r>
        <w:t>As with the Federated Compute and Federated Data areas, these services are partially integrated with the Core Services described in Section 2. All services integrate with Federated Identity access, Monitoring, Configuration Database, and Helpdesk. Accounting (including the definition of new records) is in progress.</w:t>
      </w:r>
    </w:p>
    <w:p w14:paraId="1C793D41" w14:textId="77777777" w:rsidR="00271E47" w:rsidRDefault="00271E47" w:rsidP="00271E47">
      <w:pPr>
        <w:pStyle w:val="Heading2"/>
        <w:numPr>
          <w:ilvl w:val="1"/>
          <w:numId w:val="13"/>
        </w:numPr>
        <w:ind w:left="576" w:hanging="576"/>
      </w:pPr>
      <w:bookmarkStart w:id="73" w:name="_heading=h.3o7alnk" w:colFirst="0" w:colLast="0"/>
      <w:bookmarkStart w:id="74" w:name="_Toc116449134"/>
      <w:bookmarkEnd w:id="73"/>
      <w:r>
        <w:t>Notebooks</w:t>
      </w:r>
      <w:bookmarkEnd w:id="74"/>
    </w:p>
    <w:p w14:paraId="722FB955" w14:textId="77777777" w:rsidR="00271E47" w:rsidRDefault="00271E47" w:rsidP="00271E47">
      <w:pPr>
        <w:rPr>
          <w:highlight w:val="white"/>
        </w:rPr>
      </w:pPr>
      <w:r>
        <w:rPr>
          <w:highlight w:val="white"/>
        </w:rPr>
        <w:t>EGI Notebooks</w:t>
      </w:r>
      <w:r>
        <w:rPr>
          <w:highlight w:val="white"/>
          <w:vertAlign w:val="superscript"/>
        </w:rPr>
        <w:footnoteReference w:id="76"/>
      </w:r>
      <w:r>
        <w:rPr>
          <w:highlight w:val="white"/>
        </w:rPr>
        <w:t xml:space="preserve"> is a Web-based interactive development environment based on the JupyterHub</w:t>
      </w:r>
      <w:r>
        <w:rPr>
          <w:highlight w:val="white"/>
          <w:vertAlign w:val="superscript"/>
        </w:rPr>
        <w:footnoteReference w:id="77"/>
      </w:r>
      <w:r>
        <w:rPr>
          <w:highlight w:val="white"/>
        </w:rPr>
        <w:t xml:space="preserve"> technology that runs on a cloud provider of EGI-ACE (storage and compute infrastructures). This environment offers a flexible tool where users can create and share documents containing live code, equations, narrative text and rich media output (see Figure 19 for an example session). It is accessible to both individual users and members of a Virtual Organisation. Computing resources are provisioned from providers integrated with the EGI Federated Cloud. Basic storage capacity is equally provisioned from EGI cloud sites in the form of IaaS resources, but additional storage can be made available on a case-by-case basis from a variety of storage capacity providers, including: (i) The Onedata-based EGI DataHub, (ii) Object storage interfaces exposed by other providers members, and (iii) Specialised, area-specific dataset providers such as the Sentinels Collaborative Ground Segment for Earth Observation data. </w:t>
      </w:r>
    </w:p>
    <w:p w14:paraId="2BE5E01A" w14:textId="77777777" w:rsidR="00271E47" w:rsidRDefault="00271E47" w:rsidP="00271E47">
      <w:pPr>
        <w:jc w:val="center"/>
        <w:rPr>
          <w:highlight w:val="white"/>
        </w:rPr>
      </w:pPr>
      <w:r>
        <w:rPr>
          <w:noProof/>
          <w:highlight w:val="white"/>
        </w:rPr>
        <w:lastRenderedPageBreak/>
        <w:drawing>
          <wp:inline distT="114300" distB="114300" distL="114300" distR="114300" wp14:anchorId="4EE78F99" wp14:editId="768DBD29">
            <wp:extent cx="5731200" cy="3975100"/>
            <wp:effectExtent l="0" t="0" r="0" b="0"/>
            <wp:docPr id="170" name="image5.png" descr="EGI Notebooks interface showing a notebook execution with code and map visualisation."/>
            <wp:cNvGraphicFramePr/>
            <a:graphic xmlns:a="http://schemas.openxmlformats.org/drawingml/2006/main">
              <a:graphicData uri="http://schemas.openxmlformats.org/drawingml/2006/picture">
                <pic:pic xmlns:pic="http://schemas.openxmlformats.org/drawingml/2006/picture">
                  <pic:nvPicPr>
                    <pic:cNvPr id="170" name="image5.png" descr="EGI Notebooks interface showing a notebook execution with code and map visualisation."/>
                    <pic:cNvPicPr preferRelativeResize="0"/>
                  </pic:nvPicPr>
                  <pic:blipFill>
                    <a:blip r:embed="rId36"/>
                    <a:srcRect/>
                    <a:stretch>
                      <a:fillRect/>
                    </a:stretch>
                  </pic:blipFill>
                  <pic:spPr>
                    <a:xfrm>
                      <a:off x="0" y="0"/>
                      <a:ext cx="5731200" cy="3975100"/>
                    </a:xfrm>
                    <a:prstGeom prst="rect">
                      <a:avLst/>
                    </a:prstGeom>
                    <a:ln/>
                  </pic:spPr>
                </pic:pic>
              </a:graphicData>
            </a:graphic>
          </wp:inline>
        </w:drawing>
      </w:r>
    </w:p>
    <w:p w14:paraId="2CD3006A" w14:textId="77777777" w:rsidR="00271E47" w:rsidRDefault="00271E47" w:rsidP="00271E47">
      <w:pPr>
        <w:spacing w:after="200" w:line="240" w:lineRule="auto"/>
        <w:jc w:val="center"/>
        <w:rPr>
          <w:sz w:val="18"/>
          <w:szCs w:val="18"/>
        </w:rPr>
      </w:pPr>
      <w:r w:rsidRPr="00347D12">
        <w:rPr>
          <w:i/>
          <w:iCs/>
          <w:sz w:val="18"/>
          <w:szCs w:val="18"/>
        </w:rPr>
        <w:t>Figure 19. EGI Notebooks interface showing a notebook execution with code and map visualisation</w:t>
      </w:r>
      <w:r>
        <w:rPr>
          <w:sz w:val="18"/>
          <w:szCs w:val="18"/>
        </w:rPr>
        <w:t>.</w:t>
      </w:r>
    </w:p>
    <w:p w14:paraId="35C3BA79" w14:textId="77777777" w:rsidR="00271E47" w:rsidRDefault="00271E47" w:rsidP="00271E47">
      <w:pPr>
        <w:rPr>
          <w:highlight w:val="white"/>
        </w:rPr>
      </w:pPr>
    </w:p>
    <w:p w14:paraId="30D5973D" w14:textId="77777777" w:rsidR="00271E47" w:rsidRDefault="00271E47" w:rsidP="00271E47">
      <w:pPr>
        <w:rPr>
          <w:highlight w:val="white"/>
        </w:rPr>
      </w:pPr>
      <w:r>
        <w:rPr>
          <w:highlight w:val="white"/>
        </w:rPr>
        <w:t xml:space="preserve">Users are authorised to use EGI Notebooks through the EGI Check-in service described in Section 2.1. An essential set of Notebook images is provided universally to all incoming users, and additional images can be made available on request supporting various programming languages like Python, Julia, R, Octave or MATLAB. The EGI notebooks storage is backed-up and restored from a S3 service provided by CESNET. User-defined environments built on-the-fly is facilitated through the </w:t>
      </w:r>
      <w:r>
        <w:rPr>
          <w:i/>
          <w:highlight w:val="white"/>
        </w:rPr>
        <w:t xml:space="preserve">Binder </w:t>
      </w:r>
      <w:r>
        <w:rPr>
          <w:highlight w:val="white"/>
        </w:rPr>
        <w:t>service</w:t>
      </w:r>
      <w:r>
        <w:rPr>
          <w:highlight w:val="white"/>
          <w:vertAlign w:val="superscript"/>
        </w:rPr>
        <w:footnoteReference w:id="78"/>
      </w:r>
      <w:r>
        <w:rPr>
          <w:highlight w:val="white"/>
        </w:rPr>
        <w:t>, which shares the underlying infrastructure of EGI Notebooks. Furthermore, Notebook’s full integration with GitHub and Zenodo allows users to easily engage with the concept of Open Science. This relation is shown in the EGI Notebooks architecture depicted in Figure 20.</w:t>
      </w:r>
    </w:p>
    <w:p w14:paraId="0D17CC7D" w14:textId="77777777" w:rsidR="00271E47" w:rsidRDefault="00271E47" w:rsidP="00271E47">
      <w:pPr>
        <w:rPr>
          <w:highlight w:val="white"/>
        </w:rPr>
      </w:pPr>
    </w:p>
    <w:p w14:paraId="650C9C44" w14:textId="77777777" w:rsidR="00271E47" w:rsidRDefault="00271E47" w:rsidP="00271E47">
      <w:pPr>
        <w:keepNext/>
        <w:jc w:val="center"/>
      </w:pPr>
      <w:r>
        <w:rPr>
          <w:noProof/>
          <w:highlight w:val="white"/>
        </w:rPr>
        <w:lastRenderedPageBreak/>
        <w:drawing>
          <wp:inline distT="114300" distB="114300" distL="114300" distR="114300" wp14:anchorId="63920A2B" wp14:editId="3C926967">
            <wp:extent cx="4536957" cy="3608388"/>
            <wp:effectExtent l="0" t="0" r="0" b="0"/>
            <wp:docPr id="186" name="image20.png" descr="EGI Notebooks architecture"/>
            <wp:cNvGraphicFramePr/>
            <a:graphic xmlns:a="http://schemas.openxmlformats.org/drawingml/2006/main">
              <a:graphicData uri="http://schemas.openxmlformats.org/drawingml/2006/picture">
                <pic:pic xmlns:pic="http://schemas.openxmlformats.org/drawingml/2006/picture">
                  <pic:nvPicPr>
                    <pic:cNvPr id="186" name="image20.png" descr="EGI Notebooks architecture"/>
                    <pic:cNvPicPr preferRelativeResize="0"/>
                  </pic:nvPicPr>
                  <pic:blipFill>
                    <a:blip r:embed="rId37"/>
                    <a:srcRect/>
                    <a:stretch>
                      <a:fillRect/>
                    </a:stretch>
                  </pic:blipFill>
                  <pic:spPr>
                    <a:xfrm>
                      <a:off x="0" y="0"/>
                      <a:ext cx="4536957" cy="3608388"/>
                    </a:xfrm>
                    <a:prstGeom prst="rect">
                      <a:avLst/>
                    </a:prstGeom>
                    <a:ln/>
                  </pic:spPr>
                </pic:pic>
              </a:graphicData>
            </a:graphic>
          </wp:inline>
        </w:drawing>
      </w:r>
    </w:p>
    <w:p w14:paraId="2FD3DA22" w14:textId="77777777" w:rsidR="00271E47" w:rsidRPr="00347D12" w:rsidRDefault="00271E47" w:rsidP="00271E47">
      <w:pPr>
        <w:pBdr>
          <w:top w:val="nil"/>
          <w:left w:val="nil"/>
          <w:bottom w:val="nil"/>
          <w:right w:val="nil"/>
          <w:between w:val="nil"/>
        </w:pBdr>
        <w:spacing w:after="200" w:line="240" w:lineRule="auto"/>
        <w:jc w:val="center"/>
        <w:rPr>
          <w:i/>
          <w:iCs/>
          <w:color w:val="000000"/>
          <w:sz w:val="18"/>
          <w:szCs w:val="18"/>
        </w:rPr>
      </w:pPr>
      <w:r w:rsidRPr="00347D12">
        <w:rPr>
          <w:i/>
          <w:iCs/>
          <w:color w:val="000000"/>
          <w:sz w:val="18"/>
          <w:szCs w:val="18"/>
        </w:rPr>
        <w:t xml:space="preserve">Figure </w:t>
      </w:r>
      <w:r w:rsidRPr="00347D12">
        <w:rPr>
          <w:i/>
          <w:iCs/>
          <w:sz w:val="18"/>
          <w:szCs w:val="18"/>
        </w:rPr>
        <w:t>20</w:t>
      </w:r>
      <w:r w:rsidRPr="00347D12">
        <w:rPr>
          <w:i/>
          <w:iCs/>
          <w:color w:val="000000"/>
          <w:sz w:val="18"/>
          <w:szCs w:val="18"/>
        </w:rPr>
        <w:t>. EGI Notebooks architecture</w:t>
      </w:r>
    </w:p>
    <w:p w14:paraId="6D6426BC" w14:textId="77777777" w:rsidR="00271E47" w:rsidRDefault="00271E47" w:rsidP="00271E47"/>
    <w:p w14:paraId="362EF914" w14:textId="77777777" w:rsidR="00271E47" w:rsidRDefault="00271E47" w:rsidP="00271E47">
      <w:pPr>
        <w:pStyle w:val="Heading2"/>
        <w:numPr>
          <w:ilvl w:val="1"/>
          <w:numId w:val="13"/>
        </w:numPr>
        <w:ind w:left="576" w:hanging="576"/>
      </w:pPr>
      <w:bookmarkStart w:id="75" w:name="_heading=h.ihv636" w:colFirst="0" w:colLast="0"/>
      <w:bookmarkStart w:id="76" w:name="_Toc116449135"/>
      <w:bookmarkEnd w:id="75"/>
      <w:r>
        <w:t>EC3</w:t>
      </w:r>
      <w:bookmarkEnd w:id="76"/>
    </w:p>
    <w:p w14:paraId="431634A1" w14:textId="77777777" w:rsidR="00271E47" w:rsidRDefault="00271E47" w:rsidP="00271E47">
      <w:r>
        <w:t>Elastic Cloud Computing Cluster (EC3)</w:t>
      </w:r>
      <w:r>
        <w:rPr>
          <w:vertAlign w:val="superscript"/>
        </w:rPr>
        <w:footnoteReference w:id="79"/>
      </w:r>
      <w:r>
        <w:t xml:space="preserve"> is a tool for creating elastic virtual clusters on top of Infrastructure as a Service (IaaS) providers, either public (such as Amazon Web Services, Google Cloud or Microsoft Azure) or local (such as OpenNebula and OpenStack). It does so with a combination of Green computing, Cloud computing and HPC techniques.</w:t>
      </w:r>
    </w:p>
    <w:p w14:paraId="45EDDF74" w14:textId="77777777" w:rsidR="00271E47" w:rsidRDefault="00271E47" w:rsidP="00271E47">
      <w:r>
        <w:t>By default, EC3 has the capacity to deploy different types of clusters: TORQUE [R24], SLURM [R25], SGE [R26], HTCondor [R27], Mesos [R28], OSCAR [R29], ECAS [R30], Nomad</w:t>
      </w:r>
      <w:r>
        <w:rPr>
          <w:vertAlign w:val="superscript"/>
        </w:rPr>
        <w:footnoteReference w:id="80"/>
      </w:r>
      <w:r>
        <w:t xml:space="preserve"> and Kubernetes. These clusters are self-managed with CLUES [R31], which starts with a single-node cluster and dynamically deploys additional working nodes to satisfy the demanded load, measured in the number of jobs at the </w:t>
      </w:r>
      <w:r>
        <w:rPr>
          <w:i/>
        </w:rPr>
        <w:t>Local Resource Management System</w:t>
      </w:r>
      <w:r>
        <w:t xml:space="preserve"> (LRMS). Working nodes are undeployed when they are idle, which introduces a cost-efficient approach for Cluster-based computing on top of an IaaS Cloud. EC3 cluster infrastructures are therefore automatically scaled out (adding new nodes on demand, up to a maximum size specified by the user) and scaled in (removing existing nodes whenever idle resources are detected, according to some predefined policies). This creates the illusion of a real cluster, without requiring an investment beyond actual usage.</w:t>
      </w:r>
    </w:p>
    <w:p w14:paraId="51A22C3F" w14:textId="77777777" w:rsidR="00271E47" w:rsidRDefault="00271E47" w:rsidP="00271E47">
      <w:r>
        <w:lastRenderedPageBreak/>
        <w:t>Figure 21 summarises the main EC3 architecture. The deployment of the virtual elastic cluster consists of two phases:</w:t>
      </w:r>
    </w:p>
    <w:p w14:paraId="55885530" w14:textId="77777777" w:rsidR="00271E47" w:rsidRDefault="00271E47" w:rsidP="00271E47">
      <w:pPr>
        <w:numPr>
          <w:ilvl w:val="0"/>
          <w:numId w:val="39"/>
        </w:numPr>
        <w:spacing w:after="0"/>
      </w:pPr>
      <w:r>
        <w:t xml:space="preserve">The first one involves the creation of a VM in the Cloud to act as the cluster’s front-end, which is done by a component called the </w:t>
      </w:r>
      <w:r>
        <w:rPr>
          <w:i/>
        </w:rPr>
        <w:t>EC3 Launcher</w:t>
      </w:r>
      <w:r>
        <w:t xml:space="preserve"> using the Infrastructure Manager described in Section 4.2. Once the front-end and the elasticity manager (CLUES) have been deployed, the virtual cluster becomes fully autonomous, and each user will be able to submit jobs to the LRMS, either from the cluster front-end or from an external node that provides job submission capabilities.</w:t>
      </w:r>
    </w:p>
    <w:p w14:paraId="6A38E648" w14:textId="77777777" w:rsidR="00271E47" w:rsidRDefault="00271E47" w:rsidP="00271E47">
      <w:pPr>
        <w:numPr>
          <w:ilvl w:val="0"/>
          <w:numId w:val="39"/>
        </w:numPr>
      </w:pPr>
      <w:r>
        <w:t>The second is the automatic management of the cluster size, depending on the workload and the specified policies. Users have the perception of a cluster with the maximum number of nodes specified. CLUES monitors the working nodes and intercepts job submissions before they reach the LRMS, allowing the system to dynamically manage the cluster size transparently to the LRMS and the user, scaling in and out according to demand. Just like in the deployment of the front-end, CLUES internally uses the Infrastructure Manager to support the provisioning of VMs that will be used as working nodes for the cluster. Once these nodes are available, they are automatically integrated in the cluster as new available nodes for the LRMS.</w:t>
      </w:r>
    </w:p>
    <w:p w14:paraId="23E73BD0" w14:textId="77777777" w:rsidR="00271E47" w:rsidRDefault="00271E47" w:rsidP="00271E47"/>
    <w:p w14:paraId="78EE645D" w14:textId="77777777" w:rsidR="00271E47" w:rsidRDefault="00271E47" w:rsidP="00271E47">
      <w:pPr>
        <w:keepNext/>
      </w:pPr>
      <w:r>
        <w:rPr>
          <w:noProof/>
        </w:rPr>
        <w:drawing>
          <wp:inline distT="114300" distB="114300" distL="114300" distR="114300" wp14:anchorId="442BEF95" wp14:editId="40CDE102">
            <wp:extent cx="5731200" cy="3670300"/>
            <wp:effectExtent l="0" t="0" r="0" b="0"/>
            <wp:docPr id="201" name="image28.png" descr="EC3 Architecture"/>
            <wp:cNvGraphicFramePr/>
            <a:graphic xmlns:a="http://schemas.openxmlformats.org/drawingml/2006/main">
              <a:graphicData uri="http://schemas.openxmlformats.org/drawingml/2006/picture">
                <pic:pic xmlns:pic="http://schemas.openxmlformats.org/drawingml/2006/picture">
                  <pic:nvPicPr>
                    <pic:cNvPr id="201" name="image28.png" descr="EC3 Architecture"/>
                    <pic:cNvPicPr preferRelativeResize="0"/>
                  </pic:nvPicPr>
                  <pic:blipFill>
                    <a:blip r:embed="rId38"/>
                    <a:srcRect/>
                    <a:stretch>
                      <a:fillRect/>
                    </a:stretch>
                  </pic:blipFill>
                  <pic:spPr>
                    <a:xfrm>
                      <a:off x="0" y="0"/>
                      <a:ext cx="5731200" cy="3670300"/>
                    </a:xfrm>
                    <a:prstGeom prst="rect">
                      <a:avLst/>
                    </a:prstGeom>
                    <a:ln/>
                  </pic:spPr>
                </pic:pic>
              </a:graphicData>
            </a:graphic>
          </wp:inline>
        </w:drawing>
      </w:r>
    </w:p>
    <w:p w14:paraId="6C8D40C3" w14:textId="77777777" w:rsidR="00271E47" w:rsidRPr="00347D12" w:rsidRDefault="00271E47" w:rsidP="00271E47">
      <w:pPr>
        <w:pBdr>
          <w:top w:val="nil"/>
          <w:left w:val="nil"/>
          <w:bottom w:val="nil"/>
          <w:right w:val="nil"/>
          <w:between w:val="nil"/>
        </w:pBdr>
        <w:spacing w:after="200" w:line="240" w:lineRule="auto"/>
        <w:jc w:val="center"/>
        <w:rPr>
          <w:i/>
          <w:iCs/>
          <w:color w:val="000000"/>
          <w:sz w:val="18"/>
          <w:szCs w:val="18"/>
        </w:rPr>
      </w:pPr>
      <w:bookmarkStart w:id="77" w:name="_heading=h.1t3h5sf" w:colFirst="0" w:colLast="0"/>
      <w:bookmarkEnd w:id="77"/>
      <w:r w:rsidRPr="00347D12">
        <w:rPr>
          <w:i/>
          <w:iCs/>
          <w:color w:val="000000"/>
          <w:sz w:val="18"/>
          <w:szCs w:val="18"/>
        </w:rPr>
        <w:t xml:space="preserve">Figure </w:t>
      </w:r>
      <w:r w:rsidRPr="00347D12">
        <w:rPr>
          <w:i/>
          <w:iCs/>
          <w:sz w:val="18"/>
          <w:szCs w:val="18"/>
        </w:rPr>
        <w:t>21</w:t>
      </w:r>
      <w:r w:rsidRPr="00347D12">
        <w:rPr>
          <w:i/>
          <w:iCs/>
          <w:color w:val="000000"/>
          <w:sz w:val="18"/>
          <w:szCs w:val="18"/>
        </w:rPr>
        <w:t>. EC3 Architecture</w:t>
      </w:r>
    </w:p>
    <w:p w14:paraId="01FA7826" w14:textId="77777777" w:rsidR="00271E47" w:rsidRDefault="00271E47" w:rsidP="00271E47"/>
    <w:p w14:paraId="00DFEE4D" w14:textId="77777777" w:rsidR="00271E47" w:rsidRDefault="00271E47" w:rsidP="00271E47">
      <w:r>
        <w:t xml:space="preserve"> EC3 supports three deployment models, as depicted in Figure 22:</w:t>
      </w:r>
    </w:p>
    <w:p w14:paraId="29C59EB3" w14:textId="77777777" w:rsidR="00271E47" w:rsidRDefault="00271E47" w:rsidP="00271E47">
      <w:pPr>
        <w:numPr>
          <w:ilvl w:val="0"/>
          <w:numId w:val="43"/>
        </w:numPr>
        <w:spacing w:after="0"/>
      </w:pPr>
      <w:r>
        <w:rPr>
          <w:b/>
        </w:rPr>
        <w:lastRenderedPageBreak/>
        <w:t>Basic structure</w:t>
      </w:r>
      <w:r>
        <w:t xml:space="preserve"> (homogeneous cluster), which is composed of working nodes that have the same characteristics (in terms of hardware and software). This is the basic deployment model of EC3, where only one type of working nodes is used.</w:t>
      </w:r>
    </w:p>
    <w:p w14:paraId="1D65EF46" w14:textId="77777777" w:rsidR="00271E47" w:rsidRDefault="00271E47" w:rsidP="00271E47">
      <w:pPr>
        <w:numPr>
          <w:ilvl w:val="0"/>
          <w:numId w:val="43"/>
        </w:numPr>
        <w:spacing w:after="0"/>
      </w:pPr>
      <w:r>
        <w:rPr>
          <w:b/>
        </w:rPr>
        <w:t>Heterogeneous cluster</w:t>
      </w:r>
      <w:r>
        <w:t>, which allows working nodes with different characteristics (in terms of hardware and software). This is of particular interest when nodes with different configuration or hardware specifications must work together in the same cluster. Working nodes can be assigned to different queues according to their characteristics.</w:t>
      </w:r>
    </w:p>
    <w:p w14:paraId="6A99043E" w14:textId="55DFD3E0" w:rsidR="00271E47" w:rsidRDefault="00271E47" w:rsidP="00271E47">
      <w:pPr>
        <w:numPr>
          <w:ilvl w:val="0"/>
          <w:numId w:val="43"/>
        </w:numPr>
      </w:pPr>
      <w:r>
        <w:rPr>
          <w:b/>
        </w:rPr>
        <w:t>Cloud Bursting</w:t>
      </w:r>
      <w:r>
        <w:t xml:space="preserve"> (Hybrid clusters), which consists of launching nodes in two or more different Cloud providers, </w:t>
      </w:r>
      <w:r w:rsidR="000742A9">
        <w:t>to</w:t>
      </w:r>
      <w:r>
        <w:t xml:space="preserve"> overcome limitations on user quotas or saturated resources. When a limit is reached and no more nodes can be deployed inside the first Cloud Provider, EC3 launches new nodes in a second Cloud provider. Nodes deployed at different providers are automatically interconnected with VPN or SSH tunnelling techniques, and can also be different, so that heterogeneous clusters with cloud bursting capabilities can be deployed and automatically managed with EC3. </w:t>
      </w:r>
    </w:p>
    <w:p w14:paraId="0B449C60" w14:textId="77777777" w:rsidR="00271E47" w:rsidRDefault="00271E47" w:rsidP="00271E47">
      <w:pPr>
        <w:ind w:left="720"/>
      </w:pPr>
    </w:p>
    <w:p w14:paraId="622FC293" w14:textId="77777777" w:rsidR="00271E47" w:rsidRDefault="00271E47" w:rsidP="00271E47">
      <w:pPr>
        <w:jc w:val="center"/>
      </w:pPr>
      <w:r>
        <w:rPr>
          <w:noProof/>
        </w:rPr>
        <w:drawing>
          <wp:inline distT="114300" distB="114300" distL="114300" distR="114300" wp14:anchorId="74FB0E63" wp14:editId="4C220DF6">
            <wp:extent cx="6157913" cy="4304924"/>
            <wp:effectExtent l="0" t="0" r="0" b="0"/>
            <wp:docPr id="181" name="image16.png" descr="EC3 Deployment models"/>
            <wp:cNvGraphicFramePr/>
            <a:graphic xmlns:a="http://schemas.openxmlformats.org/drawingml/2006/main">
              <a:graphicData uri="http://schemas.openxmlformats.org/drawingml/2006/picture">
                <pic:pic xmlns:pic="http://schemas.openxmlformats.org/drawingml/2006/picture">
                  <pic:nvPicPr>
                    <pic:cNvPr id="181" name="image16.png" descr="EC3 Deployment models"/>
                    <pic:cNvPicPr preferRelativeResize="0"/>
                  </pic:nvPicPr>
                  <pic:blipFill>
                    <a:blip r:embed="rId39"/>
                    <a:srcRect/>
                    <a:stretch>
                      <a:fillRect/>
                    </a:stretch>
                  </pic:blipFill>
                  <pic:spPr>
                    <a:xfrm>
                      <a:off x="0" y="0"/>
                      <a:ext cx="6157913" cy="4304924"/>
                    </a:xfrm>
                    <a:prstGeom prst="rect">
                      <a:avLst/>
                    </a:prstGeom>
                    <a:ln/>
                  </pic:spPr>
                </pic:pic>
              </a:graphicData>
            </a:graphic>
          </wp:inline>
        </w:drawing>
      </w:r>
    </w:p>
    <w:p w14:paraId="5D4867FA" w14:textId="77777777" w:rsidR="00271E47" w:rsidRPr="004B7F89" w:rsidRDefault="00271E47" w:rsidP="00271E47">
      <w:pPr>
        <w:pBdr>
          <w:top w:val="nil"/>
          <w:left w:val="nil"/>
          <w:bottom w:val="nil"/>
          <w:right w:val="nil"/>
          <w:between w:val="nil"/>
        </w:pBdr>
        <w:spacing w:after="200" w:line="240" w:lineRule="auto"/>
        <w:jc w:val="center"/>
        <w:rPr>
          <w:i/>
          <w:iCs/>
          <w:color w:val="000000"/>
          <w:sz w:val="18"/>
          <w:szCs w:val="18"/>
        </w:rPr>
      </w:pPr>
      <w:r w:rsidRPr="004B7F89">
        <w:rPr>
          <w:i/>
          <w:iCs/>
          <w:color w:val="000000"/>
          <w:sz w:val="18"/>
          <w:szCs w:val="18"/>
        </w:rPr>
        <w:t xml:space="preserve">Figure </w:t>
      </w:r>
      <w:r w:rsidRPr="004B7F89">
        <w:rPr>
          <w:i/>
          <w:iCs/>
          <w:sz w:val="18"/>
          <w:szCs w:val="18"/>
        </w:rPr>
        <w:t>22</w:t>
      </w:r>
      <w:r w:rsidRPr="004B7F89">
        <w:rPr>
          <w:i/>
          <w:iCs/>
          <w:color w:val="000000"/>
          <w:sz w:val="18"/>
          <w:szCs w:val="18"/>
        </w:rPr>
        <w:t>. EC3 Deployment models</w:t>
      </w:r>
    </w:p>
    <w:p w14:paraId="3DC9D536" w14:textId="77777777" w:rsidR="00271E47" w:rsidRDefault="00271E47" w:rsidP="00271E47"/>
    <w:p w14:paraId="030547F8" w14:textId="77777777" w:rsidR="00271E47" w:rsidRDefault="00271E47" w:rsidP="00271E47">
      <w:r>
        <w:lastRenderedPageBreak/>
        <w:t>More information regarding EC3 can be found at EC3’s GitHub repository</w:t>
      </w:r>
      <w:r>
        <w:rPr>
          <w:vertAlign w:val="superscript"/>
        </w:rPr>
        <w:footnoteReference w:id="81"/>
      </w:r>
      <w:r>
        <w:t>.</w:t>
      </w:r>
    </w:p>
    <w:p w14:paraId="7CA6B647" w14:textId="77777777" w:rsidR="00271E47" w:rsidRDefault="00271E47" w:rsidP="00271E47">
      <w:pPr>
        <w:pStyle w:val="Heading2"/>
        <w:numPr>
          <w:ilvl w:val="1"/>
          <w:numId w:val="13"/>
        </w:numPr>
        <w:ind w:left="576" w:hanging="576"/>
      </w:pPr>
      <w:bookmarkStart w:id="78" w:name="_heading=h.32hioqz" w:colFirst="0" w:colLast="0"/>
      <w:bookmarkStart w:id="79" w:name="_Toc116449136"/>
      <w:bookmarkEnd w:id="78"/>
      <w:r>
        <w:t>PaaS Orchestrator</w:t>
      </w:r>
      <w:bookmarkEnd w:id="79"/>
    </w:p>
    <w:p w14:paraId="22ABC30C" w14:textId="77777777" w:rsidR="00271E47" w:rsidRDefault="00271E47" w:rsidP="00271E47">
      <w:r>
        <w:t>The PaaS Orchestrator</w:t>
      </w:r>
      <w:r>
        <w:rPr>
          <w:vertAlign w:val="superscript"/>
        </w:rPr>
        <w:footnoteReference w:id="82"/>
      </w:r>
      <w:r>
        <w:t xml:space="preserve"> is the core component of </w:t>
      </w:r>
      <w:r>
        <w:rPr>
          <w:i/>
        </w:rPr>
        <w:t xml:space="preserve">INDIGO PaaS </w:t>
      </w:r>
      <w:r>
        <w:t xml:space="preserve">[R32], an abstraction and federation layer on top of heterogeneous distributed computing environments that orchestrates and coordinates: </w:t>
      </w:r>
    </w:p>
    <w:p w14:paraId="32667A81" w14:textId="77777777" w:rsidR="00271E47" w:rsidRDefault="00271E47" w:rsidP="00271E47">
      <w:pPr>
        <w:numPr>
          <w:ilvl w:val="0"/>
          <w:numId w:val="33"/>
        </w:numPr>
        <w:spacing w:after="0"/>
      </w:pPr>
      <w:r>
        <w:t xml:space="preserve">The provisioning of virtualised compute and storage resources on both private and public Cloud Management Frameworks, such as OpenStack, OpenNebula, AWS, </w:t>
      </w:r>
      <w:r>
        <w:rPr>
          <w:i/>
        </w:rPr>
        <w:t>etc</w:t>
      </w:r>
      <w:r>
        <w:t xml:space="preserve">. </w:t>
      </w:r>
    </w:p>
    <w:p w14:paraId="207663DB" w14:textId="77777777" w:rsidR="00271E47" w:rsidRDefault="00271E47" w:rsidP="00271E47">
      <w:pPr>
        <w:numPr>
          <w:ilvl w:val="0"/>
          <w:numId w:val="33"/>
        </w:numPr>
        <w:spacing w:after="0"/>
      </w:pPr>
      <w:r>
        <w:t>The deployment of containerised long-running services and batch jobs on Container Orchestration Platforms such as Apache Mesos [R28] and Kubernetes.</w:t>
      </w:r>
    </w:p>
    <w:p w14:paraId="78E19CDA" w14:textId="77777777" w:rsidR="00271E47" w:rsidRDefault="00271E47" w:rsidP="00271E47">
      <w:pPr>
        <w:numPr>
          <w:ilvl w:val="0"/>
          <w:numId w:val="33"/>
        </w:numPr>
      </w:pPr>
      <w:r>
        <w:t>The submission and monitoring of HPC jobs on HPC sites through a QCG [R33] gateway.</w:t>
      </w:r>
    </w:p>
    <w:p w14:paraId="024B3E4D" w14:textId="77777777" w:rsidR="00271E47" w:rsidRDefault="00271E47" w:rsidP="00271E47">
      <w:pPr>
        <w:numPr>
          <w:ilvl w:val="0"/>
          <w:numId w:val="33"/>
        </w:numPr>
      </w:pPr>
      <w:r>
        <w:t>The access to storage services to implement data placement, via the Rucio and DataHub Connector</w:t>
      </w:r>
    </w:p>
    <w:p w14:paraId="1BA1C10E" w14:textId="77777777" w:rsidR="00271E47" w:rsidRDefault="00271E47" w:rsidP="00271E47">
      <w:r>
        <w:t>These communications are illustrated in Figure 23.</w:t>
      </w:r>
    </w:p>
    <w:p w14:paraId="2777E897" w14:textId="77777777" w:rsidR="00271E47" w:rsidRDefault="00271E47" w:rsidP="00271E47">
      <w:pPr>
        <w:keepNext/>
        <w:widowControl w:val="0"/>
        <w:spacing w:after="0" w:line="240" w:lineRule="auto"/>
        <w:jc w:val="center"/>
      </w:pPr>
      <w:r>
        <w:rPr>
          <w:noProof/>
        </w:rPr>
        <w:drawing>
          <wp:inline distT="19050" distB="19050" distL="19050" distR="19050" wp14:anchorId="3748E352" wp14:editId="157223DE">
            <wp:extent cx="4546675" cy="2782255"/>
            <wp:effectExtent l="0" t="0" r="0" b="0"/>
            <wp:docPr id="182" name="image12.png" descr="PaaS Orchestrator architecture"/>
            <wp:cNvGraphicFramePr/>
            <a:graphic xmlns:a="http://schemas.openxmlformats.org/drawingml/2006/main">
              <a:graphicData uri="http://schemas.openxmlformats.org/drawingml/2006/picture">
                <pic:pic xmlns:pic="http://schemas.openxmlformats.org/drawingml/2006/picture">
                  <pic:nvPicPr>
                    <pic:cNvPr id="182" name="image12.png" descr="PaaS Orchestrator architecture"/>
                    <pic:cNvPicPr preferRelativeResize="0"/>
                  </pic:nvPicPr>
                  <pic:blipFill>
                    <a:blip r:embed="rId40"/>
                    <a:srcRect/>
                    <a:stretch>
                      <a:fillRect/>
                    </a:stretch>
                  </pic:blipFill>
                  <pic:spPr>
                    <a:xfrm>
                      <a:off x="0" y="0"/>
                      <a:ext cx="4546675" cy="2782255"/>
                    </a:xfrm>
                    <a:prstGeom prst="rect">
                      <a:avLst/>
                    </a:prstGeom>
                    <a:ln/>
                  </pic:spPr>
                </pic:pic>
              </a:graphicData>
            </a:graphic>
          </wp:inline>
        </w:drawing>
      </w:r>
    </w:p>
    <w:p w14:paraId="3E22C3AB" w14:textId="77777777" w:rsidR="00271E47" w:rsidRPr="004B7F89" w:rsidRDefault="00271E47" w:rsidP="00271E47">
      <w:pPr>
        <w:pBdr>
          <w:top w:val="nil"/>
          <w:left w:val="nil"/>
          <w:bottom w:val="nil"/>
          <w:right w:val="nil"/>
          <w:between w:val="nil"/>
        </w:pBdr>
        <w:spacing w:after="200" w:line="240" w:lineRule="auto"/>
        <w:jc w:val="center"/>
        <w:rPr>
          <w:rFonts w:ascii="Calibri" w:hAnsi="Calibri" w:cs="Calibri"/>
          <w:i/>
          <w:iCs/>
          <w:color w:val="000000"/>
          <w:sz w:val="20"/>
          <w:szCs w:val="20"/>
        </w:rPr>
      </w:pPr>
      <w:r w:rsidRPr="004B7F89">
        <w:rPr>
          <w:i/>
          <w:iCs/>
          <w:color w:val="000000"/>
          <w:sz w:val="18"/>
          <w:szCs w:val="18"/>
        </w:rPr>
        <w:t xml:space="preserve">Figure </w:t>
      </w:r>
      <w:r w:rsidRPr="004B7F89">
        <w:rPr>
          <w:i/>
          <w:iCs/>
          <w:sz w:val="18"/>
          <w:szCs w:val="18"/>
        </w:rPr>
        <w:t>23</w:t>
      </w:r>
      <w:r w:rsidRPr="004B7F89">
        <w:rPr>
          <w:i/>
          <w:iCs/>
          <w:color w:val="000000"/>
          <w:sz w:val="18"/>
          <w:szCs w:val="18"/>
        </w:rPr>
        <w:t>. PaaS Orchestrator architecture</w:t>
      </w:r>
    </w:p>
    <w:p w14:paraId="56B956A7" w14:textId="77777777" w:rsidR="00271E47" w:rsidRDefault="00271E47" w:rsidP="00271E47">
      <w:pPr>
        <w:widowControl w:val="0"/>
        <w:spacing w:after="0" w:line="240" w:lineRule="auto"/>
        <w:jc w:val="center"/>
      </w:pPr>
    </w:p>
    <w:p w14:paraId="1F3E3536" w14:textId="77777777" w:rsidR="00271E47" w:rsidRDefault="00271E47" w:rsidP="00271E47">
      <w:r>
        <w:t xml:space="preserve">As depicted in Figure 24, the Orchestrator receives the deployment requests, expressed through templates written in TOSCA [R17], and coordinates the deployments on the best available cloud sites. To do so, the Orchestrator implements a complex workflow: it collects (i) Information on Service Level Agreements (SLAs) signed by providers and the user, (ii) Monitoring data about the availability of the compute and storage services, and (iii) The location of the data requested by the user (if any). </w:t>
      </w:r>
    </w:p>
    <w:p w14:paraId="308C2BB7" w14:textId="77777777" w:rsidR="00271E47" w:rsidRDefault="00271E47" w:rsidP="00271E47">
      <w:pPr>
        <w:keepNext/>
        <w:jc w:val="center"/>
      </w:pPr>
      <w:r>
        <w:rPr>
          <w:noProof/>
        </w:rPr>
        <w:lastRenderedPageBreak/>
        <w:drawing>
          <wp:inline distT="19050" distB="19050" distL="19050" distR="19050" wp14:anchorId="437AC1F6" wp14:editId="63E9CF0F">
            <wp:extent cx="2537339" cy="2337038"/>
            <wp:effectExtent l="0" t="0" r="0" b="0"/>
            <wp:docPr id="183" name="image13.png" descr="Orchestrator deployment workflow"/>
            <wp:cNvGraphicFramePr/>
            <a:graphic xmlns:a="http://schemas.openxmlformats.org/drawingml/2006/main">
              <a:graphicData uri="http://schemas.openxmlformats.org/drawingml/2006/picture">
                <pic:pic xmlns:pic="http://schemas.openxmlformats.org/drawingml/2006/picture">
                  <pic:nvPicPr>
                    <pic:cNvPr id="183" name="image13.png" descr="Orchestrator deployment workflow"/>
                    <pic:cNvPicPr preferRelativeResize="0"/>
                  </pic:nvPicPr>
                  <pic:blipFill>
                    <a:blip r:embed="rId41"/>
                    <a:srcRect b="5490"/>
                    <a:stretch>
                      <a:fillRect/>
                    </a:stretch>
                  </pic:blipFill>
                  <pic:spPr>
                    <a:xfrm>
                      <a:off x="0" y="0"/>
                      <a:ext cx="2537339" cy="2337038"/>
                    </a:xfrm>
                    <a:prstGeom prst="rect">
                      <a:avLst/>
                    </a:prstGeom>
                    <a:ln/>
                  </pic:spPr>
                </pic:pic>
              </a:graphicData>
            </a:graphic>
          </wp:inline>
        </w:drawing>
      </w:r>
    </w:p>
    <w:p w14:paraId="0C75CFD2" w14:textId="77777777" w:rsidR="00271E47" w:rsidRPr="004B7F89" w:rsidRDefault="00271E47" w:rsidP="00271E47">
      <w:pPr>
        <w:pBdr>
          <w:top w:val="nil"/>
          <w:left w:val="nil"/>
          <w:bottom w:val="nil"/>
          <w:right w:val="nil"/>
          <w:between w:val="nil"/>
        </w:pBdr>
        <w:spacing w:after="200" w:line="240" w:lineRule="auto"/>
        <w:jc w:val="center"/>
        <w:rPr>
          <w:i/>
          <w:iCs/>
          <w:color w:val="000000"/>
          <w:sz w:val="18"/>
          <w:szCs w:val="18"/>
        </w:rPr>
      </w:pPr>
      <w:r w:rsidRPr="004B7F89">
        <w:rPr>
          <w:i/>
          <w:iCs/>
          <w:color w:val="000000"/>
          <w:sz w:val="18"/>
          <w:szCs w:val="18"/>
        </w:rPr>
        <w:t xml:space="preserve">Figure </w:t>
      </w:r>
      <w:r w:rsidRPr="004B7F89">
        <w:rPr>
          <w:i/>
          <w:iCs/>
          <w:sz w:val="18"/>
          <w:szCs w:val="18"/>
        </w:rPr>
        <w:t>24</w:t>
      </w:r>
      <w:r w:rsidRPr="004B7F89">
        <w:rPr>
          <w:i/>
          <w:iCs/>
          <w:color w:val="000000"/>
          <w:sz w:val="18"/>
          <w:szCs w:val="18"/>
        </w:rPr>
        <w:t>. Orchestrator deployment workflow</w:t>
      </w:r>
    </w:p>
    <w:p w14:paraId="1EB25194" w14:textId="77777777" w:rsidR="00271E47" w:rsidRDefault="00271E47" w:rsidP="00271E47">
      <w:r>
        <w:t>Once the best site has been identified, the Orchestrator starts the actual deployment workflow through one of its provider plugins:</w:t>
      </w:r>
    </w:p>
    <w:p w14:paraId="39F06DA3" w14:textId="77777777" w:rsidR="00271E47" w:rsidRDefault="00271E47" w:rsidP="00271E47">
      <w:pPr>
        <w:numPr>
          <w:ilvl w:val="0"/>
          <w:numId w:val="29"/>
        </w:numPr>
        <w:spacing w:after="0"/>
      </w:pPr>
      <w:r>
        <w:rPr>
          <w:b/>
        </w:rPr>
        <w:t>The Cloud/IaaS adapter,</w:t>
      </w:r>
      <w:r>
        <w:t xml:space="preserve"> which implements the interfaces with the relevant Cloud Management Frameworks through the Infrastructure Manager (described in Section 4.2).</w:t>
      </w:r>
    </w:p>
    <w:p w14:paraId="57AADC02" w14:textId="77777777" w:rsidR="00271E47" w:rsidRDefault="00271E47" w:rsidP="00271E47">
      <w:pPr>
        <w:numPr>
          <w:ilvl w:val="0"/>
          <w:numId w:val="29"/>
        </w:numPr>
        <w:spacing w:after="0"/>
      </w:pPr>
      <w:r>
        <w:rPr>
          <w:b/>
        </w:rPr>
        <w:t>The Mesos connectors</w:t>
      </w:r>
      <w:r>
        <w:t>, which implement the interfaces that manage the interactions with the corresponding cluster framework, Marathon</w:t>
      </w:r>
      <w:r>
        <w:rPr>
          <w:vertAlign w:val="superscript"/>
        </w:rPr>
        <w:footnoteReference w:id="83"/>
      </w:r>
      <w:r>
        <w:t xml:space="preserve"> (to manage long-running services) and Chronos</w:t>
      </w:r>
      <w:r>
        <w:rPr>
          <w:vertAlign w:val="superscript"/>
        </w:rPr>
        <w:footnoteReference w:id="84"/>
      </w:r>
      <w:r>
        <w:t xml:space="preserve"> (to manage batch jobs).</w:t>
      </w:r>
    </w:p>
    <w:p w14:paraId="50C711BE" w14:textId="77777777" w:rsidR="00271E47" w:rsidRDefault="00271E47" w:rsidP="00271E47">
      <w:pPr>
        <w:numPr>
          <w:ilvl w:val="0"/>
          <w:numId w:val="29"/>
        </w:numPr>
        <w:spacing w:after="0"/>
      </w:pPr>
      <w:r>
        <w:rPr>
          <w:b/>
        </w:rPr>
        <w:t>The Kubernetes adapter</w:t>
      </w:r>
      <w:r>
        <w:t>, which implements the interfaces for managing deployments on a Kubernetes cluster.</w:t>
      </w:r>
    </w:p>
    <w:p w14:paraId="000077C6" w14:textId="77777777" w:rsidR="00271E47" w:rsidRDefault="00271E47" w:rsidP="00271E47">
      <w:pPr>
        <w:numPr>
          <w:ilvl w:val="0"/>
          <w:numId w:val="29"/>
        </w:numPr>
      </w:pPr>
      <w:r>
        <w:rPr>
          <w:b/>
        </w:rPr>
        <w:t>The HPC adapter</w:t>
      </w:r>
      <w:r>
        <w:t>, which implements the interfaces for submitting jobs to HPC sites through a QCG Gateway.</w:t>
      </w:r>
    </w:p>
    <w:p w14:paraId="2CFFA0ED" w14:textId="77777777" w:rsidR="00271E47" w:rsidRDefault="00271E47" w:rsidP="00271E47">
      <w:r>
        <w:t>Figure 25 displays the internal architecture of the PaaS Orchestrator, showing these available plugins in the lower layer. The top layer shows a REST API available for users to interact with the platform. A relational database (RDBMS in the figure) is used to store data about the state of the service.</w:t>
      </w:r>
    </w:p>
    <w:p w14:paraId="65CD6E33" w14:textId="77777777" w:rsidR="00271E47" w:rsidRDefault="00271E47" w:rsidP="00271E47">
      <w:pPr>
        <w:keepNext/>
        <w:jc w:val="center"/>
      </w:pPr>
      <w:r>
        <w:rPr>
          <w:noProof/>
        </w:rPr>
        <w:lastRenderedPageBreak/>
        <w:drawing>
          <wp:inline distT="19050" distB="19050" distL="19050" distR="19050" wp14:anchorId="791B7331" wp14:editId="5323AE51">
            <wp:extent cx="4787907" cy="2404903"/>
            <wp:effectExtent l="0" t="0" r="0" b="0"/>
            <wp:docPr id="184" name="image11.png" descr="PaaS Orchestrator internal architecture"/>
            <wp:cNvGraphicFramePr/>
            <a:graphic xmlns:a="http://schemas.openxmlformats.org/drawingml/2006/main">
              <a:graphicData uri="http://schemas.openxmlformats.org/drawingml/2006/picture">
                <pic:pic xmlns:pic="http://schemas.openxmlformats.org/drawingml/2006/picture">
                  <pic:nvPicPr>
                    <pic:cNvPr id="184" name="image11.png" descr="PaaS Orchestrator internal architecture"/>
                    <pic:cNvPicPr preferRelativeResize="0"/>
                  </pic:nvPicPr>
                  <pic:blipFill>
                    <a:blip r:embed="rId42"/>
                    <a:srcRect/>
                    <a:stretch>
                      <a:fillRect/>
                    </a:stretch>
                  </pic:blipFill>
                  <pic:spPr>
                    <a:xfrm>
                      <a:off x="0" y="0"/>
                      <a:ext cx="4787907" cy="2404903"/>
                    </a:xfrm>
                    <a:prstGeom prst="rect">
                      <a:avLst/>
                    </a:prstGeom>
                    <a:ln/>
                  </pic:spPr>
                </pic:pic>
              </a:graphicData>
            </a:graphic>
          </wp:inline>
        </w:drawing>
      </w:r>
    </w:p>
    <w:p w14:paraId="15099ACF" w14:textId="77777777" w:rsidR="00271E47" w:rsidRPr="004B7F89" w:rsidRDefault="00271E47" w:rsidP="00271E47">
      <w:pPr>
        <w:pBdr>
          <w:top w:val="nil"/>
          <w:left w:val="nil"/>
          <w:bottom w:val="nil"/>
          <w:right w:val="nil"/>
          <w:between w:val="nil"/>
        </w:pBdr>
        <w:spacing w:after="200" w:line="240" w:lineRule="auto"/>
        <w:jc w:val="center"/>
        <w:rPr>
          <w:i/>
          <w:iCs/>
          <w:color w:val="000000"/>
          <w:sz w:val="18"/>
          <w:szCs w:val="18"/>
        </w:rPr>
      </w:pPr>
      <w:r w:rsidRPr="004B7F89">
        <w:rPr>
          <w:i/>
          <w:iCs/>
          <w:color w:val="000000"/>
          <w:sz w:val="18"/>
          <w:szCs w:val="18"/>
        </w:rPr>
        <w:t xml:space="preserve">Figure </w:t>
      </w:r>
      <w:r w:rsidRPr="004B7F89">
        <w:rPr>
          <w:i/>
          <w:iCs/>
          <w:sz w:val="18"/>
          <w:szCs w:val="18"/>
        </w:rPr>
        <w:t>25</w:t>
      </w:r>
      <w:r w:rsidRPr="004B7F89">
        <w:rPr>
          <w:i/>
          <w:iCs/>
          <w:color w:val="000000"/>
          <w:sz w:val="18"/>
          <w:szCs w:val="18"/>
        </w:rPr>
        <w:t>. PaaS Orchestrator internal architecture</w:t>
      </w:r>
    </w:p>
    <w:p w14:paraId="2C84A97A" w14:textId="77777777" w:rsidR="00271E47" w:rsidRDefault="00271E47" w:rsidP="00271E47">
      <w:r>
        <w:t>The PaaS Orchestration system provides the following key features:</w:t>
      </w:r>
    </w:p>
    <w:p w14:paraId="78668296" w14:textId="77777777" w:rsidR="00271E47" w:rsidRDefault="00271E47" w:rsidP="00271E47">
      <w:pPr>
        <w:numPr>
          <w:ilvl w:val="0"/>
          <w:numId w:val="21"/>
        </w:numPr>
        <w:spacing w:after="0"/>
      </w:pPr>
      <w:r>
        <w:t>Support for deployments that need specialised hardware resources, such as GPUs and Infiniband.</w:t>
      </w:r>
    </w:p>
    <w:p w14:paraId="0FACA975" w14:textId="77777777" w:rsidR="00271E47" w:rsidRDefault="00271E47" w:rsidP="00271E47">
      <w:pPr>
        <w:numPr>
          <w:ilvl w:val="0"/>
          <w:numId w:val="21"/>
        </w:numPr>
        <w:spacing w:after="0"/>
      </w:pPr>
      <w:r>
        <w:t>Support for hybrid deployments and network orchestration.</w:t>
      </w:r>
    </w:p>
    <w:p w14:paraId="6DEDB5CF" w14:textId="46421938" w:rsidR="00271E47" w:rsidRDefault="00271E47" w:rsidP="00271E47">
      <w:pPr>
        <w:numPr>
          <w:ilvl w:val="0"/>
          <w:numId w:val="21"/>
        </w:numPr>
        <w:spacing w:after="0"/>
      </w:pPr>
      <w:r>
        <w:t xml:space="preserve">Support for isolated deployments, </w:t>
      </w:r>
      <w:r w:rsidR="007A7F87">
        <w:rPr>
          <w:i/>
        </w:rPr>
        <w:t>i.e.,</w:t>
      </w:r>
      <w:r>
        <w:t xml:space="preserve"> hosted on private networks (with no inbound connection) that can be reached by users via VPN.</w:t>
      </w:r>
    </w:p>
    <w:p w14:paraId="5364AAE7" w14:textId="77777777" w:rsidR="00271E47" w:rsidRDefault="00271E47" w:rsidP="00271E47">
      <w:pPr>
        <w:numPr>
          <w:ilvl w:val="0"/>
          <w:numId w:val="21"/>
        </w:numPr>
        <w:spacing w:after="0"/>
      </w:pPr>
      <w:r>
        <w:t>Automatic retry in case of deployment failure or timeout.</w:t>
      </w:r>
    </w:p>
    <w:p w14:paraId="57FD3E8D" w14:textId="77777777" w:rsidR="00271E47" w:rsidRDefault="00271E47" w:rsidP="00271E47">
      <w:pPr>
        <w:numPr>
          <w:ilvl w:val="0"/>
          <w:numId w:val="21"/>
        </w:numPr>
        <w:spacing w:after="0"/>
      </w:pPr>
      <w:r>
        <w:t xml:space="preserve">Integration with </w:t>
      </w:r>
      <w:r>
        <w:rPr>
          <w:i/>
        </w:rPr>
        <w:t>Hashicorp Vault</w:t>
      </w:r>
      <w:r>
        <w:rPr>
          <w:i/>
          <w:vertAlign w:val="superscript"/>
        </w:rPr>
        <w:footnoteReference w:id="85"/>
      </w:r>
      <w:r>
        <w:t xml:space="preserve"> to manage public cloud credentials.</w:t>
      </w:r>
    </w:p>
    <w:p w14:paraId="295590E0" w14:textId="77777777" w:rsidR="00271E47" w:rsidRDefault="00271E47" w:rsidP="00271E47">
      <w:pPr>
        <w:numPr>
          <w:ilvl w:val="0"/>
          <w:numId w:val="21"/>
        </w:numPr>
        <w:spacing w:after="0"/>
      </w:pPr>
      <w:r>
        <w:t>Support for multiple OIDC Identity Providers.</w:t>
      </w:r>
    </w:p>
    <w:p w14:paraId="52A39932" w14:textId="77777777" w:rsidR="00271E47" w:rsidRDefault="00271E47" w:rsidP="00271E47">
      <w:pPr>
        <w:numPr>
          <w:ilvl w:val="0"/>
          <w:numId w:val="21"/>
        </w:numPr>
        <w:spacing w:after="0"/>
      </w:pPr>
      <w:r>
        <w:t>Multi-tenancy support.</w:t>
      </w:r>
    </w:p>
    <w:p w14:paraId="6938F95D" w14:textId="77777777" w:rsidR="00271E47" w:rsidRDefault="00271E47" w:rsidP="00271E47">
      <w:pPr>
        <w:numPr>
          <w:ilvl w:val="0"/>
          <w:numId w:val="21"/>
        </w:numPr>
        <w:spacing w:after="0"/>
      </w:pPr>
      <w:r>
        <w:t>RESTful API endpoints for handling deployments.</w:t>
      </w:r>
    </w:p>
    <w:p w14:paraId="49C35BB2" w14:textId="77777777" w:rsidR="00271E47" w:rsidRDefault="00271E47" w:rsidP="00271E47">
      <w:pPr>
        <w:numPr>
          <w:ilvl w:val="0"/>
          <w:numId w:val="21"/>
        </w:numPr>
      </w:pPr>
      <w:r>
        <w:t>Command-line and Web interfaces.</w:t>
      </w:r>
    </w:p>
    <w:p w14:paraId="66A19F9E" w14:textId="77777777" w:rsidR="00271E47" w:rsidRDefault="00271E47" w:rsidP="00271E47"/>
    <w:p w14:paraId="61755613" w14:textId="77777777" w:rsidR="00271E47" w:rsidRDefault="00271E47" w:rsidP="00271E47">
      <w:pPr>
        <w:pStyle w:val="Heading2"/>
        <w:numPr>
          <w:ilvl w:val="1"/>
          <w:numId w:val="13"/>
        </w:numPr>
        <w:ind w:left="576" w:hanging="576"/>
      </w:pPr>
      <w:bookmarkStart w:id="80" w:name="_heading=h.lst4m4gcmjyb" w:colFirst="0" w:colLast="0"/>
      <w:bookmarkStart w:id="81" w:name="_Toc116449137"/>
      <w:bookmarkEnd w:id="80"/>
      <w:r>
        <w:t>DODAS</w:t>
      </w:r>
      <w:bookmarkEnd w:id="81"/>
    </w:p>
    <w:p w14:paraId="6D740365" w14:textId="70CE5C52" w:rsidR="00271E47" w:rsidRDefault="00271E47" w:rsidP="00271E47">
      <w:pPr>
        <w:spacing w:after="0"/>
      </w:pPr>
      <w:r>
        <w:t>Dynamic On-Demand Analysis Software (DODAS)</w:t>
      </w:r>
      <w:r>
        <w:rPr>
          <w:vertAlign w:val="superscript"/>
        </w:rPr>
        <w:footnoteReference w:id="86"/>
      </w:r>
      <w:r>
        <w:t xml:space="preserve"> [R34] is a service for running user analysis code based on batch jobs, via the command-line or a Jupyter-based interface. DODAS is open-source, can be deployed in production and demanding environments is highly customisable, and has a modular design that allows users to configure the service to efficiently address their specific use cases. These modules are called “blocks”. Existing features of blocks include: </w:t>
      </w:r>
    </w:p>
    <w:p w14:paraId="16B33A7F" w14:textId="77777777" w:rsidR="00271E47" w:rsidRDefault="00271E47" w:rsidP="00271E47">
      <w:pPr>
        <w:numPr>
          <w:ilvl w:val="0"/>
          <w:numId w:val="42"/>
        </w:numPr>
        <w:spacing w:before="200" w:after="0"/>
      </w:pPr>
      <w:r>
        <w:t xml:space="preserve">Deployment and use of an HTCondor cluster over heterogeneous Cloud resources. </w:t>
      </w:r>
    </w:p>
    <w:p w14:paraId="74D7D6E7" w14:textId="77777777" w:rsidR="00271E47" w:rsidRDefault="00271E47" w:rsidP="00271E47">
      <w:pPr>
        <w:numPr>
          <w:ilvl w:val="0"/>
          <w:numId w:val="42"/>
        </w:numPr>
        <w:spacing w:after="0"/>
      </w:pPr>
      <w:r>
        <w:t>Combination of Jupyter and HTCondor.</w:t>
      </w:r>
    </w:p>
    <w:p w14:paraId="175C41AC" w14:textId="77777777" w:rsidR="00271E47" w:rsidRDefault="00271E47" w:rsidP="00271E47">
      <w:pPr>
        <w:numPr>
          <w:ilvl w:val="0"/>
          <w:numId w:val="42"/>
        </w:numPr>
        <w:spacing w:after="0"/>
      </w:pPr>
      <w:r>
        <w:t xml:space="preserve">Use of the Jupyter interface for analysis. </w:t>
      </w:r>
    </w:p>
    <w:p w14:paraId="495030BC" w14:textId="77777777" w:rsidR="00271E47" w:rsidRDefault="00271E47" w:rsidP="00271E47">
      <w:pPr>
        <w:numPr>
          <w:ilvl w:val="0"/>
          <w:numId w:val="42"/>
        </w:numPr>
        <w:spacing w:after="200"/>
      </w:pPr>
      <w:r>
        <w:t>Deployment of Big Data Pre-Post processing facilities.</w:t>
      </w:r>
    </w:p>
    <w:p w14:paraId="246A808E" w14:textId="77777777" w:rsidR="00271E47" w:rsidRDefault="00271E47" w:rsidP="00271E47">
      <w:pPr>
        <w:spacing w:after="0"/>
      </w:pPr>
      <w:r>
        <w:lastRenderedPageBreak/>
        <w:t>To do so, resource and software provisioning, configuration and management is transparently conducted for the user. Other DODAS blocks support data management through caches (to optimise the processing of remote data) and Posix or S3-compatible storage systems.</w:t>
      </w:r>
    </w:p>
    <w:p w14:paraId="24D27C6A" w14:textId="77777777" w:rsidR="00271E47" w:rsidRDefault="00271E47" w:rsidP="00271E47">
      <w:pPr>
        <w:spacing w:after="0"/>
      </w:pPr>
    </w:p>
    <w:p w14:paraId="39FBA428" w14:textId="77777777" w:rsidR="00271E47" w:rsidRDefault="00271E47" w:rsidP="00271E47">
      <w:pPr>
        <w:spacing w:after="0"/>
      </w:pPr>
      <w:r>
        <w:t xml:space="preserve">DODAS operates on Docker containers orchestrated at the IaaS layer by Kubernetes. When it is used for batch system processing, it automatically deploys and manages both the HTCondor central services (treating them as Long Running Services) and the worker nodes, which can be made automatically and dynamically scalable. </w:t>
      </w:r>
    </w:p>
    <w:p w14:paraId="05D56E79" w14:textId="77777777" w:rsidR="00271E47" w:rsidRDefault="00271E47" w:rsidP="00271E47">
      <w:pPr>
        <w:spacing w:after="0"/>
      </w:pPr>
    </w:p>
    <w:p w14:paraId="67FBC68F" w14:textId="77777777" w:rsidR="00271E47" w:rsidRDefault="00271E47" w:rsidP="00271E47">
      <w:pPr>
        <w:spacing w:after="0"/>
      </w:pPr>
      <w:r>
        <w:t>DODAS itself is run on container technology, and it can be easily customised and adapted to specific needs. Since DODAS interfaces natively with Kubernetes, its building blocks may also be composed via Kubeapps</w:t>
      </w:r>
      <w:r>
        <w:rPr>
          <w:vertAlign w:val="superscript"/>
        </w:rPr>
        <w:footnoteReference w:id="87"/>
      </w:r>
      <w:r>
        <w:t xml:space="preserve">, a Web-based dashboard for Kubernetes. </w:t>
      </w:r>
    </w:p>
    <w:p w14:paraId="40FD5B67" w14:textId="77777777" w:rsidR="00271E47" w:rsidRDefault="00271E47" w:rsidP="00271E47">
      <w:pPr>
        <w:spacing w:after="0"/>
      </w:pPr>
    </w:p>
    <w:p w14:paraId="52A85722" w14:textId="4A44C416" w:rsidR="00271E47" w:rsidRDefault="00271E47" w:rsidP="00271E47">
      <w:pPr>
        <w:spacing w:after="0"/>
      </w:pPr>
      <w:r>
        <w:t>A DODAS key element is the integration of a flexible, standard-</w:t>
      </w:r>
      <w:r w:rsidR="007A7F87">
        <w:t>based,</w:t>
      </w:r>
      <w:r>
        <w:t xml:space="preserve"> and federated Authentication and Authorization system, based on </w:t>
      </w:r>
      <w:r>
        <w:rPr>
          <w:i/>
        </w:rPr>
        <w:t xml:space="preserve">INDIGO-IAM, </w:t>
      </w:r>
      <w:r>
        <w:t>so it uses OIDC token-based mechanisms at all levels of the computing and data stacks. From the user’s perspective, this translates into a greatly simplified single sign-on experience. EGI Check-in is integrated as an external authentication mechanism of IAM, and IAM is used as an AAI harmonisation layer, so that Check-in grants access to EGI cloud resources, while the IAM harmonised identity is used to manage DODAS domain-specific use cases.</w:t>
      </w:r>
    </w:p>
    <w:p w14:paraId="1F238F97" w14:textId="77777777" w:rsidR="00271E47" w:rsidRDefault="00271E47" w:rsidP="00271E47">
      <w:pPr>
        <w:spacing w:after="0"/>
      </w:pPr>
    </w:p>
    <w:p w14:paraId="32485E56" w14:textId="77777777" w:rsidR="00271E47" w:rsidRDefault="00271E47" w:rsidP="00271E47">
      <w:pPr>
        <w:spacing w:after="0"/>
      </w:pPr>
      <w:r>
        <w:t>Figure 26 highlights the high modularity of the technical implementation of DODAS, which allows a strong integration with EGI-ACE services: Identity and Access Management (INDIGO-IAM), PaaS Orchestrator and Infrastructure Manager.</w:t>
      </w:r>
    </w:p>
    <w:p w14:paraId="1D57D1DA" w14:textId="77777777" w:rsidR="00271E47" w:rsidRDefault="00271E47" w:rsidP="00271E47">
      <w:pPr>
        <w:spacing w:after="0"/>
      </w:pPr>
    </w:p>
    <w:p w14:paraId="4D1A4C0C" w14:textId="77777777" w:rsidR="00271E47" w:rsidRDefault="00271E47" w:rsidP="00271E47">
      <w:pPr>
        <w:keepNext/>
        <w:spacing w:after="0"/>
      </w:pPr>
      <w:r>
        <w:rPr>
          <w:noProof/>
          <w:sz w:val="24"/>
          <w:szCs w:val="24"/>
        </w:rPr>
        <w:drawing>
          <wp:inline distT="114300" distB="114300" distL="114300" distR="114300" wp14:anchorId="1D03C5FA" wp14:editId="06DF325D">
            <wp:extent cx="5731200" cy="2578100"/>
            <wp:effectExtent l="0" t="0" r="0" b="0"/>
            <wp:docPr id="185" name="image15.png" descr="DODAS architecture"/>
            <wp:cNvGraphicFramePr/>
            <a:graphic xmlns:a="http://schemas.openxmlformats.org/drawingml/2006/main">
              <a:graphicData uri="http://schemas.openxmlformats.org/drawingml/2006/picture">
                <pic:pic xmlns:pic="http://schemas.openxmlformats.org/drawingml/2006/picture">
                  <pic:nvPicPr>
                    <pic:cNvPr id="185" name="image15.png" descr="DODAS architecture"/>
                    <pic:cNvPicPr preferRelativeResize="0"/>
                  </pic:nvPicPr>
                  <pic:blipFill>
                    <a:blip r:embed="rId43"/>
                    <a:srcRect/>
                    <a:stretch>
                      <a:fillRect/>
                    </a:stretch>
                  </pic:blipFill>
                  <pic:spPr>
                    <a:xfrm>
                      <a:off x="0" y="0"/>
                      <a:ext cx="5731200" cy="2578100"/>
                    </a:xfrm>
                    <a:prstGeom prst="rect">
                      <a:avLst/>
                    </a:prstGeom>
                    <a:ln/>
                  </pic:spPr>
                </pic:pic>
              </a:graphicData>
            </a:graphic>
          </wp:inline>
        </w:drawing>
      </w:r>
    </w:p>
    <w:p w14:paraId="04E43683" w14:textId="77777777" w:rsidR="00271E47" w:rsidRPr="004B7F89" w:rsidRDefault="00271E47" w:rsidP="00271E47">
      <w:pPr>
        <w:pBdr>
          <w:top w:val="nil"/>
          <w:left w:val="nil"/>
          <w:bottom w:val="nil"/>
          <w:right w:val="nil"/>
          <w:between w:val="nil"/>
        </w:pBdr>
        <w:spacing w:after="200" w:line="240" w:lineRule="auto"/>
        <w:jc w:val="center"/>
        <w:rPr>
          <w:i/>
          <w:iCs/>
          <w:color w:val="000000"/>
          <w:sz w:val="24"/>
          <w:szCs w:val="24"/>
        </w:rPr>
      </w:pPr>
      <w:bookmarkStart w:id="82" w:name="_heading=h.4d34og8" w:colFirst="0" w:colLast="0"/>
      <w:bookmarkEnd w:id="82"/>
      <w:r w:rsidRPr="004B7F89">
        <w:rPr>
          <w:i/>
          <w:iCs/>
          <w:color w:val="000000"/>
          <w:sz w:val="18"/>
          <w:szCs w:val="18"/>
        </w:rPr>
        <w:t>Figure 2</w:t>
      </w:r>
      <w:r w:rsidRPr="004B7F89">
        <w:rPr>
          <w:i/>
          <w:iCs/>
          <w:sz w:val="18"/>
          <w:szCs w:val="18"/>
        </w:rPr>
        <w:t>6</w:t>
      </w:r>
      <w:r w:rsidRPr="004B7F89">
        <w:rPr>
          <w:i/>
          <w:iCs/>
          <w:color w:val="000000"/>
          <w:sz w:val="18"/>
          <w:szCs w:val="18"/>
        </w:rPr>
        <w:t xml:space="preserve">. DODAS </w:t>
      </w:r>
      <w:r w:rsidRPr="004B7F89">
        <w:rPr>
          <w:i/>
          <w:iCs/>
          <w:sz w:val="18"/>
          <w:szCs w:val="18"/>
        </w:rPr>
        <w:t>a</w:t>
      </w:r>
      <w:r w:rsidRPr="004B7F89">
        <w:rPr>
          <w:i/>
          <w:iCs/>
          <w:color w:val="000000"/>
          <w:sz w:val="18"/>
          <w:szCs w:val="18"/>
        </w:rPr>
        <w:t>rchitecture</w:t>
      </w:r>
    </w:p>
    <w:p w14:paraId="420C0460" w14:textId="77777777" w:rsidR="00271E47" w:rsidRDefault="00271E47" w:rsidP="00271E47">
      <w:pPr>
        <w:pStyle w:val="Heading2"/>
        <w:numPr>
          <w:ilvl w:val="1"/>
          <w:numId w:val="13"/>
        </w:numPr>
        <w:ind w:left="576" w:hanging="576"/>
      </w:pPr>
      <w:bookmarkStart w:id="83" w:name="_heading=h.xxt7cz9vn1zn" w:colFirst="0" w:colLast="0"/>
      <w:bookmarkStart w:id="84" w:name="_Toc116449138"/>
      <w:bookmarkEnd w:id="83"/>
      <w:r>
        <w:lastRenderedPageBreak/>
        <w:t>DEEP training facility</w:t>
      </w:r>
      <w:bookmarkEnd w:id="84"/>
    </w:p>
    <w:p w14:paraId="6210A6F9" w14:textId="259970DD" w:rsidR="00271E47" w:rsidRDefault="00271E47" w:rsidP="00271E47">
      <w:pPr>
        <w:spacing w:after="0"/>
      </w:pPr>
      <w:r>
        <w:t>The DEEP platform was developed in the DEEP-Hybrid-DataCloud project</w:t>
      </w:r>
      <w:r>
        <w:rPr>
          <w:vertAlign w:val="superscript"/>
        </w:rPr>
        <w:footnoteReference w:id="88"/>
      </w:r>
      <w:r>
        <w:t xml:space="preserve"> and enhanced with services developed in the EOSC-Synergy project</w:t>
      </w:r>
      <w:r>
        <w:rPr>
          <w:vertAlign w:val="superscript"/>
        </w:rPr>
        <w:footnoteReference w:id="89"/>
      </w:r>
      <w:r>
        <w:t xml:space="preserve"> and with continuous contributions from DEEP partners. It offers a complete framework for users, </w:t>
      </w:r>
      <w:r w:rsidR="007A7F87">
        <w:t>practitioners,</w:t>
      </w:r>
      <w:r>
        <w:t xml:space="preserve"> and developers of Artificial Intelligence (AI) with various levels of expertise. The framework allows Machine Learning and Deep Learning (ML/DL) applications to be transparently trained, shared, and served, both locally and on hybrid cloud systems, in the context of EOSC. The provided set of tools and services uses a DevOps approach [R35] to cover the whole ML/DL development cycle, ranging from model creation, data processing, training, </w:t>
      </w:r>
      <w:r w:rsidR="007A7F87">
        <w:t>validation,</w:t>
      </w:r>
      <w:r>
        <w:t xml:space="preserve"> and testing of models serving as a service (through a serverless architecture), sharing and publication. Developers of the services can focus on domain-specific challenges, while the DEEP platform takes care of additional support tasks (AAI, resource management, marketplace, CI/CD software quality assurance, </w:t>
      </w:r>
      <w:r>
        <w:rPr>
          <w:i/>
        </w:rPr>
        <w:t>etc</w:t>
      </w:r>
      <w:r>
        <w:t>).</w:t>
      </w:r>
    </w:p>
    <w:p w14:paraId="33E27EF7" w14:textId="77777777" w:rsidR="00271E47" w:rsidRDefault="00271E47" w:rsidP="00271E47">
      <w:pPr>
        <w:spacing w:after="0"/>
      </w:pPr>
    </w:p>
    <w:p w14:paraId="132DA1C6" w14:textId="77777777" w:rsidR="00271E47" w:rsidRDefault="00271E47" w:rsidP="00271E47">
      <w:pPr>
        <w:spacing w:after="0"/>
      </w:pPr>
      <w:r>
        <w:t>The DEEP training facility</w:t>
      </w:r>
      <w:r>
        <w:rPr>
          <w:vertAlign w:val="superscript"/>
        </w:rPr>
        <w:footnoteReference w:id="90"/>
      </w:r>
      <w:r>
        <w:t xml:space="preserve"> allows AI model prototypes and applications to undergo through the train-test-evaluation cycle of the ML lifecycle, performing this phase on production-grade resources required for each of the training steps (see Figure 27). This facility therefore allows access to the underlying Cloud, HTC and HPC resources exploiting accelerators, transparently to the user through a user-friendly dashboard.</w:t>
      </w:r>
    </w:p>
    <w:p w14:paraId="58A3ECD0" w14:textId="77777777" w:rsidR="00271E47" w:rsidRDefault="00271E47" w:rsidP="00271E47">
      <w:pPr>
        <w:spacing w:after="0"/>
      </w:pPr>
    </w:p>
    <w:p w14:paraId="23C0D722" w14:textId="77777777" w:rsidR="00271E47" w:rsidRDefault="00271E47" w:rsidP="00271E47">
      <w:pPr>
        <w:keepNext/>
        <w:spacing w:after="0"/>
        <w:jc w:val="center"/>
      </w:pPr>
    </w:p>
    <w:p w14:paraId="3809F896" w14:textId="77777777" w:rsidR="00271E47" w:rsidRDefault="00271E47" w:rsidP="00271E47">
      <w:pPr>
        <w:keepNext/>
        <w:spacing w:after="0"/>
        <w:jc w:val="center"/>
      </w:pPr>
    </w:p>
    <w:p w14:paraId="71926609" w14:textId="77777777" w:rsidR="00271E47" w:rsidRDefault="00271E47" w:rsidP="00271E47">
      <w:pPr>
        <w:keepNext/>
        <w:spacing w:after="0"/>
        <w:jc w:val="center"/>
      </w:pPr>
      <w:r>
        <w:rPr>
          <w:noProof/>
        </w:rPr>
        <w:drawing>
          <wp:inline distT="114300" distB="114300" distL="114300" distR="114300" wp14:anchorId="7B10B77A" wp14:editId="7682C84B">
            <wp:extent cx="5731200" cy="2514600"/>
            <wp:effectExtent l="0" t="0" r="0" b="0"/>
            <wp:docPr id="180" name="image10.png" descr="DEEP training model workflow"/>
            <wp:cNvGraphicFramePr/>
            <a:graphic xmlns:a="http://schemas.openxmlformats.org/drawingml/2006/main">
              <a:graphicData uri="http://schemas.openxmlformats.org/drawingml/2006/picture">
                <pic:pic xmlns:pic="http://schemas.openxmlformats.org/drawingml/2006/picture">
                  <pic:nvPicPr>
                    <pic:cNvPr id="180" name="image10.png" descr="DEEP training model workflow"/>
                    <pic:cNvPicPr preferRelativeResize="0"/>
                  </pic:nvPicPr>
                  <pic:blipFill>
                    <a:blip r:embed="rId44"/>
                    <a:srcRect/>
                    <a:stretch>
                      <a:fillRect/>
                    </a:stretch>
                  </pic:blipFill>
                  <pic:spPr>
                    <a:xfrm>
                      <a:off x="0" y="0"/>
                      <a:ext cx="5731200" cy="2514600"/>
                    </a:xfrm>
                    <a:prstGeom prst="rect">
                      <a:avLst/>
                    </a:prstGeom>
                    <a:ln/>
                  </pic:spPr>
                </pic:pic>
              </a:graphicData>
            </a:graphic>
          </wp:inline>
        </w:drawing>
      </w:r>
    </w:p>
    <w:p w14:paraId="1861556B" w14:textId="77777777" w:rsidR="00271E47" w:rsidRPr="004B7F89" w:rsidRDefault="00271E47" w:rsidP="00271E47">
      <w:pPr>
        <w:pBdr>
          <w:top w:val="nil"/>
          <w:left w:val="nil"/>
          <w:bottom w:val="nil"/>
          <w:right w:val="nil"/>
          <w:between w:val="nil"/>
        </w:pBdr>
        <w:spacing w:after="200" w:line="240" w:lineRule="auto"/>
        <w:jc w:val="center"/>
        <w:rPr>
          <w:i/>
          <w:iCs/>
          <w:color w:val="000000"/>
          <w:sz w:val="18"/>
          <w:szCs w:val="18"/>
        </w:rPr>
      </w:pPr>
      <w:r w:rsidRPr="004B7F89">
        <w:rPr>
          <w:i/>
          <w:iCs/>
          <w:color w:val="000000"/>
          <w:sz w:val="18"/>
          <w:szCs w:val="18"/>
        </w:rPr>
        <w:t>Figure 2</w:t>
      </w:r>
      <w:r w:rsidRPr="004B7F89">
        <w:rPr>
          <w:i/>
          <w:iCs/>
          <w:sz w:val="18"/>
          <w:szCs w:val="18"/>
        </w:rPr>
        <w:t>7.</w:t>
      </w:r>
      <w:r w:rsidRPr="004B7F89">
        <w:rPr>
          <w:i/>
          <w:iCs/>
          <w:color w:val="000000"/>
          <w:sz w:val="18"/>
          <w:szCs w:val="18"/>
        </w:rPr>
        <w:t xml:space="preserve"> DEEP training model workflow</w:t>
      </w:r>
    </w:p>
    <w:p w14:paraId="69169DF2" w14:textId="77777777" w:rsidR="00271E47" w:rsidRDefault="00271E47" w:rsidP="00271E47">
      <w:pPr>
        <w:spacing w:after="0"/>
      </w:pPr>
    </w:p>
    <w:p w14:paraId="23B62FF9" w14:textId="77777777" w:rsidR="00271E47" w:rsidRDefault="00271E47" w:rsidP="00271E47">
      <w:pPr>
        <w:spacing w:after="0"/>
      </w:pPr>
      <w:r>
        <w:t>Once a model has been initially built, the dashboard allows users to access computing resources and train it. The dashboard hides the complexity of making a deployment in the DEEP framework, letting users to easily interact with resources through a simple GUI.</w:t>
      </w:r>
    </w:p>
    <w:p w14:paraId="1F5B1BE1" w14:textId="77777777" w:rsidR="00271E47" w:rsidRDefault="00271E47" w:rsidP="00271E47">
      <w:pPr>
        <w:spacing w:after="0"/>
      </w:pPr>
    </w:p>
    <w:p w14:paraId="054957F7" w14:textId="5EB07FD6" w:rsidR="00271E47" w:rsidRDefault="00271E47" w:rsidP="00271E47">
      <w:pPr>
        <w:spacing w:after="0"/>
      </w:pPr>
      <w:r>
        <w:t>Similarly, the dashboard allows users to interact with modules hosted at the</w:t>
      </w:r>
      <w:r>
        <w:rPr>
          <w:i/>
        </w:rPr>
        <w:t xml:space="preserve"> DEEP Open Catalogue</w:t>
      </w:r>
      <w:r>
        <w:rPr>
          <w:vertAlign w:val="superscript"/>
        </w:rPr>
        <w:footnoteReference w:id="91"/>
      </w:r>
      <w:r>
        <w:t xml:space="preserve">, as well as </w:t>
      </w:r>
      <w:r w:rsidR="005F6224">
        <w:t>deploy</w:t>
      </w:r>
      <w:r>
        <w:t xml:space="preserve"> external Docker images hosted in Docker Hub</w:t>
      </w:r>
      <w:r>
        <w:rPr>
          <w:vertAlign w:val="superscript"/>
        </w:rPr>
        <w:footnoteReference w:id="92"/>
      </w:r>
      <w:r>
        <w:t xml:space="preserve">. For all deployments, users </w:t>
      </w:r>
      <w:r w:rsidR="007A7F87">
        <w:t>can</w:t>
      </w:r>
      <w:r>
        <w:t xml:space="preserve"> select the desired hardware (CPU or GPU), the amount of memory and other relevant parameters. Another useful feature is the ability to store the history of previous training sessions, allowing the training status to be monitored directly from the Dashboard, while</w:t>
      </w:r>
      <w:r w:rsidR="007A7F87">
        <w:t xml:space="preserve"> </w:t>
      </w:r>
      <w:r>
        <w:t>tracking the results of experiments.</w:t>
      </w:r>
    </w:p>
    <w:p w14:paraId="69C04E4F" w14:textId="77777777" w:rsidR="00271E47" w:rsidRDefault="00271E47" w:rsidP="00271E47">
      <w:pPr>
        <w:spacing w:after="0"/>
      </w:pPr>
    </w:p>
    <w:p w14:paraId="118913A7" w14:textId="77777777" w:rsidR="00271E47" w:rsidRDefault="00271E47" w:rsidP="00271E47">
      <w:pPr>
        <w:keepNext/>
        <w:spacing w:after="0"/>
        <w:jc w:val="left"/>
      </w:pPr>
      <w:r>
        <w:rPr>
          <w:noProof/>
        </w:rPr>
        <w:drawing>
          <wp:inline distT="114300" distB="114300" distL="114300" distR="114300" wp14:anchorId="16B14829" wp14:editId="4B1D12B1">
            <wp:extent cx="5731200" cy="2908300"/>
            <wp:effectExtent l="0" t="0" r="0" b="0"/>
            <wp:docPr id="187" name="image17.png" descr="DEEP marketplace"/>
            <wp:cNvGraphicFramePr/>
            <a:graphic xmlns:a="http://schemas.openxmlformats.org/drawingml/2006/main">
              <a:graphicData uri="http://schemas.openxmlformats.org/drawingml/2006/picture">
                <pic:pic xmlns:pic="http://schemas.openxmlformats.org/drawingml/2006/picture">
                  <pic:nvPicPr>
                    <pic:cNvPr id="187" name="image17.png" descr="DEEP marketplace"/>
                    <pic:cNvPicPr preferRelativeResize="0"/>
                  </pic:nvPicPr>
                  <pic:blipFill>
                    <a:blip r:embed="rId45"/>
                    <a:srcRect/>
                    <a:stretch>
                      <a:fillRect/>
                    </a:stretch>
                  </pic:blipFill>
                  <pic:spPr>
                    <a:xfrm>
                      <a:off x="0" y="0"/>
                      <a:ext cx="5731200" cy="2908300"/>
                    </a:xfrm>
                    <a:prstGeom prst="rect">
                      <a:avLst/>
                    </a:prstGeom>
                    <a:ln/>
                  </pic:spPr>
                </pic:pic>
              </a:graphicData>
            </a:graphic>
          </wp:inline>
        </w:drawing>
      </w:r>
    </w:p>
    <w:p w14:paraId="52C3B72C" w14:textId="77777777" w:rsidR="00271E47" w:rsidRPr="004B7F89" w:rsidRDefault="00271E47" w:rsidP="00271E47">
      <w:pPr>
        <w:pBdr>
          <w:top w:val="nil"/>
          <w:left w:val="nil"/>
          <w:bottom w:val="nil"/>
          <w:right w:val="nil"/>
          <w:between w:val="nil"/>
        </w:pBdr>
        <w:spacing w:before="200" w:after="200" w:line="240" w:lineRule="auto"/>
        <w:jc w:val="center"/>
        <w:rPr>
          <w:i/>
          <w:iCs/>
          <w:color w:val="000000"/>
          <w:sz w:val="18"/>
          <w:szCs w:val="18"/>
        </w:rPr>
      </w:pPr>
      <w:r w:rsidRPr="004B7F89">
        <w:rPr>
          <w:i/>
          <w:iCs/>
          <w:color w:val="000000"/>
          <w:sz w:val="18"/>
          <w:szCs w:val="18"/>
        </w:rPr>
        <w:t>Figure 2</w:t>
      </w:r>
      <w:r w:rsidRPr="004B7F89">
        <w:rPr>
          <w:i/>
          <w:iCs/>
          <w:sz w:val="18"/>
          <w:szCs w:val="18"/>
        </w:rPr>
        <w:t>8</w:t>
      </w:r>
      <w:r w:rsidRPr="004B7F89">
        <w:rPr>
          <w:i/>
          <w:iCs/>
          <w:color w:val="000000"/>
          <w:sz w:val="18"/>
          <w:szCs w:val="18"/>
        </w:rPr>
        <w:t>. DEEP marketplac</w:t>
      </w:r>
      <w:r w:rsidRPr="004B7F89">
        <w:rPr>
          <w:i/>
          <w:iCs/>
          <w:sz w:val="18"/>
          <w:szCs w:val="18"/>
        </w:rPr>
        <w:t>e</w:t>
      </w:r>
    </w:p>
    <w:p w14:paraId="3956F418" w14:textId="77777777" w:rsidR="00271E47" w:rsidRDefault="00271E47" w:rsidP="00271E47">
      <w:pPr>
        <w:spacing w:after="0"/>
      </w:pPr>
    </w:p>
    <w:p w14:paraId="57DEFFC7" w14:textId="5A68398B" w:rsidR="00271E47" w:rsidRDefault="00271E47" w:rsidP="00271E47">
      <w:pPr>
        <w:spacing w:after="0"/>
      </w:pPr>
      <w:r>
        <w:t xml:space="preserve">The training facility relies on modules published on the DEEP Marketplace, shown in Figure 28, so it requires user applications to be installed in </w:t>
      </w:r>
      <w:r w:rsidR="005F6224">
        <w:t>a container</w:t>
      </w:r>
      <w:r>
        <w:t xml:space="preserve"> image and integrated with the DEEP API</w:t>
      </w:r>
      <w:r>
        <w:rPr>
          <w:vertAlign w:val="superscript"/>
        </w:rPr>
        <w:footnoteReference w:id="93"/>
      </w:r>
      <w:r>
        <w:t xml:space="preserve"> to expose its functionality. The training facility uses the INDIGO PaaS Orchestrator described in Section 6.3 to integrate with infrastructure systems (</w:t>
      </w:r>
      <w:r w:rsidR="005F6224">
        <w:rPr>
          <w:i/>
        </w:rPr>
        <w:t>e.g.,</w:t>
      </w:r>
      <w:r>
        <w:t xml:space="preserve"> OpenStack, Kubernetes, Mesos or HPC systems).</w:t>
      </w:r>
    </w:p>
    <w:p w14:paraId="210764F0" w14:textId="77777777" w:rsidR="00271E47" w:rsidRDefault="00271E47" w:rsidP="00271E47">
      <w:pPr>
        <w:spacing w:after="0"/>
      </w:pPr>
    </w:p>
    <w:p w14:paraId="33B81764" w14:textId="77777777" w:rsidR="00271E47" w:rsidRDefault="00271E47" w:rsidP="00271E47">
      <w:pPr>
        <w:spacing w:after="0"/>
      </w:pPr>
    </w:p>
    <w:p w14:paraId="386626C1" w14:textId="77777777" w:rsidR="00271E47" w:rsidRDefault="00271E47" w:rsidP="00271E47">
      <w:pPr>
        <w:pStyle w:val="Heading1"/>
        <w:numPr>
          <w:ilvl w:val="0"/>
          <w:numId w:val="13"/>
        </w:numPr>
        <w:ind w:left="432" w:hanging="432"/>
      </w:pPr>
      <w:bookmarkStart w:id="85" w:name="_heading=h.41mghml" w:colFirst="0" w:colLast="0"/>
      <w:bookmarkStart w:id="86" w:name="_Toc116449139"/>
      <w:bookmarkEnd w:id="85"/>
      <w:r>
        <w:lastRenderedPageBreak/>
        <w:t>Conclusions</w:t>
      </w:r>
      <w:bookmarkEnd w:id="86"/>
    </w:p>
    <w:p w14:paraId="41E98245" w14:textId="77777777" w:rsidR="00271E47" w:rsidRDefault="00271E47" w:rsidP="00271E47">
      <w:r>
        <w:t>EGI-ACE delivers the EOSC Compute Platform following a layered architecture where Cloud, HTC and HPC resource providers are federated to enable processing and analysis for all kinds of research needs.</w:t>
      </w:r>
    </w:p>
    <w:p w14:paraId="363767D6" w14:textId="682E92A0" w:rsidR="00271E47" w:rsidRDefault="00271E47" w:rsidP="00271E47">
      <w:r>
        <w:t xml:space="preserve">A set of Core Services has been described in Section 2, which provides federated operations (such as common configuration management, authentication and authorisation mechanisms, monitoring, </w:t>
      </w:r>
      <w:r w:rsidR="005F6224">
        <w:t>accounting,</w:t>
      </w:r>
      <w:r>
        <w:t xml:space="preserve"> and support) for those providers that participate as full members of the EGI Federation, becoming an integral part of the services delivered by the Federation to the EOSC Marketplace. Providers that are not part of the Federation can still contribute to the EGI-ACE architecture, supporting the different services provided by the Compute Federation, Data Federation, Platforms and Thematic Service layers, although their use will not be managed via EGI’s SLA/OLA framework. Providers not fully integrated in the EGI Federation can rely on common AAI, shared applications, and shared data. Providers can choose the level of integration that better suits their needs and the communities they serve.</w:t>
      </w:r>
    </w:p>
    <w:p w14:paraId="06973D42" w14:textId="77777777" w:rsidR="00271E47" w:rsidRDefault="00271E47" w:rsidP="00271E47">
      <w:pPr>
        <w:spacing w:before="200" w:after="200"/>
      </w:pPr>
      <w:r>
        <w:t xml:space="preserve">The offer of compute services of the EOSC Compute Platform has been described in Section 3, and covers different types of applications and use cases: from Virtual Machines with full user-control to a fully managed distributed platform to run jobs: </w:t>
      </w:r>
    </w:p>
    <w:p w14:paraId="7315CF83" w14:textId="77777777" w:rsidR="00271E47" w:rsidRPr="004B7F89" w:rsidRDefault="00271E47" w:rsidP="004B7F89">
      <w:pPr>
        <w:jc w:val="left"/>
        <w:rPr>
          <w:i/>
          <w:iCs/>
        </w:rPr>
      </w:pPr>
      <w:r w:rsidRPr="004B7F89">
        <w:rPr>
          <w:i/>
          <w:iCs/>
          <w:sz w:val="18"/>
          <w:szCs w:val="18"/>
        </w:rPr>
        <w:t>Table 3 – Description of EOSC Compute Services</w:t>
      </w:r>
    </w:p>
    <w:tbl>
      <w:tblPr>
        <w:tblW w:w="949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Look w:val="0600" w:firstRow="0" w:lastRow="0" w:firstColumn="0" w:lastColumn="0" w:noHBand="1" w:noVBand="1"/>
      </w:tblPr>
      <w:tblGrid>
        <w:gridCol w:w="1555"/>
        <w:gridCol w:w="3644"/>
        <w:gridCol w:w="4294"/>
      </w:tblGrid>
      <w:tr w:rsidR="00A56E99" w:rsidRPr="00A56E99" w14:paraId="20949C76" w14:textId="77777777" w:rsidTr="00211F6C">
        <w:trPr>
          <w:tblHeader/>
        </w:trPr>
        <w:tc>
          <w:tcPr>
            <w:tcW w:w="1555" w:type="dxa"/>
            <w:tcBorders>
              <w:top w:val="single" w:sz="4" w:space="0" w:color="BFBFBF"/>
              <w:bottom w:val="single" w:sz="6" w:space="0" w:color="BFBFBF"/>
            </w:tcBorders>
            <w:shd w:val="clear" w:color="auto" w:fill="auto"/>
            <w:tcMar>
              <w:top w:w="100" w:type="dxa"/>
              <w:left w:w="100" w:type="dxa"/>
              <w:bottom w:w="100" w:type="dxa"/>
              <w:right w:w="100" w:type="dxa"/>
            </w:tcMar>
          </w:tcPr>
          <w:p w14:paraId="26C6B9D2" w14:textId="77777777" w:rsidR="00271E47" w:rsidRPr="00A56E99" w:rsidRDefault="00271E47" w:rsidP="00DA495D">
            <w:pPr>
              <w:widowControl w:val="0"/>
              <w:spacing w:after="0" w:line="240" w:lineRule="auto"/>
              <w:jc w:val="left"/>
              <w:rPr>
                <w:b/>
              </w:rPr>
            </w:pPr>
            <w:r w:rsidRPr="00A56E99">
              <w:rPr>
                <w:b/>
              </w:rPr>
              <w:t>Type</w:t>
            </w:r>
          </w:p>
        </w:tc>
        <w:tc>
          <w:tcPr>
            <w:tcW w:w="3644" w:type="dxa"/>
            <w:tcBorders>
              <w:top w:val="single" w:sz="4" w:space="0" w:color="BFBFBF"/>
              <w:bottom w:val="single" w:sz="6" w:space="0" w:color="BFBFBF"/>
            </w:tcBorders>
            <w:shd w:val="clear" w:color="auto" w:fill="auto"/>
            <w:tcMar>
              <w:top w:w="100" w:type="dxa"/>
              <w:left w:w="100" w:type="dxa"/>
              <w:bottom w:w="100" w:type="dxa"/>
              <w:right w:w="100" w:type="dxa"/>
            </w:tcMar>
          </w:tcPr>
          <w:p w14:paraId="30D3700D" w14:textId="77777777" w:rsidR="00271E47" w:rsidRPr="00A56E99" w:rsidRDefault="00271E47" w:rsidP="00DA495D">
            <w:pPr>
              <w:widowControl w:val="0"/>
              <w:spacing w:after="0" w:line="240" w:lineRule="auto"/>
              <w:jc w:val="left"/>
              <w:rPr>
                <w:b/>
              </w:rPr>
            </w:pPr>
            <w:r w:rsidRPr="00A56E99">
              <w:rPr>
                <w:b/>
              </w:rPr>
              <w:t>Description</w:t>
            </w:r>
          </w:p>
        </w:tc>
        <w:tc>
          <w:tcPr>
            <w:tcW w:w="4294" w:type="dxa"/>
            <w:tcBorders>
              <w:top w:val="single" w:sz="4" w:space="0" w:color="BFBFBF"/>
              <w:bottom w:val="single" w:sz="6" w:space="0" w:color="BFBFBF"/>
            </w:tcBorders>
            <w:shd w:val="clear" w:color="auto" w:fill="auto"/>
            <w:tcMar>
              <w:top w:w="100" w:type="dxa"/>
              <w:left w:w="100" w:type="dxa"/>
              <w:bottom w:w="100" w:type="dxa"/>
              <w:right w:w="100" w:type="dxa"/>
            </w:tcMar>
          </w:tcPr>
          <w:p w14:paraId="3A7E767E" w14:textId="77777777" w:rsidR="00271E47" w:rsidRPr="00A56E99" w:rsidRDefault="00271E47" w:rsidP="00DA495D">
            <w:pPr>
              <w:widowControl w:val="0"/>
              <w:spacing w:after="0" w:line="240" w:lineRule="auto"/>
              <w:jc w:val="left"/>
              <w:rPr>
                <w:b/>
              </w:rPr>
            </w:pPr>
            <w:r w:rsidRPr="00A56E99">
              <w:rPr>
                <w:b/>
              </w:rPr>
              <w:t>Use Case</w:t>
            </w:r>
          </w:p>
        </w:tc>
      </w:tr>
      <w:tr w:rsidR="00271E47" w14:paraId="3973E948" w14:textId="77777777" w:rsidTr="00211F6C">
        <w:tc>
          <w:tcPr>
            <w:tcW w:w="1555" w:type="dxa"/>
            <w:tcBorders>
              <w:top w:val="single" w:sz="6" w:space="0" w:color="BFBFBF"/>
            </w:tcBorders>
            <w:shd w:val="clear" w:color="auto" w:fill="EFEFEF"/>
            <w:tcMar>
              <w:top w:w="100" w:type="dxa"/>
              <w:left w:w="100" w:type="dxa"/>
              <w:bottom w:w="100" w:type="dxa"/>
              <w:right w:w="100" w:type="dxa"/>
            </w:tcMar>
          </w:tcPr>
          <w:p w14:paraId="004328CC" w14:textId="77777777" w:rsidR="00271E47" w:rsidRDefault="00271E47" w:rsidP="00DA495D">
            <w:pPr>
              <w:widowControl w:val="0"/>
              <w:spacing w:after="0" w:line="240" w:lineRule="auto"/>
              <w:jc w:val="left"/>
            </w:pPr>
            <w:r>
              <w:t>Cloud IaaS</w:t>
            </w:r>
          </w:p>
        </w:tc>
        <w:tc>
          <w:tcPr>
            <w:tcW w:w="3644" w:type="dxa"/>
            <w:tcBorders>
              <w:top w:val="single" w:sz="6" w:space="0" w:color="BFBFBF"/>
            </w:tcBorders>
            <w:shd w:val="clear" w:color="auto" w:fill="EFEFEF"/>
            <w:tcMar>
              <w:top w:w="100" w:type="dxa"/>
              <w:left w:w="100" w:type="dxa"/>
              <w:bottom w:w="100" w:type="dxa"/>
              <w:right w:w="100" w:type="dxa"/>
            </w:tcMar>
          </w:tcPr>
          <w:p w14:paraId="2B80C9FD" w14:textId="77777777" w:rsidR="00271E47" w:rsidRDefault="00271E47" w:rsidP="00DA495D">
            <w:pPr>
              <w:widowControl w:val="0"/>
              <w:spacing w:after="0" w:line="240" w:lineRule="auto"/>
              <w:jc w:val="left"/>
            </w:pPr>
            <w:r>
              <w:t xml:space="preserve">Provides access to VM-based computing with associated storage. It delivers a customisable platform where users have complete control over the software and the supporting compute capacity. </w:t>
            </w:r>
          </w:p>
        </w:tc>
        <w:tc>
          <w:tcPr>
            <w:tcW w:w="4294" w:type="dxa"/>
            <w:tcBorders>
              <w:top w:val="single" w:sz="6" w:space="0" w:color="BFBFBF"/>
            </w:tcBorders>
            <w:shd w:val="clear" w:color="auto" w:fill="EFEFEF"/>
            <w:tcMar>
              <w:top w:w="100" w:type="dxa"/>
              <w:left w:w="100" w:type="dxa"/>
              <w:bottom w:w="100" w:type="dxa"/>
              <w:right w:w="100" w:type="dxa"/>
            </w:tcMar>
          </w:tcPr>
          <w:p w14:paraId="06D1CB60" w14:textId="77777777" w:rsidR="00271E47" w:rsidRDefault="00271E47" w:rsidP="00DA495D">
            <w:pPr>
              <w:widowControl w:val="0"/>
              <w:spacing w:after="0" w:line="240" w:lineRule="auto"/>
              <w:jc w:val="left"/>
            </w:pPr>
            <w:r>
              <w:t>The flexibility of the computing platform enables a variety of workloads: user gateways or portals, interactive computing platforms and almost any kind of data- and/or compute-intensive workloads.</w:t>
            </w:r>
          </w:p>
        </w:tc>
      </w:tr>
      <w:tr w:rsidR="00271E47" w14:paraId="4E1C7B7A" w14:textId="77777777" w:rsidTr="00211F6C">
        <w:tc>
          <w:tcPr>
            <w:tcW w:w="1555" w:type="dxa"/>
            <w:shd w:val="clear" w:color="auto" w:fill="auto"/>
            <w:tcMar>
              <w:top w:w="100" w:type="dxa"/>
              <w:left w:w="100" w:type="dxa"/>
              <w:bottom w:w="100" w:type="dxa"/>
              <w:right w:w="100" w:type="dxa"/>
            </w:tcMar>
          </w:tcPr>
          <w:p w14:paraId="2EC94CF8" w14:textId="77777777" w:rsidR="00271E47" w:rsidRDefault="00271E47" w:rsidP="00DA495D">
            <w:pPr>
              <w:widowControl w:val="0"/>
              <w:spacing w:after="0" w:line="240" w:lineRule="auto"/>
              <w:jc w:val="left"/>
            </w:pPr>
            <w:r>
              <w:t>High Throughput Compute</w:t>
            </w:r>
          </w:p>
        </w:tc>
        <w:tc>
          <w:tcPr>
            <w:tcW w:w="3644" w:type="dxa"/>
            <w:shd w:val="clear" w:color="auto" w:fill="auto"/>
            <w:tcMar>
              <w:top w:w="100" w:type="dxa"/>
              <w:left w:w="100" w:type="dxa"/>
              <w:bottom w:w="100" w:type="dxa"/>
              <w:right w:w="100" w:type="dxa"/>
            </w:tcMar>
          </w:tcPr>
          <w:p w14:paraId="7B9A8973" w14:textId="77777777" w:rsidR="00271E47" w:rsidRDefault="00271E47" w:rsidP="00DA495D">
            <w:pPr>
              <w:widowControl w:val="0"/>
              <w:spacing w:after="0" w:line="240" w:lineRule="auto"/>
              <w:jc w:val="left"/>
            </w:pPr>
            <w:r>
              <w:t>Provides access to large, shared Grid Computing systems for running computational jobs at scale.</w:t>
            </w:r>
          </w:p>
        </w:tc>
        <w:tc>
          <w:tcPr>
            <w:tcW w:w="4294" w:type="dxa"/>
            <w:shd w:val="clear" w:color="auto" w:fill="auto"/>
            <w:tcMar>
              <w:top w:w="100" w:type="dxa"/>
              <w:left w:w="100" w:type="dxa"/>
              <w:bottom w:w="100" w:type="dxa"/>
              <w:right w:w="100" w:type="dxa"/>
            </w:tcMar>
          </w:tcPr>
          <w:p w14:paraId="72980C4B" w14:textId="77777777" w:rsidR="00271E47" w:rsidRDefault="00271E47" w:rsidP="00DA495D">
            <w:pPr>
              <w:widowControl w:val="0"/>
              <w:spacing w:after="0" w:line="240" w:lineRule="auto"/>
              <w:jc w:val="left"/>
            </w:pPr>
            <w:r>
              <w:t>Analysis of large datasets in an “embarrassingly parallel” fashion,</w:t>
            </w:r>
            <w:r>
              <w:rPr>
                <w:i/>
              </w:rPr>
              <w:t xml:space="preserve"> i.e.</w:t>
            </w:r>
            <w:r>
              <w:t xml:space="preserve"> by splitting the data into small pieces, and executing thousands, or even more independent computing tasks simultaneously, each processing one piece of data. </w:t>
            </w:r>
          </w:p>
        </w:tc>
      </w:tr>
      <w:tr w:rsidR="00271E47" w14:paraId="3F46A730" w14:textId="77777777" w:rsidTr="00211F6C">
        <w:tc>
          <w:tcPr>
            <w:tcW w:w="1555" w:type="dxa"/>
            <w:shd w:val="clear" w:color="auto" w:fill="EFEFEF"/>
            <w:tcMar>
              <w:top w:w="100" w:type="dxa"/>
              <w:left w:w="100" w:type="dxa"/>
              <w:bottom w:w="100" w:type="dxa"/>
              <w:right w:w="100" w:type="dxa"/>
            </w:tcMar>
          </w:tcPr>
          <w:p w14:paraId="35B9D641" w14:textId="77777777" w:rsidR="00271E47" w:rsidRDefault="00271E47" w:rsidP="00DA495D">
            <w:pPr>
              <w:widowControl w:val="0"/>
              <w:spacing w:after="0" w:line="240" w:lineRule="auto"/>
              <w:jc w:val="left"/>
            </w:pPr>
            <w:r>
              <w:t>High Performance Compute</w:t>
            </w:r>
          </w:p>
        </w:tc>
        <w:tc>
          <w:tcPr>
            <w:tcW w:w="3644" w:type="dxa"/>
            <w:shd w:val="clear" w:color="auto" w:fill="EFEFEF"/>
            <w:tcMar>
              <w:top w:w="100" w:type="dxa"/>
              <w:left w:w="100" w:type="dxa"/>
              <w:bottom w:w="100" w:type="dxa"/>
              <w:right w:w="100" w:type="dxa"/>
            </w:tcMar>
          </w:tcPr>
          <w:p w14:paraId="355D5AC6" w14:textId="77777777" w:rsidR="00271E47" w:rsidRDefault="00271E47" w:rsidP="00DA495D">
            <w:pPr>
              <w:widowControl w:val="0"/>
              <w:spacing w:after="0" w:line="240" w:lineRule="auto"/>
              <w:jc w:val="left"/>
            </w:pPr>
            <w:r>
              <w:t>Supports highly optimised applications that need massively parallel computing with low latency and a high bandwidth interconnection network.</w:t>
            </w:r>
          </w:p>
        </w:tc>
        <w:tc>
          <w:tcPr>
            <w:tcW w:w="4294" w:type="dxa"/>
            <w:shd w:val="clear" w:color="auto" w:fill="EFEFEF"/>
            <w:tcMar>
              <w:top w:w="100" w:type="dxa"/>
              <w:left w:w="100" w:type="dxa"/>
              <w:bottom w:w="100" w:type="dxa"/>
              <w:right w:w="100" w:type="dxa"/>
            </w:tcMar>
          </w:tcPr>
          <w:p w14:paraId="59702BA1" w14:textId="08D099C4" w:rsidR="00271E47" w:rsidRDefault="00271E47" w:rsidP="00DA495D">
            <w:pPr>
              <w:widowControl w:val="0"/>
              <w:spacing w:after="0" w:line="240" w:lineRule="auto"/>
              <w:jc w:val="left"/>
            </w:pPr>
            <w:r>
              <w:t xml:space="preserve">Complex computational problems using tightly coupled parallel processing: simulations, analysis of large datasets or AI/ML workloads. </w:t>
            </w:r>
            <w:r w:rsidR="005F6224">
              <w:t>Typically,</w:t>
            </w:r>
            <w:r>
              <w:t xml:space="preserve"> these applications rely on MPI</w:t>
            </w:r>
            <w:r>
              <w:rPr>
                <w:vertAlign w:val="superscript"/>
              </w:rPr>
              <w:footnoteReference w:id="94"/>
            </w:r>
            <w:r>
              <w:t xml:space="preserve"> for supporting interprocess communication.</w:t>
            </w:r>
          </w:p>
        </w:tc>
      </w:tr>
    </w:tbl>
    <w:p w14:paraId="1488C544" w14:textId="77777777" w:rsidR="00271E47" w:rsidRDefault="00271E47" w:rsidP="00271E47">
      <w:pPr>
        <w:spacing w:before="200" w:after="0"/>
      </w:pPr>
    </w:p>
    <w:p w14:paraId="5E047999" w14:textId="4A3D8260" w:rsidR="00271E47" w:rsidRDefault="00271E47" w:rsidP="00271E47">
      <w:r>
        <w:t xml:space="preserve">The Federated Compute and the Federated Data services have been discussed in Sections 4 and 5 </w:t>
      </w:r>
      <w:r w:rsidR="005F6224">
        <w:t>respectively and</w:t>
      </w:r>
      <w:r>
        <w:t xml:space="preserve"> support the execution of research workloads by delivering agnostic ways to run applications on the heterogeneous set of providers. These support both exploiting data locality, by moving computing near data, and seamless access to remote data, with replication and caching whenever necessary. </w:t>
      </w:r>
    </w:p>
    <w:p w14:paraId="6CB9CFC0" w14:textId="77777777" w:rsidR="00271E47" w:rsidRDefault="00271E47" w:rsidP="00271E47">
      <w:r>
        <w:t>A set of platform-level services has been described in Section 6, which provides further generic tools to exploit the compute and storage resources of EGI-ACE. These include Interactive Notebooks, Scalable deployment of big data tools and AI/ML training.</w:t>
      </w:r>
    </w:p>
    <w:p w14:paraId="2F63EB8B" w14:textId="77777777" w:rsidR="00271E47" w:rsidRDefault="00271E47" w:rsidP="00271E47">
      <w:r>
        <w:t>All these layers support the discipline-specific thematic services that bring additional analytics and data for specific communities.</w:t>
      </w:r>
    </w:p>
    <w:p w14:paraId="274FF177" w14:textId="363E7227" w:rsidR="00271E47" w:rsidRDefault="00271E47" w:rsidP="00271E47">
      <w:r>
        <w:t xml:space="preserve">The compute services of EGI-ACE described in this document contribute to the adoption of the European Open Science Cloud (EOSC) by European researchers, innovators, </w:t>
      </w:r>
      <w:r w:rsidR="005F6224">
        <w:t>companies,</w:t>
      </w:r>
      <w:r>
        <w:t xml:space="preserve"> and citizens, serving as a valuable introduction of EOSC capabilities and the potential advantages that it can bring to advanced research. Researchers can benefit from a federated and open multi-disciplinary environment that facilitates the publication, </w:t>
      </w:r>
      <w:r w:rsidR="005F6224">
        <w:t>search and</w:t>
      </w:r>
      <w:r>
        <w:t xml:space="preserve"> reuse of data, tools and services, with the ultimate goal of improving research, innovation and education.</w:t>
      </w:r>
    </w:p>
    <w:p w14:paraId="40EF1E06" w14:textId="77777777" w:rsidR="00271E47" w:rsidRDefault="00271E47" w:rsidP="00271E47">
      <w:pPr>
        <w:pStyle w:val="Heading1"/>
        <w:numPr>
          <w:ilvl w:val="0"/>
          <w:numId w:val="13"/>
        </w:numPr>
        <w:ind w:left="432" w:hanging="432"/>
        <w:rPr>
          <w:szCs w:val="40"/>
        </w:rPr>
      </w:pPr>
      <w:bookmarkStart w:id="87" w:name="_heading=h.wsfmukbebrjd" w:colFirst="0" w:colLast="0"/>
      <w:bookmarkStart w:id="88" w:name="_Toc116449140"/>
      <w:bookmarkEnd w:id="87"/>
      <w:r>
        <w:lastRenderedPageBreak/>
        <w:t>References</w:t>
      </w:r>
      <w:bookmarkEnd w:id="88"/>
    </w:p>
    <w:p w14:paraId="305FA412" w14:textId="77777777" w:rsidR="00271E47" w:rsidRDefault="00271E47" w:rsidP="00271E47"/>
    <w:tbl>
      <w:tblPr>
        <w:tblW w:w="90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735"/>
        <w:gridCol w:w="8265"/>
      </w:tblGrid>
      <w:tr w:rsidR="00271E47" w14:paraId="3E1E3C6D"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602622D9" w14:textId="77777777" w:rsidR="00271E47" w:rsidRDefault="00271E47" w:rsidP="00DA495D">
            <w:pPr>
              <w:jc w:val="left"/>
              <w:rPr>
                <w:b/>
              </w:rPr>
            </w:pPr>
            <w:r>
              <w:rPr>
                <w:b/>
              </w:rPr>
              <w:t>No</w:t>
            </w:r>
          </w:p>
        </w:tc>
        <w:tc>
          <w:tcPr>
            <w:tcW w:w="8265" w:type="dxa"/>
            <w:tcBorders>
              <w:bottom w:val="single" w:sz="8" w:space="0" w:color="BFBFBF"/>
            </w:tcBorders>
            <w:tcMar>
              <w:top w:w="100" w:type="dxa"/>
              <w:left w:w="100" w:type="dxa"/>
              <w:bottom w:w="100" w:type="dxa"/>
              <w:right w:w="100" w:type="dxa"/>
            </w:tcMar>
          </w:tcPr>
          <w:p w14:paraId="3213D6A5" w14:textId="77777777" w:rsidR="00271E47" w:rsidRDefault="00271E47" w:rsidP="00DA495D">
            <w:pPr>
              <w:jc w:val="left"/>
              <w:rPr>
                <w:b/>
              </w:rPr>
            </w:pPr>
            <w:r>
              <w:rPr>
                <w:b/>
              </w:rPr>
              <w:t>Description/Link</w:t>
            </w:r>
          </w:p>
        </w:tc>
      </w:tr>
      <w:tr w:rsidR="00271E47" w14:paraId="05ECC6D2"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2900FC30" w14:textId="77777777" w:rsidR="00271E47" w:rsidRDefault="00271E47" w:rsidP="00DA495D">
            <w:pPr>
              <w:pBdr>
                <w:top w:val="nil"/>
                <w:left w:val="nil"/>
                <w:bottom w:val="nil"/>
                <w:right w:val="nil"/>
                <w:between w:val="nil"/>
              </w:pBdr>
              <w:jc w:val="left"/>
            </w:pPr>
            <w:r>
              <w:t>R1</w:t>
            </w:r>
          </w:p>
        </w:tc>
        <w:tc>
          <w:tcPr>
            <w:tcW w:w="8265" w:type="dxa"/>
            <w:shd w:val="clear" w:color="auto" w:fill="F2F2F2" w:themeFill="background1" w:themeFillShade="F2"/>
            <w:tcMar>
              <w:top w:w="100" w:type="dxa"/>
              <w:left w:w="100" w:type="dxa"/>
              <w:bottom w:w="100" w:type="dxa"/>
              <w:right w:w="100" w:type="dxa"/>
            </w:tcMar>
          </w:tcPr>
          <w:p w14:paraId="25D78811" w14:textId="77777777" w:rsidR="00271E47" w:rsidRDefault="00271E47" w:rsidP="00DA495D">
            <w:pPr>
              <w:pBdr>
                <w:top w:val="nil"/>
                <w:left w:val="nil"/>
                <w:bottom w:val="nil"/>
                <w:right w:val="nil"/>
                <w:between w:val="nil"/>
              </w:pBdr>
              <w:jc w:val="left"/>
              <w:rPr>
                <w:b/>
              </w:rPr>
            </w:pPr>
            <w:r>
              <w:rPr>
                <w:b/>
              </w:rPr>
              <w:t>EGI-ACE D2.3 Technical specifications for compute common services</w:t>
            </w:r>
          </w:p>
          <w:p w14:paraId="588BCAB7" w14:textId="77777777" w:rsidR="00271E47" w:rsidRDefault="00000000" w:rsidP="00DA495D">
            <w:pPr>
              <w:pBdr>
                <w:top w:val="nil"/>
                <w:left w:val="nil"/>
                <w:bottom w:val="nil"/>
                <w:right w:val="nil"/>
                <w:between w:val="nil"/>
              </w:pBdr>
              <w:jc w:val="left"/>
            </w:pPr>
            <w:hyperlink r:id="rId46">
              <w:r w:rsidR="00271E47" w:rsidRPr="00032DED">
                <w:rPr>
                  <w:color w:val="1155CC"/>
                  <w:u w:val="single"/>
                </w:rPr>
                <w:t>https://documents.egi.eu/document/3816</w:t>
              </w:r>
            </w:hyperlink>
          </w:p>
        </w:tc>
      </w:tr>
      <w:tr w:rsidR="00271E47" w14:paraId="1B391ED4"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67940ED3" w14:textId="77777777" w:rsidR="00271E47" w:rsidRDefault="00271E47" w:rsidP="00DA495D">
            <w:pPr>
              <w:pBdr>
                <w:top w:val="nil"/>
                <w:left w:val="nil"/>
                <w:bottom w:val="nil"/>
                <w:right w:val="nil"/>
                <w:between w:val="nil"/>
              </w:pBdr>
              <w:jc w:val="left"/>
            </w:pPr>
            <w:r>
              <w:t>R2</w:t>
            </w:r>
          </w:p>
        </w:tc>
        <w:tc>
          <w:tcPr>
            <w:tcW w:w="8265" w:type="dxa"/>
            <w:tcBorders>
              <w:bottom w:val="single" w:sz="8" w:space="0" w:color="BFBFBF"/>
            </w:tcBorders>
            <w:tcMar>
              <w:top w:w="100" w:type="dxa"/>
              <w:left w:w="100" w:type="dxa"/>
              <w:bottom w:w="100" w:type="dxa"/>
              <w:right w:w="100" w:type="dxa"/>
            </w:tcMar>
          </w:tcPr>
          <w:p w14:paraId="360998C2" w14:textId="77777777" w:rsidR="00271E47" w:rsidRDefault="00271E47" w:rsidP="00DA495D">
            <w:pPr>
              <w:pBdr>
                <w:top w:val="nil"/>
                <w:left w:val="nil"/>
                <w:bottom w:val="nil"/>
                <w:right w:val="nil"/>
                <w:between w:val="nil"/>
              </w:pBdr>
              <w:jc w:val="left"/>
              <w:rPr>
                <w:b/>
              </w:rPr>
            </w:pPr>
            <w:r>
              <w:rPr>
                <w:b/>
              </w:rPr>
              <w:t>PROC09 Resource Centre Registration and Certification</w:t>
            </w:r>
          </w:p>
          <w:p w14:paraId="293617BB" w14:textId="77777777" w:rsidR="00271E47" w:rsidRDefault="00000000" w:rsidP="00DA495D">
            <w:pPr>
              <w:pBdr>
                <w:top w:val="nil"/>
                <w:left w:val="nil"/>
                <w:bottom w:val="nil"/>
                <w:right w:val="nil"/>
                <w:between w:val="nil"/>
              </w:pBdr>
              <w:jc w:val="left"/>
            </w:pPr>
            <w:hyperlink r:id="rId47">
              <w:r w:rsidR="00271E47" w:rsidRPr="00032DED">
                <w:rPr>
                  <w:color w:val="1155CC"/>
                  <w:u w:val="single"/>
                </w:rPr>
                <w:t>https://confluence.egi.eu/display/EGIPP/PROC09+Resource+Centre+Registration+and+Certification</w:t>
              </w:r>
            </w:hyperlink>
          </w:p>
        </w:tc>
      </w:tr>
      <w:tr w:rsidR="00271E47" w14:paraId="041927B7"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79605FD6" w14:textId="77777777" w:rsidR="00271E47" w:rsidRDefault="00271E47" w:rsidP="00DA495D">
            <w:pPr>
              <w:pBdr>
                <w:top w:val="nil"/>
                <w:left w:val="nil"/>
                <w:bottom w:val="nil"/>
                <w:right w:val="nil"/>
                <w:between w:val="nil"/>
              </w:pBdr>
              <w:jc w:val="left"/>
            </w:pPr>
            <w:r>
              <w:t xml:space="preserve"> R3</w:t>
            </w:r>
          </w:p>
        </w:tc>
        <w:tc>
          <w:tcPr>
            <w:tcW w:w="8265" w:type="dxa"/>
            <w:shd w:val="clear" w:color="auto" w:fill="F2F2F2" w:themeFill="background1" w:themeFillShade="F2"/>
            <w:tcMar>
              <w:top w:w="100" w:type="dxa"/>
              <w:left w:w="100" w:type="dxa"/>
              <w:bottom w:w="100" w:type="dxa"/>
              <w:right w:w="100" w:type="dxa"/>
            </w:tcMar>
          </w:tcPr>
          <w:p w14:paraId="0149971F" w14:textId="77777777" w:rsidR="00271E47" w:rsidRDefault="00271E47" w:rsidP="00DA495D">
            <w:pPr>
              <w:pBdr>
                <w:top w:val="nil"/>
                <w:left w:val="nil"/>
                <w:bottom w:val="nil"/>
                <w:right w:val="nil"/>
                <w:between w:val="nil"/>
              </w:pBdr>
              <w:jc w:val="left"/>
              <w:rPr>
                <w:b/>
              </w:rPr>
            </w:pPr>
            <w:r>
              <w:rPr>
                <w:b/>
              </w:rPr>
              <w:t>REFEDS Research and Scholarship (R&amp;S)</w:t>
            </w:r>
          </w:p>
          <w:p w14:paraId="7F3735D5" w14:textId="3CA6FF6E" w:rsidR="00271E47" w:rsidRDefault="00271E47" w:rsidP="00DA495D">
            <w:pPr>
              <w:pBdr>
                <w:top w:val="nil"/>
                <w:left w:val="nil"/>
                <w:bottom w:val="nil"/>
                <w:right w:val="nil"/>
                <w:between w:val="nil"/>
              </w:pBdr>
              <w:jc w:val="left"/>
            </w:pPr>
            <w:r>
              <w:t xml:space="preserve"> </w:t>
            </w:r>
            <w:hyperlink r:id="rId48">
              <w:r w:rsidRPr="00032DED">
                <w:rPr>
                  <w:color w:val="1155CC"/>
                  <w:u w:val="single"/>
                </w:rPr>
                <w:t>https://refeds.org/category/research-and-scholarship</w:t>
              </w:r>
            </w:hyperlink>
          </w:p>
        </w:tc>
      </w:tr>
      <w:tr w:rsidR="00271E47" w14:paraId="3C033796"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541555BF" w14:textId="77777777" w:rsidR="00271E47" w:rsidRDefault="00271E47" w:rsidP="00DA495D">
            <w:pPr>
              <w:pBdr>
                <w:top w:val="nil"/>
                <w:left w:val="nil"/>
                <w:bottom w:val="nil"/>
                <w:right w:val="nil"/>
                <w:between w:val="nil"/>
              </w:pBdr>
              <w:jc w:val="left"/>
            </w:pPr>
            <w:r>
              <w:t xml:space="preserve"> R4</w:t>
            </w:r>
          </w:p>
        </w:tc>
        <w:tc>
          <w:tcPr>
            <w:tcW w:w="8265" w:type="dxa"/>
            <w:tcBorders>
              <w:bottom w:val="single" w:sz="8" w:space="0" w:color="BFBFBF"/>
            </w:tcBorders>
            <w:tcMar>
              <w:top w:w="100" w:type="dxa"/>
              <w:left w:w="100" w:type="dxa"/>
              <w:bottom w:w="100" w:type="dxa"/>
              <w:right w:w="100" w:type="dxa"/>
            </w:tcMar>
          </w:tcPr>
          <w:p w14:paraId="5187580D" w14:textId="77777777" w:rsidR="00271E47" w:rsidRDefault="00271E47" w:rsidP="00DA495D">
            <w:pPr>
              <w:pBdr>
                <w:top w:val="nil"/>
                <w:left w:val="nil"/>
                <w:bottom w:val="nil"/>
                <w:right w:val="nil"/>
                <w:between w:val="nil"/>
              </w:pBdr>
              <w:jc w:val="left"/>
              <w:rPr>
                <w:b/>
              </w:rPr>
            </w:pPr>
            <w:r>
              <w:t xml:space="preserve"> </w:t>
            </w:r>
            <w:r>
              <w:rPr>
                <w:b/>
              </w:rPr>
              <w:t>GÉANT Data Protection Code of Conduct</w:t>
            </w:r>
          </w:p>
          <w:p w14:paraId="5049D87E" w14:textId="77777777" w:rsidR="00271E47" w:rsidRDefault="00271E47" w:rsidP="00DA495D">
            <w:pPr>
              <w:pBdr>
                <w:top w:val="nil"/>
                <w:left w:val="nil"/>
                <w:bottom w:val="nil"/>
                <w:right w:val="nil"/>
                <w:between w:val="nil"/>
              </w:pBdr>
              <w:jc w:val="left"/>
            </w:pPr>
            <w:r>
              <w:t xml:space="preserve"> </w:t>
            </w:r>
            <w:hyperlink r:id="rId49">
              <w:r>
                <w:t>https://www.geant.org/uri/Pages/dataprotection-code-of-conduct.aspx</w:t>
              </w:r>
            </w:hyperlink>
          </w:p>
        </w:tc>
      </w:tr>
      <w:tr w:rsidR="00271E47" w14:paraId="4222336E"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627838DA" w14:textId="77777777" w:rsidR="00271E47" w:rsidRDefault="00271E47" w:rsidP="00DA495D">
            <w:pPr>
              <w:pBdr>
                <w:top w:val="nil"/>
                <w:left w:val="nil"/>
                <w:bottom w:val="nil"/>
                <w:right w:val="nil"/>
                <w:between w:val="nil"/>
              </w:pBdr>
              <w:jc w:val="left"/>
            </w:pPr>
            <w:r>
              <w:t xml:space="preserve"> R5</w:t>
            </w:r>
          </w:p>
        </w:tc>
        <w:tc>
          <w:tcPr>
            <w:tcW w:w="8265" w:type="dxa"/>
            <w:shd w:val="clear" w:color="auto" w:fill="F2F2F2" w:themeFill="background1" w:themeFillShade="F2"/>
            <w:tcMar>
              <w:top w:w="100" w:type="dxa"/>
              <w:left w:w="100" w:type="dxa"/>
              <w:bottom w:w="100" w:type="dxa"/>
              <w:right w:w="100" w:type="dxa"/>
            </w:tcMar>
          </w:tcPr>
          <w:p w14:paraId="3929E859" w14:textId="77777777" w:rsidR="00271E47" w:rsidRPr="004747F0" w:rsidRDefault="00271E47" w:rsidP="00DA495D">
            <w:pPr>
              <w:pBdr>
                <w:top w:val="nil"/>
                <w:left w:val="nil"/>
                <w:bottom w:val="nil"/>
                <w:right w:val="nil"/>
                <w:between w:val="nil"/>
              </w:pBdr>
              <w:jc w:val="left"/>
              <w:rPr>
                <w:rFonts w:ascii="Roboto" w:eastAsia="Roboto" w:hAnsi="Roboto" w:cs="Roboto"/>
                <w:b/>
                <w:sz w:val="21"/>
                <w:szCs w:val="21"/>
              </w:rPr>
            </w:pPr>
            <w:r w:rsidRPr="004747F0">
              <w:rPr>
                <w:rFonts w:ascii="Roboto" w:eastAsia="Roboto" w:hAnsi="Roboto" w:cs="Roboto"/>
                <w:b/>
                <w:sz w:val="21"/>
                <w:szCs w:val="21"/>
              </w:rPr>
              <w:t>A Security Incident Response Trust Framework for Federated Identity (Sirtfi) Version 2</w:t>
            </w:r>
          </w:p>
          <w:p w14:paraId="17C3806A" w14:textId="77777777" w:rsidR="00271E47" w:rsidRDefault="00000000" w:rsidP="00DA495D">
            <w:pPr>
              <w:pBdr>
                <w:top w:val="nil"/>
                <w:left w:val="nil"/>
                <w:bottom w:val="nil"/>
                <w:right w:val="nil"/>
                <w:between w:val="nil"/>
              </w:pBdr>
              <w:jc w:val="left"/>
            </w:pPr>
            <w:hyperlink r:id="rId50">
              <w:r w:rsidR="00271E47" w:rsidRPr="004747F0">
                <w:rPr>
                  <w:rFonts w:ascii="Roboto" w:eastAsia="Roboto" w:hAnsi="Roboto" w:cs="Roboto"/>
                  <w:color w:val="1A73E8"/>
                  <w:sz w:val="21"/>
                  <w:szCs w:val="21"/>
                </w:rPr>
                <w:t>https://refeds.org/wp-content/uploads/2022/08/Sirtfi-v2.pdf</w:t>
              </w:r>
            </w:hyperlink>
          </w:p>
        </w:tc>
      </w:tr>
      <w:tr w:rsidR="00271E47" w14:paraId="5F6B4572"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351BE365" w14:textId="77777777" w:rsidR="00271E47" w:rsidRDefault="00271E47" w:rsidP="00DA495D">
            <w:pPr>
              <w:pBdr>
                <w:top w:val="nil"/>
                <w:left w:val="nil"/>
                <w:bottom w:val="nil"/>
                <w:right w:val="nil"/>
                <w:between w:val="nil"/>
              </w:pBdr>
              <w:jc w:val="left"/>
            </w:pPr>
            <w:r>
              <w:t xml:space="preserve"> R6</w:t>
            </w:r>
          </w:p>
        </w:tc>
        <w:tc>
          <w:tcPr>
            <w:tcW w:w="8265" w:type="dxa"/>
            <w:tcBorders>
              <w:bottom w:val="single" w:sz="8" w:space="0" w:color="BFBFBF"/>
            </w:tcBorders>
            <w:tcMar>
              <w:top w:w="100" w:type="dxa"/>
              <w:left w:w="100" w:type="dxa"/>
              <w:bottom w:w="100" w:type="dxa"/>
              <w:right w:w="100" w:type="dxa"/>
            </w:tcMar>
          </w:tcPr>
          <w:p w14:paraId="09EF6AC4" w14:textId="77777777" w:rsidR="00271E47" w:rsidRDefault="00271E47" w:rsidP="00DA495D">
            <w:pPr>
              <w:pBdr>
                <w:top w:val="nil"/>
                <w:left w:val="nil"/>
                <w:bottom w:val="nil"/>
                <w:right w:val="nil"/>
                <w:between w:val="nil"/>
              </w:pBdr>
              <w:jc w:val="left"/>
              <w:rPr>
                <w:b/>
              </w:rPr>
            </w:pPr>
            <w:r>
              <w:rPr>
                <w:b/>
              </w:rPr>
              <w:t xml:space="preserve">Security Assertion Markup Language 2.0 (SAML 2.0) </w:t>
            </w:r>
          </w:p>
          <w:p w14:paraId="40DFA936" w14:textId="77777777" w:rsidR="00271E47" w:rsidRDefault="00000000" w:rsidP="00DA495D">
            <w:pPr>
              <w:pBdr>
                <w:top w:val="nil"/>
                <w:left w:val="nil"/>
                <w:bottom w:val="nil"/>
                <w:right w:val="nil"/>
                <w:between w:val="nil"/>
              </w:pBdr>
              <w:jc w:val="left"/>
            </w:pPr>
            <w:hyperlink r:id="rId51">
              <w:r w:rsidR="00271E47">
                <w:rPr>
                  <w:color w:val="1155CC"/>
                  <w:u w:val="single"/>
                </w:rPr>
                <w:t>https://wiki.oasis-open.org/security/FrontPage</w:t>
              </w:r>
            </w:hyperlink>
            <w:r w:rsidR="00271E47">
              <w:t xml:space="preserve"> </w:t>
            </w:r>
          </w:p>
        </w:tc>
      </w:tr>
      <w:tr w:rsidR="00271E47" w14:paraId="573FFE75"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31541589" w14:textId="77777777" w:rsidR="00271E47" w:rsidRDefault="00271E47" w:rsidP="00DA495D">
            <w:pPr>
              <w:pBdr>
                <w:top w:val="nil"/>
                <w:left w:val="nil"/>
                <w:bottom w:val="nil"/>
                <w:right w:val="nil"/>
                <w:between w:val="nil"/>
              </w:pBdr>
              <w:jc w:val="left"/>
            </w:pPr>
            <w:r>
              <w:t>R7</w:t>
            </w:r>
          </w:p>
        </w:tc>
        <w:tc>
          <w:tcPr>
            <w:tcW w:w="8265" w:type="dxa"/>
            <w:shd w:val="clear" w:color="auto" w:fill="F2F2F2" w:themeFill="background1" w:themeFillShade="F2"/>
            <w:tcMar>
              <w:top w:w="100" w:type="dxa"/>
              <w:left w:w="100" w:type="dxa"/>
              <w:bottom w:w="100" w:type="dxa"/>
              <w:right w:w="100" w:type="dxa"/>
            </w:tcMar>
          </w:tcPr>
          <w:p w14:paraId="01CAEA90" w14:textId="77777777" w:rsidR="00271E47" w:rsidRDefault="00271E47" w:rsidP="00DA495D">
            <w:pPr>
              <w:pBdr>
                <w:top w:val="nil"/>
                <w:left w:val="nil"/>
                <w:bottom w:val="nil"/>
                <w:right w:val="nil"/>
                <w:between w:val="nil"/>
              </w:pBdr>
              <w:jc w:val="left"/>
              <w:rPr>
                <w:b/>
              </w:rPr>
            </w:pPr>
            <w:r>
              <w:rPr>
                <w:b/>
              </w:rPr>
              <w:t xml:space="preserve">OpenID Connect (OIDC) </w:t>
            </w:r>
          </w:p>
          <w:p w14:paraId="609535DB" w14:textId="77777777" w:rsidR="00271E47" w:rsidRDefault="00000000" w:rsidP="00DA495D">
            <w:pPr>
              <w:pBdr>
                <w:top w:val="nil"/>
                <w:left w:val="nil"/>
                <w:bottom w:val="nil"/>
                <w:right w:val="nil"/>
                <w:between w:val="nil"/>
              </w:pBdr>
              <w:jc w:val="left"/>
            </w:pPr>
            <w:hyperlink r:id="rId52">
              <w:r w:rsidR="00271E47">
                <w:rPr>
                  <w:color w:val="1155CC"/>
                  <w:u w:val="single"/>
                </w:rPr>
                <w:t>https://openid.net/connect/</w:t>
              </w:r>
            </w:hyperlink>
            <w:r w:rsidR="00271E47">
              <w:t xml:space="preserve"> </w:t>
            </w:r>
          </w:p>
        </w:tc>
      </w:tr>
      <w:tr w:rsidR="00271E47" w14:paraId="15504627"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4D11AE90" w14:textId="77777777" w:rsidR="00271E47" w:rsidRPr="004747F0" w:rsidRDefault="00271E47" w:rsidP="00DA495D">
            <w:pPr>
              <w:pBdr>
                <w:top w:val="nil"/>
                <w:left w:val="nil"/>
                <w:bottom w:val="nil"/>
                <w:right w:val="nil"/>
                <w:between w:val="nil"/>
              </w:pBdr>
              <w:jc w:val="left"/>
            </w:pPr>
            <w:r w:rsidRPr="004747F0">
              <w:t>R8</w:t>
            </w:r>
          </w:p>
        </w:tc>
        <w:tc>
          <w:tcPr>
            <w:tcW w:w="8265" w:type="dxa"/>
            <w:tcBorders>
              <w:bottom w:val="single" w:sz="8" w:space="0" w:color="BFBFBF"/>
            </w:tcBorders>
            <w:tcMar>
              <w:top w:w="100" w:type="dxa"/>
              <w:left w:w="100" w:type="dxa"/>
              <w:bottom w:w="100" w:type="dxa"/>
              <w:right w:w="100" w:type="dxa"/>
            </w:tcMar>
          </w:tcPr>
          <w:p w14:paraId="3A629EE8" w14:textId="77777777" w:rsidR="00271E47" w:rsidRPr="004747F0" w:rsidRDefault="00271E47" w:rsidP="00DA495D">
            <w:pPr>
              <w:pBdr>
                <w:top w:val="nil"/>
                <w:left w:val="nil"/>
                <w:bottom w:val="nil"/>
                <w:right w:val="nil"/>
                <w:between w:val="nil"/>
              </w:pBdr>
              <w:jc w:val="left"/>
              <w:rPr>
                <w:b/>
              </w:rPr>
            </w:pPr>
            <w:r w:rsidRPr="004747F0">
              <w:rPr>
                <w:b/>
              </w:rPr>
              <w:t>ISO/IEC 9594-8:2020 Open systems interconnection — Part 8: The Directory: Public-key and attribute certificate frameworks</w:t>
            </w:r>
          </w:p>
          <w:p w14:paraId="747706E4" w14:textId="77777777" w:rsidR="00271E47" w:rsidRDefault="00000000" w:rsidP="00DA495D">
            <w:pPr>
              <w:pBdr>
                <w:top w:val="nil"/>
                <w:left w:val="nil"/>
                <w:bottom w:val="nil"/>
                <w:right w:val="nil"/>
                <w:between w:val="nil"/>
              </w:pBdr>
              <w:jc w:val="left"/>
            </w:pPr>
            <w:hyperlink r:id="rId53">
              <w:r w:rsidR="00271E47" w:rsidRPr="004747F0">
                <w:rPr>
                  <w:color w:val="1155CC"/>
                  <w:u w:val="single"/>
                </w:rPr>
                <w:t>https://www.iso.org/standard/80325.html</w:t>
              </w:r>
            </w:hyperlink>
          </w:p>
        </w:tc>
      </w:tr>
      <w:tr w:rsidR="00271E47" w14:paraId="3CB78585"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439FFA3E" w14:textId="77777777" w:rsidR="00271E47" w:rsidRDefault="00271E47" w:rsidP="00DA495D">
            <w:pPr>
              <w:pBdr>
                <w:top w:val="nil"/>
                <w:left w:val="nil"/>
                <w:bottom w:val="nil"/>
                <w:right w:val="nil"/>
                <w:between w:val="nil"/>
              </w:pBdr>
              <w:jc w:val="left"/>
            </w:pPr>
            <w:r>
              <w:t>R9</w:t>
            </w:r>
          </w:p>
        </w:tc>
        <w:tc>
          <w:tcPr>
            <w:tcW w:w="8265" w:type="dxa"/>
            <w:shd w:val="clear" w:color="auto" w:fill="F2F2F2" w:themeFill="background1" w:themeFillShade="F2"/>
            <w:tcMar>
              <w:top w:w="100" w:type="dxa"/>
              <w:left w:w="100" w:type="dxa"/>
              <w:bottom w:w="100" w:type="dxa"/>
              <w:right w:w="100" w:type="dxa"/>
            </w:tcMar>
          </w:tcPr>
          <w:p w14:paraId="13B8BB55" w14:textId="655203A4" w:rsidR="00032DED" w:rsidRPr="003A75FA" w:rsidRDefault="00271E47" w:rsidP="00186678">
            <w:pPr>
              <w:pBdr>
                <w:top w:val="nil"/>
                <w:left w:val="nil"/>
                <w:bottom w:val="nil"/>
                <w:right w:val="nil"/>
                <w:between w:val="nil"/>
              </w:pBdr>
              <w:shd w:val="clear" w:color="auto" w:fill="F2F2F2" w:themeFill="background1" w:themeFillShade="F2"/>
              <w:jc w:val="left"/>
            </w:pPr>
            <w:r>
              <w:rPr>
                <w:b/>
              </w:rPr>
              <w:t xml:space="preserve">VOMS, an Authorization System for Virtual Organizations. </w:t>
            </w:r>
            <w:r w:rsidRPr="00715EAD">
              <w:rPr>
                <w:lang w:val="nl-NL"/>
              </w:rPr>
              <w:t xml:space="preserve">R. Alfieri et al. In </w:t>
            </w:r>
            <w:r w:rsidR="00186678" w:rsidRPr="003A75FA">
              <w:t>Grid Computing. AxGrids 2003. Lecture Notes in Computer Science, vol 2970. Springe</w:t>
            </w:r>
          </w:p>
          <w:p w14:paraId="770CAF8C" w14:textId="3DE11BF9" w:rsidR="00271E47" w:rsidRDefault="00186678" w:rsidP="00186678">
            <w:pPr>
              <w:pBdr>
                <w:top w:val="nil"/>
                <w:left w:val="nil"/>
                <w:bottom w:val="nil"/>
                <w:right w:val="nil"/>
                <w:between w:val="nil"/>
              </w:pBdr>
              <w:shd w:val="clear" w:color="auto" w:fill="F2F2F2" w:themeFill="background1" w:themeFillShade="F2"/>
              <w:jc w:val="left"/>
            </w:pPr>
            <w:r w:rsidRPr="003A75FA">
              <w:t>DOI: 10.1007/978-3-540-24689-3_5</w:t>
            </w:r>
          </w:p>
        </w:tc>
      </w:tr>
      <w:tr w:rsidR="00271E47" w14:paraId="3A3A34B0"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678A1C4D" w14:textId="77777777" w:rsidR="00271E47" w:rsidRDefault="00271E47" w:rsidP="00DA495D">
            <w:pPr>
              <w:pBdr>
                <w:top w:val="nil"/>
                <w:left w:val="nil"/>
                <w:bottom w:val="nil"/>
                <w:right w:val="nil"/>
                <w:between w:val="nil"/>
              </w:pBdr>
              <w:jc w:val="left"/>
            </w:pPr>
            <w:r>
              <w:lastRenderedPageBreak/>
              <w:t>R10</w:t>
            </w:r>
          </w:p>
        </w:tc>
        <w:tc>
          <w:tcPr>
            <w:tcW w:w="8265" w:type="dxa"/>
            <w:tcBorders>
              <w:bottom w:val="single" w:sz="8" w:space="0" w:color="BFBFBF"/>
            </w:tcBorders>
            <w:tcMar>
              <w:top w:w="100" w:type="dxa"/>
              <w:left w:w="100" w:type="dxa"/>
              <w:bottom w:w="100" w:type="dxa"/>
              <w:right w:w="100" w:type="dxa"/>
            </w:tcMar>
          </w:tcPr>
          <w:p w14:paraId="386C9FC6" w14:textId="77777777" w:rsidR="00271E47" w:rsidRDefault="00271E47" w:rsidP="00DA495D">
            <w:pPr>
              <w:pBdr>
                <w:top w:val="nil"/>
                <w:left w:val="nil"/>
                <w:bottom w:val="nil"/>
                <w:right w:val="nil"/>
                <w:between w:val="nil"/>
              </w:pBdr>
              <w:jc w:val="left"/>
            </w:pPr>
            <w:r>
              <w:rPr>
                <w:b/>
              </w:rPr>
              <w:t xml:space="preserve">GLUE Specification v. 2.0. </w:t>
            </w:r>
            <w:r>
              <w:t xml:space="preserve">Edited by S.Andreozzi,  </w:t>
            </w:r>
            <w:hyperlink r:id="rId54">
              <w:r>
                <w:rPr>
                  <w:color w:val="1155CC"/>
                  <w:u w:val="single"/>
                </w:rPr>
                <w:t>http://www.ogf.org/documents/GFD.147.pdf</w:t>
              </w:r>
            </w:hyperlink>
            <w:r>
              <w:t xml:space="preserve"> </w:t>
            </w:r>
          </w:p>
        </w:tc>
      </w:tr>
      <w:tr w:rsidR="00271E47" w14:paraId="44A5991B"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660421E5" w14:textId="77777777" w:rsidR="00271E47" w:rsidRDefault="00271E47" w:rsidP="00DA495D">
            <w:pPr>
              <w:pBdr>
                <w:top w:val="nil"/>
                <w:left w:val="nil"/>
                <w:bottom w:val="nil"/>
                <w:right w:val="nil"/>
                <w:between w:val="nil"/>
              </w:pBdr>
              <w:jc w:val="left"/>
            </w:pPr>
            <w:r>
              <w:t>R11</w:t>
            </w:r>
          </w:p>
        </w:tc>
        <w:tc>
          <w:tcPr>
            <w:tcW w:w="8265" w:type="dxa"/>
            <w:shd w:val="clear" w:color="auto" w:fill="F2F2F2" w:themeFill="background1" w:themeFillShade="F2"/>
            <w:tcMar>
              <w:top w:w="100" w:type="dxa"/>
              <w:left w:w="100" w:type="dxa"/>
              <w:bottom w:w="100" w:type="dxa"/>
              <w:right w:w="100" w:type="dxa"/>
            </w:tcMar>
          </w:tcPr>
          <w:p w14:paraId="479545DA" w14:textId="77777777" w:rsidR="00271E47" w:rsidRDefault="00271E47" w:rsidP="00DA495D">
            <w:pPr>
              <w:pBdr>
                <w:top w:val="nil"/>
                <w:left w:val="nil"/>
                <w:bottom w:val="nil"/>
                <w:right w:val="nil"/>
                <w:between w:val="nil"/>
              </w:pBdr>
              <w:jc w:val="left"/>
            </w:pPr>
            <w:r>
              <w:rPr>
                <w:b/>
              </w:rPr>
              <w:t>ARGO Guidelines for monitoring probes</w:t>
            </w:r>
            <w:r>
              <w:t xml:space="preserve"> </w:t>
            </w:r>
            <w:hyperlink r:id="rId55">
              <w:r>
                <w:rPr>
                  <w:color w:val="1155CC"/>
                  <w:u w:val="single"/>
                </w:rPr>
                <w:t>https://argoeu.github.io/argo-monitoring/docs/monitoring/guidelines</w:t>
              </w:r>
            </w:hyperlink>
            <w:r>
              <w:t xml:space="preserve"> </w:t>
            </w:r>
          </w:p>
        </w:tc>
      </w:tr>
      <w:tr w:rsidR="00271E47" w14:paraId="27440A17"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1FEF83A4" w14:textId="77777777" w:rsidR="00271E47" w:rsidRDefault="00271E47" w:rsidP="00DA495D">
            <w:pPr>
              <w:pBdr>
                <w:top w:val="nil"/>
                <w:left w:val="nil"/>
                <w:bottom w:val="nil"/>
                <w:right w:val="nil"/>
                <w:between w:val="nil"/>
              </w:pBdr>
              <w:jc w:val="left"/>
            </w:pPr>
            <w:r>
              <w:t>R12</w:t>
            </w:r>
          </w:p>
        </w:tc>
        <w:tc>
          <w:tcPr>
            <w:tcW w:w="8265" w:type="dxa"/>
            <w:tcBorders>
              <w:bottom w:val="single" w:sz="8" w:space="0" w:color="BFBFBF"/>
            </w:tcBorders>
            <w:tcMar>
              <w:top w:w="100" w:type="dxa"/>
              <w:left w:w="100" w:type="dxa"/>
              <w:bottom w:w="100" w:type="dxa"/>
              <w:right w:w="100" w:type="dxa"/>
            </w:tcMar>
          </w:tcPr>
          <w:p w14:paraId="4299F475" w14:textId="77777777" w:rsidR="00271E47" w:rsidRDefault="00271E47" w:rsidP="00DA495D">
            <w:pPr>
              <w:pBdr>
                <w:top w:val="nil"/>
                <w:left w:val="nil"/>
                <w:bottom w:val="nil"/>
                <w:right w:val="nil"/>
                <w:between w:val="nil"/>
              </w:pBdr>
              <w:jc w:val="left"/>
            </w:pPr>
            <w:r>
              <w:rPr>
                <w:b/>
              </w:rPr>
              <w:t>SSH Mastery: OpenSSH, PuTTY, Tunnels and Keys</w:t>
            </w:r>
            <w:r>
              <w:t>. M. W. Lucas. IT Mastery, 2018. ISBN: 978-1642350029</w:t>
            </w:r>
          </w:p>
        </w:tc>
      </w:tr>
      <w:tr w:rsidR="00271E47" w14:paraId="3EE5C588"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7843E92C" w14:textId="77777777" w:rsidR="00271E47" w:rsidRDefault="00271E47" w:rsidP="00DA495D">
            <w:pPr>
              <w:pBdr>
                <w:top w:val="nil"/>
                <w:left w:val="nil"/>
                <w:bottom w:val="nil"/>
                <w:right w:val="nil"/>
                <w:between w:val="nil"/>
              </w:pBdr>
              <w:jc w:val="left"/>
            </w:pPr>
            <w:r>
              <w:t>R13</w:t>
            </w:r>
          </w:p>
        </w:tc>
        <w:tc>
          <w:tcPr>
            <w:tcW w:w="8265" w:type="dxa"/>
            <w:shd w:val="clear" w:color="auto" w:fill="F2F2F2" w:themeFill="background1" w:themeFillShade="F2"/>
            <w:tcMar>
              <w:top w:w="100" w:type="dxa"/>
              <w:left w:w="100" w:type="dxa"/>
              <w:bottom w:w="100" w:type="dxa"/>
              <w:right w:w="100" w:type="dxa"/>
            </w:tcMar>
          </w:tcPr>
          <w:p w14:paraId="60552E80" w14:textId="77777777" w:rsidR="00271E47" w:rsidRDefault="00271E47" w:rsidP="00DA495D">
            <w:pPr>
              <w:pBdr>
                <w:top w:val="nil"/>
                <w:left w:val="nil"/>
                <w:bottom w:val="nil"/>
                <w:right w:val="nil"/>
                <w:between w:val="nil"/>
              </w:pBdr>
              <w:jc w:val="left"/>
            </w:pPr>
            <w:r>
              <w:rPr>
                <w:b/>
              </w:rPr>
              <w:t>Serious Cryptography. A Practical Introduction to Modern Encryption.</w:t>
            </w:r>
            <w:r>
              <w:t xml:space="preserve"> JP Aumasson. No Starch Press, 2017. ISBN:978-1-59327-826-7</w:t>
            </w:r>
          </w:p>
        </w:tc>
      </w:tr>
      <w:tr w:rsidR="00271E47" w14:paraId="042A7827"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0FD7D4DE" w14:textId="77777777" w:rsidR="00271E47" w:rsidRDefault="00271E47" w:rsidP="00DA495D">
            <w:pPr>
              <w:pBdr>
                <w:top w:val="nil"/>
                <w:left w:val="nil"/>
                <w:bottom w:val="nil"/>
                <w:right w:val="nil"/>
                <w:between w:val="nil"/>
              </w:pBdr>
              <w:jc w:val="left"/>
            </w:pPr>
            <w:r>
              <w:t>R14</w:t>
            </w:r>
          </w:p>
        </w:tc>
        <w:tc>
          <w:tcPr>
            <w:tcW w:w="8265" w:type="dxa"/>
            <w:tcBorders>
              <w:bottom w:val="single" w:sz="8" w:space="0" w:color="BFBFBF"/>
            </w:tcBorders>
            <w:tcMar>
              <w:top w:w="100" w:type="dxa"/>
              <w:left w:w="100" w:type="dxa"/>
              <w:bottom w:w="100" w:type="dxa"/>
              <w:right w:w="100" w:type="dxa"/>
            </w:tcMar>
          </w:tcPr>
          <w:p w14:paraId="660DEFAF" w14:textId="77777777" w:rsidR="00271E47" w:rsidRDefault="00271E47" w:rsidP="00DA495D">
            <w:pPr>
              <w:pBdr>
                <w:top w:val="nil"/>
                <w:left w:val="nil"/>
                <w:bottom w:val="nil"/>
                <w:right w:val="nil"/>
                <w:between w:val="nil"/>
              </w:pBdr>
              <w:jc w:val="left"/>
              <w:rPr>
                <w:b/>
              </w:rPr>
            </w:pPr>
            <w:r>
              <w:rPr>
                <w:b/>
              </w:rPr>
              <w:t>EGI ACE D7.3 HPC integration handbook</w:t>
            </w:r>
          </w:p>
          <w:p w14:paraId="3FB0FEC4" w14:textId="77777777" w:rsidR="00271E47" w:rsidRDefault="00000000" w:rsidP="00DA495D">
            <w:pPr>
              <w:pBdr>
                <w:top w:val="nil"/>
                <w:left w:val="nil"/>
                <w:bottom w:val="nil"/>
                <w:right w:val="nil"/>
                <w:between w:val="nil"/>
              </w:pBdr>
              <w:jc w:val="left"/>
            </w:pPr>
            <w:hyperlink r:id="rId56">
              <w:r w:rsidR="00271E47">
                <w:rPr>
                  <w:color w:val="1155CC"/>
                  <w:u w:val="single"/>
                </w:rPr>
                <w:t>https://documents.egi.eu/document/3804</w:t>
              </w:r>
            </w:hyperlink>
            <w:r w:rsidR="00271E47">
              <w:t xml:space="preserve"> (last accessed: Sept 2022)</w:t>
            </w:r>
          </w:p>
        </w:tc>
      </w:tr>
      <w:tr w:rsidR="00271E47" w14:paraId="2D38ED9A"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6C502690" w14:textId="77777777" w:rsidR="00271E47" w:rsidRDefault="00271E47" w:rsidP="00DA495D">
            <w:pPr>
              <w:pBdr>
                <w:top w:val="nil"/>
                <w:left w:val="nil"/>
                <w:bottom w:val="nil"/>
                <w:right w:val="nil"/>
                <w:between w:val="nil"/>
              </w:pBdr>
              <w:jc w:val="left"/>
            </w:pPr>
            <w:r>
              <w:t>R15</w:t>
            </w:r>
          </w:p>
        </w:tc>
        <w:tc>
          <w:tcPr>
            <w:tcW w:w="8265" w:type="dxa"/>
            <w:shd w:val="clear" w:color="auto" w:fill="F2F2F2" w:themeFill="background1" w:themeFillShade="F2"/>
            <w:tcMar>
              <w:top w:w="100" w:type="dxa"/>
              <w:left w:w="100" w:type="dxa"/>
              <w:bottom w:w="100" w:type="dxa"/>
              <w:right w:w="100" w:type="dxa"/>
            </w:tcMar>
          </w:tcPr>
          <w:p w14:paraId="59E45D91" w14:textId="77777777" w:rsidR="00271E47" w:rsidRDefault="00271E47" w:rsidP="00DA495D">
            <w:pPr>
              <w:pBdr>
                <w:top w:val="nil"/>
                <w:left w:val="nil"/>
                <w:bottom w:val="nil"/>
                <w:right w:val="nil"/>
                <w:between w:val="nil"/>
              </w:pBdr>
              <w:jc w:val="left"/>
            </w:pPr>
            <w:r>
              <w:rPr>
                <w:b/>
              </w:rPr>
              <w:t>The DIRAC interware: current, upcoming and planned capabilities and technologies.</w:t>
            </w:r>
            <w:r>
              <w:t xml:space="preserve"> F.  Stagni, A.  Tsaregorodtsev, A.  Sailer, C.  Haen. EPJ Web Conf. 245 03035 (2020)</w:t>
            </w:r>
          </w:p>
          <w:p w14:paraId="28E67C3D" w14:textId="77777777" w:rsidR="00271E47" w:rsidRDefault="00271E47" w:rsidP="00DA495D">
            <w:pPr>
              <w:pBdr>
                <w:top w:val="nil"/>
                <w:left w:val="nil"/>
                <w:bottom w:val="nil"/>
                <w:right w:val="nil"/>
                <w:between w:val="nil"/>
              </w:pBdr>
              <w:jc w:val="left"/>
            </w:pPr>
            <w:r>
              <w:t>DOI: 10.1051/epjconf/202024503035</w:t>
            </w:r>
          </w:p>
        </w:tc>
      </w:tr>
      <w:tr w:rsidR="00271E47" w14:paraId="6ED25F96"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7C0004AF" w14:textId="77777777" w:rsidR="00271E47" w:rsidRDefault="00271E47" w:rsidP="00DA495D">
            <w:pPr>
              <w:pBdr>
                <w:top w:val="nil"/>
                <w:left w:val="nil"/>
                <w:bottom w:val="nil"/>
                <w:right w:val="nil"/>
                <w:between w:val="nil"/>
              </w:pBdr>
              <w:jc w:val="left"/>
            </w:pPr>
            <w:r>
              <w:t>R16</w:t>
            </w:r>
          </w:p>
        </w:tc>
        <w:tc>
          <w:tcPr>
            <w:tcW w:w="8265" w:type="dxa"/>
            <w:tcBorders>
              <w:bottom w:val="single" w:sz="8" w:space="0" w:color="BFBFBF"/>
            </w:tcBorders>
            <w:tcMar>
              <w:top w:w="100" w:type="dxa"/>
              <w:left w:w="100" w:type="dxa"/>
              <w:bottom w:w="100" w:type="dxa"/>
              <w:right w:w="100" w:type="dxa"/>
            </w:tcMar>
          </w:tcPr>
          <w:p w14:paraId="27C0A250" w14:textId="77777777" w:rsidR="00271E47" w:rsidRDefault="00271E47" w:rsidP="00DA495D">
            <w:pPr>
              <w:pBdr>
                <w:top w:val="nil"/>
                <w:left w:val="nil"/>
                <w:bottom w:val="nil"/>
                <w:right w:val="nil"/>
                <w:between w:val="nil"/>
              </w:pBdr>
              <w:jc w:val="left"/>
              <w:rPr>
                <w:rFonts w:ascii="Roboto" w:eastAsia="Roboto" w:hAnsi="Roboto" w:cs="Roboto"/>
                <w:highlight w:val="white"/>
              </w:rPr>
            </w:pPr>
            <w:r>
              <w:rPr>
                <w:rFonts w:ascii="Roboto" w:eastAsia="Roboto" w:hAnsi="Roboto" w:cs="Roboto"/>
                <w:b/>
                <w:highlight w:val="white"/>
              </w:rPr>
              <w:t>Dynamic Management of Virtual Infrastructures</w:t>
            </w:r>
            <w:r>
              <w:rPr>
                <w:rFonts w:ascii="Roboto" w:eastAsia="Roboto" w:hAnsi="Roboto" w:cs="Roboto"/>
                <w:highlight w:val="white"/>
              </w:rPr>
              <w:t>. M. Caballer, I. Blanquer, G. Moltó, C. de Alfonso,  J. Grid Comput., 13, 53–70, (2015).</w:t>
            </w:r>
          </w:p>
          <w:p w14:paraId="241FB0E7" w14:textId="77777777" w:rsidR="00271E47" w:rsidRDefault="00271E47" w:rsidP="00DA495D">
            <w:pPr>
              <w:pBdr>
                <w:top w:val="nil"/>
                <w:left w:val="nil"/>
                <w:bottom w:val="nil"/>
                <w:right w:val="nil"/>
                <w:between w:val="nil"/>
              </w:pBdr>
              <w:jc w:val="left"/>
            </w:pPr>
            <w:r>
              <w:rPr>
                <w:rFonts w:ascii="Roboto" w:eastAsia="Roboto" w:hAnsi="Roboto" w:cs="Roboto"/>
                <w:highlight w:val="white"/>
              </w:rPr>
              <w:t>DOI: 10.1007/s10723-014-9296-5</w:t>
            </w:r>
          </w:p>
        </w:tc>
      </w:tr>
      <w:tr w:rsidR="00271E47" w14:paraId="66E4C8C0"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17A9FD3F" w14:textId="77777777" w:rsidR="00271E47" w:rsidRDefault="00271E47" w:rsidP="00DA495D">
            <w:pPr>
              <w:pBdr>
                <w:top w:val="nil"/>
                <w:left w:val="nil"/>
                <w:bottom w:val="nil"/>
                <w:right w:val="nil"/>
                <w:between w:val="nil"/>
              </w:pBdr>
              <w:jc w:val="left"/>
            </w:pPr>
            <w:r>
              <w:t>R17</w:t>
            </w:r>
          </w:p>
        </w:tc>
        <w:tc>
          <w:tcPr>
            <w:tcW w:w="8265" w:type="dxa"/>
            <w:shd w:val="clear" w:color="auto" w:fill="F2F2F2" w:themeFill="background1" w:themeFillShade="F2"/>
            <w:tcMar>
              <w:top w:w="100" w:type="dxa"/>
              <w:left w:w="100" w:type="dxa"/>
              <w:bottom w:w="100" w:type="dxa"/>
              <w:right w:w="100" w:type="dxa"/>
            </w:tcMar>
          </w:tcPr>
          <w:p w14:paraId="6F65282F" w14:textId="77777777" w:rsidR="00271E47" w:rsidRDefault="00271E47" w:rsidP="00DA495D">
            <w:pPr>
              <w:pBdr>
                <w:top w:val="nil"/>
                <w:left w:val="nil"/>
                <w:bottom w:val="nil"/>
                <w:right w:val="nil"/>
                <w:between w:val="nil"/>
              </w:pBdr>
              <w:jc w:val="left"/>
            </w:pPr>
            <w:r>
              <w:rPr>
                <w:b/>
              </w:rPr>
              <w:t>TOSCA Simple Profile in YAML Version 1.0</w:t>
            </w:r>
            <w:r>
              <w:t xml:space="preserve">. Edited by Derek Palma, Matt Rutkowski, and Thomas Spatzier. 21 December 2016. OASIS Standard. </w:t>
            </w:r>
          </w:p>
          <w:p w14:paraId="16C38C29" w14:textId="77777777" w:rsidR="00271E47" w:rsidRDefault="00000000" w:rsidP="00DA495D">
            <w:pPr>
              <w:pBdr>
                <w:top w:val="nil"/>
                <w:left w:val="nil"/>
                <w:bottom w:val="nil"/>
                <w:right w:val="nil"/>
                <w:between w:val="nil"/>
              </w:pBdr>
              <w:jc w:val="left"/>
            </w:pPr>
            <w:hyperlink r:id="rId57">
              <w:r w:rsidR="00271E47">
                <w:rPr>
                  <w:color w:val="1155CC"/>
                  <w:u w:val="single"/>
                </w:rPr>
                <w:t>http://docs.oasis-open.org/tosca/TOSCA-Simple-Profile-YAML/v1.0/os/TOSCA-Simple-Profile-YAML-v1.0-os.html</w:t>
              </w:r>
            </w:hyperlink>
            <w:r w:rsidR="00271E47">
              <w:t xml:space="preserve">  </w:t>
            </w:r>
          </w:p>
        </w:tc>
      </w:tr>
      <w:tr w:rsidR="00271E47" w14:paraId="53E57D7E"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71F64F01" w14:textId="77777777" w:rsidR="00271E47" w:rsidRDefault="00271E47" w:rsidP="00DA495D">
            <w:pPr>
              <w:pBdr>
                <w:top w:val="nil"/>
                <w:left w:val="nil"/>
                <w:bottom w:val="nil"/>
                <w:right w:val="nil"/>
                <w:between w:val="nil"/>
              </w:pBdr>
              <w:jc w:val="left"/>
            </w:pPr>
            <w:r>
              <w:t>R18</w:t>
            </w:r>
          </w:p>
        </w:tc>
        <w:tc>
          <w:tcPr>
            <w:tcW w:w="8265" w:type="dxa"/>
            <w:tcBorders>
              <w:bottom w:val="single" w:sz="8" w:space="0" w:color="BFBFBF"/>
            </w:tcBorders>
            <w:tcMar>
              <w:top w:w="100" w:type="dxa"/>
              <w:left w:w="100" w:type="dxa"/>
              <w:bottom w:w="100" w:type="dxa"/>
              <w:right w:w="100" w:type="dxa"/>
            </w:tcMar>
          </w:tcPr>
          <w:p w14:paraId="1141D0BA" w14:textId="77777777" w:rsidR="00271E47" w:rsidRDefault="00271E47" w:rsidP="00DA495D">
            <w:pPr>
              <w:pBdr>
                <w:top w:val="nil"/>
                <w:left w:val="nil"/>
                <w:bottom w:val="nil"/>
                <w:right w:val="nil"/>
                <w:between w:val="nil"/>
              </w:pBdr>
              <w:jc w:val="left"/>
            </w:pPr>
            <w:r>
              <w:rPr>
                <w:b/>
              </w:rPr>
              <w:t>ISO 26324:2022 Digital object identifier system</w:t>
            </w:r>
            <w:r>
              <w:t xml:space="preserve"> </w:t>
            </w:r>
          </w:p>
          <w:p w14:paraId="24F130AF" w14:textId="77777777" w:rsidR="00271E47" w:rsidRDefault="00000000" w:rsidP="00DA495D">
            <w:pPr>
              <w:pBdr>
                <w:top w:val="nil"/>
                <w:left w:val="nil"/>
                <w:bottom w:val="nil"/>
                <w:right w:val="nil"/>
                <w:between w:val="nil"/>
              </w:pBdr>
              <w:jc w:val="left"/>
            </w:pPr>
            <w:hyperlink r:id="rId58">
              <w:r w:rsidR="00271E47">
                <w:rPr>
                  <w:color w:val="1155CC"/>
                  <w:u w:val="single"/>
                </w:rPr>
                <w:t>https://www.iso.org/standard/81599.html</w:t>
              </w:r>
            </w:hyperlink>
          </w:p>
        </w:tc>
      </w:tr>
      <w:tr w:rsidR="00271E47" w14:paraId="7D31C815"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260C3566" w14:textId="77777777" w:rsidR="00271E47" w:rsidRDefault="00271E47" w:rsidP="00DA495D">
            <w:pPr>
              <w:pBdr>
                <w:top w:val="nil"/>
                <w:left w:val="nil"/>
                <w:bottom w:val="nil"/>
                <w:right w:val="nil"/>
                <w:between w:val="nil"/>
              </w:pBdr>
              <w:jc w:val="left"/>
            </w:pPr>
            <w:r>
              <w:t>R19</w:t>
            </w:r>
          </w:p>
        </w:tc>
        <w:tc>
          <w:tcPr>
            <w:tcW w:w="8265" w:type="dxa"/>
            <w:shd w:val="clear" w:color="auto" w:fill="F2F2F2" w:themeFill="background1" w:themeFillShade="F2"/>
            <w:tcMar>
              <w:top w:w="100" w:type="dxa"/>
              <w:left w:w="100" w:type="dxa"/>
              <w:bottom w:w="100" w:type="dxa"/>
              <w:right w:w="100" w:type="dxa"/>
            </w:tcMar>
          </w:tcPr>
          <w:p w14:paraId="3D694FBD" w14:textId="77777777" w:rsidR="00271E47" w:rsidRDefault="00271E47" w:rsidP="00DA495D">
            <w:pPr>
              <w:pBdr>
                <w:top w:val="nil"/>
                <w:left w:val="nil"/>
                <w:bottom w:val="nil"/>
                <w:right w:val="nil"/>
                <w:between w:val="nil"/>
              </w:pBdr>
              <w:jc w:val="left"/>
            </w:pPr>
            <w:r>
              <w:rPr>
                <w:b/>
              </w:rPr>
              <w:t xml:space="preserve">Persistent Identifiers. </w:t>
            </w:r>
            <w:r w:rsidRPr="00E80C48">
              <w:t>Davidson, J. (2006)</w:t>
            </w:r>
            <w:r w:rsidRPr="00E80C48">
              <w:rPr>
                <w:i/>
              </w:rPr>
              <w:t xml:space="preserve">. </w:t>
            </w:r>
            <w:r>
              <w:t xml:space="preserve">DCC Briefing Papers: Introduction to Curation. Edinburgh: Digital Curation Centre. </w:t>
            </w:r>
          </w:p>
          <w:p w14:paraId="0C24DCA8" w14:textId="77777777" w:rsidR="00271E47" w:rsidRDefault="00271E47" w:rsidP="00DA495D">
            <w:pPr>
              <w:pBdr>
                <w:top w:val="nil"/>
                <w:left w:val="nil"/>
                <w:bottom w:val="nil"/>
                <w:right w:val="nil"/>
                <w:between w:val="nil"/>
              </w:pBdr>
              <w:jc w:val="left"/>
            </w:pPr>
            <w:r>
              <w:t>Handle: 1842/3368.</w:t>
            </w:r>
          </w:p>
        </w:tc>
      </w:tr>
      <w:tr w:rsidR="00271E47" w14:paraId="47BC39D2"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79D5D087" w14:textId="77777777" w:rsidR="00271E47" w:rsidRDefault="00271E47" w:rsidP="00DA495D">
            <w:pPr>
              <w:pBdr>
                <w:top w:val="nil"/>
                <w:left w:val="nil"/>
                <w:bottom w:val="nil"/>
                <w:right w:val="nil"/>
                <w:between w:val="nil"/>
              </w:pBdr>
              <w:jc w:val="left"/>
            </w:pPr>
            <w:r>
              <w:t>R20</w:t>
            </w:r>
          </w:p>
        </w:tc>
        <w:tc>
          <w:tcPr>
            <w:tcW w:w="8265" w:type="dxa"/>
            <w:tcBorders>
              <w:bottom w:val="single" w:sz="8" w:space="0" w:color="BFBFBF"/>
            </w:tcBorders>
            <w:tcMar>
              <w:top w:w="100" w:type="dxa"/>
              <w:left w:w="100" w:type="dxa"/>
              <w:bottom w:w="100" w:type="dxa"/>
              <w:right w:w="100" w:type="dxa"/>
            </w:tcMar>
          </w:tcPr>
          <w:p w14:paraId="1AADB179" w14:textId="77777777" w:rsidR="00271E47" w:rsidRDefault="00271E47" w:rsidP="00DA495D">
            <w:pPr>
              <w:pBdr>
                <w:top w:val="nil"/>
                <w:left w:val="nil"/>
                <w:bottom w:val="nil"/>
                <w:right w:val="nil"/>
                <w:between w:val="nil"/>
              </w:pBdr>
              <w:jc w:val="left"/>
            </w:pPr>
            <w:r>
              <w:rPr>
                <w:b/>
              </w:rPr>
              <w:t>ISO/IEC 17826:2022. Cloud Data Management Interface (CDMI) Version 2.0.0</w:t>
            </w:r>
            <w:r>
              <w:t xml:space="preserve">. </w:t>
            </w:r>
          </w:p>
          <w:p w14:paraId="147E2E20" w14:textId="77777777" w:rsidR="00271E47" w:rsidRDefault="00000000" w:rsidP="00DA495D">
            <w:pPr>
              <w:pBdr>
                <w:top w:val="nil"/>
                <w:left w:val="nil"/>
                <w:bottom w:val="nil"/>
                <w:right w:val="nil"/>
                <w:between w:val="nil"/>
              </w:pBdr>
              <w:jc w:val="left"/>
              <w:rPr>
                <w:b/>
              </w:rPr>
            </w:pPr>
            <w:hyperlink r:id="rId59">
              <w:r w:rsidR="00271E47">
                <w:rPr>
                  <w:color w:val="1155CC"/>
                  <w:u w:val="single"/>
                </w:rPr>
                <w:t>https://www.iso.org/standard/83451.html</w:t>
              </w:r>
            </w:hyperlink>
            <w:r w:rsidR="00271E47">
              <w:t xml:space="preserve"> </w:t>
            </w:r>
          </w:p>
        </w:tc>
      </w:tr>
      <w:tr w:rsidR="00271E47" w14:paraId="2C2E1F2C"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1B030FF9" w14:textId="77777777" w:rsidR="00271E47" w:rsidRDefault="00271E47" w:rsidP="00DA495D">
            <w:pPr>
              <w:pBdr>
                <w:top w:val="nil"/>
                <w:left w:val="nil"/>
                <w:bottom w:val="nil"/>
                <w:right w:val="nil"/>
                <w:between w:val="nil"/>
              </w:pBdr>
              <w:jc w:val="left"/>
            </w:pPr>
            <w:r>
              <w:lastRenderedPageBreak/>
              <w:t>R21</w:t>
            </w:r>
          </w:p>
        </w:tc>
        <w:tc>
          <w:tcPr>
            <w:tcW w:w="8265" w:type="dxa"/>
            <w:shd w:val="clear" w:color="auto" w:fill="F2F2F2" w:themeFill="background1" w:themeFillShade="F2"/>
            <w:tcMar>
              <w:top w:w="100" w:type="dxa"/>
              <w:left w:w="100" w:type="dxa"/>
              <w:bottom w:w="100" w:type="dxa"/>
              <w:right w:w="100" w:type="dxa"/>
            </w:tcMar>
          </w:tcPr>
          <w:p w14:paraId="5F887F66" w14:textId="77777777" w:rsidR="00271E47" w:rsidRPr="00E80C48" w:rsidRDefault="00271E47" w:rsidP="00DA495D">
            <w:pPr>
              <w:spacing w:after="0" w:line="240" w:lineRule="auto"/>
              <w:jc w:val="left"/>
            </w:pPr>
            <w:r w:rsidRPr="00E80C48">
              <w:rPr>
                <w:b/>
              </w:rPr>
              <w:t>Resource Description Framework (RDF) 1.1 Primer</w:t>
            </w:r>
            <w:r w:rsidRPr="00E80C48">
              <w:t xml:space="preserve">. Schreiber G., Raimond Y. 2014. W3C Recommendation. </w:t>
            </w:r>
          </w:p>
          <w:p w14:paraId="128C51E3" w14:textId="77777777" w:rsidR="00271E47" w:rsidRPr="00E80C48" w:rsidRDefault="00000000" w:rsidP="00DA495D">
            <w:pPr>
              <w:spacing w:after="0" w:line="240" w:lineRule="auto"/>
              <w:jc w:val="left"/>
              <w:rPr>
                <w:b/>
              </w:rPr>
            </w:pPr>
            <w:hyperlink r:id="rId60">
              <w:r w:rsidR="00271E47" w:rsidRPr="00E80C48">
                <w:rPr>
                  <w:color w:val="1A73E8"/>
                </w:rPr>
                <w:t>http://www.w3.org/TR/rdf11-primer/</w:t>
              </w:r>
            </w:hyperlink>
          </w:p>
        </w:tc>
      </w:tr>
      <w:tr w:rsidR="00271E47" w14:paraId="2EFA4079"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006EAD2F" w14:textId="77777777" w:rsidR="00271E47" w:rsidRDefault="00271E47" w:rsidP="00DA495D">
            <w:pPr>
              <w:pBdr>
                <w:top w:val="nil"/>
                <w:left w:val="nil"/>
                <w:bottom w:val="nil"/>
                <w:right w:val="nil"/>
                <w:between w:val="nil"/>
              </w:pBdr>
              <w:jc w:val="left"/>
            </w:pPr>
            <w:r>
              <w:t>R22</w:t>
            </w:r>
          </w:p>
        </w:tc>
        <w:tc>
          <w:tcPr>
            <w:tcW w:w="8265" w:type="dxa"/>
            <w:tcBorders>
              <w:bottom w:val="single" w:sz="8" w:space="0" w:color="BFBFBF"/>
            </w:tcBorders>
            <w:tcMar>
              <w:top w:w="100" w:type="dxa"/>
              <w:left w:w="100" w:type="dxa"/>
              <w:bottom w:w="100" w:type="dxa"/>
              <w:right w:w="100" w:type="dxa"/>
            </w:tcMar>
          </w:tcPr>
          <w:p w14:paraId="30F6A184" w14:textId="77777777" w:rsidR="00271E47" w:rsidRDefault="00271E47" w:rsidP="00DA495D">
            <w:pPr>
              <w:spacing w:after="0" w:line="240" w:lineRule="auto"/>
              <w:jc w:val="left"/>
              <w:rPr>
                <w:highlight w:val="white"/>
              </w:rPr>
            </w:pPr>
            <w:r>
              <w:rPr>
                <w:b/>
                <w:highlight w:val="white"/>
              </w:rPr>
              <w:t xml:space="preserve">The Open Archives Initiative Protocol for Metadata Harvesting. </w:t>
            </w:r>
            <w:r>
              <w:rPr>
                <w:highlight w:val="white"/>
              </w:rPr>
              <w:t>Edited by C. Lagoze and H. van de Sompel. 2015</w:t>
            </w:r>
          </w:p>
          <w:p w14:paraId="009F1CB3" w14:textId="77777777" w:rsidR="00271E47" w:rsidRDefault="00271E47" w:rsidP="00DA495D">
            <w:pPr>
              <w:spacing w:after="0" w:line="240" w:lineRule="auto"/>
              <w:jc w:val="left"/>
              <w:rPr>
                <w:highlight w:val="white"/>
              </w:rPr>
            </w:pPr>
          </w:p>
          <w:p w14:paraId="731CB28A" w14:textId="77777777" w:rsidR="00271E47" w:rsidRDefault="00000000" w:rsidP="00DA495D">
            <w:pPr>
              <w:spacing w:after="0" w:line="240" w:lineRule="auto"/>
              <w:jc w:val="left"/>
              <w:rPr>
                <w:b/>
                <w:highlight w:val="white"/>
              </w:rPr>
            </w:pPr>
            <w:hyperlink r:id="rId61">
              <w:r w:rsidR="00271E47">
                <w:rPr>
                  <w:color w:val="1155CC"/>
                  <w:highlight w:val="white"/>
                  <w:u w:val="single"/>
                </w:rPr>
                <w:t>https://www.openarchives.org/OAI/openarchivesprotocol.html</w:t>
              </w:r>
            </w:hyperlink>
          </w:p>
        </w:tc>
      </w:tr>
      <w:tr w:rsidR="00271E47" w14:paraId="75272B15"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5188319B" w14:textId="77777777" w:rsidR="00271E47" w:rsidRDefault="00271E47" w:rsidP="00DA495D">
            <w:pPr>
              <w:pBdr>
                <w:top w:val="nil"/>
                <w:left w:val="nil"/>
                <w:bottom w:val="nil"/>
                <w:right w:val="nil"/>
                <w:between w:val="nil"/>
              </w:pBdr>
              <w:jc w:val="left"/>
            </w:pPr>
            <w:r>
              <w:t>R23</w:t>
            </w:r>
          </w:p>
        </w:tc>
        <w:tc>
          <w:tcPr>
            <w:tcW w:w="8265" w:type="dxa"/>
            <w:shd w:val="clear" w:color="auto" w:fill="F2F2F2" w:themeFill="background1" w:themeFillShade="F2"/>
            <w:tcMar>
              <w:top w:w="100" w:type="dxa"/>
              <w:left w:w="100" w:type="dxa"/>
              <w:bottom w:w="100" w:type="dxa"/>
              <w:right w:w="100" w:type="dxa"/>
            </w:tcMar>
          </w:tcPr>
          <w:p w14:paraId="70E3E45E" w14:textId="77777777" w:rsidR="00271E47" w:rsidRPr="00E80C48" w:rsidRDefault="00271E47" w:rsidP="00DA495D">
            <w:pPr>
              <w:spacing w:after="0" w:line="240" w:lineRule="auto"/>
              <w:jc w:val="left"/>
            </w:pPr>
            <w:r w:rsidRPr="00E80C48">
              <w:rPr>
                <w:b/>
              </w:rPr>
              <w:t xml:space="preserve">OpenAPI Specification v3.1.0. </w:t>
            </w:r>
            <w:r w:rsidRPr="00E80C48">
              <w:t>Edited by D.  Miller, J. Whitlock, M. Gardiner, M. Ralphson, R. Ratovsky, U. Sarid. The Linux Foundation 2021.</w:t>
            </w:r>
          </w:p>
          <w:p w14:paraId="71BCDAEA" w14:textId="77777777" w:rsidR="00271E47" w:rsidRDefault="00000000" w:rsidP="00DA495D">
            <w:pPr>
              <w:spacing w:after="0" w:line="240" w:lineRule="auto"/>
              <w:jc w:val="left"/>
              <w:rPr>
                <w:highlight w:val="white"/>
              </w:rPr>
            </w:pPr>
            <w:hyperlink r:id="rId62">
              <w:r w:rsidR="00271E47" w:rsidRPr="00E80C48">
                <w:rPr>
                  <w:color w:val="1155CC"/>
                  <w:u w:val="single"/>
                </w:rPr>
                <w:t>https://spec.openapis.org/oas/v3.1.0</w:t>
              </w:r>
            </w:hyperlink>
            <w:r w:rsidR="00271E47" w:rsidRPr="00E80C48">
              <w:t xml:space="preserve"> </w:t>
            </w:r>
          </w:p>
        </w:tc>
      </w:tr>
      <w:tr w:rsidR="00271E47" w14:paraId="3E739CEF"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7AACAA01" w14:textId="77777777" w:rsidR="00271E47" w:rsidRDefault="00271E47" w:rsidP="00DA495D">
            <w:pPr>
              <w:pBdr>
                <w:top w:val="nil"/>
                <w:left w:val="nil"/>
                <w:bottom w:val="nil"/>
                <w:right w:val="nil"/>
                <w:between w:val="nil"/>
              </w:pBdr>
              <w:jc w:val="left"/>
            </w:pPr>
            <w:r>
              <w:t>R24</w:t>
            </w:r>
          </w:p>
        </w:tc>
        <w:tc>
          <w:tcPr>
            <w:tcW w:w="8265" w:type="dxa"/>
            <w:tcBorders>
              <w:bottom w:val="single" w:sz="8" w:space="0" w:color="BFBFBF"/>
            </w:tcBorders>
            <w:tcMar>
              <w:top w:w="100" w:type="dxa"/>
              <w:left w:w="100" w:type="dxa"/>
              <w:bottom w:w="100" w:type="dxa"/>
              <w:right w:w="100" w:type="dxa"/>
            </w:tcMar>
          </w:tcPr>
          <w:p w14:paraId="4D02DF6D" w14:textId="77777777" w:rsidR="00271E47" w:rsidRDefault="00271E47" w:rsidP="00DA495D">
            <w:pPr>
              <w:spacing w:after="0" w:line="240" w:lineRule="auto"/>
              <w:jc w:val="left"/>
              <w:rPr>
                <w:highlight w:val="white"/>
              </w:rPr>
            </w:pPr>
            <w:r>
              <w:rPr>
                <w:b/>
                <w:highlight w:val="white"/>
              </w:rPr>
              <w:t xml:space="preserve">TORQUE resource manager. </w:t>
            </w:r>
            <w:r>
              <w:rPr>
                <w:highlight w:val="white"/>
              </w:rPr>
              <w:t>Garrick Staples. In Proceedings of the 2006 ACM/IEEE conference on Supercomputing (SC '06). Association for Computing Machinery, New York, NY, USA, 8–es. 2016</w:t>
            </w:r>
          </w:p>
          <w:p w14:paraId="02422434" w14:textId="77777777" w:rsidR="00271E47" w:rsidRDefault="00271E47" w:rsidP="00DA495D">
            <w:pPr>
              <w:spacing w:after="0" w:line="240" w:lineRule="auto"/>
              <w:jc w:val="left"/>
              <w:rPr>
                <w:highlight w:val="white"/>
              </w:rPr>
            </w:pPr>
            <w:r>
              <w:rPr>
                <w:highlight w:val="white"/>
              </w:rPr>
              <w:t>DOI: 10.1145/1188455.1188464</w:t>
            </w:r>
          </w:p>
        </w:tc>
      </w:tr>
      <w:tr w:rsidR="00271E47" w14:paraId="4C5D1AD9" w14:textId="77777777" w:rsidTr="00463BAA">
        <w:trPr>
          <w:trHeight w:val="1307"/>
        </w:trPr>
        <w:tc>
          <w:tcPr>
            <w:tcW w:w="735" w:type="dxa"/>
            <w:shd w:val="clear" w:color="auto" w:fill="F2F2F2" w:themeFill="background1" w:themeFillShade="F2"/>
            <w:tcMar>
              <w:top w:w="100" w:type="dxa"/>
              <w:left w:w="100" w:type="dxa"/>
              <w:bottom w:w="100" w:type="dxa"/>
              <w:right w:w="100" w:type="dxa"/>
            </w:tcMar>
          </w:tcPr>
          <w:p w14:paraId="74583F96" w14:textId="77777777" w:rsidR="00271E47" w:rsidRDefault="00271E47" w:rsidP="00DA495D">
            <w:pPr>
              <w:pBdr>
                <w:top w:val="nil"/>
                <w:left w:val="nil"/>
                <w:bottom w:val="nil"/>
                <w:right w:val="nil"/>
                <w:between w:val="nil"/>
              </w:pBdr>
              <w:jc w:val="left"/>
            </w:pPr>
            <w:r>
              <w:t>R25</w:t>
            </w:r>
          </w:p>
        </w:tc>
        <w:tc>
          <w:tcPr>
            <w:tcW w:w="8265" w:type="dxa"/>
            <w:shd w:val="clear" w:color="auto" w:fill="F2F2F2" w:themeFill="background1" w:themeFillShade="F2"/>
            <w:tcMar>
              <w:top w:w="100" w:type="dxa"/>
              <w:left w:w="100" w:type="dxa"/>
              <w:bottom w:w="100" w:type="dxa"/>
              <w:right w:w="100" w:type="dxa"/>
            </w:tcMar>
          </w:tcPr>
          <w:p w14:paraId="788C4843" w14:textId="77777777" w:rsidR="00271E47" w:rsidRDefault="00271E47" w:rsidP="00DA495D">
            <w:pPr>
              <w:spacing w:after="0" w:line="240" w:lineRule="auto"/>
              <w:jc w:val="left"/>
              <w:rPr>
                <w:highlight w:val="white"/>
              </w:rPr>
            </w:pPr>
            <w:r>
              <w:rPr>
                <w:b/>
                <w:highlight w:val="white"/>
              </w:rPr>
              <w:t xml:space="preserve">SLURM: Simple Linux Utility for Resource Management. </w:t>
            </w:r>
            <w:r>
              <w:rPr>
                <w:highlight w:val="white"/>
              </w:rPr>
              <w:t xml:space="preserve">A.B. </w:t>
            </w:r>
            <w:r>
              <w:rPr>
                <w:rFonts w:ascii="Roboto" w:eastAsia="Roboto" w:hAnsi="Roboto" w:cs="Roboto"/>
                <w:color w:val="333333"/>
                <w:sz w:val="24"/>
                <w:szCs w:val="24"/>
                <w:shd w:val="clear" w:color="auto" w:fill="FCFCFC"/>
              </w:rPr>
              <w:t>Yoo, M.A. Jette, M.A., M. Grondona.</w:t>
            </w:r>
            <w:r>
              <w:rPr>
                <w:highlight w:val="white"/>
              </w:rPr>
              <w:t xml:space="preserve"> Job Scheduling Strategies for Parallel Processing. JSSPP 2003. Lecture Notes in Computer Science, vol 2862. Springer. </w:t>
            </w:r>
          </w:p>
          <w:p w14:paraId="38BD2C66" w14:textId="77777777" w:rsidR="00271E47" w:rsidRDefault="00271E47" w:rsidP="00DA495D">
            <w:pPr>
              <w:spacing w:after="0" w:line="240" w:lineRule="auto"/>
              <w:jc w:val="left"/>
              <w:rPr>
                <w:highlight w:val="white"/>
              </w:rPr>
            </w:pPr>
            <w:r>
              <w:rPr>
                <w:highlight w:val="white"/>
              </w:rPr>
              <w:t>DOI: 10.1007/10968987_3</w:t>
            </w:r>
          </w:p>
        </w:tc>
      </w:tr>
      <w:tr w:rsidR="00271E47" w14:paraId="50FB3CBA"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2ADBCFD9" w14:textId="77777777" w:rsidR="00271E47" w:rsidRDefault="00271E47" w:rsidP="00DA495D">
            <w:pPr>
              <w:pBdr>
                <w:top w:val="nil"/>
                <w:left w:val="nil"/>
                <w:bottom w:val="nil"/>
                <w:right w:val="nil"/>
                <w:between w:val="nil"/>
              </w:pBdr>
              <w:jc w:val="left"/>
            </w:pPr>
            <w:r>
              <w:t>R26</w:t>
            </w:r>
          </w:p>
        </w:tc>
        <w:tc>
          <w:tcPr>
            <w:tcW w:w="8265" w:type="dxa"/>
            <w:tcBorders>
              <w:bottom w:val="single" w:sz="8" w:space="0" w:color="BFBFBF"/>
            </w:tcBorders>
            <w:tcMar>
              <w:top w:w="100" w:type="dxa"/>
              <w:left w:w="100" w:type="dxa"/>
              <w:bottom w:w="100" w:type="dxa"/>
              <w:right w:w="100" w:type="dxa"/>
            </w:tcMar>
          </w:tcPr>
          <w:p w14:paraId="4DC18994" w14:textId="77777777" w:rsidR="00271E47" w:rsidRDefault="00271E47" w:rsidP="00DA495D">
            <w:pPr>
              <w:spacing w:after="0" w:line="240" w:lineRule="auto"/>
              <w:jc w:val="left"/>
              <w:rPr>
                <w:highlight w:val="white"/>
              </w:rPr>
            </w:pPr>
            <w:r>
              <w:rPr>
                <w:b/>
                <w:highlight w:val="white"/>
              </w:rPr>
              <w:t xml:space="preserve">Sun Grid Engine: Towards Creating a Compute Power Grid. </w:t>
            </w:r>
            <w:r>
              <w:rPr>
                <w:highlight w:val="white"/>
              </w:rPr>
              <w:t>W. Gentzsch.  IEEE International Symposium on Cluster Computing and the Grid, Brisbane, Australia, 2001 pp. 35.</w:t>
            </w:r>
          </w:p>
          <w:p w14:paraId="14C7D320" w14:textId="77777777" w:rsidR="00271E47" w:rsidRDefault="00271E47" w:rsidP="00DA495D">
            <w:pPr>
              <w:spacing w:after="0" w:line="240" w:lineRule="auto"/>
              <w:jc w:val="left"/>
              <w:rPr>
                <w:b/>
                <w:highlight w:val="white"/>
              </w:rPr>
            </w:pPr>
            <w:r>
              <w:rPr>
                <w:highlight w:val="white"/>
              </w:rPr>
              <w:t>DOI: 10.1109/CCGRID.2001.923173</w:t>
            </w:r>
          </w:p>
        </w:tc>
      </w:tr>
      <w:tr w:rsidR="00271E47" w14:paraId="5BB0F15C"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51559E0F" w14:textId="77777777" w:rsidR="00271E47" w:rsidRDefault="00271E47" w:rsidP="00DA495D">
            <w:pPr>
              <w:pBdr>
                <w:top w:val="nil"/>
                <w:left w:val="nil"/>
                <w:bottom w:val="nil"/>
                <w:right w:val="nil"/>
                <w:between w:val="nil"/>
              </w:pBdr>
              <w:jc w:val="left"/>
            </w:pPr>
            <w:r>
              <w:t>R27</w:t>
            </w:r>
          </w:p>
        </w:tc>
        <w:tc>
          <w:tcPr>
            <w:tcW w:w="8265" w:type="dxa"/>
            <w:shd w:val="clear" w:color="auto" w:fill="F2F2F2" w:themeFill="background1" w:themeFillShade="F2"/>
            <w:tcMar>
              <w:top w:w="100" w:type="dxa"/>
              <w:left w:w="100" w:type="dxa"/>
              <w:bottom w:w="100" w:type="dxa"/>
              <w:right w:w="100" w:type="dxa"/>
            </w:tcMar>
          </w:tcPr>
          <w:p w14:paraId="5C9D9444" w14:textId="77777777" w:rsidR="00271E47" w:rsidRPr="00E80C48" w:rsidRDefault="00271E47" w:rsidP="00DA495D">
            <w:pPr>
              <w:spacing w:after="0" w:line="240" w:lineRule="auto"/>
              <w:jc w:val="left"/>
            </w:pPr>
            <w:r w:rsidRPr="00E80C48">
              <w:rPr>
                <w:b/>
              </w:rPr>
              <w:t xml:space="preserve">Distributed Computing in Practice: The Condor Experience. </w:t>
            </w:r>
            <w:r w:rsidRPr="00E80C48">
              <w:t xml:space="preserve">D. Thain, T. Tannenbaum and M. Livny, Concurrency and Computation: Practice and Experience, Vol. 17, No. 2-4, pages 323-356, February-April, 2005. </w:t>
            </w:r>
          </w:p>
          <w:p w14:paraId="244DE758" w14:textId="77777777" w:rsidR="00271E47" w:rsidRDefault="00271E47" w:rsidP="00DA495D">
            <w:pPr>
              <w:spacing w:after="0" w:line="240" w:lineRule="auto"/>
              <w:jc w:val="left"/>
              <w:rPr>
                <w:highlight w:val="white"/>
              </w:rPr>
            </w:pPr>
            <w:r w:rsidRPr="00E80C48">
              <w:t>DOI: ​​10.1002/cpe.938</w:t>
            </w:r>
          </w:p>
        </w:tc>
      </w:tr>
      <w:tr w:rsidR="00271E47" w14:paraId="42CA5251"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2E2840D2" w14:textId="77777777" w:rsidR="00271E47" w:rsidRDefault="00271E47" w:rsidP="00DA495D">
            <w:pPr>
              <w:pBdr>
                <w:top w:val="nil"/>
                <w:left w:val="nil"/>
                <w:bottom w:val="nil"/>
                <w:right w:val="nil"/>
                <w:between w:val="nil"/>
              </w:pBdr>
              <w:jc w:val="left"/>
            </w:pPr>
            <w:r>
              <w:t>R28</w:t>
            </w:r>
          </w:p>
        </w:tc>
        <w:tc>
          <w:tcPr>
            <w:tcW w:w="8265" w:type="dxa"/>
            <w:tcBorders>
              <w:bottom w:val="single" w:sz="8" w:space="0" w:color="BFBFBF"/>
            </w:tcBorders>
            <w:tcMar>
              <w:top w:w="100" w:type="dxa"/>
              <w:left w:w="100" w:type="dxa"/>
              <w:bottom w:w="100" w:type="dxa"/>
              <w:right w:w="100" w:type="dxa"/>
            </w:tcMar>
          </w:tcPr>
          <w:p w14:paraId="594B8F6E" w14:textId="77777777" w:rsidR="00271E47" w:rsidRDefault="00271E47" w:rsidP="00DA495D">
            <w:pPr>
              <w:spacing w:after="0" w:line="240" w:lineRule="auto"/>
              <w:jc w:val="left"/>
              <w:rPr>
                <w:color w:val="4D5156"/>
                <w:sz w:val="21"/>
                <w:szCs w:val="21"/>
                <w:highlight w:val="white"/>
              </w:rPr>
            </w:pPr>
            <w:r>
              <w:rPr>
                <w:b/>
                <w:color w:val="1D1C1D"/>
                <w:highlight w:val="white"/>
              </w:rPr>
              <w:t>Apache Mesos Cookbook</w:t>
            </w:r>
            <w:r>
              <w:rPr>
                <w:color w:val="1D1C1D"/>
                <w:highlight w:val="white"/>
              </w:rPr>
              <w:t xml:space="preserve"> D. Blomquist, T. Janiszewski. Packt Publishing Ltd, 2017. ISBN: </w:t>
            </w:r>
            <w:r>
              <w:rPr>
                <w:color w:val="4D5156"/>
                <w:sz w:val="21"/>
                <w:szCs w:val="21"/>
                <w:highlight w:val="white"/>
              </w:rPr>
              <w:t>978-178588-4627</w:t>
            </w:r>
          </w:p>
        </w:tc>
      </w:tr>
      <w:tr w:rsidR="00271E47" w14:paraId="0CAF10ED"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66C4C1B8" w14:textId="77777777" w:rsidR="00271E47" w:rsidRDefault="00271E47" w:rsidP="00DA495D">
            <w:pPr>
              <w:pBdr>
                <w:top w:val="nil"/>
                <w:left w:val="nil"/>
                <w:bottom w:val="nil"/>
                <w:right w:val="nil"/>
                <w:between w:val="nil"/>
              </w:pBdr>
              <w:jc w:val="left"/>
            </w:pPr>
            <w:r>
              <w:t>R29</w:t>
            </w:r>
          </w:p>
        </w:tc>
        <w:tc>
          <w:tcPr>
            <w:tcW w:w="8265" w:type="dxa"/>
            <w:shd w:val="clear" w:color="auto" w:fill="F2F2F2" w:themeFill="background1" w:themeFillShade="F2"/>
            <w:tcMar>
              <w:top w:w="100" w:type="dxa"/>
              <w:left w:w="100" w:type="dxa"/>
              <w:bottom w:w="100" w:type="dxa"/>
              <w:right w:w="100" w:type="dxa"/>
            </w:tcMar>
          </w:tcPr>
          <w:p w14:paraId="254896F2" w14:textId="77777777" w:rsidR="00271E47" w:rsidRPr="00E80C48" w:rsidRDefault="00271E47" w:rsidP="00DA495D">
            <w:pPr>
              <w:spacing w:after="0" w:line="240" w:lineRule="auto"/>
              <w:jc w:val="left"/>
            </w:pPr>
            <w:r w:rsidRPr="00E80C48">
              <w:rPr>
                <w:b/>
              </w:rPr>
              <w:t xml:space="preserve">On-Premises Serverless Computing for Event-Driven Data Processing Applications. </w:t>
            </w:r>
            <w:r w:rsidRPr="00E80C48">
              <w:t xml:space="preserve">A. Pérez, S. Risco, D. M. Naranjo, M. Caballer and G. Moltó, IEEE 12th International Conference on Cloud Computing (CLOUD), 2019, pp. 414-421, </w:t>
            </w:r>
          </w:p>
          <w:p w14:paraId="6CD3995A" w14:textId="77777777" w:rsidR="00271E47" w:rsidRDefault="00271E47" w:rsidP="00DA495D">
            <w:pPr>
              <w:spacing w:after="0" w:line="240" w:lineRule="auto"/>
              <w:jc w:val="left"/>
              <w:rPr>
                <w:highlight w:val="white"/>
              </w:rPr>
            </w:pPr>
            <w:r w:rsidRPr="00E80C48">
              <w:t>DOI: 10.1109/CLOUD.2019.00073</w:t>
            </w:r>
          </w:p>
        </w:tc>
      </w:tr>
      <w:tr w:rsidR="00271E47" w14:paraId="5BA32614"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3329180F" w14:textId="77777777" w:rsidR="00271E47" w:rsidRDefault="00271E47" w:rsidP="00DA495D">
            <w:pPr>
              <w:pBdr>
                <w:top w:val="nil"/>
                <w:left w:val="nil"/>
                <w:bottom w:val="nil"/>
                <w:right w:val="nil"/>
                <w:between w:val="nil"/>
              </w:pBdr>
              <w:jc w:val="left"/>
            </w:pPr>
            <w:r>
              <w:t>R30</w:t>
            </w:r>
          </w:p>
        </w:tc>
        <w:tc>
          <w:tcPr>
            <w:tcW w:w="8265" w:type="dxa"/>
            <w:tcBorders>
              <w:bottom w:val="single" w:sz="8" w:space="0" w:color="BFBFBF"/>
            </w:tcBorders>
            <w:tcMar>
              <w:top w:w="100" w:type="dxa"/>
              <w:left w:w="100" w:type="dxa"/>
              <w:bottom w:w="100" w:type="dxa"/>
              <w:right w:w="100" w:type="dxa"/>
            </w:tcMar>
          </w:tcPr>
          <w:p w14:paraId="4A8CC79F" w14:textId="77777777" w:rsidR="00271E47" w:rsidRDefault="00271E47" w:rsidP="00DA495D">
            <w:pPr>
              <w:spacing w:after="0" w:line="240" w:lineRule="auto"/>
              <w:jc w:val="left"/>
              <w:rPr>
                <w:highlight w:val="white"/>
              </w:rPr>
            </w:pPr>
            <w:r>
              <w:rPr>
                <w:b/>
                <w:highlight w:val="white"/>
              </w:rPr>
              <w:t>ENES Climate Analytics Service (ECAS).</w:t>
            </w:r>
            <w:r>
              <w:rPr>
                <w:highlight w:val="white"/>
              </w:rPr>
              <w:t xml:space="preserve"> S. Bendoukha, T. Weigel, S. Fiore, A. D'Anca, 20th EGU General Assembly, EGU2018, Proceedings from the conference held 4-13 April, 2018 in Vienna, Austria, p.12549</w:t>
            </w:r>
          </w:p>
          <w:p w14:paraId="15D3063E" w14:textId="77777777" w:rsidR="00271E47" w:rsidRDefault="00271E47" w:rsidP="00DA495D">
            <w:pPr>
              <w:spacing w:after="0" w:line="240" w:lineRule="auto"/>
              <w:jc w:val="left"/>
              <w:rPr>
                <w:b/>
                <w:highlight w:val="white"/>
              </w:rPr>
            </w:pPr>
            <w:r>
              <w:rPr>
                <w:highlight w:val="white"/>
              </w:rPr>
              <w:t>Bibcode: 2018EGUGA..2012549B</w:t>
            </w:r>
          </w:p>
        </w:tc>
      </w:tr>
      <w:tr w:rsidR="00271E47" w14:paraId="0B9CC48D"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1CF8B7E4" w14:textId="77777777" w:rsidR="00271E47" w:rsidRDefault="00271E47" w:rsidP="00DA495D">
            <w:pPr>
              <w:jc w:val="left"/>
            </w:pPr>
            <w:r>
              <w:t>R31</w:t>
            </w:r>
          </w:p>
        </w:tc>
        <w:tc>
          <w:tcPr>
            <w:tcW w:w="8265" w:type="dxa"/>
            <w:shd w:val="clear" w:color="auto" w:fill="F2F2F2" w:themeFill="background1" w:themeFillShade="F2"/>
            <w:tcMar>
              <w:top w:w="100" w:type="dxa"/>
              <w:left w:w="100" w:type="dxa"/>
              <w:bottom w:w="100" w:type="dxa"/>
              <w:right w:w="100" w:type="dxa"/>
            </w:tcMar>
          </w:tcPr>
          <w:p w14:paraId="0CB36B84" w14:textId="77777777" w:rsidR="00271E47" w:rsidRPr="00E80C48" w:rsidRDefault="00271E47" w:rsidP="00DA495D">
            <w:pPr>
              <w:spacing w:after="0" w:line="240" w:lineRule="auto"/>
              <w:jc w:val="left"/>
            </w:pPr>
            <w:r w:rsidRPr="00E80C48">
              <w:rPr>
                <w:b/>
              </w:rPr>
              <w:t xml:space="preserve">Multi-elastic Datacenters: Auto-scaled Virtual Clusters on Energy-Aware Physical Infrastructures. </w:t>
            </w:r>
            <w:r w:rsidRPr="00E80C48">
              <w:t xml:space="preserve">C. de Alfonso, M. Caballer, A. Calatrava, et al. J Grid Computing 17, 191–204 (2019). </w:t>
            </w:r>
          </w:p>
          <w:p w14:paraId="5A305795" w14:textId="77777777" w:rsidR="00271E47" w:rsidRDefault="00271E47" w:rsidP="00DA495D">
            <w:pPr>
              <w:spacing w:after="0" w:line="240" w:lineRule="auto"/>
              <w:jc w:val="left"/>
              <w:rPr>
                <w:highlight w:val="white"/>
              </w:rPr>
            </w:pPr>
            <w:r w:rsidRPr="00E80C48">
              <w:t>DOI: 10.1007/s10723-018-9449-z</w:t>
            </w:r>
          </w:p>
        </w:tc>
      </w:tr>
      <w:tr w:rsidR="00271E47" w14:paraId="041E8666"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182D0B66" w14:textId="77777777" w:rsidR="00271E47" w:rsidRDefault="00271E47" w:rsidP="00DA495D">
            <w:pPr>
              <w:pBdr>
                <w:top w:val="nil"/>
                <w:left w:val="nil"/>
                <w:bottom w:val="nil"/>
                <w:right w:val="nil"/>
                <w:between w:val="nil"/>
              </w:pBdr>
              <w:jc w:val="left"/>
            </w:pPr>
            <w:r>
              <w:lastRenderedPageBreak/>
              <w:t>R32</w:t>
            </w:r>
          </w:p>
        </w:tc>
        <w:tc>
          <w:tcPr>
            <w:tcW w:w="8265" w:type="dxa"/>
            <w:tcBorders>
              <w:bottom w:val="single" w:sz="8" w:space="0" w:color="BFBFBF"/>
            </w:tcBorders>
            <w:tcMar>
              <w:top w:w="100" w:type="dxa"/>
              <w:left w:w="100" w:type="dxa"/>
              <w:bottom w:w="100" w:type="dxa"/>
              <w:right w:w="100" w:type="dxa"/>
            </w:tcMar>
          </w:tcPr>
          <w:p w14:paraId="131B080C" w14:textId="77777777" w:rsidR="00271E47" w:rsidRDefault="00271E47" w:rsidP="00DA495D">
            <w:pPr>
              <w:spacing w:after="0" w:line="240" w:lineRule="auto"/>
              <w:jc w:val="left"/>
              <w:rPr>
                <w:highlight w:val="white"/>
              </w:rPr>
            </w:pPr>
            <w:r>
              <w:rPr>
                <w:b/>
                <w:highlight w:val="white"/>
              </w:rPr>
              <w:t xml:space="preserve">INDIGO-DataCloud: a Platform to Facilitate Seamless Access to E-Infrastructures. </w:t>
            </w:r>
            <w:r>
              <w:rPr>
                <w:highlight w:val="white"/>
              </w:rPr>
              <w:t>D. Salomoni, I. Campos, L. Gaido, et al. J Grid Computing 16, 381–408 (2018)</w:t>
            </w:r>
          </w:p>
          <w:p w14:paraId="0F106C7C" w14:textId="77777777" w:rsidR="00271E47" w:rsidRDefault="00271E47" w:rsidP="00DA495D">
            <w:pPr>
              <w:spacing w:after="0" w:line="240" w:lineRule="auto"/>
              <w:jc w:val="left"/>
              <w:rPr>
                <w:highlight w:val="white"/>
              </w:rPr>
            </w:pPr>
            <w:r>
              <w:rPr>
                <w:highlight w:val="white"/>
              </w:rPr>
              <w:t>DOI: 10.1007/s10723-018-9453-3</w:t>
            </w:r>
          </w:p>
        </w:tc>
      </w:tr>
      <w:tr w:rsidR="00271E47" w14:paraId="4E057252"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2216B71F" w14:textId="77777777" w:rsidR="00271E47" w:rsidRDefault="00271E47" w:rsidP="00DA495D">
            <w:pPr>
              <w:pBdr>
                <w:top w:val="nil"/>
                <w:left w:val="nil"/>
                <w:bottom w:val="nil"/>
                <w:right w:val="nil"/>
                <w:between w:val="nil"/>
              </w:pBdr>
              <w:jc w:val="left"/>
            </w:pPr>
            <w:r>
              <w:t>R33</w:t>
            </w:r>
          </w:p>
        </w:tc>
        <w:tc>
          <w:tcPr>
            <w:tcW w:w="8265" w:type="dxa"/>
            <w:shd w:val="clear" w:color="auto" w:fill="F2F2F2" w:themeFill="background1" w:themeFillShade="F2"/>
            <w:tcMar>
              <w:top w:w="100" w:type="dxa"/>
              <w:left w:w="100" w:type="dxa"/>
              <w:bottom w:w="100" w:type="dxa"/>
              <w:right w:w="100" w:type="dxa"/>
            </w:tcMar>
          </w:tcPr>
          <w:p w14:paraId="5C7BDF5A" w14:textId="77777777" w:rsidR="00271E47" w:rsidRPr="00E80C48" w:rsidRDefault="00271E47" w:rsidP="00DA495D">
            <w:pPr>
              <w:spacing w:after="0" w:line="240" w:lineRule="auto"/>
              <w:jc w:val="left"/>
            </w:pPr>
            <w:r w:rsidRPr="00E80C48">
              <w:rPr>
                <w:b/>
              </w:rPr>
              <w:t xml:space="preserve">Development of Science Gateways Using QCG -- Lessons Learned from the Deployment on Large Scale Distributed and HPC Infrastructures. </w:t>
            </w:r>
            <w:r w:rsidRPr="00E80C48">
              <w:t xml:space="preserve">T. Piontek, et al. J. Grid Comput. 14, 4 (December 2016), 559–573. </w:t>
            </w:r>
          </w:p>
          <w:p w14:paraId="1734574A" w14:textId="77777777" w:rsidR="00271E47" w:rsidRDefault="00271E47" w:rsidP="00DA495D">
            <w:pPr>
              <w:spacing w:after="0" w:line="240" w:lineRule="auto"/>
              <w:jc w:val="left"/>
              <w:rPr>
                <w:b/>
                <w:highlight w:val="white"/>
              </w:rPr>
            </w:pPr>
            <w:r w:rsidRPr="00E80C48">
              <w:t>DOI: 10.1007/s10723-016-9384-9</w:t>
            </w:r>
          </w:p>
        </w:tc>
      </w:tr>
      <w:tr w:rsidR="00271E47" w14:paraId="72B59DA4" w14:textId="77777777" w:rsidTr="00463BAA">
        <w:trPr>
          <w:trHeight w:val="590"/>
        </w:trPr>
        <w:tc>
          <w:tcPr>
            <w:tcW w:w="735" w:type="dxa"/>
            <w:tcBorders>
              <w:bottom w:val="single" w:sz="8" w:space="0" w:color="BFBFBF"/>
            </w:tcBorders>
            <w:tcMar>
              <w:top w:w="100" w:type="dxa"/>
              <w:left w:w="100" w:type="dxa"/>
              <w:bottom w:w="100" w:type="dxa"/>
              <w:right w:w="100" w:type="dxa"/>
            </w:tcMar>
          </w:tcPr>
          <w:p w14:paraId="41FF95B8" w14:textId="77777777" w:rsidR="00271E47" w:rsidRDefault="00271E47" w:rsidP="00DA495D">
            <w:pPr>
              <w:pBdr>
                <w:top w:val="nil"/>
                <w:left w:val="nil"/>
                <w:bottom w:val="nil"/>
                <w:right w:val="nil"/>
                <w:between w:val="nil"/>
              </w:pBdr>
              <w:jc w:val="left"/>
            </w:pPr>
            <w:r>
              <w:t>R34</w:t>
            </w:r>
          </w:p>
        </w:tc>
        <w:tc>
          <w:tcPr>
            <w:tcW w:w="8265" w:type="dxa"/>
            <w:tcBorders>
              <w:bottom w:val="single" w:sz="8" w:space="0" w:color="BFBFBF"/>
            </w:tcBorders>
            <w:tcMar>
              <w:top w:w="100" w:type="dxa"/>
              <w:left w:w="100" w:type="dxa"/>
              <w:bottom w:w="100" w:type="dxa"/>
              <w:right w:w="100" w:type="dxa"/>
            </w:tcMar>
          </w:tcPr>
          <w:p w14:paraId="051F9D32" w14:textId="77777777" w:rsidR="00271E47" w:rsidRDefault="00271E47" w:rsidP="00DA495D">
            <w:pPr>
              <w:spacing w:after="0" w:line="240" w:lineRule="auto"/>
              <w:jc w:val="left"/>
              <w:rPr>
                <w:highlight w:val="white"/>
              </w:rPr>
            </w:pPr>
            <w:r>
              <w:rPr>
                <w:b/>
                <w:highlight w:val="white"/>
              </w:rPr>
              <w:t>DODAS: How to effectively exploit heterogeneous clouds for scientific computations.</w:t>
            </w:r>
            <w:r>
              <w:rPr>
                <w:highlight w:val="white"/>
              </w:rPr>
              <w:t xml:space="preserve"> </w:t>
            </w:r>
            <w:r>
              <w:rPr>
                <w:color w:val="333333"/>
                <w:highlight w:val="white"/>
              </w:rPr>
              <w:t>D. Spiga</w:t>
            </w:r>
            <w:r>
              <w:rPr>
                <w:i/>
                <w:color w:val="333333"/>
                <w:highlight w:val="white"/>
              </w:rPr>
              <w:t xml:space="preserve"> et al</w:t>
            </w:r>
            <w:r>
              <w:rPr>
                <w:highlight w:val="white"/>
              </w:rPr>
              <w:t xml:space="preserve">. International Symposium on Grids and Clouds 2018 in conjunction with Frontiers in Computational Drug Discovery (ISGC 2018 &amp; FCDD) - Virtual Research Environment (VRE) </w:t>
            </w:r>
          </w:p>
          <w:p w14:paraId="28DE497A" w14:textId="77777777" w:rsidR="00271E47" w:rsidRDefault="00271E47" w:rsidP="00DA495D">
            <w:pPr>
              <w:spacing w:after="0" w:line="240" w:lineRule="auto"/>
              <w:jc w:val="left"/>
              <w:rPr>
                <w:highlight w:val="white"/>
              </w:rPr>
            </w:pPr>
            <w:r>
              <w:rPr>
                <w:highlight w:val="white"/>
              </w:rPr>
              <w:t>DOI: 10.22323/1.327.0024.</w:t>
            </w:r>
          </w:p>
        </w:tc>
      </w:tr>
      <w:tr w:rsidR="00271E47" w14:paraId="0E439D86" w14:textId="77777777" w:rsidTr="00463BAA">
        <w:trPr>
          <w:trHeight w:val="590"/>
        </w:trPr>
        <w:tc>
          <w:tcPr>
            <w:tcW w:w="735" w:type="dxa"/>
            <w:shd w:val="clear" w:color="auto" w:fill="F2F2F2" w:themeFill="background1" w:themeFillShade="F2"/>
            <w:tcMar>
              <w:top w:w="100" w:type="dxa"/>
              <w:left w:w="100" w:type="dxa"/>
              <w:bottom w:w="100" w:type="dxa"/>
              <w:right w:w="100" w:type="dxa"/>
            </w:tcMar>
          </w:tcPr>
          <w:p w14:paraId="3C6D91FE" w14:textId="77777777" w:rsidR="00271E47" w:rsidRDefault="00271E47" w:rsidP="00DA495D">
            <w:pPr>
              <w:pBdr>
                <w:top w:val="nil"/>
                <w:left w:val="nil"/>
                <w:bottom w:val="nil"/>
                <w:right w:val="nil"/>
                <w:between w:val="nil"/>
              </w:pBdr>
              <w:jc w:val="left"/>
            </w:pPr>
            <w:r>
              <w:t>R35</w:t>
            </w:r>
          </w:p>
        </w:tc>
        <w:tc>
          <w:tcPr>
            <w:tcW w:w="8265" w:type="dxa"/>
            <w:shd w:val="clear" w:color="auto" w:fill="F2F2F2" w:themeFill="background1" w:themeFillShade="F2"/>
            <w:tcMar>
              <w:top w:w="100" w:type="dxa"/>
              <w:left w:w="100" w:type="dxa"/>
              <w:bottom w:w="100" w:type="dxa"/>
              <w:right w:w="100" w:type="dxa"/>
            </w:tcMar>
          </w:tcPr>
          <w:p w14:paraId="52868906" w14:textId="77777777" w:rsidR="00271E47" w:rsidRDefault="00271E47" w:rsidP="00DA495D">
            <w:pPr>
              <w:spacing w:after="0" w:line="240" w:lineRule="auto"/>
              <w:jc w:val="left"/>
              <w:rPr>
                <w:b/>
                <w:highlight w:val="white"/>
              </w:rPr>
            </w:pPr>
            <w:r w:rsidRPr="00E80C48">
              <w:rPr>
                <w:b/>
              </w:rPr>
              <w:t xml:space="preserve">The DevOps Handbook: How to Create World-Class Agility, Reliability, and Security in Technology Organizations. </w:t>
            </w:r>
            <w:r w:rsidRPr="00E80C48">
              <w:t>G. Kim, P. Debois, J. Willis, J. Humble. IT Revolution Press 2016. ISBN: 978-1942788003</w:t>
            </w:r>
            <w:r w:rsidRPr="00E80C48">
              <w:rPr>
                <w:b/>
              </w:rPr>
              <w:t xml:space="preserve">  </w:t>
            </w:r>
          </w:p>
        </w:tc>
      </w:tr>
    </w:tbl>
    <w:p w14:paraId="52FED833" w14:textId="77777777" w:rsidR="00271E47" w:rsidRDefault="00271E47" w:rsidP="00271E47">
      <w:pPr>
        <w:rPr>
          <w:b/>
        </w:rPr>
      </w:pPr>
    </w:p>
    <w:p w14:paraId="15B8F10D" w14:textId="77777777" w:rsidR="00271E47" w:rsidRDefault="00271E47" w:rsidP="00271E47"/>
    <w:p w14:paraId="044686B1" w14:textId="77777777" w:rsidR="00E479EC" w:rsidRPr="00E479EC" w:rsidRDefault="00E479EC" w:rsidP="00E479EC">
      <w:pPr>
        <w:pStyle w:val="Heading2"/>
        <w:numPr>
          <w:ilvl w:val="0"/>
          <w:numId w:val="0"/>
        </w:numPr>
        <w:ind w:left="576"/>
      </w:pPr>
    </w:p>
    <w:sectPr w:rsidR="00E479EC" w:rsidRPr="00E479EC" w:rsidSect="00211F6C">
      <w:headerReference w:type="even" r:id="rId63"/>
      <w:headerReference w:type="default" r:id="rId64"/>
      <w:footerReference w:type="even" r:id="rId65"/>
      <w:footerReference w:type="default" r:id="rId66"/>
      <w:headerReference w:type="first" r:id="rId67"/>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B8DBE" w14:textId="77777777" w:rsidR="00A60E4F" w:rsidRDefault="00A60E4F" w:rsidP="00C82525">
      <w:r>
        <w:separator/>
      </w:r>
    </w:p>
  </w:endnote>
  <w:endnote w:type="continuationSeparator" w:id="0">
    <w:p w14:paraId="6CE12248" w14:textId="77777777" w:rsidR="00A60E4F" w:rsidRDefault="00A60E4F"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25406" w14:textId="77777777" w:rsidR="00A60E4F" w:rsidRDefault="00A60E4F" w:rsidP="00C82525">
      <w:r>
        <w:separator/>
      </w:r>
    </w:p>
  </w:footnote>
  <w:footnote w:type="continuationSeparator" w:id="0">
    <w:p w14:paraId="34FADEC8" w14:textId="77777777" w:rsidR="00A60E4F" w:rsidRDefault="00A60E4F" w:rsidP="00C82525">
      <w:r>
        <w:continuationSeparator/>
      </w:r>
    </w:p>
  </w:footnote>
  <w:footnote w:id="1">
    <w:p w14:paraId="0405DD84" w14:textId="039E2C19" w:rsidR="00E479EC" w:rsidRDefault="00E479EC" w:rsidP="00E479EC">
      <w:pPr>
        <w:spacing w:after="0" w:line="240" w:lineRule="auto"/>
        <w:rPr>
          <w:sz w:val="20"/>
          <w:szCs w:val="20"/>
        </w:rPr>
      </w:pPr>
      <w:r>
        <w:rPr>
          <w:rStyle w:val="FootnoteReference"/>
        </w:rPr>
        <w:footnoteRef/>
      </w:r>
      <w:r>
        <w:rPr>
          <w:sz w:val="20"/>
          <w:szCs w:val="20"/>
        </w:rPr>
        <w:t xml:space="preserve"> European Open Science Cloud. </w:t>
      </w:r>
      <w:hyperlink r:id="rId1" w:history="1">
        <w:r w:rsidR="00621752" w:rsidRPr="00C22021">
          <w:rPr>
            <w:rStyle w:val="Hyperlink"/>
            <w:sz w:val="20"/>
            <w:szCs w:val="20"/>
          </w:rPr>
          <w:t>https://eosc-portal.eu/about/eosc</w:t>
        </w:r>
      </w:hyperlink>
      <w:r w:rsidR="00621752">
        <w:rPr>
          <w:sz w:val="20"/>
          <w:szCs w:val="20"/>
        </w:rPr>
        <w:t xml:space="preserve"> </w:t>
      </w:r>
    </w:p>
  </w:footnote>
  <w:footnote w:id="2">
    <w:p w14:paraId="2B7F0A1A"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2">
        <w:r>
          <w:rPr>
            <w:color w:val="1155CC"/>
            <w:sz w:val="20"/>
            <w:szCs w:val="20"/>
            <w:u w:val="single"/>
          </w:rPr>
          <w:t>https://eoscfuture.eu/</w:t>
        </w:r>
      </w:hyperlink>
      <w:r>
        <w:rPr>
          <w:sz w:val="20"/>
          <w:szCs w:val="20"/>
        </w:rPr>
        <w:t xml:space="preserve"> </w:t>
      </w:r>
    </w:p>
  </w:footnote>
  <w:footnote w:id="3">
    <w:p w14:paraId="43B361F5"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3">
        <w:r>
          <w:rPr>
            <w:color w:val="1155CC"/>
            <w:sz w:val="20"/>
            <w:szCs w:val="20"/>
            <w:u w:val="single"/>
          </w:rPr>
          <w:t>https://www.egi.eu/service/check-in/</w:t>
        </w:r>
      </w:hyperlink>
      <w:r>
        <w:rPr>
          <w:sz w:val="20"/>
          <w:szCs w:val="20"/>
        </w:rPr>
        <w:t xml:space="preserve"> </w:t>
      </w:r>
    </w:p>
  </w:footnote>
  <w:footnote w:id="4">
    <w:p w14:paraId="53C1DE07"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4">
        <w:r>
          <w:rPr>
            <w:color w:val="1155CC"/>
            <w:sz w:val="20"/>
            <w:szCs w:val="20"/>
            <w:u w:val="single"/>
          </w:rPr>
          <w:t>https://www.egi.eu/services/check-in/</w:t>
        </w:r>
      </w:hyperlink>
      <w:r>
        <w:rPr>
          <w:sz w:val="20"/>
          <w:szCs w:val="20"/>
        </w:rPr>
        <w:t xml:space="preserve">, see also the webinar at </w:t>
      </w:r>
      <w:hyperlink r:id="rId5">
        <w:r>
          <w:rPr>
            <w:color w:val="1155CC"/>
            <w:sz w:val="20"/>
            <w:szCs w:val="20"/>
            <w:u w:val="single"/>
          </w:rPr>
          <w:t>https://indico.egi.eu/event/5494/</w:t>
        </w:r>
      </w:hyperlink>
      <w:r>
        <w:rPr>
          <w:sz w:val="20"/>
          <w:szCs w:val="20"/>
        </w:rPr>
        <w:t xml:space="preserve"> </w:t>
      </w:r>
    </w:p>
  </w:footnote>
  <w:footnote w:id="5">
    <w:p w14:paraId="4F6F8D35"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
        <w:r>
          <w:rPr>
            <w:color w:val="1155CC"/>
            <w:sz w:val="20"/>
            <w:szCs w:val="20"/>
            <w:u w:val="single"/>
          </w:rPr>
          <w:t>https://edugain.org/</w:t>
        </w:r>
      </w:hyperlink>
      <w:r>
        <w:rPr>
          <w:sz w:val="20"/>
          <w:szCs w:val="20"/>
        </w:rPr>
        <w:t xml:space="preserve"> </w:t>
      </w:r>
    </w:p>
  </w:footnote>
  <w:footnote w:id="6">
    <w:p w14:paraId="0588FBDB"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
        <w:r>
          <w:rPr>
            <w:color w:val="1155CC"/>
            <w:sz w:val="20"/>
            <w:szCs w:val="20"/>
            <w:u w:val="single"/>
          </w:rPr>
          <w:t>https://orcid.org/</w:t>
        </w:r>
      </w:hyperlink>
      <w:r>
        <w:rPr>
          <w:sz w:val="20"/>
          <w:szCs w:val="20"/>
        </w:rPr>
        <w:t xml:space="preserve"> </w:t>
      </w:r>
    </w:p>
  </w:footnote>
  <w:footnote w:id="7">
    <w:p w14:paraId="7332AC9D"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
        <w:r>
          <w:rPr>
            <w:color w:val="1155CC"/>
            <w:sz w:val="20"/>
            <w:szCs w:val="20"/>
            <w:u w:val="single"/>
          </w:rPr>
          <w:t>https://aarc-community.org/guidelines/aarc-i050/</w:t>
        </w:r>
      </w:hyperlink>
    </w:p>
  </w:footnote>
  <w:footnote w:id="8">
    <w:p w14:paraId="7A14FBBE"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
        <w:r>
          <w:rPr>
            <w:color w:val="1155CC"/>
            <w:sz w:val="20"/>
            <w:szCs w:val="20"/>
            <w:u w:val="single"/>
          </w:rPr>
          <w:t>https://sp.eudat.eu/catalog/resources/d04af0f5-2253-4ee4-8181-3a5a961ccd49</w:t>
        </w:r>
      </w:hyperlink>
      <w:r>
        <w:rPr>
          <w:sz w:val="20"/>
          <w:szCs w:val="20"/>
        </w:rPr>
        <w:t xml:space="preserve"> </w:t>
      </w:r>
    </w:p>
  </w:footnote>
  <w:footnote w:id="9">
    <w:p w14:paraId="120A99D8"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0">
        <w:r>
          <w:rPr>
            <w:color w:val="1155CC"/>
            <w:sz w:val="20"/>
            <w:szCs w:val="20"/>
            <w:u w:val="single"/>
          </w:rPr>
          <w:t>https://eduteams.org/</w:t>
        </w:r>
      </w:hyperlink>
      <w:r>
        <w:rPr>
          <w:sz w:val="20"/>
          <w:szCs w:val="20"/>
        </w:rPr>
        <w:t xml:space="preserve"> </w:t>
      </w:r>
    </w:p>
  </w:footnote>
  <w:footnote w:id="10">
    <w:p w14:paraId="3BBCA3A6"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1">
        <w:r>
          <w:rPr>
            <w:color w:val="1155CC"/>
            <w:sz w:val="20"/>
            <w:szCs w:val="20"/>
            <w:u w:val="single"/>
          </w:rPr>
          <w:t>https://www.incommon.org/software/comanage/</w:t>
        </w:r>
      </w:hyperlink>
      <w:r>
        <w:rPr>
          <w:sz w:val="20"/>
          <w:szCs w:val="20"/>
        </w:rPr>
        <w:t xml:space="preserve"> </w:t>
      </w:r>
    </w:p>
  </w:footnote>
  <w:footnote w:id="11">
    <w:p w14:paraId="4EDEE947"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2">
        <w:r>
          <w:rPr>
            <w:color w:val="1155CC"/>
            <w:sz w:val="20"/>
            <w:szCs w:val="20"/>
            <w:u w:val="single"/>
          </w:rPr>
          <w:t>https://perun-aai.org/</w:t>
        </w:r>
      </w:hyperlink>
      <w:r>
        <w:rPr>
          <w:sz w:val="20"/>
          <w:szCs w:val="20"/>
        </w:rPr>
        <w:t xml:space="preserve"> </w:t>
      </w:r>
    </w:p>
  </w:footnote>
  <w:footnote w:id="12">
    <w:p w14:paraId="58A817B1"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3">
        <w:r>
          <w:rPr>
            <w:color w:val="1155CC"/>
            <w:sz w:val="20"/>
            <w:szCs w:val="20"/>
            <w:u w:val="single"/>
          </w:rPr>
          <w:t>https://rcauth.eu/</w:t>
        </w:r>
      </w:hyperlink>
      <w:r>
        <w:rPr>
          <w:sz w:val="20"/>
          <w:szCs w:val="20"/>
        </w:rPr>
        <w:t xml:space="preserve"> </w:t>
      </w:r>
    </w:p>
  </w:footnote>
  <w:footnote w:id="13">
    <w:p w14:paraId="43A1C568"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4">
        <w:r>
          <w:rPr>
            <w:color w:val="1155CC"/>
            <w:sz w:val="20"/>
            <w:szCs w:val="20"/>
            <w:u w:val="single"/>
          </w:rPr>
          <w:t>https://argoeu.github.io/guides/messaging/</w:t>
        </w:r>
      </w:hyperlink>
      <w:r>
        <w:rPr>
          <w:sz w:val="20"/>
          <w:szCs w:val="20"/>
        </w:rPr>
        <w:t xml:space="preserve"> </w:t>
      </w:r>
    </w:p>
  </w:footnote>
  <w:footnote w:id="14">
    <w:p w14:paraId="301EF409"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5">
        <w:r>
          <w:rPr>
            <w:color w:val="1155CC"/>
            <w:sz w:val="20"/>
            <w:szCs w:val="20"/>
            <w:u w:val="single"/>
          </w:rPr>
          <w:t>https://cloud.google.com/pubsub/docs</w:t>
        </w:r>
      </w:hyperlink>
      <w:r>
        <w:rPr>
          <w:sz w:val="20"/>
          <w:szCs w:val="20"/>
        </w:rPr>
        <w:t xml:space="preserve"> </w:t>
      </w:r>
    </w:p>
  </w:footnote>
  <w:footnote w:id="15">
    <w:p w14:paraId="2E84BB29"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6">
        <w:r>
          <w:rPr>
            <w:color w:val="1155CC"/>
            <w:sz w:val="20"/>
            <w:szCs w:val="20"/>
            <w:u w:val="single"/>
          </w:rPr>
          <w:t>https://aarc-project.eu/guidelines/</w:t>
        </w:r>
      </w:hyperlink>
      <w:r>
        <w:rPr>
          <w:sz w:val="20"/>
          <w:szCs w:val="20"/>
        </w:rPr>
        <w:t xml:space="preserve"> </w:t>
      </w:r>
    </w:p>
  </w:footnote>
  <w:footnote w:id="16">
    <w:p w14:paraId="350CEF15"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7">
        <w:r>
          <w:rPr>
            <w:color w:val="1155CC"/>
            <w:sz w:val="20"/>
            <w:szCs w:val="20"/>
            <w:u w:val="single"/>
          </w:rPr>
          <w:t>https://goc.egi.eu/</w:t>
        </w:r>
      </w:hyperlink>
      <w:r>
        <w:rPr>
          <w:sz w:val="20"/>
          <w:szCs w:val="20"/>
        </w:rPr>
        <w:t xml:space="preserve"> </w:t>
      </w:r>
    </w:p>
  </w:footnote>
  <w:footnote w:id="17">
    <w:p w14:paraId="4C3CD4A4"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18">
        <w:r>
          <w:rPr>
            <w:color w:val="1155CC"/>
            <w:sz w:val="20"/>
            <w:szCs w:val="20"/>
            <w:u w:val="single"/>
          </w:rPr>
          <w:t>https://accounting.egi.eu/</w:t>
        </w:r>
      </w:hyperlink>
      <w:r>
        <w:rPr>
          <w:sz w:val="20"/>
          <w:szCs w:val="20"/>
        </w:rPr>
        <w:t xml:space="preserve"> </w:t>
      </w:r>
    </w:p>
  </w:footnote>
  <w:footnote w:id="18">
    <w:p w14:paraId="54B67384" w14:textId="77777777" w:rsidR="00271E47" w:rsidRDefault="00271E47" w:rsidP="00271E47">
      <w:pPr>
        <w:spacing w:after="0" w:line="240" w:lineRule="auto"/>
        <w:jc w:val="left"/>
        <w:rPr>
          <w:sz w:val="20"/>
          <w:szCs w:val="20"/>
        </w:rPr>
      </w:pPr>
      <w:r>
        <w:rPr>
          <w:rStyle w:val="FootnoteReference"/>
        </w:rPr>
        <w:footnoteRef/>
      </w:r>
      <w:r>
        <w:rPr>
          <w:sz w:val="20"/>
          <w:szCs w:val="20"/>
        </w:rPr>
        <w:t xml:space="preserve"> Job records format: </w:t>
      </w:r>
      <w:hyperlink r:id="rId19" w:anchor="Job_Records">
        <w:r>
          <w:rPr>
            <w:color w:val="1155CC"/>
            <w:sz w:val="20"/>
            <w:szCs w:val="20"/>
            <w:u w:val="single"/>
          </w:rPr>
          <w:t>https://wiki.egi.eu/wiki/APEL/MessageFormat#Job_Records</w:t>
        </w:r>
      </w:hyperlink>
      <w:r>
        <w:rPr>
          <w:sz w:val="20"/>
          <w:szCs w:val="20"/>
        </w:rPr>
        <w:t xml:space="preserve"> and </w:t>
      </w:r>
      <w:hyperlink r:id="rId20" w:anchor="Summary_Job_Records">
        <w:r>
          <w:rPr>
            <w:color w:val="1155CC"/>
            <w:sz w:val="20"/>
            <w:szCs w:val="20"/>
            <w:u w:val="single"/>
          </w:rPr>
          <w:t>https://wiki.egi.eu/wiki/APEL/MessageFormat#Summary_Job_Records</w:t>
        </w:r>
      </w:hyperlink>
      <w:r>
        <w:rPr>
          <w:sz w:val="20"/>
          <w:szCs w:val="20"/>
        </w:rPr>
        <w:t xml:space="preserve">; </w:t>
      </w:r>
    </w:p>
    <w:p w14:paraId="767A63EB" w14:textId="77777777" w:rsidR="00271E47" w:rsidRDefault="00271E47" w:rsidP="00271E47">
      <w:pPr>
        <w:spacing w:after="0" w:line="240" w:lineRule="auto"/>
        <w:jc w:val="left"/>
        <w:rPr>
          <w:sz w:val="20"/>
          <w:szCs w:val="20"/>
        </w:rPr>
      </w:pPr>
      <w:r>
        <w:rPr>
          <w:sz w:val="20"/>
          <w:szCs w:val="20"/>
        </w:rPr>
        <w:t xml:space="preserve">VM usage record format: </w:t>
      </w:r>
      <w:hyperlink r:id="rId21" w:anchor="cloud-usage-record">
        <w:r>
          <w:rPr>
            <w:color w:val="1155CC"/>
            <w:sz w:val="20"/>
            <w:szCs w:val="20"/>
            <w:u w:val="single"/>
          </w:rPr>
          <w:t>https://docs.egi.eu/users/getting-started/architecture/#cloud-usage-record</w:t>
        </w:r>
      </w:hyperlink>
      <w:r>
        <w:rPr>
          <w:sz w:val="20"/>
          <w:szCs w:val="20"/>
        </w:rPr>
        <w:t xml:space="preserve">; GPU usage record format: </w:t>
      </w:r>
      <w:hyperlink r:id="rId22" w:anchor="gpu-usage-record">
        <w:r>
          <w:rPr>
            <w:color w:val="1155CC"/>
            <w:sz w:val="20"/>
            <w:szCs w:val="20"/>
            <w:u w:val="single"/>
          </w:rPr>
          <w:t>https://docs.egi.eu/users/getting-started/architecture/#gpu-usage-record</w:t>
        </w:r>
      </w:hyperlink>
      <w:r>
        <w:rPr>
          <w:sz w:val="20"/>
          <w:szCs w:val="20"/>
        </w:rPr>
        <w:t xml:space="preserve">; </w:t>
      </w:r>
    </w:p>
    <w:p w14:paraId="50582DD3" w14:textId="77777777" w:rsidR="00271E47" w:rsidRDefault="00271E47" w:rsidP="00271E47">
      <w:pPr>
        <w:spacing w:after="0" w:line="240" w:lineRule="auto"/>
        <w:jc w:val="left"/>
        <w:rPr>
          <w:sz w:val="20"/>
          <w:szCs w:val="20"/>
        </w:rPr>
      </w:pPr>
      <w:r>
        <w:rPr>
          <w:sz w:val="20"/>
          <w:szCs w:val="20"/>
        </w:rPr>
        <w:t xml:space="preserve">Storage usage record format: </w:t>
      </w:r>
      <w:hyperlink r:id="rId23">
        <w:r>
          <w:rPr>
            <w:color w:val="1155CC"/>
            <w:sz w:val="20"/>
            <w:szCs w:val="20"/>
            <w:u w:val="single"/>
          </w:rPr>
          <w:t>https://www.ogf.org/documents/GFD.201.pdf</w:t>
        </w:r>
      </w:hyperlink>
      <w:r>
        <w:rPr>
          <w:sz w:val="20"/>
          <w:szCs w:val="20"/>
        </w:rPr>
        <w:t xml:space="preserve"> </w:t>
      </w:r>
    </w:p>
  </w:footnote>
  <w:footnote w:id="19">
    <w:p w14:paraId="61E2D071"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24">
        <w:r>
          <w:rPr>
            <w:color w:val="1155CC"/>
            <w:sz w:val="20"/>
            <w:szCs w:val="20"/>
            <w:u w:val="single"/>
          </w:rPr>
          <w:t>https://github.com/apel/ssm</w:t>
        </w:r>
      </w:hyperlink>
      <w:r>
        <w:rPr>
          <w:sz w:val="20"/>
          <w:szCs w:val="20"/>
        </w:rPr>
        <w:t xml:space="preserve"> </w:t>
      </w:r>
    </w:p>
  </w:footnote>
  <w:footnote w:id="20">
    <w:p w14:paraId="55636241"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25">
        <w:r>
          <w:rPr>
            <w:color w:val="1155CC"/>
            <w:sz w:val="20"/>
            <w:szCs w:val="20"/>
            <w:u w:val="single"/>
          </w:rPr>
          <w:t>https://argo.egi.eu/</w:t>
        </w:r>
      </w:hyperlink>
      <w:r>
        <w:rPr>
          <w:sz w:val="20"/>
          <w:szCs w:val="20"/>
        </w:rPr>
        <w:t xml:space="preserve">, see also EGI webinar </w:t>
      </w:r>
      <w:hyperlink r:id="rId26">
        <w:r>
          <w:rPr>
            <w:color w:val="1155CC"/>
            <w:sz w:val="20"/>
            <w:szCs w:val="20"/>
            <w:u w:val="single"/>
          </w:rPr>
          <w:t>https://indico.egi.eu/event/5496/</w:t>
        </w:r>
      </w:hyperlink>
      <w:r>
        <w:rPr>
          <w:sz w:val="20"/>
          <w:szCs w:val="20"/>
        </w:rPr>
        <w:t xml:space="preserve"> </w:t>
      </w:r>
    </w:p>
  </w:footnote>
  <w:footnote w:id="21">
    <w:p w14:paraId="60BD4455"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27">
        <w:r>
          <w:rPr>
            <w:color w:val="1155CC"/>
            <w:sz w:val="20"/>
            <w:szCs w:val="20"/>
            <w:u w:val="single"/>
          </w:rPr>
          <w:t>https://poem.egi.eu/ui/public_probes</w:t>
        </w:r>
      </w:hyperlink>
      <w:r>
        <w:rPr>
          <w:sz w:val="20"/>
          <w:szCs w:val="20"/>
        </w:rPr>
        <w:t xml:space="preserve"> and </w:t>
      </w:r>
      <w:hyperlink r:id="rId28">
        <w:r>
          <w:rPr>
            <w:color w:val="1155CC"/>
            <w:sz w:val="20"/>
            <w:szCs w:val="20"/>
            <w:u w:val="single"/>
          </w:rPr>
          <w:t>https://github.com/ARGOeu/poem-2</w:t>
        </w:r>
      </w:hyperlink>
      <w:r>
        <w:rPr>
          <w:sz w:val="20"/>
          <w:szCs w:val="20"/>
        </w:rPr>
        <w:t xml:space="preserve"> </w:t>
      </w:r>
    </w:p>
  </w:footnote>
  <w:footnote w:id="22">
    <w:p w14:paraId="57F36039"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29">
        <w:r>
          <w:rPr>
            <w:color w:val="1155CC"/>
            <w:sz w:val="20"/>
            <w:szCs w:val="20"/>
            <w:u w:val="single"/>
          </w:rPr>
          <w:t>https://ggus.eu/</w:t>
        </w:r>
      </w:hyperlink>
    </w:p>
  </w:footnote>
  <w:footnote w:id="23">
    <w:p w14:paraId="2EBF4167"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30">
        <w:r>
          <w:rPr>
            <w:color w:val="1155CC"/>
            <w:sz w:val="20"/>
            <w:szCs w:val="20"/>
            <w:u w:val="single"/>
          </w:rPr>
          <w:t>https://docs.egi.eu/internal/helpdesk/</w:t>
        </w:r>
      </w:hyperlink>
    </w:p>
    <w:p w14:paraId="7A3CC5F6" w14:textId="77777777" w:rsidR="00271E47" w:rsidRDefault="00271E47" w:rsidP="00271E47">
      <w:pPr>
        <w:spacing w:after="0" w:line="240" w:lineRule="auto"/>
        <w:rPr>
          <w:sz w:val="20"/>
          <w:szCs w:val="20"/>
        </w:rPr>
      </w:pPr>
    </w:p>
  </w:footnote>
  <w:footnote w:id="24">
    <w:p w14:paraId="08835B64"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1">
        <w:r>
          <w:rPr>
            <w:color w:val="0563C1"/>
            <w:sz w:val="20"/>
            <w:szCs w:val="20"/>
            <w:u w:val="single"/>
          </w:rPr>
          <w:t>https://docs.egi.eu/providers/cloud-compute/openstack/</w:t>
        </w:r>
      </w:hyperlink>
      <w:r>
        <w:rPr>
          <w:color w:val="000000"/>
          <w:sz w:val="20"/>
          <w:szCs w:val="20"/>
        </w:rPr>
        <w:t xml:space="preserve"> </w:t>
      </w:r>
    </w:p>
  </w:footnote>
  <w:footnote w:id="25">
    <w:p w14:paraId="3255C9E5"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2">
        <w:r>
          <w:rPr>
            <w:color w:val="0563C1"/>
            <w:sz w:val="20"/>
            <w:szCs w:val="20"/>
            <w:u w:val="single"/>
          </w:rPr>
          <w:t>https://docs.openstack.org/keystone/latest/admin/federation/introduction.htmln</w:t>
        </w:r>
      </w:hyperlink>
      <w:r>
        <w:rPr>
          <w:color w:val="000000"/>
          <w:sz w:val="20"/>
          <w:szCs w:val="20"/>
        </w:rPr>
        <w:t xml:space="preserve"> </w:t>
      </w:r>
    </w:p>
  </w:footnote>
  <w:footnote w:id="26">
    <w:p w14:paraId="202F235F"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3" w:anchor="keystone-setup">
        <w:r>
          <w:rPr>
            <w:color w:val="0563C1"/>
            <w:sz w:val="20"/>
            <w:szCs w:val="20"/>
            <w:u w:val="single"/>
          </w:rPr>
          <w:t>https://docs.egi.eu/providers/cloud-compute/openstack/aai/#keystone-setup</w:t>
        </w:r>
      </w:hyperlink>
      <w:r>
        <w:rPr>
          <w:color w:val="000000"/>
          <w:sz w:val="20"/>
          <w:szCs w:val="20"/>
        </w:rPr>
        <w:t xml:space="preserve"> </w:t>
      </w:r>
    </w:p>
  </w:footnote>
  <w:footnote w:id="27">
    <w:p w14:paraId="4B6CAA6F"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4">
        <w:r>
          <w:rPr>
            <w:color w:val="0563C1"/>
            <w:sz w:val="20"/>
            <w:szCs w:val="20"/>
            <w:u w:val="single"/>
          </w:rPr>
          <w:t>https://wiki.appdb.egi.eu/main:faq:vo_image_list_format</w:t>
        </w:r>
      </w:hyperlink>
      <w:r>
        <w:rPr>
          <w:color w:val="000000"/>
          <w:sz w:val="20"/>
          <w:szCs w:val="20"/>
        </w:rPr>
        <w:t xml:space="preserve"> </w:t>
      </w:r>
    </w:p>
  </w:footnote>
  <w:footnote w:id="28">
    <w:p w14:paraId="22D343A3"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5">
        <w:r>
          <w:rPr>
            <w:color w:val="0563C1"/>
            <w:sz w:val="20"/>
            <w:szCs w:val="20"/>
            <w:u w:val="single"/>
          </w:rPr>
          <w:t>https://github.com/the-cloudkeeper-project/cloudkeeper</w:t>
        </w:r>
      </w:hyperlink>
      <w:r>
        <w:rPr>
          <w:color w:val="000000"/>
          <w:sz w:val="20"/>
          <w:szCs w:val="20"/>
        </w:rPr>
        <w:t xml:space="preserve"> </w:t>
      </w:r>
    </w:p>
  </w:footnote>
  <w:footnote w:id="29">
    <w:p w14:paraId="1DD6797E"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36">
        <w:r>
          <w:rPr>
            <w:color w:val="1155CC"/>
            <w:sz w:val="20"/>
            <w:szCs w:val="20"/>
            <w:u w:val="single"/>
          </w:rPr>
          <w:t>https://docs.egi.eu/providers/datahub/oneprovider/</w:t>
        </w:r>
      </w:hyperlink>
    </w:p>
  </w:footnote>
  <w:footnote w:id="30">
    <w:p w14:paraId="47FF8FDE"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37">
        <w:r>
          <w:rPr>
            <w:color w:val="1155CC"/>
            <w:sz w:val="20"/>
            <w:szCs w:val="20"/>
            <w:u w:val="single"/>
          </w:rPr>
          <w:t>https://caso.readthedocs.io</w:t>
        </w:r>
      </w:hyperlink>
      <w:r>
        <w:rPr>
          <w:sz w:val="20"/>
          <w:szCs w:val="20"/>
        </w:rPr>
        <w:t xml:space="preserve"> </w:t>
      </w:r>
    </w:p>
  </w:footnote>
  <w:footnote w:id="31">
    <w:p w14:paraId="323F2139"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38">
        <w:r>
          <w:rPr>
            <w:color w:val="1155CC"/>
            <w:sz w:val="20"/>
            <w:szCs w:val="20"/>
            <w:u w:val="single"/>
          </w:rPr>
          <w:t>https://docs.egi.eu/providers/high-throughput-compute/</w:t>
        </w:r>
      </w:hyperlink>
    </w:p>
  </w:footnote>
  <w:footnote w:id="32">
    <w:p w14:paraId="3AEA5EED"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9">
        <w:r>
          <w:rPr>
            <w:color w:val="0563C1"/>
            <w:sz w:val="20"/>
            <w:szCs w:val="20"/>
            <w:u w:val="single"/>
          </w:rPr>
          <w:t>https://www.nordugrid.org/arc/ce/</w:t>
        </w:r>
      </w:hyperlink>
      <w:r>
        <w:rPr>
          <w:color w:val="000000"/>
          <w:sz w:val="20"/>
          <w:szCs w:val="20"/>
        </w:rPr>
        <w:t xml:space="preserve"> </w:t>
      </w:r>
    </w:p>
  </w:footnote>
  <w:footnote w:id="33">
    <w:p w14:paraId="4C486E0F"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0">
        <w:r>
          <w:rPr>
            <w:color w:val="0563C1"/>
            <w:sz w:val="20"/>
            <w:szCs w:val="20"/>
            <w:u w:val="single"/>
          </w:rPr>
          <w:t>https://opensciencegrid.org/docs/compute-element/htcondor-ce-overview/</w:t>
        </w:r>
      </w:hyperlink>
      <w:r>
        <w:rPr>
          <w:color w:val="000000"/>
          <w:sz w:val="20"/>
          <w:szCs w:val="20"/>
        </w:rPr>
        <w:t xml:space="preserve"> </w:t>
      </w:r>
    </w:p>
  </w:footnote>
  <w:footnote w:id="34">
    <w:p w14:paraId="11B305A0"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41">
        <w:r>
          <w:rPr>
            <w:color w:val="1155CC"/>
            <w:sz w:val="20"/>
            <w:szCs w:val="20"/>
            <w:u w:val="single"/>
          </w:rPr>
          <w:t>https://slurm.schedmd.com/documentation.html</w:t>
        </w:r>
      </w:hyperlink>
      <w:r>
        <w:rPr>
          <w:sz w:val="20"/>
          <w:szCs w:val="20"/>
        </w:rPr>
        <w:t xml:space="preserve"> </w:t>
      </w:r>
    </w:p>
  </w:footnote>
  <w:footnote w:id="35">
    <w:p w14:paraId="1BEB8C3D"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42">
        <w:r>
          <w:rPr>
            <w:color w:val="1155CC"/>
            <w:sz w:val="20"/>
            <w:szCs w:val="20"/>
            <w:u w:val="single"/>
          </w:rPr>
          <w:t>https://www.openpbs.org/</w:t>
        </w:r>
      </w:hyperlink>
      <w:r>
        <w:rPr>
          <w:sz w:val="20"/>
          <w:szCs w:val="20"/>
        </w:rPr>
        <w:t xml:space="preserve"> </w:t>
      </w:r>
    </w:p>
  </w:footnote>
  <w:footnote w:id="36">
    <w:p w14:paraId="366FD415"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43">
        <w:r>
          <w:rPr>
            <w:color w:val="1155CC"/>
            <w:sz w:val="20"/>
            <w:szCs w:val="20"/>
            <w:u w:val="single"/>
          </w:rPr>
          <w:t>https://htcondor.org/</w:t>
        </w:r>
      </w:hyperlink>
      <w:r>
        <w:rPr>
          <w:sz w:val="20"/>
          <w:szCs w:val="20"/>
        </w:rPr>
        <w:t xml:space="preserve"> </w:t>
      </w:r>
    </w:p>
  </w:footnote>
  <w:footnote w:id="37">
    <w:p w14:paraId="7B27EDE3"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4">
        <w:r>
          <w:rPr>
            <w:color w:val="0563C1"/>
            <w:sz w:val="20"/>
            <w:szCs w:val="20"/>
            <w:u w:val="single"/>
          </w:rPr>
          <w:t>https://www.dcache.org/</w:t>
        </w:r>
      </w:hyperlink>
      <w:r>
        <w:rPr>
          <w:color w:val="000000"/>
          <w:sz w:val="20"/>
          <w:szCs w:val="20"/>
        </w:rPr>
        <w:t xml:space="preserve"> </w:t>
      </w:r>
    </w:p>
  </w:footnote>
  <w:footnote w:id="38">
    <w:p w14:paraId="45DE0983"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5">
        <w:r>
          <w:rPr>
            <w:color w:val="0563C1"/>
            <w:sz w:val="20"/>
            <w:szCs w:val="20"/>
            <w:u w:val="single"/>
          </w:rPr>
          <w:t>https://twiki.cern.ch/twiki/bin/view/DPM/</w:t>
        </w:r>
      </w:hyperlink>
      <w:r>
        <w:rPr>
          <w:color w:val="000000"/>
          <w:sz w:val="20"/>
          <w:szCs w:val="20"/>
        </w:rPr>
        <w:t xml:space="preserve"> </w:t>
      </w:r>
    </w:p>
  </w:footnote>
  <w:footnote w:id="39">
    <w:p w14:paraId="721FBDBB"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46">
        <w:r>
          <w:rPr>
            <w:color w:val="1155CC"/>
            <w:sz w:val="20"/>
            <w:szCs w:val="20"/>
            <w:u w:val="single"/>
          </w:rPr>
          <w:t>https://eos-web.web.cern.ch/eos-web/</w:t>
        </w:r>
      </w:hyperlink>
      <w:r>
        <w:rPr>
          <w:sz w:val="20"/>
          <w:szCs w:val="20"/>
        </w:rPr>
        <w:t xml:space="preserve"> </w:t>
      </w:r>
    </w:p>
  </w:footnote>
  <w:footnote w:id="40">
    <w:p w14:paraId="46BE924A"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7">
        <w:r>
          <w:rPr>
            <w:color w:val="0563C1"/>
            <w:sz w:val="20"/>
            <w:szCs w:val="20"/>
            <w:u w:val="single"/>
          </w:rPr>
          <w:t>https://italiangrid.github.io/storm/</w:t>
        </w:r>
      </w:hyperlink>
      <w:r>
        <w:rPr>
          <w:color w:val="000000"/>
          <w:sz w:val="20"/>
          <w:szCs w:val="20"/>
        </w:rPr>
        <w:t xml:space="preserve"> </w:t>
      </w:r>
    </w:p>
  </w:footnote>
  <w:footnote w:id="41">
    <w:p w14:paraId="17FEF554" w14:textId="77777777" w:rsidR="00271E47" w:rsidRDefault="00271E47" w:rsidP="00271E4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8">
        <w:r>
          <w:rPr>
            <w:color w:val="0563C1"/>
            <w:sz w:val="20"/>
            <w:szCs w:val="20"/>
            <w:u w:val="single"/>
          </w:rPr>
          <w:t>http://doc.spider.surfsara.nl/en/latest/Pages/about.html</w:t>
        </w:r>
      </w:hyperlink>
      <w:r>
        <w:rPr>
          <w:color w:val="000000"/>
          <w:sz w:val="20"/>
          <w:szCs w:val="20"/>
        </w:rPr>
        <w:t xml:space="preserve"> </w:t>
      </w:r>
    </w:p>
  </w:footnote>
  <w:footnote w:id="42">
    <w:p w14:paraId="2B166631"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49">
        <w:r>
          <w:rPr>
            <w:color w:val="1155CC"/>
            <w:sz w:val="20"/>
            <w:szCs w:val="20"/>
            <w:u w:val="single"/>
          </w:rPr>
          <w:t>https://www.surf.nl/en/research-it</w:t>
        </w:r>
      </w:hyperlink>
      <w:r>
        <w:rPr>
          <w:sz w:val="20"/>
          <w:szCs w:val="20"/>
        </w:rPr>
        <w:t xml:space="preserve"> </w:t>
      </w:r>
    </w:p>
  </w:footnote>
  <w:footnote w:id="43">
    <w:p w14:paraId="155B3501"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0">
        <w:r>
          <w:rPr>
            <w:color w:val="1155CC"/>
            <w:sz w:val="20"/>
            <w:szCs w:val="20"/>
            <w:u w:val="single"/>
          </w:rPr>
          <w:t>https://github.com/EOSC-synergy/ssh-oidc</w:t>
        </w:r>
      </w:hyperlink>
    </w:p>
  </w:footnote>
  <w:footnote w:id="44">
    <w:p w14:paraId="670D1A9D" w14:textId="77777777" w:rsidR="00271E47" w:rsidRDefault="00271E47" w:rsidP="00271E47">
      <w:pPr>
        <w:spacing w:after="0" w:line="240" w:lineRule="auto"/>
        <w:rPr>
          <w:sz w:val="20"/>
          <w:szCs w:val="20"/>
        </w:rPr>
      </w:pPr>
      <w:r>
        <w:rPr>
          <w:rStyle w:val="FootnoteReference"/>
        </w:rPr>
        <w:footnoteRef/>
      </w:r>
      <w:r>
        <w:rPr>
          <w:sz w:val="20"/>
          <w:szCs w:val="20"/>
        </w:rPr>
        <w:t xml:space="preserve"> Software that manages and runs Virtual Machines</w:t>
      </w:r>
    </w:p>
  </w:footnote>
  <w:footnote w:id="45">
    <w:p w14:paraId="7CC2DC29"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1">
        <w:r>
          <w:rPr>
            <w:color w:val="1155CC"/>
            <w:sz w:val="20"/>
            <w:szCs w:val="20"/>
            <w:u w:val="single"/>
          </w:rPr>
          <w:t>https://www.wenmr.eu/</w:t>
        </w:r>
      </w:hyperlink>
      <w:r>
        <w:rPr>
          <w:sz w:val="20"/>
          <w:szCs w:val="20"/>
        </w:rPr>
        <w:t xml:space="preserve"> </w:t>
      </w:r>
    </w:p>
  </w:footnote>
  <w:footnote w:id="46">
    <w:p w14:paraId="5A851D02"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2">
        <w:r>
          <w:rPr>
            <w:color w:val="1155CC"/>
            <w:sz w:val="20"/>
            <w:szCs w:val="20"/>
            <w:u w:val="single"/>
          </w:rPr>
          <w:t>https://openmole.org/</w:t>
        </w:r>
      </w:hyperlink>
      <w:r>
        <w:rPr>
          <w:sz w:val="20"/>
          <w:szCs w:val="20"/>
        </w:rPr>
        <w:t xml:space="preserve"> </w:t>
      </w:r>
    </w:p>
  </w:footnote>
  <w:footnote w:id="47">
    <w:p w14:paraId="3FB6C957" w14:textId="77777777" w:rsidR="00271E47" w:rsidRDefault="00271E47" w:rsidP="00637A2F">
      <w:pPr>
        <w:spacing w:after="0" w:line="240" w:lineRule="auto"/>
        <w:jc w:val="left"/>
        <w:rPr>
          <w:sz w:val="20"/>
          <w:szCs w:val="20"/>
        </w:rPr>
      </w:pPr>
      <w:r>
        <w:rPr>
          <w:rStyle w:val="FootnoteReference"/>
        </w:rPr>
        <w:footnoteRef/>
      </w:r>
      <w:r>
        <w:rPr>
          <w:sz w:val="20"/>
          <w:szCs w:val="20"/>
        </w:rPr>
        <w:t xml:space="preserve"> </w:t>
      </w:r>
      <w:hyperlink r:id="rId53">
        <w:r>
          <w:rPr>
            <w:color w:val="1155CC"/>
            <w:sz w:val="20"/>
            <w:szCs w:val="20"/>
            <w:u w:val="single"/>
          </w:rPr>
          <w:t>https://projectescape.eu/news/escape-ossr-enhancing-science-through-sharing-software-benefits-use-cases-post-webinar-report</w:t>
        </w:r>
      </w:hyperlink>
      <w:r>
        <w:rPr>
          <w:sz w:val="20"/>
          <w:szCs w:val="20"/>
        </w:rPr>
        <w:t xml:space="preserve"> </w:t>
      </w:r>
    </w:p>
  </w:footnote>
  <w:footnote w:id="48">
    <w:p w14:paraId="6256F2DC"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4">
        <w:r>
          <w:rPr>
            <w:color w:val="1155CC"/>
            <w:sz w:val="20"/>
            <w:szCs w:val="20"/>
            <w:u w:val="single"/>
          </w:rPr>
          <w:t>https://www.iap.kit.edu/corsika/</w:t>
        </w:r>
      </w:hyperlink>
      <w:r>
        <w:rPr>
          <w:sz w:val="20"/>
          <w:szCs w:val="20"/>
        </w:rPr>
        <w:t xml:space="preserve"> </w:t>
      </w:r>
    </w:p>
  </w:footnote>
  <w:footnote w:id="49">
    <w:p w14:paraId="3CAFBD1C" w14:textId="77777777" w:rsidR="00271E47" w:rsidRDefault="00271E47" w:rsidP="00271E47">
      <w:pPr>
        <w:spacing w:after="0" w:line="240" w:lineRule="auto"/>
        <w:rPr>
          <w:sz w:val="20"/>
          <w:szCs w:val="20"/>
        </w:rPr>
      </w:pPr>
      <w:r>
        <w:rPr>
          <w:rStyle w:val="FootnoteReference"/>
        </w:rPr>
        <w:footnoteRef/>
      </w:r>
      <w:r>
        <w:rPr>
          <w:sz w:val="20"/>
          <w:szCs w:val="20"/>
        </w:rPr>
        <w:t xml:space="preserve"> A tool for automation of IT tasks. </w:t>
      </w:r>
      <w:hyperlink r:id="rId55">
        <w:r>
          <w:rPr>
            <w:color w:val="1155CC"/>
            <w:sz w:val="20"/>
            <w:szCs w:val="20"/>
            <w:u w:val="single"/>
          </w:rPr>
          <w:t>https://www.ansible.com/</w:t>
        </w:r>
      </w:hyperlink>
      <w:r>
        <w:rPr>
          <w:sz w:val="20"/>
          <w:szCs w:val="20"/>
        </w:rPr>
        <w:t xml:space="preserve">  </w:t>
      </w:r>
    </w:p>
  </w:footnote>
  <w:footnote w:id="50">
    <w:p w14:paraId="3CF6B72F"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6">
        <w:r>
          <w:rPr>
            <w:color w:val="1155CC"/>
            <w:sz w:val="20"/>
            <w:szCs w:val="20"/>
            <w:u w:val="single"/>
          </w:rPr>
          <w:t>http://xmlrpc.com/</w:t>
        </w:r>
      </w:hyperlink>
      <w:r>
        <w:rPr>
          <w:sz w:val="20"/>
          <w:szCs w:val="20"/>
        </w:rPr>
        <w:t xml:space="preserve"> </w:t>
      </w:r>
    </w:p>
  </w:footnote>
  <w:footnote w:id="51">
    <w:p w14:paraId="5FDE6202"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7">
        <w:r>
          <w:rPr>
            <w:color w:val="1155CC"/>
            <w:sz w:val="20"/>
            <w:szCs w:val="20"/>
            <w:u w:val="single"/>
          </w:rPr>
          <w:t>https://appdb.egi.eu</w:t>
        </w:r>
      </w:hyperlink>
      <w:r>
        <w:rPr>
          <w:sz w:val="20"/>
          <w:szCs w:val="20"/>
        </w:rPr>
        <w:t xml:space="preserve">   </w:t>
      </w:r>
    </w:p>
  </w:footnote>
  <w:footnote w:id="52">
    <w:p w14:paraId="7162E20E"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8">
        <w:r>
          <w:rPr>
            <w:color w:val="1155CC"/>
            <w:sz w:val="20"/>
            <w:szCs w:val="20"/>
            <w:u w:val="single"/>
          </w:rPr>
          <w:t>https://operations-portal.egi.eu/</w:t>
        </w:r>
      </w:hyperlink>
      <w:r>
        <w:rPr>
          <w:sz w:val="20"/>
          <w:szCs w:val="20"/>
        </w:rPr>
        <w:t xml:space="preserve"> </w:t>
      </w:r>
    </w:p>
  </w:footnote>
  <w:footnote w:id="53">
    <w:p w14:paraId="79873289"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59">
        <w:r>
          <w:rPr>
            <w:color w:val="1155CC"/>
            <w:sz w:val="20"/>
            <w:szCs w:val="20"/>
            <w:u w:val="single"/>
          </w:rPr>
          <w:t>https://github.com/hepix-virtualisation/image_list_format_docbook</w:t>
        </w:r>
      </w:hyperlink>
      <w:r>
        <w:rPr>
          <w:sz w:val="20"/>
          <w:szCs w:val="20"/>
        </w:rPr>
        <w:t xml:space="preserve"> </w:t>
      </w:r>
    </w:p>
  </w:footnote>
  <w:footnote w:id="54">
    <w:p w14:paraId="52AAB0EC"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0">
        <w:r>
          <w:rPr>
            <w:color w:val="1155CC"/>
            <w:sz w:val="20"/>
            <w:szCs w:val="20"/>
            <w:u w:val="single"/>
          </w:rPr>
          <w:t>https://github.com/the-cloudkeeper-project/cloudkeeper</w:t>
        </w:r>
      </w:hyperlink>
      <w:r>
        <w:rPr>
          <w:sz w:val="20"/>
          <w:szCs w:val="20"/>
        </w:rPr>
        <w:t xml:space="preserve"> </w:t>
      </w:r>
    </w:p>
  </w:footnote>
  <w:footnote w:id="55">
    <w:p w14:paraId="79523103"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1">
        <w:r>
          <w:rPr>
            <w:color w:val="1155CC"/>
            <w:sz w:val="20"/>
            <w:szCs w:val="20"/>
            <w:u w:val="single"/>
          </w:rPr>
          <w:t>https://is.appdb.egi.eu/rest/</w:t>
        </w:r>
      </w:hyperlink>
      <w:r>
        <w:rPr>
          <w:sz w:val="20"/>
          <w:szCs w:val="20"/>
        </w:rPr>
        <w:t xml:space="preserve"> </w:t>
      </w:r>
    </w:p>
  </w:footnote>
  <w:footnote w:id="56">
    <w:p w14:paraId="612F33C7"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2">
        <w:r>
          <w:rPr>
            <w:color w:val="1155CC"/>
            <w:sz w:val="20"/>
            <w:szCs w:val="20"/>
            <w:u w:val="single"/>
          </w:rPr>
          <w:t>https://dashboard.appdb.egi.eu/vmops</w:t>
        </w:r>
      </w:hyperlink>
      <w:r>
        <w:rPr>
          <w:sz w:val="20"/>
          <w:szCs w:val="20"/>
        </w:rPr>
        <w:t xml:space="preserve"> </w:t>
      </w:r>
    </w:p>
  </w:footnote>
  <w:footnote w:id="57">
    <w:p w14:paraId="6AE24483"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3">
        <w:r>
          <w:rPr>
            <w:color w:val="1155CC"/>
            <w:sz w:val="20"/>
            <w:szCs w:val="20"/>
            <w:u w:val="single"/>
          </w:rPr>
          <w:t>https://docs.egi.eu/users/compute/cloud-compute/dynamic-dns/</w:t>
        </w:r>
      </w:hyperlink>
      <w:r>
        <w:rPr>
          <w:sz w:val="20"/>
          <w:szCs w:val="20"/>
        </w:rPr>
        <w:t xml:space="preserve"> </w:t>
      </w:r>
    </w:p>
  </w:footnote>
  <w:footnote w:id="58">
    <w:p w14:paraId="056B5306"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4">
        <w:r>
          <w:rPr>
            <w:color w:val="1155CC"/>
            <w:sz w:val="20"/>
            <w:szCs w:val="20"/>
            <w:u w:val="single"/>
          </w:rPr>
          <w:t>https://www.terraform.io/</w:t>
        </w:r>
      </w:hyperlink>
      <w:r>
        <w:rPr>
          <w:sz w:val="20"/>
          <w:szCs w:val="20"/>
        </w:rPr>
        <w:t xml:space="preserve"> </w:t>
      </w:r>
    </w:p>
  </w:footnote>
  <w:footnote w:id="59">
    <w:p w14:paraId="015CC35B"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5">
        <w:r>
          <w:rPr>
            <w:color w:val="1155CC"/>
            <w:sz w:val="20"/>
            <w:szCs w:val="20"/>
            <w:u w:val="single"/>
          </w:rPr>
          <w:t>https://datahub.egi.eu</w:t>
        </w:r>
      </w:hyperlink>
    </w:p>
  </w:footnote>
  <w:footnote w:id="60">
    <w:p w14:paraId="5EBF3A0C" w14:textId="77777777" w:rsidR="00271E47" w:rsidRDefault="00271E47" w:rsidP="00271E47">
      <w:pPr>
        <w:spacing w:after="0" w:line="240" w:lineRule="auto"/>
        <w:jc w:val="left"/>
        <w:rPr>
          <w:sz w:val="20"/>
          <w:szCs w:val="20"/>
        </w:rPr>
      </w:pPr>
      <w:r>
        <w:rPr>
          <w:rStyle w:val="FootnoteReference"/>
        </w:rPr>
        <w:footnoteRef/>
      </w:r>
      <w:r>
        <w:rPr>
          <w:sz w:val="20"/>
          <w:szCs w:val="20"/>
        </w:rPr>
        <w:t xml:space="preserve"> </w:t>
      </w:r>
      <w:hyperlink r:id="rId66">
        <w:r>
          <w:rPr>
            <w:color w:val="1155CC"/>
            <w:sz w:val="20"/>
            <w:szCs w:val="20"/>
            <w:u w:val="single"/>
          </w:rPr>
          <w:t>https://onedata.org</w:t>
        </w:r>
      </w:hyperlink>
    </w:p>
  </w:footnote>
  <w:footnote w:id="61">
    <w:p w14:paraId="6922BCD8" w14:textId="77777777" w:rsidR="00271E47" w:rsidRDefault="00271E47" w:rsidP="00271E47">
      <w:pPr>
        <w:spacing w:after="0" w:line="240" w:lineRule="auto"/>
        <w:rPr>
          <w:sz w:val="20"/>
          <w:szCs w:val="20"/>
        </w:rPr>
      </w:pPr>
      <w:r>
        <w:rPr>
          <w:rStyle w:val="FootnoteReference"/>
        </w:rPr>
        <w:footnoteRef/>
      </w:r>
      <w:r>
        <w:rPr>
          <w:sz w:val="20"/>
          <w:szCs w:val="20"/>
        </w:rPr>
        <w:t xml:space="preserve"> Typically, a randomly generated string that acts as a temporary password.</w:t>
      </w:r>
    </w:p>
  </w:footnote>
  <w:footnote w:id="62">
    <w:p w14:paraId="74B391A4" w14:textId="77777777" w:rsidR="00271E47" w:rsidRDefault="00271E47" w:rsidP="00271E47">
      <w:pPr>
        <w:spacing w:after="0" w:line="240" w:lineRule="auto"/>
        <w:jc w:val="left"/>
        <w:rPr>
          <w:sz w:val="20"/>
          <w:szCs w:val="20"/>
        </w:rPr>
      </w:pPr>
      <w:r>
        <w:rPr>
          <w:rStyle w:val="FootnoteReference"/>
        </w:rPr>
        <w:footnoteRef/>
      </w:r>
      <w:r>
        <w:rPr>
          <w:sz w:val="20"/>
          <w:szCs w:val="20"/>
        </w:rPr>
        <w:t xml:space="preserve"> </w:t>
      </w:r>
      <w:hyperlink r:id="rId67">
        <w:r>
          <w:rPr>
            <w:color w:val="1155CC"/>
            <w:sz w:val="20"/>
            <w:szCs w:val="20"/>
            <w:u w:val="single"/>
          </w:rPr>
          <w:t>https://letsencrypt.org/</w:t>
        </w:r>
      </w:hyperlink>
      <w:r>
        <w:rPr>
          <w:sz w:val="20"/>
          <w:szCs w:val="20"/>
        </w:rPr>
        <w:t xml:space="preserve"> </w:t>
      </w:r>
    </w:p>
  </w:footnote>
  <w:footnote w:id="63">
    <w:p w14:paraId="27E7455A"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8" w:anchor="/home/api">
        <w:r>
          <w:rPr>
            <w:color w:val="1155CC"/>
            <w:sz w:val="20"/>
            <w:szCs w:val="20"/>
            <w:u w:val="single"/>
          </w:rPr>
          <w:t>https://onedata.org/#/home/api</w:t>
        </w:r>
      </w:hyperlink>
      <w:r>
        <w:rPr>
          <w:sz w:val="20"/>
          <w:szCs w:val="20"/>
        </w:rPr>
        <w:t xml:space="preserve"> </w:t>
      </w:r>
    </w:p>
  </w:footnote>
  <w:footnote w:id="64">
    <w:p w14:paraId="6E5C6270"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69" w:anchor="/home/documentation/doc/user_guide.html">
        <w:r>
          <w:rPr>
            <w:color w:val="1155CC"/>
            <w:sz w:val="20"/>
            <w:szCs w:val="20"/>
            <w:u w:val="single"/>
          </w:rPr>
          <w:t>https://onedata.org/#/home/documentation/doc/user_guide.html</w:t>
        </w:r>
      </w:hyperlink>
      <w:r>
        <w:rPr>
          <w:sz w:val="20"/>
          <w:szCs w:val="20"/>
        </w:rPr>
        <w:t xml:space="preserve"> </w:t>
      </w:r>
    </w:p>
  </w:footnote>
  <w:footnote w:id="65">
    <w:p w14:paraId="69394D3C"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0">
        <w:r>
          <w:rPr>
            <w:color w:val="1155CC"/>
            <w:sz w:val="20"/>
            <w:szCs w:val="20"/>
            <w:u w:val="single"/>
          </w:rPr>
          <w:t>https://docs.egi.eu/users/datahub/</w:t>
        </w:r>
      </w:hyperlink>
      <w:r>
        <w:rPr>
          <w:sz w:val="20"/>
          <w:szCs w:val="20"/>
        </w:rPr>
        <w:t xml:space="preserve"> </w:t>
      </w:r>
    </w:p>
  </w:footnote>
  <w:footnote w:id="66">
    <w:p w14:paraId="5654DC06"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1">
        <w:r>
          <w:rPr>
            <w:color w:val="1155CC"/>
            <w:sz w:val="20"/>
            <w:szCs w:val="20"/>
            <w:u w:val="single"/>
          </w:rPr>
          <w:t>https://fts.web.cern.ch/fts/</w:t>
        </w:r>
      </w:hyperlink>
      <w:r>
        <w:rPr>
          <w:sz w:val="20"/>
          <w:szCs w:val="20"/>
        </w:rPr>
        <w:t xml:space="preserve">, see also EGI webinar </w:t>
      </w:r>
      <w:hyperlink r:id="rId72">
        <w:r>
          <w:rPr>
            <w:color w:val="1155CC"/>
            <w:sz w:val="20"/>
            <w:szCs w:val="20"/>
            <w:u w:val="single"/>
          </w:rPr>
          <w:t>https://indico.egi.eu/event/5711/</w:t>
        </w:r>
      </w:hyperlink>
      <w:r>
        <w:rPr>
          <w:sz w:val="20"/>
          <w:szCs w:val="20"/>
        </w:rPr>
        <w:t xml:space="preserve"> </w:t>
      </w:r>
    </w:p>
  </w:footnote>
  <w:footnote w:id="67">
    <w:p w14:paraId="1089BB3B"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3">
        <w:r>
          <w:rPr>
            <w:color w:val="1155CC"/>
            <w:sz w:val="20"/>
            <w:szCs w:val="20"/>
            <w:u w:val="single"/>
          </w:rPr>
          <w:t>https://dmc-docs.web.cern.ch/dmc-docs/gfal2/gfal2.html</w:t>
        </w:r>
      </w:hyperlink>
      <w:r>
        <w:rPr>
          <w:sz w:val="20"/>
          <w:szCs w:val="20"/>
        </w:rPr>
        <w:t xml:space="preserve"> </w:t>
      </w:r>
    </w:p>
  </w:footnote>
  <w:footnote w:id="68">
    <w:p w14:paraId="0EE0933D"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4">
        <w:r>
          <w:rPr>
            <w:color w:val="1155CC"/>
            <w:sz w:val="20"/>
            <w:szCs w:val="20"/>
            <w:u w:val="single"/>
          </w:rPr>
          <w:t>https://gridcf.org/gct-docs/latest/gridftp/key/index.html</w:t>
        </w:r>
      </w:hyperlink>
      <w:r>
        <w:rPr>
          <w:sz w:val="20"/>
          <w:szCs w:val="20"/>
        </w:rPr>
        <w:t xml:space="preserve"> </w:t>
      </w:r>
    </w:p>
  </w:footnote>
  <w:footnote w:id="69">
    <w:p w14:paraId="587D459A"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5">
        <w:r>
          <w:rPr>
            <w:color w:val="1155CC"/>
            <w:sz w:val="20"/>
            <w:szCs w:val="20"/>
            <w:u w:val="single"/>
          </w:rPr>
          <w:t>https://xrootd.slac.stanford.edu/</w:t>
        </w:r>
      </w:hyperlink>
      <w:r>
        <w:rPr>
          <w:sz w:val="20"/>
          <w:szCs w:val="20"/>
        </w:rPr>
        <w:t xml:space="preserve"> </w:t>
      </w:r>
    </w:p>
  </w:footnote>
  <w:footnote w:id="70">
    <w:p w14:paraId="58E418DC"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6">
        <w:r>
          <w:rPr>
            <w:color w:val="1155CC"/>
            <w:sz w:val="20"/>
            <w:szCs w:val="20"/>
            <w:u w:val="single"/>
          </w:rPr>
          <w:t>https://twiki.cern.ch/twiki/bin/view/LCG/ThirdPartyCopy</w:t>
        </w:r>
      </w:hyperlink>
      <w:r>
        <w:rPr>
          <w:sz w:val="20"/>
          <w:szCs w:val="20"/>
        </w:rPr>
        <w:t xml:space="preserve"> </w:t>
      </w:r>
    </w:p>
  </w:footnote>
  <w:footnote w:id="71">
    <w:p w14:paraId="419A89B0" w14:textId="77777777" w:rsidR="00271E47" w:rsidRDefault="00271E47" w:rsidP="00271E47">
      <w:pPr>
        <w:spacing w:after="0" w:line="240" w:lineRule="auto"/>
        <w:rPr>
          <w:sz w:val="20"/>
          <w:szCs w:val="20"/>
        </w:rPr>
      </w:pPr>
      <w:r>
        <w:rPr>
          <w:rStyle w:val="FootnoteReference"/>
        </w:rPr>
        <w:footnoteRef/>
      </w:r>
      <w:r>
        <w:rPr>
          <w:sz w:val="20"/>
          <w:szCs w:val="20"/>
        </w:rPr>
        <w:t xml:space="preserve"> See RFC 3820 X.509 Proxy Certificate Profile https://www.ietf.org/rfc/rfc3820.txt</w:t>
      </w:r>
    </w:p>
  </w:footnote>
  <w:footnote w:id="72">
    <w:p w14:paraId="60A0EFA4"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7">
        <w:r>
          <w:rPr>
            <w:color w:val="1155CC"/>
            <w:sz w:val="20"/>
            <w:szCs w:val="20"/>
            <w:u w:val="single"/>
          </w:rPr>
          <w:t>https://rucio.cern.ch/</w:t>
        </w:r>
      </w:hyperlink>
      <w:r>
        <w:rPr>
          <w:sz w:val="20"/>
          <w:szCs w:val="20"/>
        </w:rPr>
        <w:t xml:space="preserve">, see also EGI webinar </w:t>
      </w:r>
      <w:hyperlink r:id="rId78">
        <w:r>
          <w:rPr>
            <w:color w:val="1155CC"/>
            <w:sz w:val="20"/>
            <w:szCs w:val="20"/>
            <w:u w:val="single"/>
          </w:rPr>
          <w:t>https://indico.egi.eu/event/5711/</w:t>
        </w:r>
      </w:hyperlink>
      <w:r>
        <w:rPr>
          <w:sz w:val="20"/>
          <w:szCs w:val="20"/>
        </w:rPr>
        <w:t xml:space="preserve"> </w:t>
      </w:r>
    </w:p>
  </w:footnote>
  <w:footnote w:id="73">
    <w:p w14:paraId="19164417"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79">
        <w:r>
          <w:rPr>
            <w:color w:val="1155CC"/>
            <w:sz w:val="20"/>
            <w:szCs w:val="20"/>
            <w:u w:val="single"/>
          </w:rPr>
          <w:t>https://atlas.cern/</w:t>
        </w:r>
      </w:hyperlink>
      <w:r>
        <w:rPr>
          <w:sz w:val="20"/>
          <w:szCs w:val="20"/>
        </w:rPr>
        <w:t xml:space="preserve"> </w:t>
      </w:r>
    </w:p>
  </w:footnote>
  <w:footnote w:id="74">
    <w:p w14:paraId="063EF436"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0">
        <w:r>
          <w:rPr>
            <w:color w:val="1155CC"/>
            <w:u w:val="single"/>
          </w:rPr>
          <w:t>https://openbis.ch/</w:t>
        </w:r>
      </w:hyperlink>
    </w:p>
  </w:footnote>
  <w:footnote w:id="75">
    <w:p w14:paraId="382B6487"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1">
        <w:r>
          <w:rPr>
            <w:color w:val="1155CC"/>
            <w:sz w:val="20"/>
            <w:szCs w:val="20"/>
            <w:u w:val="single"/>
          </w:rPr>
          <w:t>https://www.go-fair.org/fair-principles/</w:t>
        </w:r>
      </w:hyperlink>
      <w:r>
        <w:rPr>
          <w:sz w:val="20"/>
          <w:szCs w:val="20"/>
        </w:rPr>
        <w:t xml:space="preserve"> </w:t>
      </w:r>
    </w:p>
  </w:footnote>
  <w:footnote w:id="76">
    <w:p w14:paraId="73BC6F9F"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2">
        <w:r>
          <w:rPr>
            <w:color w:val="1155CC"/>
            <w:sz w:val="20"/>
            <w:szCs w:val="20"/>
            <w:u w:val="single"/>
          </w:rPr>
          <w:t>https://notebooks.egi.eu</w:t>
        </w:r>
      </w:hyperlink>
      <w:r>
        <w:rPr>
          <w:sz w:val="20"/>
          <w:szCs w:val="20"/>
        </w:rPr>
        <w:t xml:space="preserve"> </w:t>
      </w:r>
    </w:p>
  </w:footnote>
  <w:footnote w:id="77">
    <w:p w14:paraId="1F132C23"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3">
        <w:r>
          <w:rPr>
            <w:color w:val="1155CC"/>
            <w:sz w:val="20"/>
            <w:szCs w:val="20"/>
            <w:u w:val="single"/>
          </w:rPr>
          <w:t>https://jupyter.org</w:t>
        </w:r>
      </w:hyperlink>
      <w:r>
        <w:rPr>
          <w:sz w:val="20"/>
          <w:szCs w:val="20"/>
        </w:rPr>
        <w:t xml:space="preserve"> </w:t>
      </w:r>
    </w:p>
  </w:footnote>
  <w:footnote w:id="78">
    <w:p w14:paraId="3D90FA7B"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4">
        <w:r>
          <w:rPr>
            <w:color w:val="1155CC"/>
            <w:sz w:val="20"/>
            <w:szCs w:val="20"/>
            <w:u w:val="single"/>
          </w:rPr>
          <w:t>https://binder.notebooks.egi.eu</w:t>
        </w:r>
      </w:hyperlink>
      <w:r>
        <w:rPr>
          <w:sz w:val="20"/>
          <w:szCs w:val="20"/>
        </w:rPr>
        <w:t xml:space="preserve"> </w:t>
      </w:r>
    </w:p>
  </w:footnote>
  <w:footnote w:id="79">
    <w:p w14:paraId="7DE60A42"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5">
        <w:r>
          <w:rPr>
            <w:color w:val="1155CC"/>
            <w:sz w:val="20"/>
            <w:szCs w:val="20"/>
            <w:u w:val="single"/>
          </w:rPr>
          <w:t>https://servproject.i3m.upv.es/ec3/</w:t>
        </w:r>
      </w:hyperlink>
      <w:r>
        <w:rPr>
          <w:sz w:val="20"/>
          <w:szCs w:val="20"/>
        </w:rPr>
        <w:t xml:space="preserve"> </w:t>
      </w:r>
    </w:p>
  </w:footnote>
  <w:footnote w:id="80">
    <w:p w14:paraId="7D249469"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6">
        <w:r>
          <w:rPr>
            <w:color w:val="1155CC"/>
            <w:sz w:val="20"/>
            <w:szCs w:val="20"/>
            <w:u w:val="single"/>
          </w:rPr>
          <w:t>https://www.nomadproject.io/</w:t>
        </w:r>
      </w:hyperlink>
      <w:r>
        <w:rPr>
          <w:sz w:val="20"/>
          <w:szCs w:val="20"/>
        </w:rPr>
        <w:t xml:space="preserve"> </w:t>
      </w:r>
    </w:p>
  </w:footnote>
  <w:footnote w:id="81">
    <w:p w14:paraId="7F5E8BE2"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7">
        <w:r>
          <w:rPr>
            <w:color w:val="1155CC"/>
            <w:sz w:val="20"/>
            <w:szCs w:val="20"/>
            <w:u w:val="single"/>
          </w:rPr>
          <w:t>https://github.com/grycap/ec3</w:t>
        </w:r>
      </w:hyperlink>
      <w:r>
        <w:rPr>
          <w:sz w:val="20"/>
          <w:szCs w:val="20"/>
        </w:rPr>
        <w:t>.</w:t>
      </w:r>
    </w:p>
  </w:footnote>
  <w:footnote w:id="82">
    <w:p w14:paraId="69295429" w14:textId="77777777" w:rsidR="00271E47" w:rsidRDefault="00271E47" w:rsidP="00271E47">
      <w:pPr>
        <w:spacing w:after="0" w:line="240" w:lineRule="auto"/>
        <w:jc w:val="left"/>
        <w:rPr>
          <w:sz w:val="20"/>
          <w:szCs w:val="20"/>
        </w:rPr>
      </w:pPr>
      <w:r>
        <w:rPr>
          <w:rStyle w:val="FootnoteReference"/>
        </w:rPr>
        <w:footnoteRef/>
      </w:r>
      <w:r>
        <w:rPr>
          <w:sz w:val="20"/>
          <w:szCs w:val="20"/>
        </w:rPr>
        <w:t xml:space="preserve"> See also EGI webinar </w:t>
      </w:r>
      <w:hyperlink r:id="rId88">
        <w:r>
          <w:rPr>
            <w:color w:val="1155CC"/>
            <w:sz w:val="20"/>
            <w:szCs w:val="20"/>
            <w:u w:val="single"/>
          </w:rPr>
          <w:t>https://indico.egi.eu/event/5720/</w:t>
        </w:r>
      </w:hyperlink>
      <w:r>
        <w:rPr>
          <w:sz w:val="20"/>
          <w:szCs w:val="20"/>
        </w:rPr>
        <w:t xml:space="preserve"> </w:t>
      </w:r>
    </w:p>
  </w:footnote>
  <w:footnote w:id="83">
    <w:p w14:paraId="718E9ADC"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89">
        <w:r>
          <w:rPr>
            <w:color w:val="1155CC"/>
            <w:sz w:val="20"/>
            <w:szCs w:val="20"/>
            <w:u w:val="single"/>
          </w:rPr>
          <w:t>https://mesosphere.github.io/marathon/</w:t>
        </w:r>
      </w:hyperlink>
      <w:r>
        <w:rPr>
          <w:sz w:val="20"/>
          <w:szCs w:val="20"/>
        </w:rPr>
        <w:t xml:space="preserve"> </w:t>
      </w:r>
    </w:p>
  </w:footnote>
  <w:footnote w:id="84">
    <w:p w14:paraId="06D7CE54"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0">
        <w:r>
          <w:rPr>
            <w:color w:val="1155CC"/>
            <w:sz w:val="20"/>
            <w:szCs w:val="20"/>
            <w:u w:val="single"/>
          </w:rPr>
          <w:t>https://mesos.github.io/chronos/</w:t>
        </w:r>
      </w:hyperlink>
      <w:r>
        <w:rPr>
          <w:sz w:val="20"/>
          <w:szCs w:val="20"/>
        </w:rPr>
        <w:t xml:space="preserve"> </w:t>
      </w:r>
    </w:p>
  </w:footnote>
  <w:footnote w:id="85">
    <w:p w14:paraId="20132F47"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1">
        <w:r>
          <w:rPr>
            <w:color w:val="1155CC"/>
            <w:sz w:val="20"/>
            <w:szCs w:val="20"/>
            <w:u w:val="single"/>
          </w:rPr>
          <w:t>https://www.vaultproject.io/</w:t>
        </w:r>
      </w:hyperlink>
      <w:r>
        <w:rPr>
          <w:sz w:val="20"/>
          <w:szCs w:val="20"/>
        </w:rPr>
        <w:t xml:space="preserve"> </w:t>
      </w:r>
    </w:p>
  </w:footnote>
  <w:footnote w:id="86">
    <w:p w14:paraId="1B098A91" w14:textId="77777777" w:rsidR="00271E47" w:rsidRDefault="00271E47" w:rsidP="00271E47">
      <w:pPr>
        <w:spacing w:after="0" w:line="240" w:lineRule="auto"/>
        <w:rPr>
          <w:sz w:val="20"/>
          <w:szCs w:val="20"/>
        </w:rPr>
      </w:pPr>
      <w:r>
        <w:rPr>
          <w:rStyle w:val="FootnoteReference"/>
        </w:rPr>
        <w:footnoteRef/>
      </w:r>
      <w:r>
        <w:rPr>
          <w:sz w:val="20"/>
          <w:szCs w:val="20"/>
        </w:rPr>
        <w:t xml:space="preserve"> See EGI webinar </w:t>
      </w:r>
      <w:hyperlink r:id="rId92">
        <w:r>
          <w:rPr>
            <w:color w:val="1155CC"/>
            <w:sz w:val="20"/>
            <w:szCs w:val="20"/>
            <w:u w:val="single"/>
          </w:rPr>
          <w:t>https://indico.egi.eu/event/5695/</w:t>
        </w:r>
      </w:hyperlink>
      <w:r>
        <w:rPr>
          <w:sz w:val="20"/>
          <w:szCs w:val="20"/>
        </w:rPr>
        <w:t xml:space="preserve"> </w:t>
      </w:r>
    </w:p>
  </w:footnote>
  <w:footnote w:id="87">
    <w:p w14:paraId="581592FF"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3">
        <w:r>
          <w:rPr>
            <w:color w:val="1155CC"/>
            <w:sz w:val="20"/>
            <w:szCs w:val="20"/>
            <w:u w:val="single"/>
          </w:rPr>
          <w:t>https://kubeapps.dev/</w:t>
        </w:r>
      </w:hyperlink>
      <w:r>
        <w:rPr>
          <w:sz w:val="20"/>
          <w:szCs w:val="20"/>
        </w:rPr>
        <w:t xml:space="preserve"> </w:t>
      </w:r>
    </w:p>
  </w:footnote>
  <w:footnote w:id="88">
    <w:p w14:paraId="4EB534ED"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4">
        <w:r>
          <w:rPr>
            <w:color w:val="1155CC"/>
            <w:sz w:val="20"/>
            <w:szCs w:val="20"/>
            <w:u w:val="single"/>
          </w:rPr>
          <w:t>https://deep-hybrid-datacloud.eu/</w:t>
        </w:r>
      </w:hyperlink>
      <w:r>
        <w:rPr>
          <w:sz w:val="20"/>
          <w:szCs w:val="20"/>
        </w:rPr>
        <w:t xml:space="preserve"> </w:t>
      </w:r>
    </w:p>
  </w:footnote>
  <w:footnote w:id="89">
    <w:p w14:paraId="18BC3E58"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5">
        <w:r>
          <w:rPr>
            <w:color w:val="1155CC"/>
            <w:sz w:val="20"/>
            <w:szCs w:val="20"/>
            <w:u w:val="single"/>
          </w:rPr>
          <w:t>https://www.eosc-synergy.eu/</w:t>
        </w:r>
      </w:hyperlink>
      <w:r>
        <w:rPr>
          <w:sz w:val="20"/>
          <w:szCs w:val="20"/>
        </w:rPr>
        <w:t xml:space="preserve"> </w:t>
      </w:r>
    </w:p>
  </w:footnote>
  <w:footnote w:id="90">
    <w:p w14:paraId="08B06C12"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6">
        <w:r>
          <w:rPr>
            <w:color w:val="1155CC"/>
            <w:sz w:val="20"/>
            <w:szCs w:val="20"/>
            <w:u w:val="single"/>
          </w:rPr>
          <w:t>https://train.deep-hybrid-datacloud.eu/</w:t>
        </w:r>
      </w:hyperlink>
      <w:r>
        <w:rPr>
          <w:sz w:val="20"/>
          <w:szCs w:val="20"/>
        </w:rPr>
        <w:t xml:space="preserve"> </w:t>
      </w:r>
    </w:p>
  </w:footnote>
  <w:footnote w:id="91">
    <w:p w14:paraId="732EA78F"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7">
        <w:r>
          <w:rPr>
            <w:color w:val="1155CC"/>
            <w:sz w:val="20"/>
            <w:szCs w:val="20"/>
            <w:u w:val="single"/>
          </w:rPr>
          <w:t>https://marketplace.deep-hybrid-datacloud.eu/</w:t>
        </w:r>
      </w:hyperlink>
      <w:r>
        <w:rPr>
          <w:sz w:val="20"/>
          <w:szCs w:val="20"/>
        </w:rPr>
        <w:t xml:space="preserve"> </w:t>
      </w:r>
    </w:p>
  </w:footnote>
  <w:footnote w:id="92">
    <w:p w14:paraId="5FDEFB8E" w14:textId="63E99405" w:rsidR="00271E47" w:rsidRDefault="00271E47" w:rsidP="00271E47">
      <w:pPr>
        <w:spacing w:after="0" w:line="240" w:lineRule="auto"/>
        <w:rPr>
          <w:sz w:val="20"/>
          <w:szCs w:val="20"/>
        </w:rPr>
      </w:pPr>
      <w:r>
        <w:rPr>
          <w:rStyle w:val="FootnoteReference"/>
        </w:rPr>
        <w:footnoteRef/>
      </w:r>
      <w:r>
        <w:rPr>
          <w:sz w:val="20"/>
          <w:szCs w:val="20"/>
        </w:rPr>
        <w:t xml:space="preserve"> A repository for container images. </w:t>
      </w:r>
      <w:hyperlink r:id="rId98" w:history="1">
        <w:r w:rsidR="004B7F89" w:rsidRPr="00C9630D">
          <w:rPr>
            <w:rStyle w:val="Hyperlink"/>
            <w:sz w:val="20"/>
            <w:szCs w:val="20"/>
          </w:rPr>
          <w:t>https://hub.docker.com</w:t>
        </w:r>
      </w:hyperlink>
      <w:r w:rsidR="004B7F89">
        <w:rPr>
          <w:sz w:val="20"/>
          <w:szCs w:val="20"/>
        </w:rPr>
        <w:t xml:space="preserve"> </w:t>
      </w:r>
    </w:p>
  </w:footnote>
  <w:footnote w:id="93">
    <w:p w14:paraId="086551ED" w14:textId="77777777" w:rsidR="00271E47" w:rsidRDefault="00271E47" w:rsidP="00271E47">
      <w:pPr>
        <w:spacing w:after="0" w:line="240" w:lineRule="auto"/>
        <w:rPr>
          <w:sz w:val="20"/>
          <w:szCs w:val="20"/>
        </w:rPr>
      </w:pPr>
      <w:r>
        <w:rPr>
          <w:rStyle w:val="FootnoteReference"/>
        </w:rPr>
        <w:footnoteRef/>
      </w:r>
      <w:r>
        <w:rPr>
          <w:sz w:val="20"/>
          <w:szCs w:val="20"/>
        </w:rPr>
        <w:t xml:space="preserve"> </w:t>
      </w:r>
      <w:hyperlink r:id="rId99">
        <w:r>
          <w:rPr>
            <w:color w:val="1155CC"/>
            <w:sz w:val="20"/>
            <w:szCs w:val="20"/>
            <w:u w:val="single"/>
          </w:rPr>
          <w:t>https://docs.deep-hybrid-datacloud.eu/projects/deepaas/en/stable/</w:t>
        </w:r>
      </w:hyperlink>
      <w:r>
        <w:rPr>
          <w:sz w:val="20"/>
          <w:szCs w:val="20"/>
        </w:rPr>
        <w:t xml:space="preserve"> </w:t>
      </w:r>
    </w:p>
  </w:footnote>
  <w:footnote w:id="94">
    <w:p w14:paraId="3204B4AF" w14:textId="77777777" w:rsidR="00271E47" w:rsidRDefault="00271E47" w:rsidP="00271E47">
      <w:pPr>
        <w:spacing w:after="0" w:line="240" w:lineRule="auto"/>
        <w:rPr>
          <w:sz w:val="20"/>
          <w:szCs w:val="20"/>
        </w:rPr>
      </w:pPr>
      <w:r>
        <w:rPr>
          <w:rStyle w:val="FootnoteReference"/>
        </w:rPr>
        <w:footnoteRef/>
      </w:r>
      <w:r>
        <w:rPr>
          <w:sz w:val="20"/>
          <w:szCs w:val="20"/>
        </w:rPr>
        <w:t xml:space="preserve"> Message Passing Interface (MPI) </w:t>
      </w:r>
      <w:hyperlink r:id="rId100">
        <w:r>
          <w:rPr>
            <w:color w:val="1155CC"/>
            <w:sz w:val="20"/>
            <w:szCs w:val="20"/>
            <w:u w:val="single"/>
          </w:rPr>
          <w:t>https://www.mpi-forum.org/</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7656"/>
    <w:multiLevelType w:val="multilevel"/>
    <w:tmpl w:val="4BD6E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A92CD8"/>
    <w:multiLevelType w:val="multilevel"/>
    <w:tmpl w:val="515CA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C51AC3"/>
    <w:multiLevelType w:val="multilevel"/>
    <w:tmpl w:val="D34EE4C0"/>
    <w:lvl w:ilvl="0">
      <w:start w:val="1"/>
      <w:numFmt w:val="bullet"/>
      <w:lvlText w:val="●"/>
      <w:lvlJc w:val="left"/>
      <w:pPr>
        <w:ind w:left="360" w:hanging="360"/>
      </w:pPr>
      <w:rPr>
        <w:sz w:val="18"/>
        <w:szCs w:val="18"/>
        <w:u w:val="none"/>
      </w:rPr>
    </w:lvl>
    <w:lvl w:ilvl="1">
      <w:start w:val="1"/>
      <w:numFmt w:val="bullet"/>
      <w:lvlText w:val="○"/>
      <w:lvlJc w:val="left"/>
      <w:pPr>
        <w:ind w:left="792" w:hanging="432"/>
      </w:pPr>
      <w:rPr>
        <w:u w:val="none"/>
      </w:rPr>
    </w:lvl>
    <w:lvl w:ilvl="2">
      <w:start w:val="1"/>
      <w:numFmt w:val="bullet"/>
      <w:lvlText w:val="■"/>
      <w:lvlJc w:val="left"/>
      <w:pPr>
        <w:ind w:left="1224" w:hanging="504"/>
      </w:pPr>
      <w:rPr>
        <w:u w:val="none"/>
      </w:rPr>
    </w:lvl>
    <w:lvl w:ilvl="3">
      <w:start w:val="1"/>
      <w:numFmt w:val="bullet"/>
      <w:lvlText w:val="●"/>
      <w:lvlJc w:val="left"/>
      <w:pPr>
        <w:ind w:left="1728" w:hanging="647"/>
      </w:pPr>
      <w:rPr>
        <w:u w:val="none"/>
      </w:rPr>
    </w:lvl>
    <w:lvl w:ilvl="4">
      <w:start w:val="1"/>
      <w:numFmt w:val="bullet"/>
      <w:lvlText w:val="○"/>
      <w:lvlJc w:val="left"/>
      <w:pPr>
        <w:ind w:left="2232" w:hanging="792"/>
      </w:pPr>
      <w:rPr>
        <w:u w:val="none"/>
      </w:rPr>
    </w:lvl>
    <w:lvl w:ilvl="5">
      <w:start w:val="1"/>
      <w:numFmt w:val="bullet"/>
      <w:lvlText w:val="■"/>
      <w:lvlJc w:val="left"/>
      <w:pPr>
        <w:ind w:left="2736" w:hanging="933"/>
      </w:pPr>
      <w:rPr>
        <w:u w:val="none"/>
      </w:rPr>
    </w:lvl>
    <w:lvl w:ilvl="6">
      <w:start w:val="1"/>
      <w:numFmt w:val="bullet"/>
      <w:lvlText w:val="●"/>
      <w:lvlJc w:val="left"/>
      <w:pPr>
        <w:ind w:left="3240" w:hanging="1080"/>
      </w:pPr>
      <w:rPr>
        <w:u w:val="none"/>
      </w:rPr>
    </w:lvl>
    <w:lvl w:ilvl="7">
      <w:start w:val="1"/>
      <w:numFmt w:val="bullet"/>
      <w:lvlText w:val="○"/>
      <w:lvlJc w:val="left"/>
      <w:pPr>
        <w:ind w:left="3744" w:hanging="1224"/>
      </w:pPr>
      <w:rPr>
        <w:u w:val="none"/>
      </w:rPr>
    </w:lvl>
    <w:lvl w:ilvl="8">
      <w:start w:val="1"/>
      <w:numFmt w:val="bullet"/>
      <w:lvlText w:val="■"/>
      <w:lvlJc w:val="left"/>
      <w:pPr>
        <w:ind w:left="4320" w:hanging="1440"/>
      </w:pPr>
      <w:rPr>
        <w:u w:val="none"/>
      </w:rPr>
    </w:lvl>
  </w:abstractNum>
  <w:abstractNum w:abstractNumId="3" w15:restartNumberingAfterBreak="0">
    <w:nsid w:val="083B708A"/>
    <w:multiLevelType w:val="multilevel"/>
    <w:tmpl w:val="4A88A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A50AE9"/>
    <w:multiLevelType w:val="multilevel"/>
    <w:tmpl w:val="62CCA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F34055"/>
    <w:multiLevelType w:val="multilevel"/>
    <w:tmpl w:val="60DE9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9D7C46"/>
    <w:multiLevelType w:val="multilevel"/>
    <w:tmpl w:val="D812A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081E7E"/>
    <w:multiLevelType w:val="multilevel"/>
    <w:tmpl w:val="EECE1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401F02"/>
    <w:multiLevelType w:val="multilevel"/>
    <w:tmpl w:val="8C2CF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581215"/>
    <w:multiLevelType w:val="multilevel"/>
    <w:tmpl w:val="CDD29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4C2126"/>
    <w:multiLevelType w:val="multilevel"/>
    <w:tmpl w:val="EE802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AD74EC"/>
    <w:multiLevelType w:val="multilevel"/>
    <w:tmpl w:val="886E7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C6A2259"/>
    <w:multiLevelType w:val="multilevel"/>
    <w:tmpl w:val="AB7C1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2E074F"/>
    <w:multiLevelType w:val="multilevel"/>
    <w:tmpl w:val="04AED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C717F1"/>
    <w:multiLevelType w:val="multilevel"/>
    <w:tmpl w:val="64903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9D0E40"/>
    <w:multiLevelType w:val="multilevel"/>
    <w:tmpl w:val="A7948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9E0476"/>
    <w:multiLevelType w:val="multilevel"/>
    <w:tmpl w:val="ACC80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BE018F"/>
    <w:multiLevelType w:val="multilevel"/>
    <w:tmpl w:val="EFCAC6CA"/>
    <w:lvl w:ilvl="0">
      <w:start w:val="1"/>
      <w:numFmt w:val="decimal"/>
      <w:lvlText w:val="%1."/>
      <w:lvlJc w:val="left"/>
      <w:pPr>
        <w:ind w:left="0" w:firstLine="57"/>
      </w:pPr>
    </w:lvl>
    <w:lvl w:ilvl="1">
      <w:start w:val="1"/>
      <w:numFmt w:val="decimal"/>
      <w:lvlText w:val="%1.%2."/>
      <w:lvlJc w:val="left"/>
      <w:pPr>
        <w:ind w:left="432" w:hanging="432"/>
      </w:pPr>
      <w:rPr>
        <w:color w:val="ED7D31"/>
      </w:rPr>
    </w:lvl>
    <w:lvl w:ilvl="2">
      <w:start w:val="1"/>
      <w:numFmt w:val="decimal"/>
      <w:lvlText w:val="%1.%2.%3."/>
      <w:lvlJc w:val="left"/>
      <w:pPr>
        <w:ind w:left="864" w:hanging="502"/>
      </w:pPr>
    </w:lvl>
    <w:lvl w:ilvl="3">
      <w:start w:val="1"/>
      <w:numFmt w:val="decimal"/>
      <w:lvlText w:val="%1.%2.%3.%4."/>
      <w:lvlJc w:val="left"/>
      <w:pPr>
        <w:ind w:left="1368" w:hanging="645"/>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21"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2" w15:restartNumberingAfterBreak="0">
    <w:nsid w:val="4A0A24C1"/>
    <w:multiLevelType w:val="multilevel"/>
    <w:tmpl w:val="82AED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B41AD2"/>
    <w:multiLevelType w:val="multilevel"/>
    <w:tmpl w:val="52644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FD459C"/>
    <w:multiLevelType w:val="multilevel"/>
    <w:tmpl w:val="6B226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FF21F0"/>
    <w:multiLevelType w:val="multilevel"/>
    <w:tmpl w:val="68B69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5347DEB"/>
    <w:multiLevelType w:val="multilevel"/>
    <w:tmpl w:val="02AA9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485F05"/>
    <w:multiLevelType w:val="multilevel"/>
    <w:tmpl w:val="060A167A"/>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9F00D1A"/>
    <w:multiLevelType w:val="multilevel"/>
    <w:tmpl w:val="B2EED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D44EC4"/>
    <w:multiLevelType w:val="multilevel"/>
    <w:tmpl w:val="0A1E7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6E30C0"/>
    <w:multiLevelType w:val="multilevel"/>
    <w:tmpl w:val="C9068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88137B"/>
    <w:multiLevelType w:val="multilevel"/>
    <w:tmpl w:val="F5F68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70910EE"/>
    <w:multiLevelType w:val="multilevel"/>
    <w:tmpl w:val="6ECCE74E"/>
    <w:styleLink w:val="CurrentList1"/>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FBA0961"/>
    <w:multiLevelType w:val="multilevel"/>
    <w:tmpl w:val="DECCD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FBD67BE"/>
    <w:multiLevelType w:val="multilevel"/>
    <w:tmpl w:val="401E5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FDD4751"/>
    <w:multiLevelType w:val="multilevel"/>
    <w:tmpl w:val="6518C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76D17DEC"/>
    <w:multiLevelType w:val="multilevel"/>
    <w:tmpl w:val="0F7A00B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71A7D52"/>
    <w:multiLevelType w:val="multilevel"/>
    <w:tmpl w:val="2EF4A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825054D"/>
    <w:multiLevelType w:val="multilevel"/>
    <w:tmpl w:val="F3C44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D254C9A"/>
    <w:multiLevelType w:val="multilevel"/>
    <w:tmpl w:val="00BEF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DAB4C07"/>
    <w:multiLevelType w:val="multilevel"/>
    <w:tmpl w:val="FA4CE40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DAE56B7"/>
    <w:multiLevelType w:val="multilevel"/>
    <w:tmpl w:val="0B6A4078"/>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2919264">
    <w:abstractNumId w:val="33"/>
  </w:num>
  <w:num w:numId="2" w16cid:durableId="220597500">
    <w:abstractNumId w:val="10"/>
  </w:num>
  <w:num w:numId="3" w16cid:durableId="699281368">
    <w:abstractNumId w:val="21"/>
  </w:num>
  <w:num w:numId="4" w16cid:durableId="1993750565">
    <w:abstractNumId w:val="37"/>
  </w:num>
  <w:num w:numId="5" w16cid:durableId="922565293">
    <w:abstractNumId w:val="38"/>
  </w:num>
  <w:num w:numId="6" w16cid:durableId="651714499">
    <w:abstractNumId w:val="14"/>
  </w:num>
  <w:num w:numId="7" w16cid:durableId="1277323094">
    <w:abstractNumId w:val="13"/>
  </w:num>
  <w:num w:numId="8" w16cid:durableId="933976590">
    <w:abstractNumId w:val="32"/>
  </w:num>
  <w:num w:numId="9" w16cid:durableId="1673099862">
    <w:abstractNumId w:val="5"/>
  </w:num>
  <w:num w:numId="10" w16cid:durableId="179272950">
    <w:abstractNumId w:val="42"/>
  </w:num>
  <w:num w:numId="11" w16cid:durableId="814219797">
    <w:abstractNumId w:val="19"/>
  </w:num>
  <w:num w:numId="12" w16cid:durableId="2122796824">
    <w:abstractNumId w:val="2"/>
  </w:num>
  <w:num w:numId="13" w16cid:durableId="115950461">
    <w:abstractNumId w:val="20"/>
  </w:num>
  <w:num w:numId="14" w16cid:durableId="1671835586">
    <w:abstractNumId w:val="4"/>
  </w:num>
  <w:num w:numId="15" w16cid:durableId="1464346686">
    <w:abstractNumId w:val="16"/>
  </w:num>
  <w:num w:numId="16" w16cid:durableId="2088572388">
    <w:abstractNumId w:val="27"/>
  </w:num>
  <w:num w:numId="17" w16cid:durableId="28266845">
    <w:abstractNumId w:val="12"/>
  </w:num>
  <w:num w:numId="18" w16cid:durableId="767196636">
    <w:abstractNumId w:val="40"/>
  </w:num>
  <w:num w:numId="19" w16cid:durableId="1039866130">
    <w:abstractNumId w:val="29"/>
  </w:num>
  <w:num w:numId="20" w16cid:durableId="58403470">
    <w:abstractNumId w:val="25"/>
  </w:num>
  <w:num w:numId="21" w16cid:durableId="881985077">
    <w:abstractNumId w:val="0"/>
  </w:num>
  <w:num w:numId="22" w16cid:durableId="1260092586">
    <w:abstractNumId w:val="8"/>
  </w:num>
  <w:num w:numId="23" w16cid:durableId="1648240682">
    <w:abstractNumId w:val="23"/>
  </w:num>
  <w:num w:numId="24" w16cid:durableId="355811897">
    <w:abstractNumId w:val="7"/>
  </w:num>
  <w:num w:numId="25" w16cid:durableId="1392147611">
    <w:abstractNumId w:val="31"/>
  </w:num>
  <w:num w:numId="26" w16cid:durableId="621422483">
    <w:abstractNumId w:val="30"/>
  </w:num>
  <w:num w:numId="27" w16cid:durableId="1549604577">
    <w:abstractNumId w:val="3"/>
  </w:num>
  <w:num w:numId="28" w16cid:durableId="2109617827">
    <w:abstractNumId w:val="39"/>
  </w:num>
  <w:num w:numId="29" w16cid:durableId="1378123458">
    <w:abstractNumId w:val="22"/>
  </w:num>
  <w:num w:numId="30" w16cid:durableId="669528695">
    <w:abstractNumId w:val="11"/>
  </w:num>
  <w:num w:numId="31" w16cid:durableId="1204295151">
    <w:abstractNumId w:val="17"/>
  </w:num>
  <w:num w:numId="32" w16cid:durableId="930088964">
    <w:abstractNumId w:val="28"/>
  </w:num>
  <w:num w:numId="33" w16cid:durableId="758672454">
    <w:abstractNumId w:val="34"/>
  </w:num>
  <w:num w:numId="34" w16cid:durableId="2099130563">
    <w:abstractNumId w:val="43"/>
  </w:num>
  <w:num w:numId="35" w16cid:durableId="1555970675">
    <w:abstractNumId w:val="6"/>
  </w:num>
  <w:num w:numId="36" w16cid:durableId="386226134">
    <w:abstractNumId w:val="15"/>
  </w:num>
  <w:num w:numId="37" w16cid:durableId="1809318686">
    <w:abstractNumId w:val="9"/>
  </w:num>
  <w:num w:numId="38" w16cid:durableId="1455441769">
    <w:abstractNumId w:val="26"/>
  </w:num>
  <w:num w:numId="39" w16cid:durableId="1428967655">
    <w:abstractNumId w:val="24"/>
  </w:num>
  <w:num w:numId="40" w16cid:durableId="1874489478">
    <w:abstractNumId w:val="41"/>
  </w:num>
  <w:num w:numId="41" w16cid:durableId="643972044">
    <w:abstractNumId w:val="18"/>
  </w:num>
  <w:num w:numId="42" w16cid:durableId="925919422">
    <w:abstractNumId w:val="35"/>
  </w:num>
  <w:num w:numId="43" w16cid:durableId="2078898447">
    <w:abstractNumId w:val="1"/>
  </w:num>
  <w:num w:numId="44" w16cid:durableId="2309661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20CE3"/>
    <w:rsid w:val="000325F7"/>
    <w:rsid w:val="00032DED"/>
    <w:rsid w:val="000742A9"/>
    <w:rsid w:val="000864F8"/>
    <w:rsid w:val="000D0820"/>
    <w:rsid w:val="00102C16"/>
    <w:rsid w:val="0010699F"/>
    <w:rsid w:val="00152163"/>
    <w:rsid w:val="00177D9C"/>
    <w:rsid w:val="00186678"/>
    <w:rsid w:val="001B4D65"/>
    <w:rsid w:val="001C44DD"/>
    <w:rsid w:val="001F04F1"/>
    <w:rsid w:val="002017EB"/>
    <w:rsid w:val="00211F6C"/>
    <w:rsid w:val="002307F5"/>
    <w:rsid w:val="002433FA"/>
    <w:rsid w:val="0026623E"/>
    <w:rsid w:val="00271E47"/>
    <w:rsid w:val="002A4E15"/>
    <w:rsid w:val="002C2749"/>
    <w:rsid w:val="00300046"/>
    <w:rsid w:val="00325915"/>
    <w:rsid w:val="00332DAA"/>
    <w:rsid w:val="0034007C"/>
    <w:rsid w:val="00347D12"/>
    <w:rsid w:val="003A75FA"/>
    <w:rsid w:val="003A782A"/>
    <w:rsid w:val="003B3A74"/>
    <w:rsid w:val="00402C66"/>
    <w:rsid w:val="0043500F"/>
    <w:rsid w:val="00463BAA"/>
    <w:rsid w:val="004747F0"/>
    <w:rsid w:val="00475184"/>
    <w:rsid w:val="004B7F89"/>
    <w:rsid w:val="0055247C"/>
    <w:rsid w:val="005E6699"/>
    <w:rsid w:val="005F6224"/>
    <w:rsid w:val="00600001"/>
    <w:rsid w:val="006059B4"/>
    <w:rsid w:val="006131E4"/>
    <w:rsid w:val="00621752"/>
    <w:rsid w:val="0062724A"/>
    <w:rsid w:val="00637A2F"/>
    <w:rsid w:val="0064768F"/>
    <w:rsid w:val="006C71FE"/>
    <w:rsid w:val="006D168F"/>
    <w:rsid w:val="006D2570"/>
    <w:rsid w:val="006D7207"/>
    <w:rsid w:val="007617B0"/>
    <w:rsid w:val="00771F04"/>
    <w:rsid w:val="00791159"/>
    <w:rsid w:val="007A7F87"/>
    <w:rsid w:val="007D1244"/>
    <w:rsid w:val="007E2887"/>
    <w:rsid w:val="007E2EF5"/>
    <w:rsid w:val="007F41CE"/>
    <w:rsid w:val="00802F96"/>
    <w:rsid w:val="00816672"/>
    <w:rsid w:val="008B13ED"/>
    <w:rsid w:val="008C5638"/>
    <w:rsid w:val="008D2AD0"/>
    <w:rsid w:val="008D7FFA"/>
    <w:rsid w:val="008E7812"/>
    <w:rsid w:val="008F0215"/>
    <w:rsid w:val="00920106"/>
    <w:rsid w:val="00960BED"/>
    <w:rsid w:val="009A0C87"/>
    <w:rsid w:val="009E1C15"/>
    <w:rsid w:val="009E3625"/>
    <w:rsid w:val="00A33898"/>
    <w:rsid w:val="00A55586"/>
    <w:rsid w:val="00A55989"/>
    <w:rsid w:val="00A56E99"/>
    <w:rsid w:val="00A60E4F"/>
    <w:rsid w:val="00A933CD"/>
    <w:rsid w:val="00AE75D5"/>
    <w:rsid w:val="00AE7A26"/>
    <w:rsid w:val="00B35E47"/>
    <w:rsid w:val="00BC1F79"/>
    <w:rsid w:val="00C5750D"/>
    <w:rsid w:val="00C62A71"/>
    <w:rsid w:val="00C77D8B"/>
    <w:rsid w:val="00C804E2"/>
    <w:rsid w:val="00C82525"/>
    <w:rsid w:val="00C85B09"/>
    <w:rsid w:val="00C91107"/>
    <w:rsid w:val="00CB2A90"/>
    <w:rsid w:val="00CB715A"/>
    <w:rsid w:val="00CF5066"/>
    <w:rsid w:val="00D16CD8"/>
    <w:rsid w:val="00D21B39"/>
    <w:rsid w:val="00D24053"/>
    <w:rsid w:val="00D675CE"/>
    <w:rsid w:val="00D860AA"/>
    <w:rsid w:val="00DB6A68"/>
    <w:rsid w:val="00DC3F4D"/>
    <w:rsid w:val="00DE5E5C"/>
    <w:rsid w:val="00DF0C5E"/>
    <w:rsid w:val="00DF7CC1"/>
    <w:rsid w:val="00E10C86"/>
    <w:rsid w:val="00E1354D"/>
    <w:rsid w:val="00E479EC"/>
    <w:rsid w:val="00E5382A"/>
    <w:rsid w:val="00E80C48"/>
    <w:rsid w:val="00E91BF2"/>
    <w:rsid w:val="00E93266"/>
    <w:rsid w:val="00EA6261"/>
    <w:rsid w:val="00EA6431"/>
    <w:rsid w:val="00EF1611"/>
    <w:rsid w:val="00F24247"/>
    <w:rsid w:val="00F34FF7"/>
    <w:rsid w:val="00F5223C"/>
    <w:rsid w:val="00FB079A"/>
    <w:rsid w:val="00FC003F"/>
    <w:rsid w:val="00FD15C1"/>
    <w:rsid w:val="00FD25AE"/>
    <w:rsid w:val="00FF29E7"/>
    <w:rsid w:val="00FF7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pPr>
      <w:numPr>
        <w:numId w:val="8"/>
      </w:numPr>
    </w:pPr>
  </w:style>
  <w:style w:type="character" w:styleId="FootnoteReference">
    <w:name w:val="footnote reference"/>
    <w:basedOn w:val="DefaultParagraphFont"/>
    <w:uiPriority w:val="99"/>
    <w:semiHidden/>
    <w:unhideWhenUsed/>
    <w:rsid w:val="00E479EC"/>
    <w:rPr>
      <w:vertAlign w:val="superscript"/>
    </w:rPr>
  </w:style>
  <w:style w:type="paragraph" w:styleId="FootnoteText">
    <w:name w:val="footnote text"/>
    <w:basedOn w:val="Normal"/>
    <w:link w:val="FootnoteTextChar"/>
    <w:uiPriority w:val="99"/>
    <w:semiHidden/>
    <w:unhideWhenUsed/>
    <w:rsid w:val="00271E47"/>
    <w:pPr>
      <w:spacing w:after="0" w:line="240" w:lineRule="auto"/>
    </w:pPr>
    <w:rPr>
      <w:rFonts w:eastAsia="Arial"/>
      <w:sz w:val="20"/>
      <w:szCs w:val="20"/>
      <w:lang w:eastAsia="en-GB"/>
    </w:rPr>
  </w:style>
  <w:style w:type="character" w:customStyle="1" w:styleId="FootnoteTextChar">
    <w:name w:val="Footnote Text Char"/>
    <w:basedOn w:val="DefaultParagraphFont"/>
    <w:link w:val="FootnoteText"/>
    <w:uiPriority w:val="99"/>
    <w:semiHidden/>
    <w:rsid w:val="00271E47"/>
    <w:rPr>
      <w:rFonts w:ascii="Arial" w:eastAsia="Arial" w:hAnsi="Arial" w:cs="Arial"/>
      <w:spacing w:val="2"/>
      <w:sz w:val="20"/>
      <w:szCs w:val="20"/>
      <w:lang w:eastAsia="en-GB"/>
    </w:rPr>
  </w:style>
  <w:style w:type="paragraph" w:styleId="Caption">
    <w:name w:val="caption"/>
    <w:basedOn w:val="Normal"/>
    <w:next w:val="Normal"/>
    <w:uiPriority w:val="35"/>
    <w:unhideWhenUsed/>
    <w:qFormat/>
    <w:rsid w:val="00271E47"/>
    <w:pPr>
      <w:spacing w:after="200" w:line="240" w:lineRule="auto"/>
      <w:jc w:val="center"/>
    </w:pPr>
    <w:rPr>
      <w:rFonts w:eastAsia="Arial"/>
      <w:sz w:val="18"/>
      <w:szCs w:val="18"/>
      <w:lang w:eastAsia="en-GB"/>
    </w:rPr>
  </w:style>
  <w:style w:type="character" w:styleId="UnresolvedMention">
    <w:name w:val="Unresolved Mention"/>
    <w:basedOn w:val="DefaultParagraphFont"/>
    <w:uiPriority w:val="99"/>
    <w:semiHidden/>
    <w:unhideWhenUsed/>
    <w:rsid w:val="00271E47"/>
    <w:rPr>
      <w:color w:val="605E5C"/>
      <w:shd w:val="clear" w:color="auto" w:fill="E1DFDD"/>
    </w:rPr>
  </w:style>
  <w:style w:type="table" w:styleId="PlainTable1">
    <w:name w:val="Plain Table 1"/>
    <w:basedOn w:val="TableNormal"/>
    <w:uiPriority w:val="41"/>
    <w:rsid w:val="00EF16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hyperlink" Target="https://github.com/apel/caso" TargetMode="External"/><Relationship Id="rId42" Type="http://schemas.openxmlformats.org/officeDocument/2006/relationships/image" Target="media/image28.png"/><Relationship Id="rId47" Type="http://schemas.openxmlformats.org/officeDocument/2006/relationships/hyperlink" Target="https://confluence.egi.eu/display/EGIPP/PROC09+Resource+Centre+Registration+and+Certification" TargetMode="External"/><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jpg"/><Relationship Id="rId11" Type="http://schemas.openxmlformats.org/officeDocument/2006/relationships/image" Target="media/image3.jp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www.iso.org/standard/80325.html" TargetMode="External"/><Relationship Id="rId58" Type="http://schemas.openxmlformats.org/officeDocument/2006/relationships/hyperlink" Target="https://www.iso.org/standard/81599.html"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openarchives.org/OAI/openarchivesprotocol.html"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www.grycap.upv.es/im/"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yperlink" Target="https://refeds.org/category/research-and-scholarship" TargetMode="External"/><Relationship Id="rId56" Type="http://schemas.openxmlformats.org/officeDocument/2006/relationships/hyperlink" Target="https://documents.egi.eu/document/3804" TargetMode="External"/><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iki.oasis-open.org/security/FrontPage"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documents.egi.eu/document/3816" TargetMode="External"/><Relationship Id="rId59" Type="http://schemas.openxmlformats.org/officeDocument/2006/relationships/hyperlink" Target="https://www.iso.org/standard/83451.html" TargetMode="External"/><Relationship Id="rId67" Type="http://schemas.openxmlformats.org/officeDocument/2006/relationships/header" Target="header3.xml"/><Relationship Id="rId20" Type="http://schemas.openxmlformats.org/officeDocument/2006/relationships/hyperlink" Target="https://github.com/apel/apel/tree/dev/apel/parsers" TargetMode="External"/><Relationship Id="rId41" Type="http://schemas.openxmlformats.org/officeDocument/2006/relationships/image" Target="media/image27.png"/><Relationship Id="rId54" Type="http://schemas.openxmlformats.org/officeDocument/2006/relationships/hyperlink" Target="http://www.ogf.org/documents/GFD.147.pdf" TargetMode="External"/><Relationship Id="rId62" Type="http://schemas.openxmlformats.org/officeDocument/2006/relationships/hyperlink" Target="https://spec.openapis.org/oas/v3.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s://github.com/grycap/im" TargetMode="External"/><Relationship Id="rId36" Type="http://schemas.openxmlformats.org/officeDocument/2006/relationships/image" Target="media/image22.png"/><Relationship Id="rId49" Type="http://schemas.openxmlformats.org/officeDocument/2006/relationships/hyperlink" Target="https://www.geant.org/uri/Pages/dataprotection-code-of-conduct.aspx" TargetMode="External"/><Relationship Id="rId57" Type="http://schemas.openxmlformats.org/officeDocument/2006/relationships/hyperlink" Target="http://docs.oasis-open.org/tosca/TOSCA-Simple-Profile-YAML/v1.0/os/TOSCA-Simple-Profile-YAML-v1.0-os.html" TargetMode="External"/><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s://openid.net/connect/" TargetMode="External"/><Relationship Id="rId60" Type="http://schemas.openxmlformats.org/officeDocument/2006/relationships/hyperlink" Target="http://www.w3.org/TR/rdf11-primer/"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ments.egi.eu/document/3802" TargetMode="External"/><Relationship Id="rId13" Type="http://schemas.openxmlformats.org/officeDocument/2006/relationships/hyperlink" Target="https://confluence.egi.eu/display/EGIG" TargetMode="External"/><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hyperlink" Target="https://refeds.org/wp-content/uploads/2022/08/Sirtfi-v2.pdf" TargetMode="External"/><Relationship Id="rId55" Type="http://schemas.openxmlformats.org/officeDocument/2006/relationships/hyperlink" Target="https://argoeu.github.io/argo-monitoring/docs/monitoring/guidelines"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indico.egi.eu/event/5496/" TargetMode="External"/><Relationship Id="rId21" Type="http://schemas.openxmlformats.org/officeDocument/2006/relationships/hyperlink" Target="https://docs.egi.eu/users/getting-started/architecture/" TargetMode="External"/><Relationship Id="rId42" Type="http://schemas.openxmlformats.org/officeDocument/2006/relationships/hyperlink" Target="https://www.openpbs.org/" TargetMode="External"/><Relationship Id="rId47" Type="http://schemas.openxmlformats.org/officeDocument/2006/relationships/hyperlink" Target="https://italiangrid.github.io/storm/" TargetMode="External"/><Relationship Id="rId63" Type="http://schemas.openxmlformats.org/officeDocument/2006/relationships/hyperlink" Target="https://docs.egi.eu/users/compute/cloud-compute/dynamic-dns/" TargetMode="External"/><Relationship Id="rId68" Type="http://schemas.openxmlformats.org/officeDocument/2006/relationships/hyperlink" Target="https://onedata.org/" TargetMode="External"/><Relationship Id="rId84" Type="http://schemas.openxmlformats.org/officeDocument/2006/relationships/hyperlink" Target="https://binder.notebooks.egi.eu" TargetMode="External"/><Relationship Id="rId89" Type="http://schemas.openxmlformats.org/officeDocument/2006/relationships/hyperlink" Target="https://mesosphere.github.io/marathon/" TargetMode="External"/><Relationship Id="rId16" Type="http://schemas.openxmlformats.org/officeDocument/2006/relationships/hyperlink" Target="https://aarc-project.eu/guidelines/" TargetMode="External"/><Relationship Id="rId11" Type="http://schemas.openxmlformats.org/officeDocument/2006/relationships/hyperlink" Target="https://www.incommon.org/software/comanage/" TargetMode="External"/><Relationship Id="rId32" Type="http://schemas.openxmlformats.org/officeDocument/2006/relationships/hyperlink" Target="https://docs.openstack.org/keystone/latest/admin/federation/introduction.htmln" TargetMode="External"/><Relationship Id="rId37" Type="http://schemas.openxmlformats.org/officeDocument/2006/relationships/hyperlink" Target="https://caso.readthedocs.io" TargetMode="External"/><Relationship Id="rId53" Type="http://schemas.openxmlformats.org/officeDocument/2006/relationships/hyperlink" Target="https://projectescape.eu/news/escape-ossr-enhancing-science-through-sharing-software-benefits-use-cases-post-webinar-report" TargetMode="External"/><Relationship Id="rId58" Type="http://schemas.openxmlformats.org/officeDocument/2006/relationships/hyperlink" Target="https://operations-portal.egi.eu/" TargetMode="External"/><Relationship Id="rId74" Type="http://schemas.openxmlformats.org/officeDocument/2006/relationships/hyperlink" Target="https://gridcf.org/gct-docs/latest/gridftp/key/index.html" TargetMode="External"/><Relationship Id="rId79" Type="http://schemas.openxmlformats.org/officeDocument/2006/relationships/hyperlink" Target="https://atlas.cern/" TargetMode="External"/><Relationship Id="rId5" Type="http://schemas.openxmlformats.org/officeDocument/2006/relationships/hyperlink" Target="https://indico.egi.eu/event/5494/" TargetMode="External"/><Relationship Id="rId90" Type="http://schemas.openxmlformats.org/officeDocument/2006/relationships/hyperlink" Target="https://mesos.github.io/chronos/" TargetMode="External"/><Relationship Id="rId95" Type="http://schemas.openxmlformats.org/officeDocument/2006/relationships/hyperlink" Target="https://www.eosc-synergy.eu/" TargetMode="External"/><Relationship Id="rId22" Type="http://schemas.openxmlformats.org/officeDocument/2006/relationships/hyperlink" Target="https://docs.egi.eu/users/getting-started/architecture/" TargetMode="External"/><Relationship Id="rId27" Type="http://schemas.openxmlformats.org/officeDocument/2006/relationships/hyperlink" Target="https://poem.egi.eu/ui/public_probes" TargetMode="External"/><Relationship Id="rId43" Type="http://schemas.openxmlformats.org/officeDocument/2006/relationships/hyperlink" Target="https://htcondor.org/" TargetMode="External"/><Relationship Id="rId48" Type="http://schemas.openxmlformats.org/officeDocument/2006/relationships/hyperlink" Target="http://doc.spider.surfsara.nl/en/latest/Pages/about.html" TargetMode="External"/><Relationship Id="rId64" Type="http://schemas.openxmlformats.org/officeDocument/2006/relationships/hyperlink" Target="https://www.terraform.io/" TargetMode="External"/><Relationship Id="rId69" Type="http://schemas.openxmlformats.org/officeDocument/2006/relationships/hyperlink" Target="https://onedata.org/" TargetMode="External"/><Relationship Id="rId80" Type="http://schemas.openxmlformats.org/officeDocument/2006/relationships/hyperlink" Target="https://openbis.ch/" TargetMode="External"/><Relationship Id="rId85" Type="http://schemas.openxmlformats.org/officeDocument/2006/relationships/hyperlink" Target="https://servproject.i3m.upv.es/ec3/" TargetMode="External"/><Relationship Id="rId3" Type="http://schemas.openxmlformats.org/officeDocument/2006/relationships/hyperlink" Target="https://www.egi.eu/service/check-in/" TargetMode="External"/><Relationship Id="rId12" Type="http://schemas.openxmlformats.org/officeDocument/2006/relationships/hyperlink" Target="https://perun-aai.org/" TargetMode="External"/><Relationship Id="rId17" Type="http://schemas.openxmlformats.org/officeDocument/2006/relationships/hyperlink" Target="https://goc.egi.eu/" TargetMode="External"/><Relationship Id="rId25" Type="http://schemas.openxmlformats.org/officeDocument/2006/relationships/hyperlink" Target="https://argo.egi.eu/" TargetMode="External"/><Relationship Id="rId33" Type="http://schemas.openxmlformats.org/officeDocument/2006/relationships/hyperlink" Target="https://docs.egi.eu/providers/cloud-compute/openstack/aai/" TargetMode="External"/><Relationship Id="rId38" Type="http://schemas.openxmlformats.org/officeDocument/2006/relationships/hyperlink" Target="https://docs.egi.eu/providers/high-throughput-compute/" TargetMode="External"/><Relationship Id="rId46" Type="http://schemas.openxmlformats.org/officeDocument/2006/relationships/hyperlink" Target="https://eos-web.web.cern.ch/eos-web/" TargetMode="External"/><Relationship Id="rId59" Type="http://schemas.openxmlformats.org/officeDocument/2006/relationships/hyperlink" Target="https://github.com/hepix-virtualisation/image_list_format_docbook" TargetMode="External"/><Relationship Id="rId67" Type="http://schemas.openxmlformats.org/officeDocument/2006/relationships/hyperlink" Target="https://letsencrypt.org/" TargetMode="External"/><Relationship Id="rId20" Type="http://schemas.openxmlformats.org/officeDocument/2006/relationships/hyperlink" Target="https://wiki.egi.eu/wiki/APEL/MessageFormat" TargetMode="External"/><Relationship Id="rId41" Type="http://schemas.openxmlformats.org/officeDocument/2006/relationships/hyperlink" Target="https://slurm.schedmd.com/documentation.html" TargetMode="External"/><Relationship Id="rId54" Type="http://schemas.openxmlformats.org/officeDocument/2006/relationships/hyperlink" Target="https://www.iap.kit.edu/corsika/" TargetMode="External"/><Relationship Id="rId62" Type="http://schemas.openxmlformats.org/officeDocument/2006/relationships/hyperlink" Target="https://dashboard.appdb.egi.eu/vmops" TargetMode="External"/><Relationship Id="rId70" Type="http://schemas.openxmlformats.org/officeDocument/2006/relationships/hyperlink" Target="https://docs.egi.eu/users/datahub/" TargetMode="External"/><Relationship Id="rId75" Type="http://schemas.openxmlformats.org/officeDocument/2006/relationships/hyperlink" Target="https://xrootd.slac.stanford.edu/" TargetMode="External"/><Relationship Id="rId83" Type="http://schemas.openxmlformats.org/officeDocument/2006/relationships/hyperlink" Target="https://jupyter.org" TargetMode="External"/><Relationship Id="rId88" Type="http://schemas.openxmlformats.org/officeDocument/2006/relationships/hyperlink" Target="https://indico.egi.eu/event/5720/" TargetMode="External"/><Relationship Id="rId91" Type="http://schemas.openxmlformats.org/officeDocument/2006/relationships/hyperlink" Target="https://www.vaultproject.io/" TargetMode="External"/><Relationship Id="rId96" Type="http://schemas.openxmlformats.org/officeDocument/2006/relationships/hyperlink" Target="https://train.deep-hybrid-datacloud.eu/" TargetMode="External"/><Relationship Id="rId1" Type="http://schemas.openxmlformats.org/officeDocument/2006/relationships/hyperlink" Target="https://eosc-portal.eu/about/eosc" TargetMode="External"/><Relationship Id="rId6" Type="http://schemas.openxmlformats.org/officeDocument/2006/relationships/hyperlink" Target="https://edugain.org/" TargetMode="External"/><Relationship Id="rId15" Type="http://schemas.openxmlformats.org/officeDocument/2006/relationships/hyperlink" Target="https://cloud.google.com/pubsub/docs" TargetMode="External"/><Relationship Id="rId23" Type="http://schemas.openxmlformats.org/officeDocument/2006/relationships/hyperlink" Target="https://www.ogf.org/documents/GFD.201.pdf" TargetMode="External"/><Relationship Id="rId28" Type="http://schemas.openxmlformats.org/officeDocument/2006/relationships/hyperlink" Target="https://github.com/ARGOeu/poem-2" TargetMode="External"/><Relationship Id="rId36" Type="http://schemas.openxmlformats.org/officeDocument/2006/relationships/hyperlink" Target="https://docs.egi.eu/providers/datahub/oneprovider/" TargetMode="External"/><Relationship Id="rId49" Type="http://schemas.openxmlformats.org/officeDocument/2006/relationships/hyperlink" Target="https://www.surf.nl/en/research-it" TargetMode="External"/><Relationship Id="rId57" Type="http://schemas.openxmlformats.org/officeDocument/2006/relationships/hyperlink" Target="https://appdb.egi.eu" TargetMode="External"/><Relationship Id="rId10" Type="http://schemas.openxmlformats.org/officeDocument/2006/relationships/hyperlink" Target="https://eduteams.org/" TargetMode="External"/><Relationship Id="rId31" Type="http://schemas.openxmlformats.org/officeDocument/2006/relationships/hyperlink" Target="https://docs.egi.eu/providers/cloud-compute/openstack/" TargetMode="External"/><Relationship Id="rId44" Type="http://schemas.openxmlformats.org/officeDocument/2006/relationships/hyperlink" Target="https://www.dcache.org/" TargetMode="External"/><Relationship Id="rId52" Type="http://schemas.openxmlformats.org/officeDocument/2006/relationships/hyperlink" Target="https://openmole.org/" TargetMode="External"/><Relationship Id="rId60" Type="http://schemas.openxmlformats.org/officeDocument/2006/relationships/hyperlink" Target="https://github.com/the-cloudkeeper-project/cloudkeeper" TargetMode="External"/><Relationship Id="rId65" Type="http://schemas.openxmlformats.org/officeDocument/2006/relationships/hyperlink" Target="https://datahub.egi.eu" TargetMode="External"/><Relationship Id="rId73" Type="http://schemas.openxmlformats.org/officeDocument/2006/relationships/hyperlink" Target="https://dmc-docs.web.cern.ch/dmc-docs/gfal2/gfal2.html" TargetMode="External"/><Relationship Id="rId78" Type="http://schemas.openxmlformats.org/officeDocument/2006/relationships/hyperlink" Target="https://indico.egi.eu/event/5711/" TargetMode="External"/><Relationship Id="rId81" Type="http://schemas.openxmlformats.org/officeDocument/2006/relationships/hyperlink" Target="https://www.go-fair.org/fair-principles/" TargetMode="External"/><Relationship Id="rId86" Type="http://schemas.openxmlformats.org/officeDocument/2006/relationships/hyperlink" Target="https://www.nomadproject.io/" TargetMode="External"/><Relationship Id="rId94" Type="http://schemas.openxmlformats.org/officeDocument/2006/relationships/hyperlink" Target="https://deep-hybrid-datacloud.eu/" TargetMode="External"/><Relationship Id="rId99" Type="http://schemas.openxmlformats.org/officeDocument/2006/relationships/hyperlink" Target="https://docs.deep-hybrid-datacloud.eu/projects/deepaas/en/stable/" TargetMode="External"/><Relationship Id="rId4" Type="http://schemas.openxmlformats.org/officeDocument/2006/relationships/hyperlink" Target="https://www.egi.eu/services/check-in/" TargetMode="External"/><Relationship Id="rId9" Type="http://schemas.openxmlformats.org/officeDocument/2006/relationships/hyperlink" Target="https://sp.eudat.eu/catalog/resources/d04af0f5-2253-4ee4-8181-3a5a961ccd49" TargetMode="External"/><Relationship Id="rId13" Type="http://schemas.openxmlformats.org/officeDocument/2006/relationships/hyperlink" Target="https://rcauth.eu/" TargetMode="External"/><Relationship Id="rId18" Type="http://schemas.openxmlformats.org/officeDocument/2006/relationships/hyperlink" Target="https://accounting.egi.eu/" TargetMode="External"/><Relationship Id="rId39" Type="http://schemas.openxmlformats.org/officeDocument/2006/relationships/hyperlink" Target="https://www.nordugrid.org/arc/ce/" TargetMode="External"/><Relationship Id="rId34" Type="http://schemas.openxmlformats.org/officeDocument/2006/relationships/hyperlink" Target="https://wiki.appdb.egi.eu/main:faq:vo_image_list_format" TargetMode="External"/><Relationship Id="rId50" Type="http://schemas.openxmlformats.org/officeDocument/2006/relationships/hyperlink" Target="https://github.com/EOSC-synergy/ssh-oidc" TargetMode="External"/><Relationship Id="rId55" Type="http://schemas.openxmlformats.org/officeDocument/2006/relationships/hyperlink" Target="https://www.ansible.com/" TargetMode="External"/><Relationship Id="rId76" Type="http://schemas.openxmlformats.org/officeDocument/2006/relationships/hyperlink" Target="https://twiki.cern.ch/twiki/bin/view/LCG/ThirdPartyCopy" TargetMode="External"/><Relationship Id="rId97" Type="http://schemas.openxmlformats.org/officeDocument/2006/relationships/hyperlink" Target="https://marketplace.deep-hybrid-datacloud.eu/" TargetMode="External"/><Relationship Id="rId7" Type="http://schemas.openxmlformats.org/officeDocument/2006/relationships/hyperlink" Target="https://orcid.org/" TargetMode="External"/><Relationship Id="rId71" Type="http://schemas.openxmlformats.org/officeDocument/2006/relationships/hyperlink" Target="https://fts.web.cern.ch/fts/" TargetMode="External"/><Relationship Id="rId92" Type="http://schemas.openxmlformats.org/officeDocument/2006/relationships/hyperlink" Target="https://indico.egi.eu/event/5695/" TargetMode="External"/><Relationship Id="rId2" Type="http://schemas.openxmlformats.org/officeDocument/2006/relationships/hyperlink" Target="https://eoscfuture.eu/" TargetMode="External"/><Relationship Id="rId29" Type="http://schemas.openxmlformats.org/officeDocument/2006/relationships/hyperlink" Target="https://ggus.eu/" TargetMode="External"/><Relationship Id="rId24" Type="http://schemas.openxmlformats.org/officeDocument/2006/relationships/hyperlink" Target="https://github.com/apel/ssm" TargetMode="External"/><Relationship Id="rId40" Type="http://schemas.openxmlformats.org/officeDocument/2006/relationships/hyperlink" Target="https://opensciencegrid.org/docs/compute-element/htcondor-ce-overview/" TargetMode="External"/><Relationship Id="rId45" Type="http://schemas.openxmlformats.org/officeDocument/2006/relationships/hyperlink" Target="https://twiki.cern.ch/twiki/bin/view/DPM/" TargetMode="External"/><Relationship Id="rId66" Type="http://schemas.openxmlformats.org/officeDocument/2006/relationships/hyperlink" Target="https://onedata.org" TargetMode="External"/><Relationship Id="rId87" Type="http://schemas.openxmlformats.org/officeDocument/2006/relationships/hyperlink" Target="https://github.com/grycap/ec3" TargetMode="External"/><Relationship Id="rId61" Type="http://schemas.openxmlformats.org/officeDocument/2006/relationships/hyperlink" Target="https://is.appdb.egi.eu/rest/" TargetMode="External"/><Relationship Id="rId82" Type="http://schemas.openxmlformats.org/officeDocument/2006/relationships/hyperlink" Target="https://notebooks.egi.eu" TargetMode="External"/><Relationship Id="rId19" Type="http://schemas.openxmlformats.org/officeDocument/2006/relationships/hyperlink" Target="https://wiki.egi.eu/wiki/APEL/MessageFormat" TargetMode="External"/><Relationship Id="rId14" Type="http://schemas.openxmlformats.org/officeDocument/2006/relationships/hyperlink" Target="https://argoeu.github.io/guides/messaging/" TargetMode="External"/><Relationship Id="rId30" Type="http://schemas.openxmlformats.org/officeDocument/2006/relationships/hyperlink" Target="https://docs.egi.eu/internal/helpdesk/" TargetMode="External"/><Relationship Id="rId35" Type="http://schemas.openxmlformats.org/officeDocument/2006/relationships/hyperlink" Target="https://github.com/the-cloudkeeper-project/cloudkeeper" TargetMode="External"/><Relationship Id="rId56" Type="http://schemas.openxmlformats.org/officeDocument/2006/relationships/hyperlink" Target="http://xmlrpc.com/" TargetMode="External"/><Relationship Id="rId77" Type="http://schemas.openxmlformats.org/officeDocument/2006/relationships/hyperlink" Target="https://rucio.cern.ch/" TargetMode="External"/><Relationship Id="rId100" Type="http://schemas.openxmlformats.org/officeDocument/2006/relationships/hyperlink" Target="https://www.mpi-forum.org/" TargetMode="External"/><Relationship Id="rId8" Type="http://schemas.openxmlformats.org/officeDocument/2006/relationships/hyperlink" Target="https://aarc-community.org/guidelines/aarc-i050/" TargetMode="External"/><Relationship Id="rId51" Type="http://schemas.openxmlformats.org/officeDocument/2006/relationships/hyperlink" Target="https://www.wenmr.eu/" TargetMode="External"/><Relationship Id="rId72" Type="http://schemas.openxmlformats.org/officeDocument/2006/relationships/hyperlink" Target="https://indico.egi.eu/event/5711/" TargetMode="External"/><Relationship Id="rId93" Type="http://schemas.openxmlformats.org/officeDocument/2006/relationships/hyperlink" Target="https://kubeapps.dev/" TargetMode="External"/><Relationship Id="rId98" Type="http://schemas.openxmlformats.org/officeDocument/2006/relationships/hyperlink" Target="https://hub.dock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2</TotalTime>
  <Pages>60</Pages>
  <Words>15617</Words>
  <Characters>89020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5</cp:revision>
  <dcterms:created xsi:type="dcterms:W3CDTF">2022-10-12T05:56:00Z</dcterms:created>
  <dcterms:modified xsi:type="dcterms:W3CDTF">2022-10-12T12:11:00Z</dcterms:modified>
</cp:coreProperties>
</file>